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spacing w:before="120" w:beforeAutospacing="0" w:after="120" w:afterAutospacing="0" w:line="360" w:lineRule="auto"/>
        <w:rPr>
          <w:color w:val="auto"/>
        </w:rPr>
      </w:pPr>
      <w:r>
        <w:rPr>
          <w:color w:val="auto"/>
        </w:rPr>
        <w:t xml:space="preserve"> </w:t>
      </w:r>
      <w:r/>
    </w:p>
    <w:p>
      <w:pPr>
        <w:pStyle w:val="729"/>
        <w:jc w:val="center"/>
        <w:spacing w:before="120" w:beforeAutospacing="0" w:after="120" w:afterAutospacing="0" w:line="360" w:lineRule="auto"/>
        <w:rPr>
          <w:color w:val="auto"/>
        </w:rPr>
      </w:pPr>
      <w:r>
        <w:rPr>
          <w:rFonts w:ascii="Arial" w:hAnsi="Arial" w:cs="Arial"/>
          <w:b/>
          <w:color w:val="auto"/>
          <w:sz w:val="84"/>
          <w:szCs w:val="84"/>
        </w:rPr>
        <w:t xml:space="preserve">招 标 文 件</w:t>
      </w:r>
      <w:r/>
    </w:p>
    <w:p>
      <w:pPr>
        <w:pStyle w:val="729"/>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729"/>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729"/>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729"/>
        <w:ind w:firstLine="964"/>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东台生态环境监测站规范化建设项目</w:t>
      </w:r>
      <w:r/>
    </w:p>
    <w:p>
      <w:pPr>
        <w:pStyle w:val="729"/>
        <w:ind w:firstLine="964"/>
        <w:jc w:val="both"/>
        <w:spacing w:beforeAutospacing="0" w:afterAutospacing="0"/>
        <w:rPr>
          <w:color w:val="auto"/>
          <w:highlight w:val="none"/>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JSZC-320981-JSRJ-G2024-0030</w:t>
      </w:r>
      <w:r/>
    </w:p>
    <w:p>
      <w:pPr>
        <w:pStyle w:val="729"/>
        <w:spacing w:beforeAutospacing="0" w:afterAutospacing="0" w:line="360" w:lineRule="auto"/>
        <w:rPr>
          <w:color w:val="auto"/>
          <w:highlight w:val="none"/>
        </w:rPr>
      </w:pPr>
      <w:r>
        <w:rPr>
          <w:color w:val="auto"/>
          <w:highlight w:val="none"/>
        </w:rPr>
        <w:t xml:space="preserve"> </w:t>
      </w:r>
      <w:r/>
    </w:p>
    <w:p>
      <w:pPr>
        <w:pStyle w:val="729"/>
        <w:spacing w:beforeAutospacing="0" w:afterAutospacing="0" w:line="360" w:lineRule="auto"/>
        <w:rPr>
          <w:color w:val="auto"/>
          <w:highlight w:val="none"/>
        </w:rPr>
      </w:pPr>
      <w:r>
        <w:rPr>
          <w:color w:val="auto"/>
          <w:highlight w:val="none"/>
        </w:rPr>
        <w:t xml:space="preserve"> </w:t>
      </w:r>
      <w:r/>
    </w:p>
    <w:p>
      <w:pPr>
        <w:pStyle w:val="729"/>
        <w:spacing w:beforeAutospacing="0" w:afterAutospacing="0" w:line="360" w:lineRule="auto"/>
        <w:rPr>
          <w:color w:val="auto"/>
          <w:highlight w:val="none"/>
        </w:rPr>
      </w:pPr>
      <w:r>
        <w:rPr>
          <w:color w:val="auto"/>
          <w:highlight w:val="none"/>
        </w:rPr>
        <w:t xml:space="preserve"> </w:t>
      </w:r>
      <w:r/>
    </w:p>
    <w:p>
      <w:pPr>
        <w:pStyle w:val="729"/>
        <w:spacing w:beforeAutospacing="0" w:afterAutospacing="0" w:line="360" w:lineRule="auto"/>
        <w:rPr>
          <w:color w:val="auto"/>
          <w:highlight w:val="none"/>
        </w:rPr>
      </w:pPr>
      <w:r>
        <w:rPr>
          <w:color w:val="auto"/>
          <w:highlight w:val="none"/>
        </w:rPr>
        <w:t xml:space="preserve"> </w:t>
      </w:r>
      <w:r/>
    </w:p>
    <w:p>
      <w:pPr>
        <w:pStyle w:val="729"/>
        <w:spacing w:beforeAutospacing="0" w:afterAutospacing="0" w:line="360" w:lineRule="auto"/>
        <w:rPr>
          <w:color w:val="auto"/>
          <w:highlight w:val="none"/>
        </w:rPr>
      </w:pPr>
      <w:r>
        <w:rPr>
          <w:color w:val="auto"/>
          <w:highlight w:val="none"/>
        </w:rPr>
      </w:r>
      <w:r/>
    </w:p>
    <w:p>
      <w:pPr>
        <w:pStyle w:val="729"/>
        <w:spacing w:beforeAutospacing="0" w:afterAutospacing="0" w:line="360" w:lineRule="auto"/>
        <w:rPr>
          <w:color w:val="auto"/>
          <w:highlight w:val="none"/>
        </w:rPr>
      </w:pPr>
      <w:r>
        <w:rPr>
          <w:color w:val="auto"/>
          <w:highlight w:val="none"/>
        </w:rPr>
      </w:r>
      <w:r/>
    </w:p>
    <w:p>
      <w:pPr>
        <w:pStyle w:val="729"/>
        <w:spacing w:beforeAutospacing="0" w:afterAutospacing="0" w:line="360" w:lineRule="auto"/>
        <w:rPr>
          <w:color w:val="auto"/>
          <w:highlight w:val="none"/>
        </w:rPr>
      </w:pPr>
      <w:r>
        <w:rPr>
          <w:color w:val="auto"/>
          <w:highlight w:val="none"/>
        </w:rPr>
        <w:t xml:space="preserve"> </w:t>
      </w:r>
      <w:r/>
    </w:p>
    <w:p>
      <w:pPr>
        <w:pStyle w:val="729"/>
        <w:spacing w:beforeAutospacing="0" w:afterAutospacing="0" w:line="360" w:lineRule="auto"/>
        <w:rPr>
          <w:color w:val="auto"/>
          <w:highlight w:val="none"/>
        </w:rPr>
      </w:pPr>
      <w:r>
        <w:rPr>
          <w:color w:val="auto"/>
          <w:highlight w:val="none"/>
        </w:rPr>
        <w:t xml:space="preserve"> </w:t>
      </w:r>
      <w:r/>
    </w:p>
    <w:p>
      <w:pPr>
        <w:pStyle w:val="729"/>
        <w:spacing w:beforeAutospacing="0" w:afterAutospacing="0" w:line="360" w:lineRule="auto"/>
        <w:rPr>
          <w:color w:val="auto"/>
          <w:highlight w:val="none"/>
        </w:rPr>
      </w:pPr>
      <w:r>
        <w:rPr>
          <w:color w:val="auto"/>
          <w:highlight w:val="none"/>
        </w:rPr>
        <w:t xml:space="preserve"> </w:t>
      </w:r>
      <w:r/>
    </w:p>
    <w:p>
      <w:pPr>
        <w:pStyle w:val="729"/>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盐城市东台生态环境局</w:t>
      </w:r>
      <w:r/>
    </w:p>
    <w:p>
      <w:pPr>
        <w:pStyle w:val="729"/>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2024</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12</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lang w:val="en-US" w:eastAsia="zh-CN"/>
        </w:rPr>
        <w:t xml:space="preserve">09</w:t>
      </w:r>
      <w:r>
        <w:rPr>
          <w:rFonts w:hint="eastAsia" w:ascii="宋体" w:hAnsi="宋体" w:eastAsia="宋体" w:cs="宋体"/>
          <w:b/>
          <w:color w:val="auto"/>
          <w:sz w:val="32"/>
          <w:szCs w:val="32"/>
          <w:highlight w:val="none"/>
        </w:rPr>
        <w:t xml:space="preserve">日</w:t>
      </w:r>
      <w:r/>
    </w:p>
    <w:p>
      <w:pPr>
        <w:pStyle w:val="729"/>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729"/>
        <w:jc w:val="center"/>
        <w:spacing w:before="120" w:beforeAutospacing="0" w:after="120" w:afterAutospacing="0" w:line="360" w:lineRule="auto"/>
        <w:rPr>
          <w:color w:val="auto"/>
          <w:highlight w:val="none"/>
        </w:rPr>
      </w:pPr>
      <w:r>
        <w:rPr>
          <w:color w:val="auto"/>
          <w:highlight w:val="none"/>
        </w:rPr>
        <w:t xml:space="preserve"> </w:t>
      </w:r>
      <w:r/>
    </w:p>
    <w:p>
      <w:pPr>
        <w:pStyle w:val="729"/>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r/>
    </w:p>
    <w:p>
      <w:pPr>
        <w:pStyle w:val="729"/>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bookmarkStart w:id="0" w:name="_Toc20823272"/>
      <w:r/>
      <w:bookmarkStart w:id="1" w:name="_Toc523127445"/>
      <w:r/>
      <w:bookmarkStart w:id="2" w:name="_Toc479757206"/>
      <w:r/>
      <w:bookmarkStart w:id="3" w:name="_Toc120614210"/>
      <w:r/>
      <w:bookmarkStart w:id="4" w:name="_Toc16938516"/>
      <w:r/>
      <w:bookmarkStart w:id="5" w:name="_Toc513029200"/>
      <w:r>
        <w:rPr>
          <w:rFonts w:ascii="Times New Roman" w:hAnsi="Times New Roman"/>
          <w:color w:val="auto"/>
          <w:sz w:val="21"/>
          <w:szCs w:val="21"/>
          <w:highlight w:val="none"/>
        </w:rPr>
        <w:t xml:space="preserve"> </w:t>
      </w:r>
      <w:r/>
    </w:p>
    <w:p>
      <w:pPr>
        <w:pStyle w:val="729"/>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29"/>
        <w:jc w:val="both"/>
        <w:spacing w:beforeAutospacing="0" w:afterAutospacing="0" w:line="480" w:lineRule="auto"/>
        <w:rPr>
          <w:color w:val="auto"/>
          <w:highlight w:val="none"/>
        </w:rPr>
      </w:pPr>
      <w:r>
        <w:rPr>
          <w:color w:val="auto"/>
          <w:highlight w:val="none"/>
        </w:rPr>
        <w:t xml:space="preserve"> </w:t>
      </w:r>
      <w:r/>
    </w:p>
    <w:p>
      <w:pPr>
        <w:pStyle w:val="729"/>
        <w:ind w:left="0" w:firstLine="1080"/>
        <w:jc w:val="both"/>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01</w:t>
      </w:r>
      <w:r/>
    </w:p>
    <w:p>
      <w:pPr>
        <w:pStyle w:val="729"/>
        <w:ind w:left="0" w:firstLine="1080"/>
        <w:jc w:val="both"/>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05</w:t>
      </w:r>
      <w:r/>
    </w:p>
    <w:p>
      <w:pPr>
        <w:pStyle w:val="729"/>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eastAsia="zh-CN"/>
        </w:rPr>
        <w:t xml:space="preserve">合同条款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18</w:t>
      </w:r>
      <w:r/>
    </w:p>
    <w:p>
      <w:pPr>
        <w:pStyle w:val="729"/>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41</w:t>
      </w:r>
      <w:r/>
    </w:p>
    <w:p>
      <w:pPr>
        <w:pStyle w:val="729"/>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93</w:t>
      </w:r>
      <w:r/>
    </w:p>
    <w:p>
      <w:pPr>
        <w:pStyle w:val="729"/>
        <w:ind w:left="0" w:firstLine="1080"/>
        <w:jc w:val="both"/>
        <w:keepLines w:val="0"/>
        <w:keepNext w:val="0"/>
        <w:pageBreakBefore w:val="0"/>
        <w:spacing w:beforeAutospacing="0" w:afterAutospacing="0" w:line="480" w:lineRule="auto"/>
        <w:widowControl w:val="off"/>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99</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both"/>
        <w:spacing w:beforeAutospacing="0" w:afterAutospacing="0"/>
        <w:rPr>
          <w:color w:val="auto"/>
          <w:highlight w:val="none"/>
        </w:rPr>
      </w:pPr>
      <w:r>
        <w:rPr>
          <w:color w:val="auto"/>
          <w:highlight w:val="none"/>
        </w:rPr>
        <w:t xml:space="preserve"> </w:t>
      </w:r>
      <w:r/>
    </w:p>
    <w:p>
      <w:pPr>
        <w:pStyle w:val="729"/>
        <w:jc w:val="center"/>
        <w:spacing w:beforeAutospacing="0" w:afterAutospacing="0"/>
        <w:rPr>
          <w:rFonts w:hint="default" w:eastAsia="黑体"/>
          <w:color w:val="auto"/>
          <w:highlight w:val="none"/>
          <w:lang w:val="en-US" w:eastAsia="zh-CN"/>
        </w:rPr>
      </w:pPr>
      <w:r>
        <w:rPr>
          <w:rFonts w:hint="eastAsia" w:ascii="黑体" w:hAnsi="黑体" w:eastAsia="黑体" w:cs="黑体"/>
          <w:color w:val="auto"/>
          <w:sz w:val="44"/>
          <w:szCs w:val="44"/>
          <w:highlight w:val="none"/>
        </w:rPr>
        <w:t xml:space="preserve">第一章 </w:t>
      </w:r>
      <w:r>
        <w:rPr>
          <w:rFonts w:hint="eastAsia" w:ascii="黑体" w:hAnsi="黑体" w:eastAsia="黑体" w:cs="黑体"/>
          <w:color w:val="auto"/>
          <w:sz w:val="44"/>
          <w:szCs w:val="44"/>
          <w:highlight w:val="none"/>
          <w:lang w:val="en-US" w:eastAsia="zh-CN"/>
        </w:rPr>
        <w:t xml:space="preserve">招标公告</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29"/>
        <w:ind w:firstLine="480"/>
        <w:jc w:val="both"/>
        <w:pageBreakBefore w:val="0"/>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东台生态环境监测站规范化建设项目</w:t>
      </w:r>
      <w:r>
        <w:rPr>
          <w:rFonts w:hint="eastAsia" w:ascii="宋体" w:hAnsi="宋体" w:eastAsia="宋体" w:cs="宋体"/>
          <w:color w:val="auto"/>
          <w:sz w:val="24"/>
          <w:szCs w:val="24"/>
          <w:highlight w:val="none"/>
          <w:u w:val="single"/>
          <w:lang w:val="en-US" w:eastAsia="zh-CN"/>
        </w:rPr>
        <w:t xml:space="preserve"> JSZC-320981-JSRJ-G2024-0030</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lang w:eastAsia="zh-CN"/>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02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729"/>
        <w:ind w:firstLine="482"/>
        <w:jc w:val="left"/>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6" w:name="_Toc35393790"/>
      <w:r/>
      <w:bookmarkStart w:id="7" w:name="_Toc35393621"/>
      <w:r/>
      <w:bookmarkStart w:id="8" w:name="_Hlk24379207"/>
      <w:r/>
      <w:bookmarkStart w:id="9" w:name="_Toc38985263"/>
      <w:r/>
      <w:bookmarkStart w:id="10" w:name="_Toc28359002"/>
      <w:r/>
      <w:bookmarkStart w:id="11" w:name="_Toc28359079"/>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JSZC-320981-JSRJ-G2024-0030</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东台生态环境监测站规范化建设项目</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shd w:val="clear" w:color="auto" w:fill="ffff00"/>
        </w:rPr>
      </w:pP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460.650000万元（采购包1：420.650000万元；采购包2:40.000000万元）</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shd w:val="clear" w:color="auto" w:fill="ffff00"/>
        </w:rPr>
      </w:pPr>
      <w:r>
        <w:rPr>
          <w:rFonts w:hint="eastAsia" w:ascii="宋体" w:hAnsi="宋体" w:eastAsia="宋体" w:cs="宋体"/>
          <w:i w:val="0"/>
          <w:iCs w:val="0"/>
          <w:caps w:val="0"/>
          <w:color w:val="auto"/>
          <w:spacing w:val="0"/>
          <w:sz w:val="24"/>
          <w:szCs w:val="24"/>
          <w:shd w:val="clear" w:color="auto" w:fill="ffffff"/>
        </w:rPr>
        <w:t xml:space="preserve">最高限价（如有）：</w:t>
      </w:r>
      <w:r>
        <w:rPr>
          <w:rFonts w:hint="eastAsia" w:ascii="宋体" w:hAnsi="宋体" w:eastAsia="宋体" w:cs="宋体"/>
          <w:i w:val="0"/>
          <w:iCs w:val="0"/>
          <w:caps w:val="0"/>
          <w:color w:val="auto"/>
          <w:spacing w:val="0"/>
          <w:sz w:val="24"/>
          <w:szCs w:val="24"/>
          <w:shd w:val="clear" w:color="auto" w:fill="ffffff"/>
          <w:lang w:val="en-US" w:eastAsia="zh-CN"/>
        </w:rPr>
        <w:t xml:space="preserve">460.650000万元（其中采购包1:420.650000万元；采购包2:40.000000万元），投标报价高于最高限价的作无效投标处理。</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采购需求：</w:t>
      </w:r>
      <w:r>
        <w:rPr>
          <w:rFonts w:hint="eastAsia" w:ascii="宋体" w:hAnsi="宋体" w:eastAsia="宋体" w:cs="宋体"/>
          <w:color w:val="auto"/>
          <w:sz w:val="24"/>
          <w:szCs w:val="24"/>
          <w:lang w:val="en-US" w:eastAsia="zh-CN"/>
        </w:rPr>
        <w:t xml:space="preserve">根据基层监测机构职责和规范化建设要求，结合我省执法监测和应急监测工作开展情况，明确规范要求，提出基层生态环境监测机构规范化建设指标体系。具体包含七类指标，其中，基础指标四项全部满足是评为规范化监测机构的基本条件，现根据相关需求进行仪器的采购和实验室信息管理系统升级改造。</w:t>
      </w:r>
      <w:r>
        <w:rPr>
          <w:rFonts w:hint="eastAsia" w:ascii="宋体" w:hAnsi="宋体" w:eastAsia="宋体" w:cs="宋体"/>
          <w:color w:val="auto"/>
          <w:sz w:val="24"/>
          <w:szCs w:val="24"/>
        </w:rPr>
        <w:t xml:space="preserve">（详细内容见本招标文件第四章） </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采购包划分：</w:t>
      </w:r>
      <w:r/>
    </w:p>
    <w:tbl>
      <w:tblPr>
        <w:tblStyle w:val="7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241"/>
        <w:gridCol w:w="3523"/>
        <w:gridCol w:w="2811"/>
        <w:gridCol w:w="823"/>
        <w:gridCol w:w="823"/>
      </w:tblGrid>
      <w:tr>
        <w:trPr>
          <w:jc w:val="center"/>
          <w:trHeight w:val="567"/>
        </w:trPr>
        <w:tc>
          <w:tcPr>
            <w:tcW w:w="368"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623"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采购包号</w:t>
            </w:r>
            <w:r/>
          </w:p>
        </w:tc>
        <w:tc>
          <w:tcPr>
            <w:tcW w:w="1768"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采购包名称</w:t>
            </w:r>
            <w:r/>
          </w:p>
        </w:tc>
        <w:tc>
          <w:tcPr>
            <w:tcW w:w="1411"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品目</w:t>
            </w:r>
            <w:r/>
          </w:p>
        </w:tc>
        <w:tc>
          <w:tcPr>
            <w:tcW w:w="413"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413"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r>
      <w:tr>
        <w:trPr>
          <w:jc w:val="center"/>
          <w:trHeight w:val="567"/>
        </w:trPr>
        <w:tc>
          <w:tcPr>
            <w:tcW w:w="368"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w:t>
            </w:r>
            <w:r/>
          </w:p>
        </w:tc>
        <w:tc>
          <w:tcPr>
            <w:tcW w:w="623"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包1</w:t>
            </w:r>
            <w:r/>
          </w:p>
        </w:tc>
        <w:tc>
          <w:tcPr>
            <w:tcW w:w="1768"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仪器设备采购</w:t>
            </w:r>
            <w:r/>
          </w:p>
        </w:tc>
        <w:tc>
          <w:tcPr>
            <w:tcW w:w="1411"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A02100415环境监测仪器及综合分析装置</w:t>
            </w:r>
            <w:r/>
          </w:p>
        </w:tc>
        <w:tc>
          <w:tcPr>
            <w:tcW w:w="413"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23" w:type="dxa"/>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Theme="minorEastAsia" w:hAnsiTheme="minorEastAsia" w:cstheme="minorEastAsia"/>
                <w:color w:val="auto"/>
                <w:highlight w:val="none"/>
                <w:lang w:val="en-US" w:eastAsia="zh-CN"/>
              </w:rPr>
              <w:t xml:space="preserve">项</w:t>
            </w:r>
            <w:r/>
          </w:p>
        </w:tc>
      </w:tr>
      <w:tr>
        <w:trPr>
          <w:jc w:val="center"/>
          <w:trHeight w:val="567"/>
        </w:trPr>
        <w:tc>
          <w:tcPr>
            <w:tcW w:w="368"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623"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包2</w:t>
            </w:r>
            <w:r/>
          </w:p>
        </w:tc>
        <w:tc>
          <w:tcPr>
            <w:tcW w:w="1768"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实验室信息管理系统升级改造</w:t>
            </w:r>
            <w:r/>
          </w:p>
        </w:tc>
        <w:tc>
          <w:tcPr>
            <w:tcW w:w="1411"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A08060302支撑软件</w:t>
            </w:r>
            <w:r/>
          </w:p>
        </w:tc>
        <w:tc>
          <w:tcPr>
            <w:tcW w:w="413" w:type="pct"/>
            <w:vAlign w:val="center"/>
            <w:textDirection w:val="lrTb"/>
            <w:noWrap w:val="false"/>
          </w:tcPr>
          <w:p>
            <w:pPr>
              <w:ind w:firstLine="0"/>
              <w:jc w:val="center"/>
              <w:keepLines w:val="0"/>
              <w:keepNext w:val="0"/>
              <w:pageBreakBefore w:val="0"/>
              <w:spacing w:line="42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23" w:type="dxa"/>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Theme="minorEastAsia" w:hAnsiTheme="minorEastAsia" w:cstheme="minorEastAsia"/>
                <w:color w:val="auto"/>
                <w:highlight w:val="none"/>
                <w:lang w:val="en-US" w:eastAsia="zh-CN"/>
              </w:rPr>
              <w:t xml:space="preserve">项</w:t>
            </w:r>
            <w:r/>
          </w:p>
        </w:tc>
      </w:tr>
    </w:tbl>
    <w:p>
      <w:pPr>
        <w:ind w:firstLine="480"/>
        <w:jc w:val="left"/>
        <w:spacing w:line="42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注：同一供应商可同时参与上述2个采购包的投标，但兼投不兼中（在上一采购包评审中被确定为第一中标候选人的供应商，可继续参与下一采购包的评审，但不再被推荐为下一采购包的中标候选人），开、评定标顺序先采购包1→采购包2。</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lang w:val="en-US" w:eastAsia="zh-CN"/>
        </w:rPr>
        <w:t xml:space="preserve">采购包1为合同签订后30日历天完成所有产品的供货、安装、调试、并运行，免费</w:t>
      </w:r>
      <w:r>
        <w:rPr>
          <w:rFonts w:hint="eastAsia" w:ascii="宋体" w:hAnsi="宋体" w:eastAsia="宋体" w:cs="宋体"/>
          <w:color w:val="auto"/>
          <w:sz w:val="24"/>
          <w:szCs w:val="24"/>
          <w:lang w:val="zh-CN" w:eastAsia="zh-CN"/>
        </w:rPr>
        <w:t xml:space="preserve">质保期为</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eastAsia="zh-CN"/>
        </w:rPr>
        <w:t xml:space="preserve">年</w:t>
      </w:r>
      <w:r>
        <w:rPr>
          <w:rFonts w:hint="eastAsia" w:ascii="宋体" w:hAnsi="宋体" w:eastAsia="宋体" w:cs="宋体"/>
          <w:color w:val="auto"/>
          <w:sz w:val="24"/>
          <w:szCs w:val="24"/>
          <w:lang w:val="en-US" w:eastAsia="zh-CN"/>
        </w:rPr>
        <w:t xml:space="preserve">（自交货验收合格之日起计）；采购包2为合同签订后30日历天</w:t>
      </w:r>
      <w:r>
        <w:rPr>
          <w:rFonts w:hint="eastAsia" w:asciiTheme="minorEastAsia" w:hAnsiTheme="minorEastAsia" w:eastAsiaTheme="minorEastAsia" w:cstheme="minorEastAsia"/>
          <w:color w:val="auto"/>
          <w:sz w:val="24"/>
          <w:szCs w:val="24"/>
          <w:highlight w:val="none"/>
          <w:lang w:val="en-US" w:eastAsia="zh-CN"/>
        </w:rPr>
        <w:t xml:space="preserve">内开发完成并上线试运行，免费运维期为</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年（自验收合格之日起计）</w:t>
      </w:r>
      <w:r>
        <w:rPr>
          <w:rFonts w:hint="eastAsia" w:ascii="宋体" w:hAnsi="宋体" w:eastAsia="宋体" w:cs="宋体"/>
          <w:color w:val="auto"/>
          <w:sz w:val="24"/>
          <w:szCs w:val="24"/>
          <w:lang w:val="en-US" w:eastAsia="zh-CN"/>
        </w:rPr>
        <w:t xml:space="preserve">。</w:t>
      </w:r>
      <w:r/>
    </w:p>
    <w:p>
      <w:pPr>
        <w:pStyle w:val="729"/>
        <w:ind w:firstLine="480"/>
        <w:jc w:val="left"/>
        <w:pageBreakBefore w:val="0"/>
        <w:spacing w:beforeAutospacing="0" w:afterAutospacing="0" w:line="360" w:lineRule="auto"/>
        <w:rPr>
          <w:rFonts w:hint="default" w:ascii="宋体" w:hAnsi="宋体" w:eastAsia="宋体" w:cs="宋体"/>
          <w:color w:val="auto"/>
          <w:sz w:val="24"/>
          <w:szCs w:val="24"/>
          <w:shd w:val="clear" w:color="auto" w:fill="ffff00"/>
          <w:lang w:val="en-US"/>
        </w:rPr>
      </w:pPr>
      <w:r>
        <w:rPr>
          <w:rFonts w:hint="eastAsia" w:ascii="宋体" w:hAnsi="宋体" w:eastAsia="宋体" w:cs="宋体"/>
          <w:i w:val="0"/>
          <w:iCs w:val="0"/>
          <w:caps w:val="0"/>
          <w:color w:val="auto"/>
          <w:spacing w:val="0"/>
          <w:sz w:val="24"/>
          <w:szCs w:val="24"/>
          <w:shd w:val="clear" w:color="auto" w:fill="ffffff"/>
          <w:lang w:val="en-US" w:eastAsia="zh-CN"/>
        </w:rPr>
        <w:t xml:space="preserve">本项目（是/否）接受联合体投标：否</w:t>
      </w:r>
      <w:r/>
    </w:p>
    <w:p>
      <w:pPr>
        <w:pStyle w:val="729"/>
        <w:ind w:firstLine="482"/>
        <w:jc w:val="left"/>
        <w:keepLines/>
        <w:keepNext/>
        <w:pageBreakBefore w:val="0"/>
        <w:spacing w:beforeAutospacing="0" w:afterAutospacing="0" w:line="360" w:lineRule="auto"/>
        <w:rPr>
          <w:rFonts w:hint="eastAsia" w:ascii="宋体" w:hAnsi="宋体" w:eastAsia="宋体" w:cs="宋体"/>
          <w:color w:val="auto"/>
          <w:sz w:val="24"/>
          <w:szCs w:val="24"/>
        </w:rPr>
      </w:pPr>
      <w:r/>
      <w:bookmarkStart w:id="12" w:name="_Toc38985264"/>
      <w:r/>
      <w:bookmarkStart w:id="13" w:name="_Toc28359080"/>
      <w:r/>
      <w:bookmarkStart w:id="14" w:name="_Toc35393791"/>
      <w:r/>
      <w:bookmarkStart w:id="15" w:name="_Toc28359003"/>
      <w:r/>
      <w:bookmarkStart w:id="16" w:name="_Toc35393622"/>
      <w:r>
        <w:rPr>
          <w:rFonts w:hint="eastAsia" w:ascii="宋体" w:hAnsi="宋体" w:eastAsia="宋体" w:cs="宋体"/>
          <w:b/>
          <w:color w:val="auto"/>
          <w:sz w:val="24"/>
          <w:szCs w:val="24"/>
        </w:rPr>
        <w:t xml:space="preserve">二、申请人的资格要求：</w:t>
      </w:r>
      <w:bookmarkEnd w:id="12"/>
      <w:r/>
      <w:bookmarkEnd w:id="13"/>
      <w:r/>
      <w:bookmarkEnd w:id="14"/>
      <w:r/>
      <w:bookmarkEnd w:id="15"/>
      <w:r/>
      <w:bookmarkEnd w:id="16"/>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（一）满足《中华人民共和国政府采购法》第二十二条规定：</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法人或者其他组织的营业执照等证明文件，自然人的身份证明</w:t>
      </w:r>
      <w:r>
        <w:rPr>
          <w:rFonts w:hint="eastAsia" w:ascii="宋体" w:hAnsi="宋体" w:eastAsia="宋体" w:cs="宋体"/>
          <w:color w:val="auto"/>
          <w:sz w:val="24"/>
          <w:szCs w:val="24"/>
        </w:rPr>
        <w:t xml:space="preserve">。</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上一年度（或上上年度）经审计的财务报告（投标人成立不满一年无需提供）</w:t>
      </w:r>
      <w:r>
        <w:rPr>
          <w:rFonts w:hint="eastAsia" w:ascii="宋体" w:hAnsi="宋体" w:eastAsia="宋体" w:cs="宋体"/>
          <w:color w:val="auto"/>
          <w:sz w:val="24"/>
          <w:szCs w:val="24"/>
        </w:rPr>
        <w:t xml:space="preserve">。</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auto"/>
          <w:sz w:val="24"/>
          <w:szCs w:val="24"/>
        </w:rPr>
        <w:t xml:space="preserve">。</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具备履行合同所必需的设备和专业技术能力的书面声明</w:t>
      </w:r>
      <w:r>
        <w:rPr>
          <w:rFonts w:hint="eastAsia" w:ascii="宋体" w:hAnsi="宋体" w:eastAsia="宋体" w:cs="宋体"/>
          <w:color w:val="auto"/>
          <w:sz w:val="24"/>
          <w:szCs w:val="24"/>
        </w:rPr>
        <w:t xml:space="preserve">。</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参加政府采购活动前3年内在经营活动中没有重大违法记录的书面声明</w:t>
      </w:r>
      <w:r>
        <w:rPr>
          <w:rFonts w:hint="eastAsia" w:ascii="宋体" w:hAnsi="宋体" w:eastAsia="宋体" w:cs="宋体"/>
          <w:color w:val="auto"/>
          <w:sz w:val="24"/>
          <w:szCs w:val="24"/>
        </w:rPr>
        <w:t xml:space="preserve">。</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（二）落实政府采购政策需满足的资格要求：无。</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（三）本项目的特定资格要求：</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2.单位负责人为同一人或者存在直接控股、管理关系的不同供应商，不得参加同一合同项下的政府采购活动。</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3.投标人如委托被授权人参与，则被授权人须为本单位正式职工并提供投标人为被授权人缴纳的社会养老保险证明。</w:t>
      </w:r>
      <w:r/>
    </w:p>
    <w:p>
      <w:pPr>
        <w:pStyle w:val="729"/>
        <w:ind w:firstLine="482"/>
        <w:jc w:val="left"/>
        <w:keepLines/>
        <w:keepNex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bookmarkStart w:id="17" w:name="_Toc35393624"/>
      <w:r/>
      <w:bookmarkStart w:id="18" w:name="_Toc38985266"/>
      <w:r/>
      <w:bookmarkStart w:id="19" w:name="_Toc28359082"/>
      <w:r/>
      <w:bookmarkStart w:id="20" w:name="_Toc28359005"/>
      <w:r/>
      <w:bookmarkStart w:id="21" w:name="_Toc35393793"/>
      <w:r>
        <w:rPr>
          <w:rFonts w:hint="eastAsia" w:ascii="宋体" w:hAnsi="宋体" w:eastAsia="宋体" w:cs="宋体"/>
          <w:color w:val="auto"/>
          <w:sz w:val="24"/>
          <w:szCs w:val="24"/>
        </w:rPr>
        <w:t xml:space="preserve">时间：</w:t>
      </w:r>
      <w:bookmarkEnd w:id="17"/>
      <w:r/>
      <w:bookmarkEnd w:id="18"/>
      <w:r/>
      <w:bookmarkEnd w:id="19"/>
      <w:r/>
      <w:bookmarkEnd w:id="20"/>
      <w:r/>
      <w:bookmarkEnd w:id="21"/>
      <w:r>
        <w:rPr>
          <w:rFonts w:hint="eastAsia" w:ascii="宋体" w:hAnsi="宋体" w:eastAsia="宋体" w:cs="宋体"/>
          <w:color w:val="auto"/>
          <w:sz w:val="24"/>
          <w:szCs w:val="24"/>
        </w:rPr>
        <w:t xml:space="preserve">自招标文件公告发布之日起5个工作日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w:t>
      </w:r>
      <w:r>
        <w:rPr>
          <w:rFonts w:hint="eastAsia" w:ascii="宋体" w:hAnsi="宋体" w:eastAsia="宋体" w:cs="宋体"/>
          <w:color w:val="auto"/>
          <w:sz w:val="24"/>
          <w:szCs w:val="24"/>
          <w:lang w:val="en-US" w:eastAsia="zh-CN"/>
        </w:rPr>
        <w:t xml:space="preserve">“苏采云”系统内免费下载（投标人必须在苏采云系统中获取采购文件，方能参与政府采购项目）</w:t>
      </w:r>
      <w:r/>
    </w:p>
    <w:p>
      <w:pPr>
        <w:ind w:firstLine="480"/>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方式：本项目采用网上注册登记方式</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售价：0.00元</w:t>
      </w:r>
      <w:r/>
    </w:p>
    <w:p>
      <w:pPr>
        <w:pStyle w:val="729"/>
        <w:ind w:firstLine="482"/>
        <w:jc w:val="left"/>
        <w:keepLines/>
        <w:keepNex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bookmarkStart w:id="22" w:name="_Toc28359084"/>
      <w:r/>
      <w:bookmarkStart w:id="23" w:name="_Toc35393794"/>
      <w:r/>
      <w:bookmarkStart w:id="24" w:name="_Toc38985267"/>
      <w:r/>
      <w:bookmarkStart w:id="25" w:name="_Toc28359007"/>
      <w:r/>
      <w:bookmarkStart w:id="26" w:name="_Toc35393625"/>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rPr>
        <w:t xml:space="preserve">01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rPr>
        <w:t xml:space="preserve">02</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lang w:val="en-US" w:eastAsia="zh-CN"/>
        </w:rPr>
        <w:t xml:space="preserve">09</w:t>
      </w:r>
      <w:r>
        <w:rPr>
          <w:rFonts w:hint="eastAsia" w:ascii="宋体" w:hAnsi="宋体" w:eastAsia="宋体" w:cs="宋体"/>
          <w:color w:val="auto"/>
          <w:sz w:val="24"/>
          <w:szCs w:val="24"/>
        </w:rPr>
        <w:t xml:space="preserve">:00 （北京时间）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地点：“苏采云</w:t>
      </w:r>
      <w:bookmarkStart w:id="219" w:name="_GoBack"/>
      <w:r/>
      <w:bookmarkEnd w:id="219"/>
      <w:r>
        <w:rPr>
          <w:rFonts w:hint="eastAsia" w:ascii="宋体" w:hAnsi="宋体" w:eastAsia="宋体" w:cs="宋体"/>
          <w:color w:val="auto"/>
          <w:sz w:val="24"/>
          <w:szCs w:val="24"/>
        </w:rPr>
        <w:t xml:space="preserve">”政府采购交易系统网上开标大厅。</w:t>
      </w:r>
      <w:r/>
    </w:p>
    <w:p>
      <w:pPr>
        <w:pStyle w:val="729"/>
        <w:ind w:firstLine="482"/>
        <w:jc w:val="left"/>
        <w:keepLines/>
        <w:keepNex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五、公告期限</w:t>
      </w:r>
      <w:bookmarkEnd w:id="22"/>
      <w:r/>
      <w:bookmarkEnd w:id="23"/>
      <w:r/>
      <w:bookmarkEnd w:id="24"/>
      <w:r/>
      <w:bookmarkEnd w:id="25"/>
      <w:r/>
      <w:bookmarkEnd w:id="26"/>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795"/>
      <w:r/>
      <w:bookmarkStart w:id="29" w:name="_Toc35393626"/>
      <w:r>
        <w:rPr>
          <w:rFonts w:hint="eastAsia" w:ascii="宋体" w:hAnsi="宋体" w:eastAsia="宋体" w:cs="宋体"/>
          <w:i w:val="0"/>
          <w:iCs w:val="0"/>
          <w:caps w:val="0"/>
          <w:color w:val="auto"/>
          <w:spacing w:val="0"/>
          <w:sz w:val="24"/>
          <w:szCs w:val="24"/>
          <w:shd w:val="clear" w:color="auto" w:fill="ffffff"/>
          <w:lang w:val="en-US" w:eastAsia="zh-CN"/>
        </w:rPr>
        <w:t xml:space="preserve">自本公告发布之日起5个工作日。</w:t>
      </w:r>
      <w:bookmarkEnd w:id="27"/>
      <w:r/>
      <w:bookmarkEnd w:id="28"/>
      <w:r/>
      <w:bookmarkEnd w:id="29"/>
      <w:r/>
      <w:r/>
    </w:p>
    <w:p>
      <w:pPr>
        <w:pStyle w:val="729"/>
        <w:ind w:firstLine="482"/>
        <w:jc w:val="left"/>
        <w:keepLines/>
        <w:keepNext/>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六、其他补充事宜</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shd w:val="clear" w:color="auto" w:fill="ffffff"/>
          <w:lang w:val="en-US" w:eastAsia="zh-CN"/>
        </w:rPr>
        <w:t xml:space="preserve">1.网上注册登记方式：</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1.1潜在供应商访问电子招标响应交易平台的网络地址和方法：</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1.2 潜在投标人访问“苏采云”系统方法：</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江苏省政府采购网首页-“苏采云”链接。</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1.3“CA数字证书”的获取：</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供应商需办理CA锁，“苏采云”系统目前仅支持政务CA，省内各地区办理的用于“苏采云”平台的政务CA全省通用。盐城地区政务CA办理请至亭湖区政务服务中心二楼226窗口办理，联系电话：15051556883。</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1.4 采购文件（后缀名为“.kedt”）、供应商操作手册及政府采购客户端工具可通过“苏采云”系统相应链接进行下载。</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1.5 招标代理机构（采购代理机构）将数据电文形式的采购文件加载至“苏采云”系统，供潜在供应商下载或者查阅。</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1.6 请潜在投标单位提前安装相应的控件（详见《“苏采云”系统供应商操作手册》）并使用谷歌浏览器登录“苏采云”系统参与不见面开评标。</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如潜在投标人未按上述要求操作，将自行承担所产生的风险。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3.投标人不得提供虚假材料谋取中标成交的或采取不正当手段诋毁、排挤其他供应商。</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4.投标人存在串通投标、以他人名义投标、弄虚作假等违法违规行为，或者无正当理由放弃投标、中标资格，造成项目招标失败的，不得参加该项目重新招标的投标。</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5.因供应商的系统环境、操作等原因导致项目参与、开评标过程中出现问题由供应商自行承担负责。</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6.本次招标不收取投标保证金，不收取质量保证金。</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7.本项目（是/否）接受银行、保险、石油石化、电力、电信等行业的分支机构参与：</w:t>
      </w:r>
      <w:r>
        <w:rPr>
          <w:rFonts w:hint="eastAsia" w:ascii="宋体" w:hAnsi="宋体" w:eastAsia="宋体" w:cs="宋体"/>
          <w:color w:val="auto"/>
          <w:sz w:val="24"/>
          <w:szCs w:val="24"/>
          <w:u w:val="single"/>
          <w:lang w:val="en-US" w:eastAsia="zh-CN"/>
        </w:rPr>
        <w:t xml:space="preserve">否</w:t>
      </w:r>
      <w:r>
        <w:rPr>
          <w:rFonts w:hint="eastAsia" w:ascii="宋体" w:hAnsi="宋体" w:eastAsia="宋体" w:cs="宋体"/>
          <w:color w:val="auto"/>
          <w:sz w:val="24"/>
          <w:szCs w:val="24"/>
          <w:lang w:val="en-US" w:eastAsia="zh-CN"/>
        </w:rPr>
        <w:t xml:space="preserve">。【如接受，则分支机构的负责人视同为供应商法定代表人。】</w:t>
      </w:r>
      <w:r/>
    </w:p>
    <w:p>
      <w:pPr>
        <w:ind w:firstLine="480"/>
        <w:keepLines w:val="0"/>
        <w:keepNext w:val="0"/>
        <w:pageBreakBefore w:val="0"/>
        <w:spacing w:line="360" w:lineRule="auto"/>
        <w:widowControl w:val="off"/>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color w:val="auto"/>
          <w:sz w:val="24"/>
          <w:szCs w:val="24"/>
          <w:lang w:val="en-US" w:eastAsia="zh-CN"/>
        </w:rPr>
        <w:t xml:space="preserve">8.供应商成交后打印纸质响应文件（正本壹份、副本贰份），在领取成交通知书前与用普通光盘或U盘拷贝的电子响应文件一并送至采购人。</w:t>
      </w:r>
      <w:r/>
    </w:p>
    <w:p>
      <w:pPr>
        <w:pStyle w:val="715"/>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u w:val="none"/>
          <w:shd w:val="clear" w:color="auto" w:fill="ffffff"/>
        </w:rPr>
        <w:t xml:space="preserve">、对本次</w:t>
      </w:r>
      <w:r>
        <w:rPr>
          <w:rFonts w:hint="eastAsia" w:ascii="宋体" w:hAnsi="宋体" w:eastAsia="宋体" w:cs="宋体"/>
          <w:b/>
          <w:bCs/>
          <w:i w:val="0"/>
          <w:iCs w:val="0"/>
          <w:caps w:val="0"/>
          <w:color w:val="auto"/>
          <w:spacing w:val="0"/>
          <w:sz w:val="24"/>
          <w:szCs w:val="24"/>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u w:val="none"/>
          <w:shd w:val="clear" w:color="auto" w:fill="ffffff"/>
        </w:rPr>
        <w:t xml:space="preserve">提出询问，请按以下方式联系。</w:t>
      </w:r>
      <w:bookmarkEnd w:id="30"/>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shd w:val="clear" w:color="auto" w:fill="ffffff"/>
          <w:lang w:val="en-US" w:eastAsia="zh-CN"/>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采购包1、采购包2</w:t>
      </w:r>
      <w:r/>
    </w:p>
    <w:p>
      <w:pPr>
        <w:ind w:firstLine="480"/>
        <w:pageBreakBefore w:val="0"/>
        <w:spacing w:line="360" w:lineRule="auto"/>
        <w:widowControl/>
        <w:rPr>
          <w:rStyle w:val="736"/>
          <w:rFonts w:hint="eastAsia" w:ascii="宋体" w:hAnsi="宋体" w:eastAsia="宋体" w:cs="Times New Roman"/>
          <w:color w:val="auto"/>
          <w:sz w:val="24"/>
          <w:szCs w:val="24"/>
        </w:rPr>
      </w:pPr>
      <w:r>
        <w:rPr>
          <w:rStyle w:val="736"/>
          <w:rFonts w:hint="eastAsia" w:ascii="宋体" w:hAnsi="宋体" w:eastAsia="宋体" w:cs="Times New Roman"/>
          <w:color w:val="auto"/>
          <w:sz w:val="24"/>
          <w:szCs w:val="24"/>
        </w:rPr>
        <w:t xml:space="preserve">单位名称：</w:t>
      </w:r>
      <w:r>
        <w:rPr>
          <w:rStyle w:val="736"/>
          <w:rFonts w:hint="eastAsia" w:ascii="宋体" w:hAnsi="宋体" w:eastAsia="宋体" w:cs="Times New Roman"/>
          <w:color w:val="auto"/>
          <w:sz w:val="24"/>
          <w:szCs w:val="24"/>
          <w:lang w:val="en-US" w:eastAsia="zh-CN"/>
        </w:rPr>
        <w:t xml:space="preserve">盐城市东台生态环境局</w:t>
      </w:r>
      <w:r/>
    </w:p>
    <w:p>
      <w:pPr>
        <w:ind w:firstLine="480"/>
        <w:pageBreakBefore w:val="0"/>
        <w:spacing w:line="360" w:lineRule="auto"/>
        <w:widowControl/>
        <w:rPr>
          <w:rStyle w:val="736"/>
          <w:rFonts w:hint="eastAsia" w:ascii="宋体" w:hAnsi="宋体" w:eastAsia="宋体" w:cs="Times New Roman"/>
          <w:color w:val="auto"/>
          <w:sz w:val="24"/>
          <w:szCs w:val="24"/>
        </w:rPr>
      </w:pPr>
      <w:r>
        <w:rPr>
          <w:rStyle w:val="736"/>
          <w:rFonts w:hint="eastAsia" w:ascii="宋体" w:hAnsi="宋体" w:eastAsia="宋体" w:cs="Times New Roman"/>
          <w:color w:val="auto"/>
          <w:sz w:val="24"/>
          <w:szCs w:val="24"/>
        </w:rPr>
        <w:t xml:space="preserve">单位地址：</w:t>
      </w:r>
      <w:r>
        <w:rPr>
          <w:rStyle w:val="736"/>
          <w:rFonts w:hint="eastAsia" w:ascii="宋体" w:hAnsi="宋体" w:eastAsia="宋体" w:cs="Times New Roman"/>
          <w:color w:val="auto"/>
          <w:sz w:val="24"/>
          <w:szCs w:val="24"/>
          <w:lang w:val="en-US" w:eastAsia="zh-CN"/>
        </w:rPr>
        <w:t xml:space="preserve">东台市金海东路1号</w:t>
      </w:r>
      <w:r/>
    </w:p>
    <w:p>
      <w:pPr>
        <w:ind w:firstLine="480"/>
        <w:pageBreakBefore w:val="0"/>
        <w:spacing w:line="360" w:lineRule="auto"/>
        <w:widowControl/>
        <w:rPr>
          <w:rStyle w:val="736"/>
          <w:rFonts w:hint="eastAsia" w:ascii="宋体" w:hAnsi="宋体" w:eastAsia="宋体" w:cs="Times New Roman"/>
          <w:color w:val="auto"/>
          <w:sz w:val="24"/>
          <w:szCs w:val="24"/>
        </w:rPr>
      </w:pPr>
      <w:r>
        <w:rPr>
          <w:rStyle w:val="736"/>
          <w:rFonts w:hint="eastAsia" w:ascii="宋体" w:hAnsi="宋体" w:eastAsia="宋体" w:cs="Times New Roman"/>
          <w:color w:val="auto"/>
          <w:sz w:val="24"/>
          <w:szCs w:val="24"/>
        </w:rPr>
        <w:t xml:space="preserve">联</w:t>
      </w:r>
      <w:r>
        <w:rPr>
          <w:rStyle w:val="736"/>
          <w:rFonts w:hint="eastAsia" w:ascii="宋体" w:hAnsi="宋体" w:eastAsia="宋体" w:cs="Times New Roman"/>
          <w:color w:val="auto"/>
          <w:sz w:val="24"/>
          <w:szCs w:val="24"/>
          <w:lang w:val="en-US" w:eastAsia="zh-CN"/>
        </w:rPr>
        <w:t xml:space="preserve"> </w:t>
      </w:r>
      <w:r>
        <w:rPr>
          <w:rStyle w:val="736"/>
          <w:rFonts w:hint="eastAsia" w:ascii="宋体" w:hAnsi="宋体" w:eastAsia="宋体" w:cs="Times New Roman"/>
          <w:color w:val="auto"/>
          <w:sz w:val="24"/>
          <w:szCs w:val="24"/>
        </w:rPr>
        <w:t xml:space="preserve">系</w:t>
      </w:r>
      <w:r>
        <w:rPr>
          <w:rStyle w:val="736"/>
          <w:rFonts w:hint="eastAsia" w:ascii="宋体" w:hAnsi="宋体" w:eastAsia="宋体" w:cs="Times New Roman"/>
          <w:color w:val="auto"/>
          <w:sz w:val="24"/>
          <w:szCs w:val="24"/>
          <w:lang w:val="en-US" w:eastAsia="zh-CN"/>
        </w:rPr>
        <w:t xml:space="preserve"> </w:t>
      </w:r>
      <w:r>
        <w:rPr>
          <w:rStyle w:val="736"/>
          <w:rFonts w:hint="eastAsia" w:ascii="宋体" w:hAnsi="宋体" w:eastAsia="宋体" w:cs="Times New Roman"/>
          <w:color w:val="auto"/>
          <w:sz w:val="24"/>
          <w:szCs w:val="24"/>
        </w:rPr>
        <w:t xml:space="preserve">人：</w:t>
      </w:r>
      <w:r>
        <w:rPr>
          <w:rStyle w:val="736"/>
          <w:rFonts w:hint="eastAsia" w:ascii="宋体" w:hAnsi="宋体" w:eastAsia="宋体" w:cs="Times New Roman"/>
          <w:color w:val="auto"/>
          <w:sz w:val="24"/>
          <w:szCs w:val="24"/>
          <w:lang w:val="en-US" w:eastAsia="zh-CN"/>
        </w:rPr>
        <w:t xml:space="preserve">徐先生</w:t>
      </w:r>
      <w:r/>
    </w:p>
    <w:p>
      <w:pPr>
        <w:ind w:firstLine="480"/>
        <w:pageBreakBefore w:val="0"/>
        <w:spacing w:line="360" w:lineRule="auto"/>
        <w:widowControl/>
        <w:rPr>
          <w:rFonts w:hint="eastAsia" w:ascii="宋体" w:hAnsi="宋体" w:eastAsia="宋体" w:cs="宋体"/>
          <w:i w:val="0"/>
          <w:iCs w:val="0"/>
          <w:caps w:val="0"/>
          <w:color w:val="auto"/>
          <w:spacing w:val="0"/>
          <w:sz w:val="24"/>
          <w:szCs w:val="24"/>
          <w:shd w:val="clear" w:color="auto" w:fill="ffffff"/>
          <w:lang w:val="en-US" w:eastAsia="zh-CN"/>
        </w:rPr>
      </w:pPr>
      <w:r>
        <w:rPr>
          <w:rStyle w:val="736"/>
          <w:rFonts w:hint="eastAsia" w:ascii="宋体" w:hAnsi="宋体" w:eastAsia="宋体" w:cs="Times New Roman"/>
          <w:color w:val="auto"/>
          <w:sz w:val="24"/>
          <w:szCs w:val="24"/>
        </w:rPr>
        <w:t xml:space="preserve">联系电话：</w:t>
      </w:r>
      <w:r>
        <w:rPr>
          <w:rStyle w:val="736"/>
          <w:rFonts w:hint="eastAsia" w:ascii="宋体" w:hAnsi="宋体" w:eastAsia="宋体" w:cs="Times New Roman"/>
          <w:color w:val="auto"/>
          <w:sz w:val="24"/>
          <w:szCs w:val="24"/>
          <w:lang w:val="en-US" w:eastAsia="zh-CN"/>
        </w:rPr>
        <w:t xml:space="preserve">18921831881</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2.采购代理机构信息</w:t>
      </w:r>
      <w:r/>
    </w:p>
    <w:p>
      <w:pPr>
        <w:ind w:firstLine="480"/>
        <w:pageBreakBefore w:val="0"/>
        <w:spacing w:line="360" w:lineRule="auto"/>
        <w:widowControl/>
        <w:rPr>
          <w:rStyle w:val="736"/>
          <w:rFonts w:hint="eastAsia" w:ascii="宋体" w:hAnsi="宋体" w:eastAsia="宋体" w:cs="Times New Roman"/>
          <w:color w:val="auto"/>
          <w:sz w:val="24"/>
          <w:szCs w:val="24"/>
          <w:lang w:eastAsia="zh-CN"/>
        </w:rPr>
      </w:pPr>
      <w:r/>
      <w:bookmarkStart w:id="32" w:name="_Toc28359010"/>
      <w:r/>
      <w:bookmarkStart w:id="33" w:name="_Toc28359087"/>
      <w:r>
        <w:rPr>
          <w:rStyle w:val="736"/>
          <w:rFonts w:hint="eastAsia" w:ascii="宋体" w:hAnsi="宋体" w:eastAsia="宋体" w:cs="Times New Roman"/>
          <w:color w:val="auto"/>
          <w:sz w:val="24"/>
          <w:szCs w:val="24"/>
        </w:rPr>
        <w:t xml:space="preserve">单位名称：</w:t>
      </w:r>
      <w:r>
        <w:rPr>
          <w:rStyle w:val="736"/>
          <w:rFonts w:hint="eastAsia" w:ascii="宋体" w:hAnsi="宋体" w:eastAsia="宋体" w:cs="Times New Roman"/>
          <w:color w:val="auto"/>
          <w:sz w:val="24"/>
          <w:szCs w:val="24"/>
          <w:lang w:eastAsia="zh-CN"/>
        </w:rPr>
        <w:t xml:space="preserve">江苏瑞杰项目管理顾问有限公司</w:t>
      </w:r>
      <w:r/>
    </w:p>
    <w:p>
      <w:pPr>
        <w:ind w:firstLine="480"/>
        <w:pageBreakBefore w:val="0"/>
        <w:spacing w:line="360" w:lineRule="auto"/>
        <w:widowControl/>
        <w:rPr>
          <w:rStyle w:val="736"/>
          <w:rFonts w:hint="eastAsia" w:ascii="宋体" w:hAnsi="宋体" w:eastAsia="宋体" w:cs="Times New Roman"/>
          <w:color w:val="auto"/>
          <w:sz w:val="24"/>
          <w:szCs w:val="24"/>
          <w:lang w:eastAsia="zh-CN"/>
        </w:rPr>
      </w:pPr>
      <w:r>
        <w:rPr>
          <w:rStyle w:val="736"/>
          <w:rFonts w:hint="eastAsia" w:ascii="宋体" w:hAnsi="宋体" w:eastAsia="宋体" w:cs="Times New Roman"/>
          <w:color w:val="auto"/>
          <w:sz w:val="24"/>
          <w:szCs w:val="24"/>
        </w:rPr>
        <w:t xml:space="preserve">单位地址：</w:t>
      </w:r>
      <w:r>
        <w:rPr>
          <w:rStyle w:val="736"/>
          <w:rFonts w:hint="eastAsia" w:ascii="宋体" w:hAnsi="宋体" w:eastAsia="宋体" w:cs="Times New Roman"/>
          <w:color w:val="auto"/>
          <w:sz w:val="24"/>
          <w:szCs w:val="24"/>
          <w:lang w:eastAsia="zh-CN"/>
        </w:rPr>
        <w:t xml:space="preserve">盐城市金航财富大厦3AF</w:t>
      </w:r>
      <w:r/>
    </w:p>
    <w:p>
      <w:pPr>
        <w:ind w:firstLine="480"/>
        <w:pageBreakBefore w:val="0"/>
        <w:spacing w:line="360" w:lineRule="auto"/>
        <w:widowControl/>
        <w:rPr>
          <w:rStyle w:val="736"/>
          <w:rFonts w:hint="eastAsia" w:ascii="宋体" w:hAnsi="宋体" w:eastAsia="宋体" w:cs="Times New Roman"/>
          <w:color w:val="auto"/>
          <w:sz w:val="24"/>
          <w:szCs w:val="24"/>
        </w:rPr>
      </w:pPr>
      <w:r>
        <w:rPr>
          <w:rStyle w:val="736"/>
          <w:rFonts w:hint="eastAsia" w:ascii="宋体" w:hAnsi="宋体" w:eastAsia="宋体" w:cs="Times New Roman"/>
          <w:color w:val="auto"/>
          <w:sz w:val="24"/>
          <w:szCs w:val="24"/>
        </w:rPr>
        <w:t xml:space="preserve">联</w:t>
      </w:r>
      <w:r>
        <w:rPr>
          <w:rStyle w:val="736"/>
          <w:rFonts w:hint="eastAsia" w:ascii="宋体" w:hAnsi="宋体" w:eastAsia="宋体" w:cs="Times New Roman"/>
          <w:color w:val="auto"/>
          <w:sz w:val="24"/>
          <w:szCs w:val="24"/>
          <w:lang w:val="en-US" w:eastAsia="zh-CN"/>
        </w:rPr>
        <w:t xml:space="preserve"> </w:t>
      </w:r>
      <w:r>
        <w:rPr>
          <w:rStyle w:val="736"/>
          <w:rFonts w:hint="eastAsia" w:ascii="宋体" w:hAnsi="宋体" w:eastAsia="宋体" w:cs="Times New Roman"/>
          <w:color w:val="auto"/>
          <w:sz w:val="24"/>
          <w:szCs w:val="24"/>
        </w:rPr>
        <w:t xml:space="preserve">系</w:t>
      </w:r>
      <w:r>
        <w:rPr>
          <w:rStyle w:val="736"/>
          <w:rFonts w:hint="eastAsia" w:ascii="宋体" w:hAnsi="宋体" w:eastAsia="宋体" w:cs="Times New Roman"/>
          <w:color w:val="auto"/>
          <w:sz w:val="24"/>
          <w:szCs w:val="24"/>
          <w:lang w:val="en-US" w:eastAsia="zh-CN"/>
        </w:rPr>
        <w:t xml:space="preserve"> </w:t>
      </w:r>
      <w:r>
        <w:rPr>
          <w:rStyle w:val="736"/>
          <w:rFonts w:hint="eastAsia" w:ascii="宋体" w:hAnsi="宋体" w:eastAsia="宋体" w:cs="Times New Roman"/>
          <w:color w:val="auto"/>
          <w:sz w:val="24"/>
          <w:szCs w:val="24"/>
        </w:rPr>
        <w:t xml:space="preserve">人：</w:t>
      </w:r>
      <w:r>
        <w:rPr>
          <w:rStyle w:val="736"/>
          <w:rFonts w:hint="eastAsia" w:ascii="宋体" w:hAnsi="宋体" w:eastAsia="宋体" w:cs="Times New Roman"/>
          <w:color w:val="auto"/>
          <w:sz w:val="24"/>
          <w:szCs w:val="24"/>
          <w:lang w:val="en-US" w:eastAsia="zh-CN"/>
        </w:rPr>
        <w:t xml:space="preserve">朱先生</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Style w:val="736"/>
          <w:rFonts w:hint="eastAsia" w:ascii="宋体" w:hAnsi="宋体" w:eastAsia="宋体" w:cs="Times New Roman"/>
          <w:color w:val="auto"/>
          <w:sz w:val="24"/>
          <w:szCs w:val="24"/>
        </w:rPr>
        <w:t xml:space="preserve">联系电话：</w:t>
      </w:r>
      <w:r>
        <w:rPr>
          <w:rStyle w:val="736"/>
          <w:rFonts w:hint="eastAsia" w:ascii="宋体" w:hAnsi="宋体" w:eastAsia="宋体" w:cs="Times New Roman"/>
          <w:color w:val="auto"/>
          <w:sz w:val="24"/>
          <w:szCs w:val="24"/>
          <w:lang w:val="en-US" w:eastAsia="zh-CN"/>
        </w:rPr>
        <w:t xml:space="preserve">18932281510</w:t>
      </w:r>
      <w:bookmarkEnd w:id="32"/>
      <w:r/>
      <w:bookmarkEnd w:id="33"/>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shd w:val="clear" w:color="auto" w:fill="ffffff"/>
          <w:lang w:val="en-US" w:eastAsia="zh-CN"/>
        </w:rPr>
        <w:t xml:space="preserve">项目联系方式</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项目联系人：</w:t>
      </w:r>
      <w:r>
        <w:rPr>
          <w:rStyle w:val="736"/>
          <w:rFonts w:hint="eastAsia" w:ascii="宋体" w:hAnsi="宋体" w:eastAsia="宋体" w:cs="Times New Roman"/>
          <w:color w:val="auto"/>
          <w:sz w:val="24"/>
          <w:szCs w:val="24"/>
          <w:lang w:val="en-US" w:eastAsia="zh-CN"/>
        </w:rPr>
        <w:t xml:space="preserve">朱先生</w:t>
      </w:r>
      <w:r/>
    </w:p>
    <w:p>
      <w:pPr>
        <w:pStyle w:val="729"/>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电      话：</w:t>
      </w:r>
      <w:r>
        <w:rPr>
          <w:rStyle w:val="736"/>
          <w:rFonts w:hint="eastAsia" w:ascii="宋体" w:hAnsi="宋体" w:eastAsia="宋体" w:cs="Times New Roman"/>
          <w:color w:val="auto"/>
          <w:sz w:val="24"/>
          <w:szCs w:val="24"/>
          <w:lang w:val="en-US" w:eastAsia="zh-CN"/>
        </w:rPr>
        <w:t xml:space="preserve">18932281510</w:t>
      </w:r>
      <w:r/>
    </w:p>
    <w:p>
      <w:pPr>
        <w:rPr>
          <w:color w:val="auto"/>
        </w:rPr>
      </w:pPr>
      <w:r>
        <w:rPr>
          <w:color w:val="auto"/>
        </w:rPr>
        <w:t xml:space="preserve"> </w:t>
      </w:r>
      <w:r/>
    </w:p>
    <w:p>
      <w:pPr>
        <w:pStyle w:val="729"/>
        <w:ind w:right="840"/>
        <w:jc w:val="center"/>
        <w:spacing w:beforeAutospacing="0" w:afterAutospacing="0"/>
        <w:rPr>
          <w:rFonts w:hint="eastAsia" w:ascii="黑体" w:hAnsi="黑体" w:eastAsia="黑体" w:cs="黑体"/>
          <w:color w:val="auto"/>
          <w:sz w:val="44"/>
          <w:szCs w:val="44"/>
          <w:lang w:val="en-US" w:eastAsia="zh-CN"/>
        </w:rPr>
      </w:pPr>
      <w:r>
        <w:rPr>
          <w:rFonts w:hint="eastAsia" w:ascii="宋体" w:hAnsi="宋体" w:eastAsia="宋体" w:cs="宋体"/>
          <w:color w:val="auto"/>
        </w:rPr>
        <w:br w:type="page" w:clear="all"/>
      </w:r>
      <w:bookmarkStart w:id="35" w:name="_Toc120614211"/>
      <w:r>
        <w:rPr>
          <w:rFonts w:hint="eastAsia" w:ascii="黑体" w:hAnsi="黑体" w:eastAsia="黑体" w:cs="黑体"/>
          <w:color w:val="auto"/>
          <w:sz w:val="44"/>
          <w:szCs w:val="44"/>
          <w:lang w:val="en-US" w:eastAsia="zh-CN"/>
        </w:rPr>
        <w:t xml:space="preserve">第二章  </w:t>
      </w:r>
      <w:bookmarkEnd w:id="35"/>
      <w:r/>
      <w:bookmarkStart w:id="36" w:name="_Toc20823274"/>
      <w:r/>
      <w:bookmarkStart w:id="37" w:name="_Toc513029202"/>
      <w:r/>
      <w:bookmarkStart w:id="38" w:name="_Toc120614213"/>
      <w:r/>
      <w:bookmarkStart w:id="39" w:name="_Toc16938518"/>
      <w:r>
        <w:rPr>
          <w:rFonts w:hint="eastAsia" w:ascii="黑体" w:hAnsi="黑体" w:eastAsia="黑体" w:cs="黑体"/>
          <w:color w:val="auto"/>
          <w:sz w:val="44"/>
          <w:szCs w:val="44"/>
          <w:lang w:val="en-US" w:eastAsia="zh-CN"/>
        </w:rPr>
        <w:t xml:space="preserve">投标人须知</w:t>
      </w:r>
      <w:bookmarkEnd w:id="36"/>
      <w:r/>
      <w:bookmarkEnd w:id="37"/>
      <w:r/>
      <w:bookmarkEnd w:id="38"/>
      <w:r/>
      <w:bookmarkEnd w:id="39"/>
      <w:r/>
      <w:r/>
    </w:p>
    <w:p>
      <w:pPr>
        <w:pStyle w:val="729"/>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40" w:name="_Toc16938519"/>
      <w:r/>
      <w:bookmarkStart w:id="41" w:name="_Toc513029203"/>
      <w:r/>
      <w:bookmarkStart w:id="42" w:name="_Toc20823275"/>
      <w:r/>
      <w:bookmarkStart w:id="43" w:name="_Toc120614214"/>
      <w:r>
        <w:rPr>
          <w:rFonts w:hint="eastAsia" w:ascii="宋体" w:hAnsi="宋体" w:eastAsia="宋体" w:cs="宋体"/>
          <w:b/>
          <w:color w:val="auto"/>
          <w:sz w:val="24"/>
          <w:szCs w:val="24"/>
        </w:rPr>
        <w:t xml:space="preserve">一、总则</w:t>
      </w:r>
      <w:bookmarkEnd w:id="40"/>
      <w:r/>
      <w:bookmarkEnd w:id="41"/>
      <w:r/>
      <w:bookmarkEnd w:id="42"/>
      <w:r/>
      <w:bookmarkEnd w:id="43"/>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44" w:name="_Toc16938520"/>
      <w:r/>
      <w:bookmarkStart w:id="45" w:name="_Toc513029204"/>
      <w:r/>
      <w:bookmarkStart w:id="46" w:name="_Toc20823276"/>
      <w:r/>
      <w:bookmarkStart w:id="47" w:name="_Toc458694821"/>
      <w:r/>
      <w:bookmarkStart w:id="48" w:name="_Hlt16619475"/>
      <w:r>
        <w:rPr>
          <w:rFonts w:hint="eastAsia" w:ascii="宋体" w:hAnsi="宋体" w:eastAsia="宋体" w:cs="宋体"/>
          <w:color w:val="auto"/>
          <w:sz w:val="24"/>
          <w:szCs w:val="24"/>
        </w:rPr>
        <w:t xml:space="preserve">1</w:t>
      </w:r>
      <w:bookmarkEnd w:id="44"/>
      <w:r>
        <w:rPr>
          <w:rFonts w:hint="eastAsia" w:ascii="宋体" w:hAnsi="宋体" w:eastAsia="宋体" w:cs="宋体"/>
          <w:color w:val="auto"/>
          <w:sz w:val="24"/>
          <w:szCs w:val="24"/>
        </w:rPr>
        <w:t xml:space="preserve">、招标方式</w:t>
      </w:r>
      <w:bookmarkEnd w:id="45"/>
      <w:r/>
      <w:bookmarkEnd w:id="46"/>
      <w:r/>
      <w:bookmarkEnd w:id="47"/>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1.1本次招标采取公开招标方式，本招标文件仅适用于招标公告中所述项目。</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49" w:name="_Toc16938521"/>
      <w:r/>
      <w:bookmarkStart w:id="50" w:name="_Toc513029205"/>
      <w:r/>
      <w:bookmarkStart w:id="51" w:name="_Toc20823277"/>
      <w:r>
        <w:rPr>
          <w:rFonts w:hint="eastAsia" w:ascii="宋体" w:hAnsi="宋体" w:eastAsia="宋体" w:cs="宋体"/>
          <w:color w:val="auto"/>
          <w:sz w:val="24"/>
          <w:szCs w:val="24"/>
        </w:rPr>
        <w:t xml:space="preserve">2、合格的投标人</w:t>
      </w:r>
      <w:bookmarkEnd w:id="49"/>
      <w:r/>
      <w:bookmarkEnd w:id="50"/>
      <w:r/>
      <w:bookmarkEnd w:id="51"/>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2.2满足本文件实质性要求和条件的规定。</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52" w:name="_Toc20823278"/>
      <w:r/>
      <w:bookmarkStart w:id="53" w:name="_Toc513029206"/>
      <w:r/>
      <w:bookmarkStart w:id="54" w:name="_Toc16938522"/>
      <w:r>
        <w:rPr>
          <w:rFonts w:hint="eastAsia" w:ascii="宋体" w:hAnsi="宋体" w:eastAsia="宋体" w:cs="宋体"/>
          <w:color w:val="auto"/>
          <w:sz w:val="24"/>
          <w:szCs w:val="24"/>
        </w:rPr>
        <w:t xml:space="preserve">3、适用法律</w:t>
      </w:r>
      <w:bookmarkEnd w:id="52"/>
      <w:r/>
      <w:bookmarkEnd w:id="53"/>
      <w:r/>
      <w:bookmarkEnd w:id="54"/>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3.1本次招标及由此产生的合同受中华人民共和国有关的法律法规制约和保护。</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55" w:name="_Toc20823279"/>
      <w:r/>
      <w:bookmarkStart w:id="56" w:name="_Toc513029207"/>
      <w:r/>
      <w:bookmarkStart w:id="57" w:name="_Toc16938523"/>
      <w:r/>
      <w:bookmarkStart w:id="58" w:name="_Toc462564067"/>
      <w:r>
        <w:rPr>
          <w:rFonts w:hint="eastAsia" w:ascii="宋体" w:hAnsi="宋体" w:eastAsia="宋体" w:cs="宋体"/>
          <w:color w:val="auto"/>
          <w:sz w:val="24"/>
          <w:szCs w:val="24"/>
        </w:rPr>
        <w:t xml:space="preserve">4、投标费用</w:t>
      </w:r>
      <w:bookmarkEnd w:id="55"/>
      <w:r/>
      <w:bookmarkEnd w:id="56"/>
      <w:r/>
      <w:bookmarkEnd w:id="57"/>
      <w:r/>
      <w:bookmarkEnd w:id="58"/>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4.1投标人应自行承担所有与参加投标有关的费用，无论投标过程中的做法和结果如何，</w:t>
      </w:r>
      <w:r>
        <w:rPr>
          <w:rFonts w:hint="eastAsia" w:ascii="宋体" w:hAnsi="宋体" w:eastAsia="宋体" w:cs="宋体"/>
          <w:color w:val="auto"/>
          <w:sz w:val="24"/>
          <w:szCs w:val="24"/>
          <w:lang w:val="en-US" w:eastAsia="zh-CN"/>
        </w:rPr>
        <w:t xml:space="preserve">江苏瑞杰项目管理顾问有限公司（以下简称代理机构）</w:t>
      </w:r>
      <w:r>
        <w:rPr>
          <w:rFonts w:hint="eastAsia" w:ascii="宋体" w:hAnsi="宋体" w:eastAsia="宋体" w:cs="宋体"/>
          <w:color w:val="auto"/>
          <w:sz w:val="24"/>
          <w:szCs w:val="24"/>
        </w:rPr>
        <w:t xml:space="preserve">在任何情况下均无义务和责任承担这些费用。</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w:t>
      </w:r>
      <w:r>
        <w:rPr>
          <w:rFonts w:hint="eastAsia" w:ascii="宋体" w:hAnsi="宋体" w:eastAsia="宋体" w:cs="宋体"/>
          <w:color w:val="auto"/>
          <w:sz w:val="24"/>
          <w:szCs w:val="24"/>
          <w:lang w:val="en-US" w:eastAsia="zh-CN"/>
        </w:rPr>
        <w:t xml:space="preserve">代理机构和</w:t>
      </w:r>
      <w:r>
        <w:rPr>
          <w:rFonts w:hint="eastAsia" w:ascii="宋体" w:hAnsi="宋体" w:eastAsia="宋体" w:cs="宋体"/>
          <w:color w:val="auto"/>
          <w:sz w:val="24"/>
          <w:szCs w:val="24"/>
        </w:rPr>
        <w:t xml:space="preserve">采购人不收取标书工本费与中标服务费。</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val="0"/>
          <w:bCs/>
          <w:color w:val="auto"/>
          <w:sz w:val="24"/>
          <w:szCs w:val="24"/>
        </w:rPr>
        <w:t xml:space="preserve">5、</w:t>
      </w:r>
      <w:r>
        <w:rPr>
          <w:rFonts w:hint="eastAsia" w:ascii="宋体" w:hAnsi="宋体" w:eastAsia="宋体" w:cs="宋体"/>
          <w:color w:val="auto"/>
          <w:sz w:val="24"/>
          <w:szCs w:val="24"/>
        </w:rPr>
        <w:t xml:space="preserve">招标文件的约束力</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5.1投标人一旦参加本项目采购活动，即被认为接受了本招标文件的规定和约束。</w:t>
      </w:r>
      <w:r/>
    </w:p>
    <w:p>
      <w:pPr>
        <w:pStyle w:val="729"/>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bookmarkStart w:id="59" w:name="_Toc513029209"/>
      <w:r/>
      <w:bookmarkStart w:id="60" w:name="_Toc16938525"/>
      <w:r/>
      <w:bookmarkStart w:id="61" w:name="_Toc120614215"/>
      <w:r/>
      <w:bookmarkStart w:id="62" w:name="_Toc20823281"/>
      <w:r>
        <w:rPr>
          <w:rFonts w:hint="eastAsia" w:ascii="宋体" w:hAnsi="宋体" w:eastAsia="宋体" w:cs="宋体"/>
          <w:b/>
          <w:color w:val="auto"/>
          <w:sz w:val="24"/>
          <w:szCs w:val="24"/>
        </w:rPr>
        <w:t xml:space="preserve">二、招标文件</w:t>
      </w:r>
      <w:bookmarkEnd w:id="59"/>
      <w:r/>
      <w:bookmarkEnd w:id="60"/>
      <w:r/>
      <w:bookmarkEnd w:id="61"/>
      <w:r/>
      <w:bookmarkEnd w:id="62"/>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63" w:name="_Toc513029210"/>
      <w:r/>
      <w:bookmarkStart w:id="64" w:name="_Toc16938526"/>
      <w:r/>
      <w:bookmarkStart w:id="65" w:name="_Toc20823282"/>
      <w:r>
        <w:rPr>
          <w:rFonts w:hint="eastAsia" w:ascii="宋体" w:hAnsi="宋体" w:eastAsia="宋体" w:cs="宋体"/>
          <w:color w:val="auto"/>
          <w:sz w:val="24"/>
          <w:szCs w:val="24"/>
        </w:rPr>
        <w:t xml:space="preserve">6、招标文件构成</w:t>
      </w:r>
      <w:bookmarkEnd w:id="63"/>
      <w:r/>
      <w:bookmarkEnd w:id="64"/>
      <w:r/>
      <w:bookmarkEnd w:id="65"/>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6.1招标文件由以下部分组成：</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招标公告</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（2）投标人须知</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合同条款</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（5）评标方法与评标标准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（6）投标文件格式</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请仔细检查招标文件是否齐全，如有缺漏请立即与</w:t>
      </w:r>
      <w:r>
        <w:rPr>
          <w:rFonts w:hint="eastAsia" w:ascii="宋体" w:hAnsi="宋体" w:eastAsia="宋体" w:cs="宋体"/>
          <w:color w:val="auto"/>
          <w:sz w:val="24"/>
          <w:szCs w:val="24"/>
          <w:lang w:val="en-US" w:eastAsia="zh-CN"/>
        </w:rPr>
        <w:t xml:space="preserve">代理机构</w:t>
      </w:r>
      <w:r>
        <w:rPr>
          <w:rFonts w:hint="eastAsia" w:ascii="宋体" w:hAnsi="宋体" w:eastAsia="宋体" w:cs="宋体"/>
          <w:color w:val="auto"/>
          <w:sz w:val="24"/>
          <w:szCs w:val="24"/>
        </w:rPr>
        <w:t xml:space="preserve">联系解决。</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66" w:name="_Toc513029211"/>
      <w:r/>
      <w:bookmarkStart w:id="67" w:name="_Toc16938527"/>
      <w:r/>
      <w:bookmarkStart w:id="68" w:name="_Toc462564070"/>
      <w:r/>
      <w:bookmarkStart w:id="69" w:name="_Toc20823283"/>
      <w:r>
        <w:rPr>
          <w:rFonts w:hint="eastAsia" w:ascii="宋体" w:hAnsi="宋体" w:eastAsia="宋体" w:cs="宋体"/>
          <w:color w:val="auto"/>
          <w:sz w:val="24"/>
          <w:szCs w:val="24"/>
        </w:rPr>
        <w:t xml:space="preserve">7、招标文件的澄清</w:t>
      </w:r>
      <w:bookmarkEnd w:id="66"/>
      <w:r/>
      <w:bookmarkEnd w:id="67"/>
      <w:r/>
      <w:bookmarkEnd w:id="68"/>
      <w:r/>
      <w:bookmarkEnd w:id="69"/>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7.1任何要求对招标文件进行澄清的投标人，应在投标截止期</w:t>
      </w:r>
      <w:r>
        <w:rPr>
          <w:rFonts w:hint="eastAsia" w:ascii="宋体" w:hAnsi="宋体" w:eastAsia="宋体" w:cs="宋体"/>
          <w:b/>
          <w:color w:val="auto"/>
          <w:sz w:val="24"/>
          <w:szCs w:val="24"/>
        </w:rPr>
        <w:t xml:space="preserve">十日</w:t>
      </w:r>
      <w:r>
        <w:rPr>
          <w:rFonts w:hint="eastAsia" w:ascii="宋体" w:hAnsi="宋体" w:eastAsia="宋体" w:cs="宋体"/>
          <w:color w:val="auto"/>
          <w:sz w:val="24"/>
          <w:szCs w:val="24"/>
        </w:rPr>
        <w:t xml:space="preserve">前按招标公告中的通讯地址，以书面形式通知</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70" w:name="_Toc20823284"/>
      <w:r/>
      <w:bookmarkStart w:id="71" w:name="_Toc462564071"/>
      <w:r/>
      <w:bookmarkStart w:id="72" w:name="_Toc16938528"/>
      <w:r/>
      <w:bookmarkStart w:id="73" w:name="_Toc513029212"/>
      <w:r>
        <w:rPr>
          <w:rFonts w:hint="eastAsia" w:ascii="宋体" w:hAnsi="宋体" w:eastAsia="宋体" w:cs="宋体"/>
          <w:color w:val="auto"/>
          <w:sz w:val="24"/>
          <w:szCs w:val="24"/>
        </w:rPr>
        <w:t xml:space="preserve">8、招标文件的修改</w:t>
      </w:r>
      <w:bookmarkEnd w:id="70"/>
      <w:r/>
      <w:bookmarkEnd w:id="71"/>
      <w:r/>
      <w:bookmarkEnd w:id="72"/>
      <w:r/>
      <w:bookmarkEnd w:id="73"/>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8.1在投标截止时间前，</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采购人可以对招标文件进行修改。</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采购人有权按照法定的要求推迟投标截止日期和开标日期。</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8.3招标文件的修改将在</w:t>
      </w:r>
      <w:r>
        <w:rPr>
          <w:rFonts w:hint="eastAsia" w:ascii="宋体" w:hAnsi="宋体" w:eastAsia="宋体" w:cs="宋体"/>
          <w:color w:val="auto"/>
          <w:sz w:val="24"/>
          <w:szCs w:val="24"/>
          <w:lang w:val="en-US" w:eastAsia="zh-CN" w:bidi="ar-SA"/>
        </w:rPr>
        <w:t xml:space="preserve">中国政府采购网</w:t>
      </w:r>
      <w:r>
        <w:rPr>
          <w:rFonts w:hint="eastAsia" w:ascii="宋体" w:hAnsi="宋体" w:eastAsia="宋体" w:cs="宋体"/>
          <w:i w:val="0"/>
          <w:iCs w:val="0"/>
          <w:caps w:val="0"/>
          <w:color w:val="auto"/>
          <w:spacing w:val="0"/>
          <w:sz w:val="24"/>
          <w:szCs w:val="24"/>
          <w:shd w:val="clear" w:color="auto" w:fill="ffffff"/>
          <w:lang w:val="en-US" w:eastAsia="zh-CN"/>
        </w:rPr>
        <w:t xml:space="preserve">、</w:t>
      </w:r>
      <w:r>
        <w:rPr>
          <w:rFonts w:hint="eastAsia" w:ascii="宋体" w:hAnsi="宋体" w:eastAsia="宋体" w:cs="宋体"/>
          <w:color w:val="auto"/>
          <w:sz w:val="24"/>
          <w:szCs w:val="24"/>
        </w:rPr>
        <w:t xml:space="preserve">江苏政府采购网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rPr>
        <w:t xml:space="preserve">盐城市政府采购网</w:t>
      </w:r>
      <w:r>
        <w:rPr>
          <w:rFonts w:hint="eastAsia" w:ascii="宋体" w:hAnsi="宋体" w:eastAsia="宋体" w:cs="宋体"/>
          <w:color w:val="auto"/>
          <w:sz w:val="24"/>
          <w:szCs w:val="24"/>
        </w:rPr>
        <w:t xml:space="preserve">公布，补充文件将作为招标文件的组成部分，并对投标人具有约束力。</w:t>
      </w:r>
      <w:r/>
    </w:p>
    <w:p>
      <w:pPr>
        <w:pStyle w:val="729"/>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bookmarkStart w:id="74" w:name="_Toc462564072"/>
      <w:r/>
      <w:bookmarkStart w:id="75" w:name="_Toc20823285"/>
      <w:r/>
      <w:bookmarkStart w:id="76" w:name="_Toc120614216"/>
      <w:r/>
      <w:bookmarkStart w:id="77" w:name="_Toc16938529"/>
      <w:r/>
      <w:bookmarkStart w:id="78" w:name="_Toc513029213"/>
      <w:r>
        <w:rPr>
          <w:rFonts w:hint="eastAsia" w:ascii="宋体" w:hAnsi="宋体" w:eastAsia="宋体" w:cs="宋体"/>
          <w:b/>
          <w:color w:val="auto"/>
          <w:sz w:val="24"/>
          <w:szCs w:val="24"/>
        </w:rPr>
        <w:t xml:space="preserve">三、投标文件的编制</w:t>
      </w:r>
      <w:bookmarkEnd w:id="74"/>
      <w:r/>
      <w:bookmarkEnd w:id="75"/>
      <w:r/>
      <w:bookmarkEnd w:id="76"/>
      <w:r/>
      <w:bookmarkEnd w:id="77"/>
      <w:r/>
      <w:bookmarkEnd w:id="78"/>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79" w:name="_Toc16938530"/>
      <w:r/>
      <w:bookmarkStart w:id="80" w:name="_Toc513029214"/>
      <w:r/>
      <w:bookmarkStart w:id="81" w:name="_Toc20823286"/>
      <w:r/>
      <w:bookmarkStart w:id="82" w:name="_Toc462564073"/>
      <w:r>
        <w:rPr>
          <w:rFonts w:hint="eastAsia" w:ascii="宋体" w:hAnsi="宋体" w:eastAsia="宋体" w:cs="宋体"/>
          <w:color w:val="auto"/>
          <w:sz w:val="24"/>
          <w:szCs w:val="24"/>
        </w:rPr>
        <w:t xml:space="preserve">9、投标文件的语言及度量衡单位</w:t>
      </w:r>
      <w:bookmarkEnd w:id="79"/>
      <w:r/>
      <w:bookmarkEnd w:id="80"/>
      <w:r/>
      <w:bookmarkEnd w:id="81"/>
      <w:r/>
      <w:bookmarkEnd w:id="82"/>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9.1投标人提交的投标文件以及投标人与</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采购人就有关投标的所有来往通知、函件和文件均应使用</w:t>
      </w:r>
      <w:r>
        <w:rPr>
          <w:rFonts w:hint="eastAsia" w:ascii="宋体" w:hAnsi="宋体" w:eastAsia="宋体" w:cs="宋体"/>
          <w:b/>
          <w:color w:val="auto"/>
          <w:sz w:val="24"/>
          <w:szCs w:val="24"/>
        </w:rPr>
        <w:t xml:space="preserve">简体中文</w:t>
      </w:r>
      <w:r>
        <w:rPr>
          <w:rFonts w:hint="eastAsia" w:ascii="宋体" w:hAnsi="宋体" w:eastAsia="宋体" w:cs="宋体"/>
          <w:color w:val="auto"/>
          <w:sz w:val="24"/>
          <w:szCs w:val="24"/>
        </w:rPr>
        <w:t xml:space="preserve">。</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9.2除技术性能另有规定外，投标文件所使用的度量衡单位，均须采用国家法定计量单位。</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83" w:name="_Toc20823287"/>
      <w:r/>
      <w:bookmarkStart w:id="84" w:name="_Toc16938531"/>
      <w:r/>
      <w:bookmarkStart w:id="85" w:name="_Toc462564074"/>
      <w:r/>
      <w:bookmarkStart w:id="86" w:name="_Toc513029215"/>
      <w:r>
        <w:rPr>
          <w:rFonts w:hint="eastAsia" w:ascii="宋体" w:hAnsi="宋体" w:eastAsia="宋体" w:cs="宋体"/>
          <w:color w:val="auto"/>
          <w:sz w:val="24"/>
          <w:szCs w:val="24"/>
        </w:rPr>
        <w:t xml:space="preserve">10、投标文件构成</w:t>
      </w:r>
      <w:bookmarkEnd w:id="83"/>
      <w:r/>
      <w:bookmarkEnd w:id="84"/>
      <w:r/>
      <w:bookmarkEnd w:id="85"/>
      <w:r/>
      <w:bookmarkEnd w:id="86"/>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10.1 开标一览表（系统固定格式）</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 资格审查资料</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10.2.1 法人或者其他组织的营业执照等证明文件，自然人的身份证明；</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10.2.2 上一年度（或上上年度）经审计的财务报告（投标人成立不满一年无需提供）；</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10.2.3 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10.2.4 具备履行合同所必需的设备和专业技术能力的书面声明；</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10.2.5 参加政府采购活动前 3 年内在经营活动中没有重大违法记录的书面声明；</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10.2.6 投标人法定代表人身份证明和投标文件签署授权委托书（另附法定代表人和被授权人的身份证复印件或扫描件）；</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10.2.7 投标人为被授权人缴纳的社会养老保险证明；</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10.2.8 与资格审查有关的其他资料（如有）。</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 符合性资料</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10.3.1 投标报价明细表；</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10.3.2 投标函；</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10.3.3 技术要求响应及偏离表；</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10.3.4 商务要求响应及偏离表；</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10.3.5 投标人的服务承诺；</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10.3.6 东台市政府采购事前信用承诺书；</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10.4 综合评审相关资料</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10.5 价格折扣文件（如有）</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注：1）以上材料须按顺序进行排列。</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2）如为法定代表人参与公开招标的无须提供“投标文件签署授权委托书”和“被授权人缴纳的社会养老保险证明”。</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3）与本次公开招标无关的资料不要求提供。</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“江苏政府采购网”、“盐城市政府采购网”发布的招标文件为准。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87" w:name="_Toc513029216"/>
      <w:r/>
      <w:bookmarkStart w:id="88" w:name="_Toc14577357"/>
      <w:r/>
      <w:bookmarkStart w:id="89" w:name="_Toc513029219"/>
      <w:r/>
      <w:bookmarkStart w:id="90" w:name="_Toc49090509"/>
      <w:r/>
      <w:bookmarkStart w:id="91" w:name="_Toc49090507"/>
      <w:r/>
      <w:bookmarkStart w:id="92" w:name="_Toc14577354"/>
      <w:r/>
      <w:bookmarkStart w:id="93" w:name="_Hlt26670360"/>
      <w:r/>
      <w:bookmarkStart w:id="94" w:name="_Hlt26954838"/>
      <w:r/>
      <w:bookmarkStart w:id="95" w:name="_Hlt26668975"/>
      <w:r>
        <w:rPr>
          <w:rFonts w:hint="eastAsia" w:ascii="宋体" w:hAnsi="宋体" w:eastAsia="宋体" w:cs="宋体"/>
          <w:color w:val="auto"/>
          <w:sz w:val="24"/>
          <w:szCs w:val="24"/>
        </w:rPr>
        <w:t xml:space="preserve">11、证明投标人及投标标的符合招标文件规定的文件</w:t>
      </w:r>
      <w:bookmarkEnd w:id="87"/>
      <w:r/>
      <w:bookmarkEnd w:id="88"/>
      <w:r/>
      <w:bookmarkEnd w:id="89"/>
      <w:r/>
      <w:bookmarkEnd w:id="90"/>
      <w:r/>
      <w:bookmarkEnd w:id="91"/>
      <w:r/>
      <w:bookmarkEnd w:id="92"/>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96" w:name="_Toc14577355"/>
      <w:r/>
      <w:bookmarkStart w:id="97" w:name="_Toc49090508"/>
      <w:r>
        <w:rPr>
          <w:rFonts w:hint="eastAsia" w:ascii="宋体" w:hAnsi="宋体" w:eastAsia="宋体" w:cs="宋体"/>
          <w:color w:val="auto"/>
          <w:sz w:val="24"/>
          <w:szCs w:val="24"/>
        </w:rPr>
        <w:t xml:space="preserve">11.1投标人应按照法律、法规、规章和规范性文件以及招标文件要求提交证明文件，证明其及投标标的符合招标文件规定。</w:t>
      </w:r>
      <w:bookmarkEnd w:id="96"/>
      <w:r/>
      <w:bookmarkEnd w:id="97"/>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11.2招标文件对证明文件无明确形式要求的，证明文件可以以文字资料、图纸和数据等形式提交。</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11.3 “上一年度（或上上年度）的财务报告”，投标人应提供经审计的财务报告，或银行出具的资信证明。</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11.4 “依法缴纳税收的相关材料”，投标人应提供近期缴纳税收的凭据。</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11.5 “依法缴纳社会保障资金的相关材料”，投标人应提供近期缴纳社会保险的凭据。</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11.6 依法免税或不需要缴纳社会保障资金的投标人，应提供相应文件证明其依法免税或不需要缴纳社会保障资金。</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11.7 “申请人的资格要求”和“资格审查资料”中的“近期”是指近两年以来的任一时间段。</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bookmarkStart w:id="98" w:name="_Hlt26670373"/>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eastAsia="zh-CN"/>
        </w:rPr>
        <w:t xml:space="preserve">报价明细表</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99" w:name="_Hlt26954840"/>
      <w:r/>
      <w:bookmarkStart w:id="100" w:name="_Hlt26670399"/>
      <w:r>
        <w:rPr>
          <w:rFonts w:hint="eastAsia" w:ascii="宋体" w:hAnsi="宋体" w:eastAsia="宋体" w:cs="宋体"/>
          <w:color w:val="auto"/>
          <w:sz w:val="24"/>
          <w:szCs w:val="24"/>
        </w:rPr>
        <w:t xml:space="preserve">12.1投标人应按照招标文件规定格式填报投标</w:t>
      </w:r>
      <w:r>
        <w:rPr>
          <w:rFonts w:hint="eastAsia" w:ascii="宋体" w:hAnsi="宋体" w:eastAsia="宋体" w:cs="宋体"/>
          <w:color w:val="auto"/>
          <w:sz w:val="24"/>
          <w:szCs w:val="24"/>
          <w:lang w:eastAsia="zh-CN"/>
        </w:rPr>
        <w:t xml:space="preserve">报价明细表</w:t>
      </w:r>
      <w:r>
        <w:rPr>
          <w:rFonts w:hint="eastAsia" w:ascii="宋体" w:hAnsi="宋体" w:eastAsia="宋体" w:cs="宋体"/>
          <w:color w:val="auto"/>
          <w:sz w:val="24"/>
          <w:szCs w:val="24"/>
        </w:rPr>
        <w:t xml:space="preserve">。</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12.3 投标人应按照第六章投标文件格式完整地填写投标报价明细表，说明其拟提供服务的名称、服务内容、数量、价格等，采购人要求投标人明确填写的相关内容的，也应填写。</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12.4 每项服务内容只允许有一个报价，任何有选择的报价将不予接受。</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12.5 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bookmarkStart w:id="101" w:name="_Hlt26668983"/>
      <w:r/>
      <w:bookmarkStart w:id="102" w:name="_Hlt26954842"/>
      <w:r/>
      <w:bookmarkStart w:id="103" w:name="_Hlt26954844"/>
      <w:r/>
      <w:bookmarkStart w:id="104" w:name="_Hlt26954848"/>
      <w:r/>
      <w:bookmarkStart w:id="105" w:name="_Hlt26670403"/>
      <w:r/>
      <w:bookmarkStart w:id="106" w:name="_Hlt26670425"/>
      <w:r/>
      <w:bookmarkStart w:id="107" w:name="_Hlt26670482"/>
      <w:r/>
      <w:bookmarkStart w:id="108" w:name="_Hlt26954846"/>
      <w:r/>
      <w:bookmarkStart w:id="109" w:name="_Hlt26954731"/>
      <w:r/>
      <w:bookmarkStart w:id="110" w:name="_Hlt26670486"/>
      <w:r>
        <w:rPr>
          <w:rFonts w:hint="eastAsia" w:ascii="宋体" w:hAnsi="宋体" w:eastAsia="宋体" w:cs="宋体"/>
          <w:color w:val="auto"/>
          <w:sz w:val="24"/>
          <w:szCs w:val="24"/>
          <w:lang w:val="en-US" w:eastAsia="zh-CN"/>
        </w:rPr>
        <w:t xml:space="preserve">本项目每采购包的中标人在领取中标通知书前，须向采购代理机构江苏瑞杰项目管理顾问有限公司支付招标代理服务费，采购包1招标代理服务费为人民币</w:t>
      </w:r>
      <w:r>
        <w:rPr>
          <w:rFonts w:hint="eastAsia" w:ascii="宋体" w:hAnsi="宋体" w:eastAsia="宋体" w:cs="宋体"/>
          <w:color w:val="auto"/>
          <w:sz w:val="24"/>
          <w:szCs w:val="24"/>
          <w:u w:val="single"/>
          <w:lang w:val="en-US" w:eastAsia="zh-CN"/>
        </w:rPr>
        <w:t xml:space="preserve"> 69700.00 </w:t>
      </w:r>
      <w:r>
        <w:rPr>
          <w:rFonts w:hint="eastAsia" w:ascii="宋体" w:hAnsi="宋体" w:eastAsia="宋体" w:cs="宋体"/>
          <w:color w:val="auto"/>
          <w:sz w:val="24"/>
          <w:szCs w:val="24"/>
          <w:lang w:val="en-US" w:eastAsia="zh-CN"/>
        </w:rPr>
        <w:t xml:space="preserve">元，采购包2招标代理服务费为人民币</w:t>
      </w:r>
      <w:r>
        <w:rPr>
          <w:rFonts w:hint="eastAsia" w:ascii="宋体" w:hAnsi="宋体" w:eastAsia="宋体" w:cs="宋体"/>
          <w:color w:val="auto"/>
          <w:sz w:val="24"/>
          <w:szCs w:val="24"/>
          <w:u w:val="single"/>
          <w:lang w:val="en-US" w:eastAsia="zh-CN"/>
        </w:rPr>
        <w:t xml:space="preserve"> 13500.00 </w:t>
      </w:r>
      <w:r>
        <w:rPr>
          <w:rFonts w:hint="eastAsia" w:ascii="宋体" w:hAnsi="宋体" w:eastAsia="宋体" w:cs="宋体"/>
          <w:color w:val="auto"/>
          <w:sz w:val="24"/>
          <w:szCs w:val="24"/>
          <w:lang w:val="en-US" w:eastAsia="zh-CN"/>
        </w:rPr>
        <w:t xml:space="preserve">元，上述费用由各投标人在投标时自行综合考虑分摊含进投标报价中，且不得单列，采购人不承担此费用。</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13、技术要求响应及偏离表、商务要求响应及偏离表</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11" w:name="_Toc14577359"/>
      <w:r/>
      <w:bookmarkStart w:id="112" w:name="_Toc49090510"/>
      <w:r>
        <w:rPr>
          <w:rFonts w:hint="eastAsia" w:ascii="宋体" w:hAnsi="宋体" w:eastAsia="宋体" w:cs="宋体"/>
          <w:color w:val="auto"/>
          <w:sz w:val="24"/>
          <w:szCs w:val="24"/>
        </w:rPr>
        <w:t xml:space="preserve">13.1 投标人需对招标文件中的技术要求与商务要求逐项作出响应或偏离，并说明原因。</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 投标人可在投标文件中提供认为需要的其他技术文件或说明。</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14、投标函和开标一览表</w:t>
      </w:r>
      <w:bookmarkEnd w:id="111"/>
      <w:r/>
      <w:bookmarkEnd w:id="112"/>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14.1投标人应按照招标文件中提供的格式完整、正确填写投标函、开标一览表。</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rPr>
        <w:t xml:space="preserve">。</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13" w:name="_Toc49090511"/>
      <w:r/>
      <w:bookmarkStart w:id="114" w:name="_Toc14577360"/>
      <w:r/>
      <w:bookmarkStart w:id="115" w:name="_Hlt26954850"/>
      <w:r/>
      <w:bookmarkStart w:id="116" w:name="_Hlt26954734"/>
      <w:r/>
      <w:bookmarkStart w:id="117" w:name="_Hlt26670489"/>
      <w:r>
        <w:rPr>
          <w:rFonts w:hint="eastAsia" w:ascii="宋体" w:hAnsi="宋体" w:eastAsia="宋体" w:cs="宋体"/>
          <w:color w:val="auto"/>
          <w:sz w:val="24"/>
          <w:szCs w:val="24"/>
        </w:rPr>
        <w:t xml:space="preserve">15、投标有效期</w:t>
      </w:r>
      <w:bookmarkEnd w:id="113"/>
      <w:r/>
      <w:bookmarkEnd w:id="114"/>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15.1投标有效期为</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采购人规定的开标之日后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color w:val="auto"/>
          <w:sz w:val="24"/>
          <w:szCs w:val="24"/>
        </w:rPr>
        <w:t xml:space="preserve">。投标有效期比规定短的将被视为未实质性响应招标文件而予以拒绝。</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16、投标有效期的延长</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16.1在特殊情况下，</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采购人于原投标有效期满之前，可向投标人提出延长投标有效期的要求。这种要求与答复均应采用书面形式。投标人可以拒绝</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采购人的这一要求而放弃投标。同意延长投标有效期的投标人既不能要求也不允许修改其投标文件，同时受投标有效期约束的所有权利与义务均延长至新的有效期。</w:t>
      </w:r>
      <w:r/>
    </w:p>
    <w:p>
      <w:pPr>
        <w:pStyle w:val="729"/>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bookmarkStart w:id="118" w:name="_Toc16938540"/>
      <w:r/>
      <w:bookmarkStart w:id="119" w:name="_Toc20823296"/>
      <w:r/>
      <w:bookmarkStart w:id="120" w:name="_Toc120614217"/>
      <w:r/>
      <w:bookmarkStart w:id="121" w:name="_Toc513029224"/>
      <w:r/>
      <w:bookmarkStart w:id="122" w:name="_Hlt26954852"/>
      <w:r/>
      <w:bookmarkStart w:id="123" w:name="_Hlt26954739"/>
      <w:r>
        <w:rPr>
          <w:rFonts w:hint="eastAsia" w:ascii="宋体" w:hAnsi="宋体" w:eastAsia="宋体" w:cs="宋体"/>
          <w:b/>
          <w:color w:val="auto"/>
          <w:sz w:val="24"/>
          <w:szCs w:val="24"/>
        </w:rPr>
        <w:t xml:space="preserve">四、投标文件的递交</w:t>
      </w:r>
      <w:bookmarkEnd w:id="118"/>
      <w:r/>
      <w:bookmarkEnd w:id="119"/>
      <w:r/>
      <w:bookmarkEnd w:id="120"/>
      <w:r/>
      <w:bookmarkEnd w:id="121"/>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24" w:name="_Toc16938541"/>
      <w:r/>
      <w:bookmarkStart w:id="125" w:name="_Toc513029225"/>
      <w:r/>
      <w:bookmarkStart w:id="126" w:name="_Toc462564084"/>
      <w:r/>
      <w:bookmarkStart w:id="127" w:name="_Toc20823297"/>
      <w:r>
        <w:rPr>
          <w:rFonts w:hint="eastAsia" w:ascii="宋体" w:hAnsi="宋体" w:eastAsia="宋体" w:cs="宋体"/>
          <w:color w:val="auto"/>
          <w:sz w:val="24"/>
          <w:szCs w:val="24"/>
        </w:rPr>
        <w:t xml:space="preserve">17、投标文件</w:t>
      </w:r>
      <w:bookmarkEnd w:id="124"/>
      <w:r/>
      <w:bookmarkEnd w:id="125"/>
      <w:r/>
      <w:bookmarkEnd w:id="126"/>
      <w:r/>
      <w:bookmarkEnd w:id="127"/>
      <w:r>
        <w:rPr>
          <w:rFonts w:hint="eastAsia" w:ascii="宋体" w:hAnsi="宋体" w:eastAsia="宋体" w:cs="宋体"/>
          <w:color w:val="auto"/>
          <w:sz w:val="24"/>
          <w:szCs w:val="24"/>
        </w:rPr>
        <w:t xml:space="preserve">的递交</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17.1电子投标文件的递交</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18、投标截止时间</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i/>
          <w:color w:val="auto"/>
          <w:sz w:val="24"/>
          <w:szCs w:val="24"/>
          <w:u w:val="single"/>
        </w:rPr>
        <w:t xml:space="preserve">18.1投标人上传电子投标文件的时间不得迟于招标公告中规定的投标截止时间。</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投标人应充分考虑到网络环境、网络带宽等风险因素，如因投标人自身原因造成的电子投标文件上传不成功的按照本招标文件第二章第26.1.2条规定做无效投标处理。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可以按照规定，通过修改招标文件酌情延长投标截止时间，在此情况下，投标人的所有权利和义务以及投标人受制的截止时间均应以延长后新的截止时间为准。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31" w:name="_Toc513029227"/>
      <w:r/>
      <w:bookmarkStart w:id="132" w:name="_Toc20823299"/>
      <w:r/>
      <w:bookmarkStart w:id="133" w:name="_Toc16938543"/>
      <w:r>
        <w:rPr>
          <w:rFonts w:hint="eastAsia" w:ascii="宋体" w:hAnsi="宋体" w:eastAsia="宋体" w:cs="宋体"/>
          <w:color w:val="auto"/>
          <w:sz w:val="24"/>
          <w:szCs w:val="24"/>
        </w:rPr>
        <w:t xml:space="preserve">19、投标文件</w:t>
      </w:r>
      <w:bookmarkEnd w:id="131"/>
      <w:r/>
      <w:bookmarkEnd w:id="132"/>
      <w:r/>
      <w:bookmarkEnd w:id="133"/>
      <w:r>
        <w:rPr>
          <w:rFonts w:hint="eastAsia" w:ascii="宋体" w:hAnsi="宋体" w:eastAsia="宋体" w:cs="宋体"/>
          <w:color w:val="auto"/>
          <w:sz w:val="24"/>
          <w:szCs w:val="24"/>
        </w:rPr>
        <w:t xml:space="preserve">的拒收</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拒绝接收在其规定的投标截止时间后上传的任何投标文件。</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34" w:name="_Toc513029228"/>
      <w:r/>
      <w:bookmarkStart w:id="135" w:name="_Toc16938544"/>
      <w:r/>
      <w:bookmarkStart w:id="136" w:name="_Toc20823300"/>
      <w:r>
        <w:rPr>
          <w:rFonts w:hint="eastAsia" w:ascii="宋体" w:hAnsi="宋体" w:eastAsia="宋体" w:cs="宋体"/>
          <w:color w:val="auto"/>
          <w:sz w:val="24"/>
          <w:szCs w:val="24"/>
        </w:rPr>
        <w:t xml:space="preserve">20、投标文件的撤回和修改</w:t>
      </w:r>
      <w:bookmarkEnd w:id="134"/>
      <w:r/>
      <w:bookmarkEnd w:id="135"/>
      <w:r/>
      <w:bookmarkEnd w:id="136"/>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20.1投标文件的撤回</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.1.1电子投标文件的撤回</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投标人可在投标截止时间前，撤回其电子投标文件，具体操作方法见《操作手册》。</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.1.2投标人撤回电子投标文件，则认为其不再参与本项目投标活动。</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20.2投标文件的修改</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20.2.1投标人可在投标截止时间前，对其电子投标文件进行修改，具体操作方法见《操作手册》。</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20.2.2在投标截止时间之后，投标人不得对其电子投标文件作任何修改。</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20.3在投标截止时间至招标文件中规定的投标有效期满之间的这段时间内，投标人不得撤回其投标。</w:t>
      </w:r>
      <w:r/>
    </w:p>
    <w:p>
      <w:pPr>
        <w:pStyle w:val="729"/>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bookmarkStart w:id="137" w:name="_Toc20823301"/>
      <w:r/>
      <w:bookmarkStart w:id="138" w:name="_Toc16938545"/>
      <w:r/>
      <w:bookmarkStart w:id="139" w:name="_Toc513029229"/>
      <w:r/>
      <w:bookmarkStart w:id="140" w:name="_Toc120614218"/>
      <w:r>
        <w:rPr>
          <w:rFonts w:hint="eastAsia" w:ascii="宋体" w:hAnsi="宋体" w:eastAsia="宋体" w:cs="宋体"/>
          <w:b/>
          <w:color w:val="auto"/>
          <w:sz w:val="24"/>
          <w:szCs w:val="24"/>
        </w:rPr>
        <w:t xml:space="preserve">五、开标与评标</w:t>
      </w:r>
      <w:bookmarkEnd w:id="137"/>
      <w:r/>
      <w:bookmarkEnd w:id="138"/>
      <w:r/>
      <w:bookmarkEnd w:id="139"/>
      <w:r/>
      <w:bookmarkEnd w:id="140"/>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41" w:name="_Toc16938546"/>
      <w:r/>
      <w:bookmarkStart w:id="142" w:name="_Toc513029230"/>
      <w:r/>
      <w:bookmarkStart w:id="143" w:name="_Toc20823302"/>
      <w:r>
        <w:rPr>
          <w:rFonts w:hint="eastAsia" w:ascii="宋体" w:hAnsi="宋体" w:eastAsia="宋体" w:cs="宋体"/>
          <w:color w:val="auto"/>
          <w:sz w:val="24"/>
          <w:szCs w:val="24"/>
        </w:rPr>
        <w:t xml:space="preserve">21、开标</w:t>
      </w:r>
      <w:bookmarkEnd w:id="141"/>
      <w:r/>
      <w:bookmarkEnd w:id="142"/>
      <w:r/>
      <w:bookmarkEnd w:id="143"/>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21.1</w:t>
      </w:r>
      <w:r>
        <w:rPr>
          <w:rFonts w:hint="eastAsia" w:ascii="宋体" w:hAnsi="宋体" w:eastAsia="宋体" w:cs="宋体"/>
          <w:color w:val="auto"/>
          <w:sz w:val="24"/>
          <w:szCs w:val="24"/>
          <w:lang w:val="en-US" w:eastAsia="zh-CN"/>
        </w:rPr>
        <w:t xml:space="preserve">代理机构</w:t>
      </w:r>
      <w:r>
        <w:rPr>
          <w:rFonts w:hint="eastAsia" w:ascii="宋体" w:hAnsi="宋体" w:eastAsia="宋体" w:cs="宋体"/>
          <w:color w:val="auto"/>
          <w:sz w:val="24"/>
          <w:szCs w:val="24"/>
        </w:rPr>
        <w:t xml:space="preserve">将在招标公告中规定的时间和地点组织公开开标。投标人应当按照《操作手册》规定，参加开标活动和在苏采云系统规定的时间内对投标文件进行解密。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21.2开标仪式由</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组织。苏采云系统将自动对项目进行开标，并宣布各投标人名称和投标价格。</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21.3投标人在开标过程中涉及到的投标文件解密、开标结果确认等工作，应按照《操作手册》规定执行。</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21.4投标人如果对开标过程和开标记录有疑义，应当根据《操作手册》规定提出，如苏采云系统中《开标记录表》宣布后5分钟内未提出的，视同认可开标结果。</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44" w:name="_Toc513029231"/>
      <w:r/>
      <w:bookmarkStart w:id="145" w:name="_Toc20823303"/>
      <w:r/>
      <w:bookmarkStart w:id="146" w:name="_Toc16938547"/>
      <w:r>
        <w:rPr>
          <w:rFonts w:hint="eastAsia" w:ascii="宋体" w:hAnsi="宋体" w:eastAsia="宋体" w:cs="宋体"/>
          <w:color w:val="auto"/>
          <w:sz w:val="24"/>
          <w:szCs w:val="24"/>
        </w:rPr>
        <w:t xml:space="preserve">22、评标委员会</w:t>
      </w:r>
      <w:bookmarkEnd w:id="144"/>
      <w:r/>
      <w:bookmarkEnd w:id="145"/>
      <w:r/>
      <w:bookmarkEnd w:id="146"/>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22.1开标后，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将立即组织评标委员会（以下简称评委会）进行评标。</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22.2评委会由采购人代表和有关技术、经济等方面的专家组成，且人员构成符合政府采购有关规定。</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22.3评委会独立工作，负责评审所有投标文件并确定中标侯选人。</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23、评标过程的保密与公正</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23.1凡是与审查、澄清、评价和比较投标的有关资料以及授标建议等，采购人、评委均不得向投标人或与评标无关的其他人员透露。</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23.2在评标过程中，投标人不得以任何行为影响评标过程，否则其投标文件将被作为无效投标文件。</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23.3</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采购人和评标委员会不向未中标的投标人解释未中标原因，也不公布评标过程中的相关细节。</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23.4采用综合评分法的项目，未中标的投标人可于中标结果公告期限届满之日起通过苏采云系统查看自己的评审得分及排序情况。</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47" w:name="_Toc513029232"/>
      <w:r/>
      <w:bookmarkStart w:id="148" w:name="_Toc20823304"/>
      <w:r/>
      <w:bookmarkStart w:id="149" w:name="_Toc16938548"/>
      <w:r>
        <w:rPr>
          <w:rFonts w:hint="eastAsia" w:ascii="宋体" w:hAnsi="宋体" w:eastAsia="宋体" w:cs="宋体"/>
          <w:color w:val="auto"/>
          <w:sz w:val="24"/>
          <w:szCs w:val="24"/>
        </w:rPr>
        <w:t xml:space="preserve">24、投标文件的澄清</w:t>
      </w:r>
      <w:bookmarkEnd w:id="147"/>
      <w:r/>
      <w:bookmarkEnd w:id="148"/>
      <w:r/>
      <w:bookmarkEnd w:id="149"/>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24.1评标期间，评委会对投标文件中含义不明确、同类问题表述不一致或者有明显文字和计算错误的内容，有权要求投标人作出必要的澄清、说明或者补正。</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投标人的澄清、说明或者补正不得超出投标文件的范围或者改变投标文件的实质性内容。</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评标委员会并非对每个投标人都做澄清要求。</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24.3接到评委会澄清、说明和补正要求的投标人如未按规定做出澄清、说明和补正，其风险由投标人自行承担。</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50" w:name="_Toc16938549"/>
      <w:r/>
      <w:bookmarkStart w:id="151" w:name="_Toc513029233"/>
      <w:r/>
      <w:bookmarkStart w:id="152" w:name="_Toc20823305"/>
      <w:r>
        <w:rPr>
          <w:rFonts w:hint="eastAsia" w:ascii="宋体" w:hAnsi="宋体" w:eastAsia="宋体" w:cs="宋体"/>
          <w:color w:val="auto"/>
          <w:sz w:val="24"/>
          <w:szCs w:val="24"/>
        </w:rPr>
        <w:t xml:space="preserve">25、对投标文件的初审</w:t>
      </w:r>
      <w:bookmarkEnd w:id="150"/>
      <w:r/>
      <w:bookmarkEnd w:id="151"/>
      <w:r/>
      <w:bookmarkEnd w:id="152"/>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25.1投标文件初审分为资格审查和符合性审查。</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25.1.1资格审查：依据法律法规和招标文件的规定，由采购人对投标文件中的资格证明文件进行审查。资格审查的结论，采购人以书面形式向评委会进行反馈。</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查询结果留存并归档。</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联合体成员存在不良信用记录的，视同联合体存在不良应用记录。</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25.1.3未通过资格审查或符合性审查的投标人，</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采购人将在苏采云系统中告知未通过资格审查或符合性审查的原因，评标结束后，</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采购人将不再告知未通过资格审查和符合性审查的原因。</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25.3如果投标文件实质上没有响应招标文件的要求，评委会将予以拒绝，投标人不得通过修改或撤销不合要求的偏离或保留而使其投标成为实质性响应的投标。</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25.4评委会将对确定为实质性响应的投标进行进一步审核，确定其是否有计算上或累加上的算术错误，修正错误的原则如下：</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（1）投标文件中开标一览表内容与投标文件中相应内容不一致的，以开标一览表为准。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（4）总价金额与按单价汇总金额不一致的，以单价金额计算结果为准。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同时出现两种以上错误的，按照前款规定的顺序修正。</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53" w:name="_Toc513029234"/>
      <w:r/>
      <w:bookmarkStart w:id="154" w:name="_Toc16938550"/>
      <w:r/>
      <w:bookmarkStart w:id="155" w:name="_Toc20823306"/>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投标人在开、评标全过程中应保持通讯畅通，及时登录苏采云系统查阅、答复相关信息，并安排专人与</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采购人及评标委员会联系。</w:t>
      </w:r>
      <w:bookmarkEnd w:id="153"/>
      <w:r/>
      <w:bookmarkEnd w:id="154"/>
      <w:r/>
      <w:bookmarkEnd w:id="155"/>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26、无效投标条款和废标条款</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56" w:name="_Toc20823307"/>
      <w:r/>
      <w:bookmarkStart w:id="157" w:name="_Toc513029235"/>
      <w:r/>
      <w:bookmarkStart w:id="158" w:name="_Toc16938551"/>
      <w:r>
        <w:rPr>
          <w:rFonts w:hint="eastAsia" w:ascii="宋体" w:hAnsi="宋体" w:eastAsia="宋体" w:cs="宋体"/>
          <w:color w:val="auto"/>
          <w:sz w:val="24"/>
          <w:szCs w:val="24"/>
        </w:rPr>
        <w:t xml:space="preserve">26.1无效投标条款</w:t>
      </w:r>
      <w:bookmarkEnd w:id="156"/>
      <w:r/>
      <w:bookmarkEnd w:id="157"/>
      <w:r/>
      <w:bookmarkEnd w:id="158"/>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.1 投标人在苏采云系统规定的时间内未成功解密电子投标文件的。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.2 投标人未按照招标文件要求上传电子投标文件的。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同一投标人投标人递交两份或多份内容不同的投标文件，或在一份投标文件中对同一采购项目报有两个或多个报价，且未声明哪一个有效，按招标文件规定提交备选方案的除外。</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 </w:t>
      </w:r>
      <w:r>
        <w:rPr>
          <w:rFonts w:hint="eastAsia" w:ascii="宋体" w:hAnsi="宋体" w:eastAsia="宋体" w:cs="宋体"/>
          <w:color w:val="auto"/>
          <w:sz w:val="24"/>
          <w:szCs w:val="24"/>
        </w:rPr>
        <w:t xml:space="preserve">投标人不具备招标文件中规定资格要求的。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 </w:t>
      </w:r>
      <w:r>
        <w:rPr>
          <w:rFonts w:hint="eastAsia" w:ascii="宋体" w:hAnsi="宋体" w:eastAsia="宋体" w:cs="宋体"/>
          <w:color w:val="auto"/>
          <w:sz w:val="24"/>
          <w:szCs w:val="24"/>
        </w:rPr>
        <w:t xml:space="preserve">投标人的报价超过了采购预算或最高限价的。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lang w:val="en-US" w:eastAsia="zh-CN"/>
        </w:rPr>
        <w:t xml:space="preserve">.7 被授权人无法提供证明其为本单位正式职工的社会养老保险缴费证明的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26.1.8 由被授权人参加，但未随投标文件一起提交合法、有效的“授权委托书”的；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9 投标文件内容不全或关键字迹模糊、无法辨认的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10投标文件修改处未加盖投标人公章的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未通过符合性审查的。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不符合招标文件中规定的实质性要求和条件的</w:t>
      </w:r>
      <w:r>
        <w:rPr>
          <w:rFonts w:hint="eastAsia" w:ascii="宋体" w:hAnsi="宋体" w:eastAsia="宋体" w:cs="宋体"/>
          <w:b/>
          <w:bCs/>
          <w:color w:val="auto"/>
          <w:sz w:val="24"/>
          <w:szCs w:val="24"/>
        </w:rPr>
        <w:t xml:space="preserve">（</w:t>
      </w:r>
      <w:r>
        <w:rPr>
          <w:rFonts w:hint="eastAsia" w:ascii="宋体" w:hAnsi="宋体" w:eastAsia="宋体" w:cs="宋体"/>
          <w:b/>
          <w:bCs/>
          <w:i/>
          <w:color w:val="auto"/>
          <w:sz w:val="24"/>
          <w:szCs w:val="24"/>
          <w:u w:val="single"/>
        </w:rPr>
        <w:t xml:space="preserve">本招标文件中斜体且有下划线部分为实质性要求和条件）。</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投标文件含有采购人不能接受的附加条件的。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hint="eastAsia" w:ascii="宋体" w:hAnsi="宋体" w:eastAsia="宋体" w:cs="宋体"/>
          <w:color w:val="auto"/>
          <w:sz w:val="24"/>
          <w:szCs w:val="24"/>
          <w:lang w:val="en-US" w:eastAsia="zh-CN"/>
        </w:rPr>
        <w:t xml:space="preserve">或虽说明理由但评标委员会认为其理由不能成立的</w:t>
      </w:r>
      <w:r>
        <w:rPr>
          <w:rFonts w:hint="eastAsia" w:ascii="宋体" w:hAnsi="宋体" w:eastAsia="宋体" w:cs="宋体"/>
          <w:color w:val="auto"/>
          <w:sz w:val="24"/>
          <w:szCs w:val="24"/>
        </w:rPr>
        <w:t xml:space="preserve">。</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26.1.16投标文件中所供产品供货期限（服务周期）、售后服务条款不符合招标文件相关条款要求或技术指标要求、货物的包装方式、检验标准等低于招标文件规定指标、要求的；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26.1.17以他人的名义投标、串通投标、以行贿手段谋取中标或者以其他弄虚作假方式投标的；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26.1.18组成联合体，投标文件未附联合体协议的。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26.1.19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26.1.20投标文件未按照招标文件要求签署或加盖CA电子公章的。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26.1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t xml:space="preserve">其他法律、法规及本招标文件规定的属无效投标的情形。</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26.2废标条款</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26.2.1符合专业条件的供应商或者对招标文件作实质响应的供应商不足三家的。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26.2.2出现影响采购公正的违法、违规行为的。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26.2.3因重大变故，采购任务取消的。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26.2.4评标委员会认定招标文件存在歧义、重大缺陷导致评审工作无法进行。</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26.2.5因苏采云系统系统故障原因造成开标不成功的。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26.3投标截止时间结束后参加投标的供应商不足三家的处理：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26.3.1如出现投标截止时间结束后参加投标的供应商或者在评标期间对招标文件做出实质响应的供应商不足三家情况，按政府采购相关规定执行。</w:t>
      </w:r>
      <w:r/>
    </w:p>
    <w:p>
      <w:pPr>
        <w:pStyle w:val="729"/>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rPr>
      </w:pPr>
      <w:r/>
      <w:bookmarkStart w:id="159" w:name="_Toc120614219"/>
      <w:r>
        <w:rPr>
          <w:rFonts w:hint="eastAsia" w:ascii="宋体" w:hAnsi="宋体" w:eastAsia="宋体" w:cs="宋体"/>
          <w:b/>
          <w:color w:val="auto"/>
          <w:sz w:val="24"/>
          <w:szCs w:val="24"/>
        </w:rPr>
        <w:t xml:space="preserve">六、定标</w:t>
      </w:r>
      <w:bookmarkEnd w:id="159"/>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60" w:name="_Toc20823310"/>
      <w:r/>
      <w:bookmarkStart w:id="161" w:name="_Toc16938554"/>
      <w:r/>
      <w:bookmarkStart w:id="162" w:name="_Toc513029238"/>
      <w:r>
        <w:rPr>
          <w:rFonts w:hint="eastAsia" w:ascii="宋体" w:hAnsi="宋体" w:eastAsia="宋体" w:cs="宋体"/>
          <w:color w:val="auto"/>
          <w:sz w:val="24"/>
          <w:szCs w:val="24"/>
        </w:rPr>
        <w:t xml:space="preserve">27、</w:t>
      </w:r>
      <w:bookmarkEnd w:id="160"/>
      <w:r>
        <w:rPr>
          <w:rFonts w:hint="eastAsia" w:ascii="宋体" w:hAnsi="宋体" w:eastAsia="宋体" w:cs="宋体"/>
          <w:color w:val="auto"/>
          <w:sz w:val="24"/>
          <w:szCs w:val="24"/>
        </w:rPr>
        <w:t xml:space="preserve">确定</w:t>
      </w:r>
      <w:bookmarkEnd w:id="161"/>
      <w:r/>
      <w:bookmarkEnd w:id="162"/>
      <w:r>
        <w:rPr>
          <w:rFonts w:hint="eastAsia" w:ascii="宋体" w:hAnsi="宋体" w:eastAsia="宋体" w:cs="宋体"/>
          <w:color w:val="auto"/>
          <w:sz w:val="24"/>
          <w:szCs w:val="24"/>
        </w:rPr>
        <w:t xml:space="preserve">中标单位</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27.1中标候选人的选取原则和数量见招标文件第五章规定。</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27.2采购人应根据评委会推荐的中标候选人确定中标人。</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27.3</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“江苏政府采购网”、“盐城市政府采购网”发布中标公告，公告期限为1个工作日。</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27.4若有充分证据证明，中标人出现下列情况之一的，一经查实，将被取消中标资格：</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27.4.1提供虚假材料谋取中标的。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27.4.2向</w:t>
      </w:r>
      <w:r>
        <w:rPr>
          <w:rFonts w:hint="eastAsia" w:ascii="宋体" w:hAnsi="宋体" w:eastAsia="宋体" w:cs="宋体"/>
          <w:color w:val="auto"/>
          <w:sz w:val="24"/>
          <w:szCs w:val="24"/>
          <w:lang w:val="en-US" w:eastAsia="zh-CN"/>
        </w:rPr>
        <w:t xml:space="preserve">代理机构或</w:t>
      </w:r>
      <w:r>
        <w:rPr>
          <w:rFonts w:hint="eastAsia" w:ascii="宋体" w:hAnsi="宋体" w:eastAsia="宋体" w:cs="宋体"/>
          <w:color w:val="auto"/>
          <w:sz w:val="24"/>
          <w:szCs w:val="24"/>
        </w:rPr>
        <w:t xml:space="preserve">采购人行贿或者提供其他不正当利益的。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27.4.3属于本文件规定的无效条件，但在评标过程中又未被评委会发现的。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27.4.4与采购人或者其他供应商恶意串通的。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27.4.5采取不正当手段诋毁、排挤其他供应商的。</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63" w:name="_Toc200451960"/>
      <w:r>
        <w:rPr>
          <w:rFonts w:hint="eastAsia" w:ascii="宋体" w:hAnsi="宋体" w:eastAsia="宋体" w:cs="宋体"/>
          <w:color w:val="auto"/>
          <w:sz w:val="24"/>
          <w:szCs w:val="24"/>
        </w:rPr>
        <w:t xml:space="preserve">27.5有下列情形之一的，视为投标人串通投标，投标无效：</w:t>
      </w:r>
      <w:bookmarkEnd w:id="163"/>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27.5.1不同投标人的投标文件由同一单位或者个人编制。</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27.5.2不同投标人委托同一单位或者个人办理投标事宜。</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27.5.3不同投标人的投标文件载明的项目管理成员或者联系人员为同一人。</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27.5.4不同投标人的投标文件异常一致或者投标报价呈规律性差异。</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28、质疑处理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28.1提出质疑的供应商应当是参与所质疑项目采购活动的供应商。潜在供应商依法获取其可质疑的采购文件的，可以对采购文件提出质疑。</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提出质疑。上述应知其权益受到损害之日，是指：</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28.2.1对可以质疑的采购文件提出质疑的，为收到采购文件之日或者采购文件公告期限届满之日；</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28.2.2对采购过程提出质疑的，为各采购程序环节结束之日；</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28.2.3对中标或者成交结果提出质疑的，为中标或者成交结果公告期限届满之日。</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将只对供应商第一次质疑作出答复。</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28.4供应商（含潜在供应商）对采购方式、采购需求、供应商资格条件及审查结果、评标方法和评标标准、</w:t>
      </w:r>
      <w:r>
        <w:rPr>
          <w:rFonts w:hint="eastAsia" w:ascii="宋体" w:hAnsi="宋体" w:eastAsia="宋体" w:cs="宋体"/>
          <w:color w:val="auto"/>
          <w:sz w:val="24"/>
          <w:szCs w:val="24"/>
          <w:lang w:eastAsia="zh-CN"/>
        </w:rPr>
        <w:t xml:space="preserve">合同条款及资格审查结果的询问</w:t>
      </w:r>
      <w:r>
        <w:rPr>
          <w:rFonts w:hint="eastAsia" w:ascii="宋体" w:hAnsi="宋体" w:eastAsia="宋体" w:cs="宋体"/>
          <w:color w:val="auto"/>
          <w:sz w:val="24"/>
          <w:szCs w:val="24"/>
        </w:rPr>
        <w:t xml:space="preserve">、质疑请向采购人提出，由采购人负责答复。供应商对除上述事项以外其他事项的询问、质疑请向</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提出，由</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负责答复。</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采购人只接收以纸质原件形式送达的质疑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建议供应商尽量通过邮寄方式提交质疑（采购人不接受未填写快递运单的快件）</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质疑受理部门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盐城市东台生态环境局         </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联系地址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东台市金海东路1号         </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val="en-US" w:eastAsia="zh-CN"/>
        </w:rPr>
        <w:t xml:space="preserve">18921831881</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28.5以下情形的质疑不予受理</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28.5.1内容不符合《政府采购质疑和投诉办法》第十二条规定的质疑。</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28.5.2超出政府采购法定期限的质疑。</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28.5.3以传真、电子邮件等方式递交的非原件形式的质疑。</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28.5.4未参加投标活动的供应商或在投标活动中自身权益未受到损害的供应商所提出的质疑。</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28.5.5供应商组成联合体参加投标，联合体中任何一方或多方未按要求签字、盖章、加盖公章的质疑。</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29、中标通知书</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29.l中标结果确定后，</w:t>
      </w:r>
      <w:r>
        <w:rPr>
          <w:rFonts w:hint="eastAsia" w:ascii="宋体" w:hAnsi="宋体" w:eastAsia="宋体" w:cs="宋体"/>
          <w:color w:val="auto"/>
          <w:sz w:val="24"/>
          <w:szCs w:val="24"/>
          <w:lang w:val="en-US" w:eastAsia="zh-CN"/>
        </w:rPr>
        <w:t xml:space="preserve">代理机构</w:t>
      </w:r>
      <w:r>
        <w:rPr>
          <w:rFonts w:hint="eastAsia" w:ascii="宋体" w:hAnsi="宋体" w:eastAsia="宋体" w:cs="宋体"/>
          <w:color w:val="auto"/>
          <w:sz w:val="24"/>
          <w:szCs w:val="24"/>
        </w:rPr>
        <w:t xml:space="preserve">将向中标人发出中标通知书。请中标人在中标结果公告届满之日起30日内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因未及时下载而造成的不利后果由中标人自行承担。</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bookmarkStart w:id="164" w:name="_Toc513029236"/>
      <w:r/>
      <w:bookmarkStart w:id="165" w:name="_Toc20823308"/>
      <w:r/>
      <w:bookmarkStart w:id="166" w:name="_Toc120614220"/>
      <w:r/>
      <w:bookmarkStart w:id="167" w:name="_Toc16938552"/>
      <w:r>
        <w:rPr>
          <w:rFonts w:hint="eastAsia" w:ascii="宋体" w:hAnsi="宋体" w:eastAsia="宋体" w:cs="宋体"/>
          <w:color w:val="auto"/>
          <w:sz w:val="24"/>
          <w:szCs w:val="24"/>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bookmarkEnd w:id="164"/>
      <w:bookmarkEnd w:id="165"/>
      <w:bookmarkEnd w:id="166"/>
      <w:bookmarkEnd w:id="167"/>
      <w:r/>
    </w:p>
    <w:p>
      <w:pPr>
        <w:pStyle w:val="729"/>
        <w:ind w:lef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七、授予合同</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68" w:name="_Toc16938553"/>
      <w:r/>
      <w:bookmarkStart w:id="169" w:name="_Toc513029237"/>
      <w:r/>
      <w:bookmarkStart w:id="170" w:name="_Toc20823309"/>
      <w:r>
        <w:rPr>
          <w:rFonts w:hint="eastAsia" w:ascii="宋体" w:hAnsi="宋体" w:eastAsia="宋体" w:cs="宋体"/>
          <w:color w:val="auto"/>
          <w:sz w:val="24"/>
          <w:szCs w:val="24"/>
        </w:rPr>
        <w:t xml:space="preserve">30.签订合同</w:t>
      </w:r>
      <w:bookmarkEnd w:id="168"/>
      <w:r/>
      <w:bookmarkEnd w:id="169"/>
      <w:r/>
      <w:bookmarkEnd w:id="170"/>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30.l中标人应当在中标通知书发出之日起三十日内，按照招标文件确定的事项与采购人签订政府采购合同。</w:t>
      </w:r>
      <w:r>
        <w:rPr>
          <w:rFonts w:hint="eastAsia" w:ascii="宋体" w:hAnsi="宋体" w:eastAsia="宋体" w:cs="宋体"/>
          <w:color w:val="auto"/>
          <w:sz w:val="24"/>
          <w:szCs w:val="24"/>
          <w:lang w:val="en-US" w:eastAsia="zh-CN"/>
        </w:rPr>
        <w:t xml:space="preserve">所签订的合同不得对招标文件确定的事项和中标人投标文件作实质性修改。招标文件、中标人的投标文件及其澄清文件等均作为签订合同的依据。</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30.2招标文件、中标人的投标文件及招标过程中有关澄清、承诺文件均应作为合同附件。</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30.3签订合同后，</w:t>
      </w:r>
      <w:r>
        <w:rPr>
          <w:rFonts w:hint="eastAsia" w:ascii="宋体" w:hAnsi="宋体" w:eastAsia="宋体" w:cs="宋体"/>
          <w:i/>
          <w:color w:val="auto"/>
          <w:sz w:val="24"/>
          <w:szCs w:val="24"/>
          <w:u w:val="single"/>
        </w:rPr>
        <w:t xml:space="preserve">中标人不得将合同标的进行转包</w:t>
      </w:r>
      <w:r>
        <w:rPr>
          <w:rFonts w:hint="eastAsia" w:ascii="宋体" w:hAnsi="宋体" w:eastAsia="宋体" w:cs="宋体"/>
          <w:color w:val="auto"/>
          <w:sz w:val="24"/>
          <w:szCs w:val="24"/>
        </w:rPr>
        <w:t xml:space="preserve">。未经采购人同意，中标人也不得采用分包的形式履行合同，否则采购人有权终止合同。转包或分包造成采购人损失的，中标人应承担相应赔偿责任。</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30.4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30.5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31、服务（包含与服务相关的货物）的追加</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lang w:eastAsia="zh-CN"/>
        </w:rPr>
        <w:t xml:space="preserve">额的</w:t>
      </w:r>
      <w:r>
        <w:rPr>
          <w:rFonts w:hint="eastAsia" w:ascii="宋体" w:hAnsi="宋体" w:eastAsia="宋体" w:cs="宋体"/>
          <w:color w:val="auto"/>
          <w:sz w:val="24"/>
          <w:szCs w:val="24"/>
        </w:rPr>
        <w:t xml:space="preserve">10%。</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71" w:name="_Toc120614221"/>
      <w:r/>
      <w:bookmarkStart w:id="172" w:name="_Toc479757207"/>
      <w:r/>
      <w:bookmarkStart w:id="173" w:name="_Toc513029242"/>
      <w:r/>
      <w:bookmarkStart w:id="174" w:name="_Toc16938558"/>
      <w:r/>
      <w:bookmarkStart w:id="175" w:name="_Toc20823314"/>
      <w:r>
        <w:rPr>
          <w:rFonts w:hint="eastAsia" w:ascii="宋体" w:hAnsi="宋体" w:eastAsia="宋体" w:cs="宋体"/>
          <w:color w:val="auto"/>
          <w:sz w:val="24"/>
          <w:szCs w:val="24"/>
          <w:highlight w:val="none"/>
        </w:rPr>
        <w:t xml:space="preserve">32、</w:t>
      </w:r>
      <w:bookmarkEnd w:id="171"/>
      <w:r/>
      <w:bookmarkEnd w:id="172"/>
      <w:r/>
      <w:bookmarkEnd w:id="173"/>
      <w:r/>
      <w:bookmarkEnd w:id="174"/>
      <w:r/>
      <w:bookmarkEnd w:id="175"/>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29"/>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33.1</w:t>
      </w:r>
      <w:r>
        <w:rPr>
          <w:rFonts w:hint="eastAsia" w:ascii="宋体" w:hAnsi="宋体" w:eastAsia="宋体" w:cs="宋体"/>
          <w:color w:val="auto"/>
          <w:sz w:val="24"/>
          <w:szCs w:val="24"/>
          <w:highlight w:val="none"/>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财办库〔2020〕123号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执行。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33.2</w:t>
      </w:r>
      <w:r>
        <w:rPr>
          <w:rFonts w:hint="eastAsia" w:ascii="宋体" w:hAnsi="宋体" w:eastAsia="宋体" w:cs="宋体"/>
          <w:color w:val="auto"/>
          <w:sz w:val="24"/>
          <w:szCs w:val="24"/>
          <w:highlight w:val="none"/>
        </w:rPr>
        <w:t xml:space="preserve">本文件中若涉及到数据中心采购，应按照《&lt;绿色数据中心政府采购需求标准（试行）&gt;的通知》（财库〔2023〕7号）执行。</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33.4确需收取履约保证金的，履约保证金的缴纳形式：</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9"/>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如以履约保函（保险）形式缴纳履约保证金，供应商可通过政府采购电子履约保函（保险）平台（www.jsdzbh.com）在线申请履约保函（保险）。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729"/>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黑体" w:hAnsi="宋体" w:eastAsia="黑体" w:cs="黑体"/>
          <w:color w:val="auto"/>
          <w:sz w:val="44"/>
          <w:szCs w:val="44"/>
        </w:rPr>
      </w:pPr>
      <w:r>
        <w:rPr>
          <w:color w:val="auto"/>
        </w:rPr>
        <w:t xml:space="preserve"> </w:t>
      </w:r>
      <w:r/>
    </w:p>
    <w:p>
      <w:pPr>
        <w:rPr>
          <w:rFonts w:hint="eastAsia" w:ascii="黑体" w:hAnsi="黑体" w:eastAsia="黑体" w:cs="黑体"/>
          <w:color w:val="auto"/>
          <w:sz w:val="44"/>
          <w:szCs w:val="44"/>
          <w:lang w:val="en-US" w:eastAsia="zh-CN"/>
        </w:rPr>
      </w:pPr>
      <w:r>
        <w:rPr>
          <w:rFonts w:hint="eastAsia" w:ascii="黑体" w:hAnsi="黑体" w:eastAsia="黑体" w:cs="黑体"/>
          <w:color w:val="auto"/>
          <w:sz w:val="44"/>
          <w:szCs w:val="44"/>
          <w:lang w:val="en-US" w:eastAsia="zh-CN"/>
        </w:rPr>
        <w:br w:type="page" w:clear="all"/>
      </w:r>
      <w:r/>
    </w:p>
    <w:p>
      <w:pPr>
        <w:pStyle w:val="729"/>
        <w:ind w:right="840"/>
        <w:jc w:val="center"/>
        <w:spacing w:beforeAutospacing="0" w:afterAutospacing="0"/>
        <w:rPr>
          <w:rFonts w:hint="eastAsia" w:ascii="黑体" w:hAnsi="黑体" w:eastAsia="黑体" w:cs="黑体"/>
          <w:color w:val="auto"/>
          <w:sz w:val="44"/>
          <w:szCs w:val="44"/>
          <w:lang w:val="en-US" w:eastAsia="zh-CN"/>
        </w:rPr>
      </w:pPr>
      <w:r>
        <w:rPr>
          <w:rFonts w:hint="eastAsia" w:ascii="黑体" w:hAnsi="黑体" w:eastAsia="黑体" w:cs="黑体"/>
          <w:color w:val="auto"/>
          <w:sz w:val="44"/>
          <w:szCs w:val="44"/>
          <w:lang w:val="en-US" w:eastAsia="zh-CN"/>
        </w:rPr>
        <w:t xml:space="preserve">第三章  合同条款</w:t>
      </w:r>
      <w:r/>
    </w:p>
    <w:p>
      <w:pPr>
        <w:pStyle w:val="721"/>
        <w:jc w:val="center"/>
        <w:spacing w:after="0"/>
        <w:rPr>
          <w:rFonts w:hint="eastAsia" w:ascii="宋体" w:hAnsi="宋体" w:cs="宋体"/>
          <w:b/>
          <w:bCs/>
          <w:color w:val="auto"/>
          <w:spacing w:val="-20"/>
          <w:sz w:val="48"/>
          <w:szCs w:val="48"/>
        </w:rPr>
      </w:pPr>
      <w:r/>
      <w:bookmarkStart w:id="176" w:name="_Toc479757211"/>
      <w:r/>
      <w:bookmarkStart w:id="177" w:name="_Toc20823346"/>
      <w:r/>
      <w:bookmarkStart w:id="178" w:name="_Toc462564139"/>
      <w:r/>
      <w:bookmarkStart w:id="179" w:name="_Toc120614244"/>
      <w:r/>
      <w:bookmarkStart w:id="180" w:name="_Toc16938590"/>
      <w:r/>
      <w:bookmarkStart w:id="181" w:name="_Hlt16619350"/>
      <w:r/>
      <w:bookmarkStart w:id="182" w:name="_Hlt16619369"/>
      <w:r/>
      <w:r/>
    </w:p>
    <w:p>
      <w:pPr>
        <w:pStyle w:val="721"/>
        <w:jc w:val="center"/>
        <w:spacing w:after="0"/>
        <w:rPr>
          <w:rFonts w:hint="eastAsia" w:ascii="宋体" w:hAnsi="宋体" w:cs="宋体"/>
          <w:b/>
          <w:bCs/>
          <w:color w:val="auto"/>
          <w:spacing w:val="-20"/>
          <w:sz w:val="48"/>
          <w:szCs w:val="48"/>
        </w:rPr>
      </w:pPr>
      <w:r>
        <w:rPr>
          <w:rFonts w:hint="eastAsia" w:ascii="宋体" w:hAnsi="宋体" w:cs="宋体"/>
          <w:b/>
          <w:bCs/>
          <w:color w:val="auto"/>
          <w:spacing w:val="-20"/>
          <w:sz w:val="48"/>
          <w:szCs w:val="48"/>
        </w:rPr>
      </w:r>
      <w:r/>
    </w:p>
    <w:p>
      <w:pPr>
        <w:pStyle w:val="721"/>
        <w:jc w:val="center"/>
        <w:spacing w:after="0"/>
        <w:rPr>
          <w:rFonts w:hint="eastAsia" w:ascii="宋体" w:hAnsi="宋体" w:cs="宋体"/>
          <w:b/>
          <w:bCs/>
          <w:color w:val="auto"/>
          <w:spacing w:val="-20"/>
          <w:sz w:val="48"/>
          <w:szCs w:val="48"/>
        </w:rPr>
      </w:pPr>
      <w:r>
        <w:rPr>
          <w:rFonts w:hint="eastAsia" w:ascii="宋体" w:hAnsi="宋体" w:cs="宋体"/>
          <w:b/>
          <w:bCs/>
          <w:color w:val="auto"/>
          <w:spacing w:val="-20"/>
          <w:sz w:val="48"/>
          <w:szCs w:val="48"/>
        </w:rPr>
      </w:r>
      <w:r/>
    </w:p>
    <w:p>
      <w:pPr>
        <w:pStyle w:val="721"/>
        <w:jc w:val="center"/>
        <w:spacing w:after="0"/>
        <w:rPr>
          <w:rFonts w:hint="eastAsia" w:ascii="宋体" w:hAnsi="宋体" w:cs="宋体"/>
          <w:b/>
          <w:bCs/>
          <w:color w:val="auto"/>
          <w:spacing w:val="-20"/>
          <w:sz w:val="48"/>
          <w:szCs w:val="48"/>
        </w:rPr>
      </w:pPr>
      <w:r>
        <w:rPr>
          <w:rFonts w:hint="eastAsia" w:ascii="宋体" w:hAnsi="宋体" w:cs="宋体"/>
          <w:b/>
          <w:bCs/>
          <w:color w:val="auto"/>
          <w:spacing w:val="-20"/>
          <w:sz w:val="48"/>
          <w:szCs w:val="48"/>
        </w:rPr>
      </w:r>
      <w:r/>
    </w:p>
    <w:p>
      <w:pPr>
        <w:pStyle w:val="721"/>
        <w:jc w:val="center"/>
        <w:spacing w:after="0"/>
        <w:rPr>
          <w:rFonts w:hint="eastAsia" w:ascii="宋体" w:hAnsi="宋体" w:cs="宋体"/>
          <w:b/>
          <w:bCs/>
          <w:color w:val="auto"/>
          <w:spacing w:val="-20"/>
          <w:sz w:val="48"/>
          <w:szCs w:val="48"/>
        </w:rPr>
      </w:pPr>
      <w:r>
        <w:rPr>
          <w:rFonts w:hint="eastAsia" w:ascii="宋体" w:hAnsi="宋体" w:cs="宋体"/>
          <w:b/>
          <w:bCs/>
          <w:color w:val="auto"/>
          <w:spacing w:val="-20"/>
          <w:sz w:val="48"/>
          <w:szCs w:val="48"/>
        </w:rPr>
      </w:r>
      <w:r/>
    </w:p>
    <w:p>
      <w:pPr>
        <w:pStyle w:val="721"/>
        <w:jc w:val="center"/>
        <w:spacing w:after="0"/>
        <w:rPr>
          <w:rFonts w:hint="eastAsia" w:ascii="宋体" w:hAnsi="宋体" w:cs="宋体"/>
          <w:b/>
          <w:bCs/>
          <w:color w:val="auto"/>
          <w:spacing w:val="-20"/>
          <w:sz w:val="48"/>
          <w:szCs w:val="48"/>
        </w:rPr>
      </w:pPr>
      <w:r>
        <w:rPr>
          <w:rFonts w:hint="eastAsia" w:ascii="宋体" w:hAnsi="宋体" w:cs="宋体"/>
          <w:b/>
          <w:bCs/>
          <w:color w:val="auto"/>
          <w:spacing w:val="-20"/>
          <w:sz w:val="48"/>
          <w:szCs w:val="48"/>
        </w:rPr>
      </w:r>
      <w:r/>
    </w:p>
    <w:p>
      <w:pPr>
        <w:pStyle w:val="721"/>
        <w:jc w:val="center"/>
        <w:spacing w:after="0"/>
        <w:rPr>
          <w:rFonts w:hint="eastAsia" w:ascii="宋体" w:hAnsi="宋体" w:cs="宋体"/>
          <w:b/>
          <w:bCs/>
          <w:color w:val="auto"/>
          <w:spacing w:val="-20"/>
          <w:sz w:val="48"/>
          <w:szCs w:val="48"/>
        </w:rPr>
      </w:pPr>
      <w:r>
        <w:rPr>
          <w:rFonts w:hint="eastAsia" w:ascii="宋体" w:hAnsi="宋体" w:cs="宋体"/>
          <w:b/>
          <w:bCs/>
          <w:color w:val="auto"/>
          <w:spacing w:val="-20"/>
          <w:sz w:val="48"/>
          <w:szCs w:val="48"/>
        </w:rPr>
      </w:r>
      <w:r/>
    </w:p>
    <w:p>
      <w:pPr>
        <w:pStyle w:val="721"/>
        <w:jc w:val="center"/>
        <w:spacing w:after="0"/>
        <w:rPr>
          <w:rFonts w:hint="eastAsia" w:ascii="宋体" w:hAnsi="宋体" w:cs="宋体"/>
          <w:b/>
          <w:bCs/>
          <w:color w:val="auto"/>
          <w:spacing w:val="-20"/>
          <w:sz w:val="48"/>
          <w:szCs w:val="48"/>
        </w:rPr>
      </w:pPr>
      <w:r>
        <w:rPr>
          <w:rFonts w:hint="eastAsia" w:ascii="宋体" w:hAnsi="宋体" w:cs="宋体"/>
          <w:b/>
          <w:bCs/>
          <w:color w:val="auto"/>
          <w:spacing w:val="-20"/>
          <w:sz w:val="48"/>
          <w:szCs w:val="48"/>
        </w:rPr>
        <w:t xml:space="preserve">政府采购</w:t>
      </w:r>
      <w:r>
        <w:rPr>
          <w:rFonts w:hint="eastAsia" w:ascii="宋体" w:hAnsi="宋体" w:cs="宋体"/>
          <w:b/>
          <w:bCs/>
          <w:color w:val="auto"/>
          <w:spacing w:val="-20"/>
          <w:sz w:val="48"/>
          <w:szCs w:val="48"/>
          <w:lang w:eastAsia="zh-CN"/>
        </w:rPr>
        <w:t xml:space="preserve">货物买卖</w:t>
      </w:r>
      <w:r>
        <w:rPr>
          <w:rFonts w:hint="eastAsia" w:ascii="宋体" w:hAnsi="宋体" w:cs="宋体"/>
          <w:b/>
          <w:bCs/>
          <w:color w:val="auto"/>
          <w:spacing w:val="-20"/>
          <w:sz w:val="48"/>
          <w:szCs w:val="48"/>
        </w:rPr>
        <w:t xml:space="preserve">合同</w:t>
      </w:r>
      <w:r/>
    </w:p>
    <w:p>
      <w:pPr>
        <w:pStyle w:val="721"/>
        <w:jc w:val="center"/>
        <w:spacing w:after="0"/>
        <w:rPr>
          <w:rFonts w:hint="eastAsia" w:ascii="宋体" w:hAnsi="宋体" w:eastAsia="宋体" w:cs="宋体"/>
          <w:b/>
          <w:bCs/>
          <w:color w:val="auto"/>
          <w:spacing w:val="-20"/>
          <w:sz w:val="48"/>
          <w:szCs w:val="48"/>
          <w:lang w:eastAsia="zh-CN"/>
        </w:rPr>
      </w:pPr>
      <w:r>
        <w:rPr>
          <w:rFonts w:hint="eastAsia" w:ascii="宋体" w:hAnsi="宋体" w:cs="宋体"/>
          <w:b/>
          <w:bCs/>
          <w:color w:val="auto"/>
          <w:spacing w:val="-20"/>
          <w:sz w:val="48"/>
          <w:szCs w:val="48"/>
          <w:lang w:eastAsia="zh-CN"/>
        </w:rPr>
        <w:t xml:space="preserve">（试行）</w:t>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ind w:left="420"/>
        <w:spacing w:line="360" w:lineRule="auto"/>
        <w:rPr>
          <w:color w:val="auto"/>
          <w:sz w:val="32"/>
          <w:szCs w:val="32"/>
        </w:rPr>
      </w:pPr>
      <w:r>
        <w:rPr>
          <w:rFonts w:hint="eastAsia" w:ascii="宋体" w:hAnsi="宋体" w:cs="宋体"/>
          <w:color w:val="auto"/>
          <w:sz w:val="32"/>
          <w:szCs w:val="32"/>
        </w:rPr>
        <w:t xml:space="preserve">项目名称：</w:t>
      </w:r>
      <w:r>
        <w:rPr>
          <w:rFonts w:hint="eastAsia"/>
          <w:color w:val="auto"/>
          <w:sz w:val="32"/>
          <w:szCs w:val="32"/>
          <w:u w:val="single"/>
          <w:lang w:eastAsia="zh-CN"/>
        </w:rPr>
        <w:t xml:space="preserve">东台生态环境监测站规范化建设项目（采购包</w:t>
      </w:r>
      <w:r>
        <w:rPr>
          <w:rFonts w:hint="eastAsia"/>
          <w:color w:val="auto"/>
          <w:sz w:val="32"/>
          <w:szCs w:val="32"/>
          <w:u w:val="single"/>
          <w:lang w:val="en-US" w:eastAsia="zh-CN"/>
        </w:rPr>
        <w:t xml:space="preserve">  </w:t>
      </w:r>
      <w:r>
        <w:rPr>
          <w:rFonts w:hint="eastAsia"/>
          <w:color w:val="auto"/>
          <w:sz w:val="32"/>
          <w:szCs w:val="32"/>
          <w:u w:val="single"/>
          <w:lang w:eastAsia="zh-CN"/>
        </w:rPr>
        <w:t xml:space="preserve">）</w:t>
      </w:r>
      <w:r/>
    </w:p>
    <w:p>
      <w:pPr>
        <w:ind w:left="420"/>
        <w:spacing w:line="360" w:lineRule="auto"/>
        <w:rPr>
          <w:color w:val="auto"/>
          <w:sz w:val="32"/>
          <w:szCs w:val="32"/>
          <w:u w:val="single"/>
        </w:rPr>
      </w:pPr>
      <w:r>
        <w:rPr>
          <w:rFonts w:hint="eastAsia"/>
          <w:color w:val="auto"/>
          <w:sz w:val="32"/>
          <w:szCs w:val="32"/>
        </w:rPr>
        <w:t xml:space="preserve">合同编号：</w:t>
      </w:r>
      <w:r>
        <w:rPr>
          <w:rFonts w:hint="eastAsia"/>
          <w:color w:val="auto"/>
          <w:sz w:val="32"/>
          <w:szCs w:val="32"/>
          <w:u w:val="single"/>
        </w:rPr>
        <w:t xml:space="preserve">                             </w:t>
      </w:r>
      <w:r/>
    </w:p>
    <w:p>
      <w:pPr>
        <w:ind w:left="420"/>
        <w:spacing w:line="360" w:lineRule="auto"/>
        <w:rPr>
          <w:color w:val="auto"/>
          <w:sz w:val="32"/>
          <w:szCs w:val="32"/>
        </w:rPr>
      </w:pPr>
      <w:r>
        <w:rPr>
          <w:rFonts w:hint="eastAsia"/>
          <w:color w:val="auto"/>
          <w:sz w:val="32"/>
          <w:szCs w:val="32"/>
        </w:rPr>
        <w:t xml:space="preserve">甲    方：</w:t>
      </w:r>
      <w:r>
        <w:rPr>
          <w:rFonts w:hint="eastAsia"/>
          <w:color w:val="auto"/>
          <w:sz w:val="32"/>
          <w:szCs w:val="32"/>
          <w:u w:val="single"/>
        </w:rPr>
        <w:t xml:space="preserve">     </w:t>
      </w:r>
      <w:r>
        <w:rPr>
          <w:rFonts w:hint="eastAsia"/>
          <w:color w:val="auto"/>
          <w:sz w:val="32"/>
          <w:szCs w:val="32"/>
          <w:u w:val="single"/>
          <w:lang w:eastAsia="zh-CN"/>
        </w:rPr>
        <w:t xml:space="preserve">盐城市东台生态环境局</w:t>
      </w:r>
      <w:r>
        <w:rPr>
          <w:rFonts w:hint="eastAsia"/>
          <w:color w:val="auto"/>
          <w:sz w:val="32"/>
          <w:szCs w:val="32"/>
          <w:u w:val="single"/>
          <w:lang w:val="en-US" w:eastAsia="zh-CN"/>
        </w:rPr>
        <w:t xml:space="preserve">   </w:t>
      </w:r>
      <w:r>
        <w:rPr>
          <w:rFonts w:hint="eastAsia"/>
          <w:color w:val="auto"/>
          <w:sz w:val="32"/>
          <w:szCs w:val="32"/>
          <w:u w:val="single"/>
        </w:rPr>
        <w:t xml:space="preserve"> </w:t>
      </w:r>
      <w:r/>
    </w:p>
    <w:p>
      <w:pPr>
        <w:ind w:left="420"/>
        <w:spacing w:line="360" w:lineRule="auto"/>
        <w:rPr>
          <w:color w:val="auto"/>
          <w:sz w:val="32"/>
          <w:szCs w:val="32"/>
          <w:u w:val="single"/>
        </w:rPr>
      </w:pPr>
      <w:r>
        <w:rPr>
          <w:rFonts w:hint="eastAsia"/>
          <w:color w:val="auto"/>
          <w:sz w:val="32"/>
          <w:szCs w:val="32"/>
        </w:rPr>
        <w:t xml:space="preserve">乙    方：</w:t>
      </w:r>
      <w:r>
        <w:rPr>
          <w:rFonts w:hint="eastAsia"/>
          <w:color w:val="auto"/>
          <w:sz w:val="32"/>
          <w:szCs w:val="32"/>
          <w:u w:val="single"/>
        </w:rPr>
        <w:t xml:space="preserve">                             </w:t>
      </w:r>
      <w:r/>
    </w:p>
    <w:p>
      <w:pPr>
        <w:ind w:left="420"/>
        <w:spacing w:line="360" w:lineRule="auto"/>
        <w:rPr>
          <w:color w:val="auto"/>
          <w:sz w:val="32"/>
          <w:szCs w:val="32"/>
        </w:rPr>
      </w:pPr>
      <w:r>
        <w:rPr>
          <w:rFonts w:hint="eastAsia"/>
          <w:color w:val="auto"/>
          <w:sz w:val="32"/>
          <w:szCs w:val="32"/>
        </w:rPr>
        <w:t xml:space="preserve">签订时间：</w:t>
      </w:r>
      <w:r>
        <w:rPr>
          <w:rFonts w:hint="eastAsia"/>
          <w:color w:val="auto"/>
          <w:sz w:val="32"/>
          <w:szCs w:val="32"/>
          <w:u w:val="single"/>
        </w:rPr>
        <w:t xml:space="preserve">    </w:t>
      </w:r>
      <w:r>
        <w:rPr>
          <w:rFonts w:hint="eastAsia"/>
          <w:color w:val="auto"/>
          <w:sz w:val="32"/>
          <w:szCs w:val="32"/>
          <w:u w:val="single"/>
          <w:lang w:val="en-US" w:eastAsia="zh-CN"/>
        </w:rPr>
        <w:t xml:space="preserve">   2025年  月  日</w:t>
      </w:r>
      <w:r>
        <w:rPr>
          <w:rFonts w:hint="eastAsia"/>
          <w:color w:val="auto"/>
          <w:sz w:val="32"/>
          <w:szCs w:val="32"/>
          <w:u w:val="single"/>
        </w:rPr>
        <w:t xml:space="preserve">  </w:t>
      </w:r>
      <w:r>
        <w:rPr>
          <w:rFonts w:hint="eastAsia"/>
          <w:color w:val="auto"/>
          <w:sz w:val="32"/>
          <w:szCs w:val="32"/>
          <w:u w:val="single"/>
          <w:lang w:val="en-US" w:eastAsia="zh-CN"/>
        </w:rPr>
        <w:t xml:space="preserve">   </w:t>
      </w:r>
      <w:r>
        <w:rPr>
          <w:rFonts w:hint="eastAsia"/>
          <w:color w:val="auto"/>
          <w:sz w:val="32"/>
          <w:szCs w:val="32"/>
          <w:u w:val="single"/>
        </w:rPr>
        <w:t xml:space="preserve">  </w:t>
      </w:r>
      <w:r/>
    </w:p>
    <w:p>
      <w:pPr>
        <w:rPr>
          <w:color w:val="auto"/>
        </w:rPr>
      </w:pPr>
      <w:r>
        <w:rPr>
          <w:color w:val="auto"/>
        </w:rPr>
      </w:r>
      <w:r/>
    </w:p>
    <w:p>
      <w:pPr>
        <w:rPr>
          <w:rFonts w:eastAsia="黑体"/>
          <w:color w:val="auto"/>
          <w:sz w:val="44"/>
          <w:szCs w:val="44"/>
        </w:rPr>
      </w:pPr>
      <w:r>
        <w:rPr>
          <w:rFonts w:eastAsia="黑体"/>
          <w:color w:val="auto"/>
          <w:sz w:val="44"/>
          <w:szCs w:val="44"/>
        </w:rPr>
        <w:br w:type="page" w:clear="all"/>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jc w:val="center"/>
        <w:rPr>
          <w:rFonts w:hint="eastAsia" w:eastAsia="黑体"/>
          <w:color w:val="auto"/>
          <w:sz w:val="44"/>
          <w:szCs w:val="44"/>
          <w:lang w:eastAsia="zh-CN"/>
        </w:rPr>
      </w:pPr>
      <w:r>
        <w:rPr>
          <w:rFonts w:hint="eastAsia" w:eastAsia="黑体"/>
          <w:color w:val="auto"/>
          <w:sz w:val="44"/>
          <w:szCs w:val="44"/>
          <w:lang w:eastAsia="zh-CN"/>
        </w:rPr>
        <w:t xml:space="preserve">使</w:t>
      </w:r>
      <w:r>
        <w:rPr>
          <w:rFonts w:hint="eastAsia" w:eastAsia="黑体"/>
          <w:color w:val="auto"/>
          <w:sz w:val="44"/>
          <w:szCs w:val="44"/>
          <w:lang w:val="en-US" w:eastAsia="zh-CN"/>
        </w:rPr>
        <w:t xml:space="preserve"> </w:t>
      </w:r>
      <w:r>
        <w:rPr>
          <w:rFonts w:hint="eastAsia" w:eastAsia="黑体"/>
          <w:color w:val="auto"/>
          <w:sz w:val="44"/>
          <w:szCs w:val="44"/>
          <w:lang w:eastAsia="zh-CN"/>
        </w:rPr>
        <w:t xml:space="preserve">用</w:t>
      </w:r>
      <w:r>
        <w:rPr>
          <w:rFonts w:hint="eastAsia" w:eastAsia="黑体"/>
          <w:color w:val="auto"/>
          <w:sz w:val="44"/>
          <w:szCs w:val="44"/>
          <w:lang w:val="en-US" w:eastAsia="zh-CN"/>
        </w:rPr>
        <w:t xml:space="preserve"> </w:t>
      </w:r>
      <w:r>
        <w:rPr>
          <w:rFonts w:hint="eastAsia" w:eastAsia="黑体"/>
          <w:color w:val="auto"/>
          <w:sz w:val="44"/>
          <w:szCs w:val="44"/>
          <w:lang w:eastAsia="zh-CN"/>
        </w:rPr>
        <w:t xml:space="preserve">说</w:t>
      </w:r>
      <w:r>
        <w:rPr>
          <w:rFonts w:hint="eastAsia" w:eastAsia="黑体"/>
          <w:color w:val="auto"/>
          <w:sz w:val="44"/>
          <w:szCs w:val="44"/>
          <w:lang w:val="en-US" w:eastAsia="zh-CN"/>
        </w:rPr>
        <w:t xml:space="preserve"> </w:t>
      </w:r>
      <w:r>
        <w:rPr>
          <w:rFonts w:hint="eastAsia" w:eastAsia="黑体"/>
          <w:color w:val="auto"/>
          <w:sz w:val="44"/>
          <w:szCs w:val="44"/>
          <w:lang w:eastAsia="zh-CN"/>
        </w:rPr>
        <w:t xml:space="preserve">明</w:t>
      </w:r>
      <w:r/>
    </w:p>
    <w:p>
      <w:pPr>
        <w:ind w:firstLine="640"/>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r>
      <w:r/>
    </w:p>
    <w:p>
      <w:pPr>
        <w:ind w:firstLine="640"/>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lang w:val="en-US" w:eastAsia="zh-CN"/>
        </w:rPr>
      </w:pPr>
      <w:r>
        <w:rPr>
          <w:rFonts w:hint="eastAsia" w:eastAsia="黑体"/>
          <w:color w:val="auto"/>
          <w:sz w:val="44"/>
          <w:szCs w:val="44"/>
          <w:lang w:val="en-US" w:eastAsia="zh-CN"/>
        </w:rPr>
        <w:t xml:space="preserve">   </w:t>
      </w:r>
      <w:r>
        <w:rPr>
          <w:rFonts w:hint="eastAsia" w:ascii="宋体" w:hAnsi="宋体" w:eastAsia="宋体" w:cs="宋体"/>
          <w:color w:val="auto"/>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3.本合同标准文本各条款中，如涉及填写多家供应商、制造商，多种采购标的、分包主要内容等信息的，可根据采购项目具体情况添加信息项。</w:t>
      </w:r>
      <w:r/>
    </w:p>
    <w:p>
      <w:pPr>
        <w:rPr>
          <w:rFonts w:hint="eastAsia" w:ascii="黑体" w:hAnsi="黑体" w:eastAsia="黑体"/>
          <w:color w:val="auto"/>
          <w:sz w:val="28"/>
          <w:szCs w:val="28"/>
        </w:rPr>
      </w:pPr>
      <w:r>
        <w:rPr>
          <w:rFonts w:hint="eastAsia" w:ascii="黑体" w:hAnsi="黑体" w:eastAsia="黑体"/>
          <w:color w:val="auto"/>
          <w:sz w:val="28"/>
          <w:szCs w:val="28"/>
        </w:rPr>
      </w:r>
      <w:r/>
    </w:p>
    <w:p>
      <w:pPr>
        <w:rPr>
          <w:rFonts w:hint="eastAsia" w:ascii="黑体" w:hAnsi="黑体" w:eastAsia="黑体"/>
          <w:color w:val="auto"/>
          <w:sz w:val="28"/>
          <w:szCs w:val="28"/>
        </w:rPr>
      </w:pPr>
      <w:r>
        <w:rPr>
          <w:rFonts w:hint="eastAsia" w:ascii="黑体" w:hAnsi="黑体" w:eastAsia="黑体"/>
          <w:color w:val="auto"/>
          <w:sz w:val="28"/>
          <w:szCs w:val="28"/>
        </w:rPr>
        <w:br w:type="page" w:clear="all"/>
      </w:r>
      <w:r/>
    </w:p>
    <w:p>
      <w:pPr>
        <w:jc w:val="center"/>
        <w:keepLines/>
        <w:keepNext/>
        <w:spacing w:line="400" w:lineRule="exact"/>
        <w:rPr>
          <w:rFonts w:ascii="黑体" w:hAnsi="华文中宋" w:eastAsia="黑体"/>
          <w:color w:val="auto"/>
          <w:sz w:val="28"/>
          <w:szCs w:val="28"/>
        </w:rPr>
        <w:outlineLvl w:val="1"/>
      </w:pPr>
      <w:r>
        <w:rPr>
          <w:rFonts w:hint="eastAsia" w:ascii="黑体" w:hAnsi="黑体" w:eastAsia="黑体"/>
          <w:color w:val="auto"/>
          <w:sz w:val="28"/>
          <w:szCs w:val="28"/>
        </w:rPr>
        <w:t xml:space="preserve">第一节 </w:t>
      </w:r>
      <w:r>
        <w:rPr>
          <w:rFonts w:hint="eastAsia" w:ascii="黑体" w:hAnsi="华文中宋" w:eastAsia="黑体"/>
          <w:color w:val="auto"/>
          <w:sz w:val="28"/>
          <w:szCs w:val="28"/>
        </w:rPr>
        <w:t xml:space="preserve">政府采购合同协议书</w:t>
      </w:r>
      <w:r/>
    </w:p>
    <w:p>
      <w:pPr>
        <w:jc w:val="center"/>
        <w:keepLines/>
        <w:keepNext/>
        <w:spacing w:line="360" w:lineRule="auto"/>
        <w:rPr>
          <w:rFonts w:ascii="黑体" w:hAnsi="华文中宋" w:eastAsia="黑体"/>
          <w:color w:val="auto"/>
          <w:sz w:val="28"/>
          <w:szCs w:val="28"/>
        </w:rPr>
        <w:outlineLvl w:val="1"/>
      </w:pPr>
      <w:r>
        <w:rPr>
          <w:rFonts w:ascii="黑体" w:hAnsi="华文中宋" w:eastAsia="黑体"/>
          <w:color w:val="auto"/>
          <w:sz w:val="28"/>
          <w:szCs w:val="28"/>
        </w:rPr>
      </w:r>
      <w:r/>
    </w:p>
    <w:p>
      <w:pPr>
        <w:spacing w:line="360" w:lineRule="auto"/>
        <w:rPr>
          <w:rFonts w:ascii="宋体" w:hAnsi="宋体"/>
          <w:color w:val="auto"/>
          <w:sz w:val="24"/>
        </w:rPr>
      </w:pPr>
      <w:r>
        <w:rPr>
          <w:rFonts w:hint="eastAsia" w:ascii="宋体" w:hAnsi="宋体"/>
          <w:color w:val="auto"/>
          <w:sz w:val="24"/>
        </w:rPr>
        <w:t xml:space="preserve">甲方（全称）：</w:t>
      </w:r>
      <w:r>
        <w:rPr>
          <w:rFonts w:hint="eastAsia" w:ascii="宋体" w:hAnsi="宋体"/>
          <w:color w:val="auto"/>
          <w:sz w:val="24"/>
          <w:lang w:eastAsia="zh-CN"/>
        </w:rPr>
        <w:t xml:space="preserve">盐城市东台生态环境局</w:t>
      </w:r>
      <w:r/>
    </w:p>
    <w:p>
      <w:pPr>
        <w:spacing w:line="360" w:lineRule="auto"/>
        <w:rPr>
          <w:rFonts w:ascii="宋体" w:hAnsi="宋体"/>
          <w:color w:val="auto"/>
          <w:sz w:val="24"/>
        </w:rPr>
      </w:pPr>
      <w:r>
        <w:rPr>
          <w:rFonts w:hint="eastAsia" w:ascii="宋体" w:hAnsi="宋体"/>
          <w:color w:val="auto"/>
          <w:sz w:val="24"/>
        </w:rPr>
        <w:t xml:space="preserve">乙方（全称）：</w:t>
      </w:r>
      <w:r>
        <w:rPr>
          <w:rFonts w:ascii="宋体" w:hAnsi="宋体"/>
          <w:color w:val="auto"/>
          <w:sz w:val="24"/>
        </w:rPr>
        <w:t xml:space="preserve"> </w:t>
      </w:r>
      <w:r/>
    </w:p>
    <w:p>
      <w:pPr>
        <w:ind w:firstLine="480"/>
        <w:spacing w:line="360" w:lineRule="auto"/>
        <w:rPr>
          <w:rFonts w:ascii="宋体" w:hAnsi="宋体"/>
          <w:color w:val="auto"/>
          <w:sz w:val="24"/>
        </w:rPr>
      </w:pPr>
      <w:r>
        <w:rPr>
          <w:rFonts w:hint="eastAsia" w:ascii="宋体" w:hAnsi="宋体"/>
          <w:color w:val="auto"/>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color w:val="auto"/>
          <w:sz w:val="24"/>
        </w:rPr>
      </w:pPr>
      <w:r>
        <w:rPr>
          <w:rFonts w:hint="eastAsia" w:ascii="宋体" w:hAnsi="宋体"/>
          <w:b/>
          <w:color w:val="auto"/>
          <w:sz w:val="24"/>
        </w:rPr>
        <w:t xml:space="preserve">项目信息</w:t>
      </w:r>
      <w:r/>
    </w:p>
    <w:p>
      <w:pPr>
        <w:numPr>
          <w:ilvl w:val="0"/>
          <w:numId w:val="2"/>
        </w:numPr>
        <w:ind w:firstLine="480"/>
        <w:spacing w:line="360" w:lineRule="auto"/>
        <w:rPr>
          <w:rFonts w:ascii="宋体" w:hAnsi="宋体"/>
          <w:color w:val="auto"/>
          <w:sz w:val="24"/>
          <w:u w:val="single"/>
        </w:rPr>
      </w:pPr>
      <w:r>
        <w:rPr>
          <w:rFonts w:hint="eastAsia" w:ascii="宋体" w:hAnsi="宋体"/>
          <w:color w:val="auto"/>
          <w:sz w:val="24"/>
        </w:rPr>
        <w:t xml:space="preserve">采购项目名称：</w:t>
      </w:r>
      <w:r>
        <w:rPr>
          <w:rFonts w:hint="eastAsia" w:ascii="宋体" w:hAnsi="宋体"/>
          <w:color w:val="auto"/>
          <w:sz w:val="24"/>
          <w:lang w:eastAsia="zh-CN"/>
        </w:rPr>
        <w:t xml:space="preserve">东台生态环境监测站规范化建设项目</w:t>
      </w:r>
      <w:r/>
    </w:p>
    <w:p>
      <w:pPr>
        <w:numPr>
          <w:ilvl w:val="255"/>
          <w:numId w:val="0"/>
        </w:numPr>
        <w:spacing w:line="360" w:lineRule="auto"/>
        <w:tabs>
          <w:tab w:val="left" w:pos="999" w:leader="none"/>
        </w:tabs>
        <w:rPr>
          <w:rFonts w:ascii="宋体" w:hAnsi="宋体"/>
          <w:color w:val="auto"/>
          <w:sz w:val="24"/>
        </w:rPr>
      </w:pPr>
      <w:r>
        <w:rPr>
          <w:rFonts w:hint="eastAsia" w:ascii="宋体" w:hAnsi="宋体"/>
          <w:color w:val="auto"/>
          <w:sz w:val="24"/>
        </w:rPr>
        <w:t xml:space="preserve">         采购项目编号：</w:t>
      </w:r>
      <w:r/>
    </w:p>
    <w:p>
      <w:pPr>
        <w:ind w:firstLine="480"/>
        <w:spacing w:line="360" w:lineRule="auto"/>
        <w:rPr>
          <w:rFonts w:ascii="宋体" w:hAnsi="宋体"/>
          <w:color w:val="auto"/>
          <w:sz w:val="24"/>
        </w:rPr>
      </w:pPr>
      <w:r>
        <w:rPr>
          <w:rFonts w:hint="eastAsia" w:ascii="宋体" w:hAnsi="宋体"/>
          <w:color w:val="auto"/>
          <w:sz w:val="24"/>
        </w:rPr>
        <w:t xml:space="preserve">（2）采购计划编号：</w:t>
      </w:r>
      <w:r/>
    </w:p>
    <w:p>
      <w:pPr>
        <w:ind w:firstLine="480"/>
        <w:spacing w:line="360" w:lineRule="auto"/>
        <w:rPr>
          <w:rFonts w:ascii="宋体" w:hAnsi="宋体"/>
          <w:color w:val="auto"/>
          <w:sz w:val="24"/>
        </w:rPr>
      </w:pPr>
      <w:r>
        <w:rPr>
          <w:rFonts w:hint="eastAsia" w:ascii="宋体" w:hAnsi="宋体"/>
          <w:color w:val="auto"/>
          <w:sz w:val="24"/>
        </w:rPr>
        <w:t xml:space="preserve">（3）项目内容：</w:t>
      </w:r>
      <w:r/>
    </w:p>
    <w:p>
      <w:pPr>
        <w:ind w:firstLine="480"/>
        <w:spacing w:line="360" w:lineRule="auto"/>
        <w:rPr>
          <w:rFonts w:ascii="宋体" w:hAnsi="宋体"/>
          <w:color w:val="auto"/>
          <w:sz w:val="24"/>
        </w:rPr>
      </w:pPr>
      <w:r>
        <w:rPr>
          <w:rFonts w:hint="eastAsia" w:ascii="宋体" w:hAnsi="宋体"/>
          <w:color w:val="auto"/>
          <w:sz w:val="24"/>
        </w:rPr>
        <w:t xml:space="preserve">采购标的及数量（台/套</w:t>
      </w:r>
      <w:r>
        <w:rPr>
          <w:rFonts w:ascii="宋体" w:hAnsi="宋体"/>
          <w:color w:val="auto"/>
          <w:sz w:val="24"/>
        </w:rPr>
        <w:t xml:space="preserve">/</w:t>
      </w:r>
      <w:r>
        <w:rPr>
          <w:rFonts w:hint="eastAsia" w:ascii="宋体" w:hAnsi="宋体"/>
          <w:color w:val="auto"/>
          <w:sz w:val="24"/>
        </w:rPr>
        <w:t xml:space="preserve">个</w:t>
      </w:r>
      <w:r>
        <w:rPr>
          <w:rFonts w:ascii="宋体" w:hAnsi="宋体"/>
          <w:color w:val="auto"/>
          <w:sz w:val="24"/>
        </w:rPr>
        <w:t xml:space="preserve">/</w:t>
      </w:r>
      <w:r>
        <w:rPr>
          <w:rFonts w:hint="eastAsia" w:ascii="宋体" w:hAnsi="宋体"/>
          <w:color w:val="auto"/>
          <w:sz w:val="24"/>
        </w:rPr>
        <w:t xml:space="preserve">架</w:t>
      </w:r>
      <w:r>
        <w:rPr>
          <w:rFonts w:ascii="宋体" w:hAnsi="宋体"/>
          <w:color w:val="auto"/>
          <w:sz w:val="24"/>
        </w:rPr>
        <w:t xml:space="preserve">/</w:t>
      </w:r>
      <w:r>
        <w:rPr>
          <w:rFonts w:hint="eastAsia" w:ascii="宋体" w:hAnsi="宋体"/>
          <w:color w:val="auto"/>
          <w:sz w:val="24"/>
        </w:rPr>
        <w:t xml:space="preserve">组等）：</w:t>
      </w:r>
      <w:r>
        <w:rPr>
          <w:rFonts w:hint="eastAsia" w:ascii="宋体" w:hAnsi="宋体"/>
          <w:color w:val="auto"/>
          <w:sz w:val="24"/>
          <w:lang w:val="en-US" w:eastAsia="zh-CN"/>
        </w:rPr>
        <w:t xml:space="preserve">详见投标（响应）文件</w:t>
      </w:r>
      <w:r/>
    </w:p>
    <w:p>
      <w:pPr>
        <w:numPr>
          <w:ilvl w:val="255"/>
          <w:numId w:val="0"/>
        </w:numPr>
        <w:ind w:firstLine="480"/>
        <w:spacing w:line="360" w:lineRule="auto"/>
        <w:rPr>
          <w:rFonts w:ascii="宋体" w:hAnsi="宋体" w:cs="宋体"/>
          <w:color w:val="auto"/>
          <w:sz w:val="24"/>
        </w:rPr>
      </w:pPr>
      <w:r>
        <w:rPr>
          <w:rFonts w:hint="eastAsia" w:ascii="宋体" w:hAnsi="宋体" w:cs="宋体"/>
          <w:color w:val="auto"/>
          <w:sz w:val="24"/>
        </w:rPr>
        <w:t xml:space="preserve">品牌：</w:t>
      </w:r>
      <w:r>
        <w:rPr>
          <w:rFonts w:hint="eastAsia" w:ascii="宋体" w:hAnsi="宋体" w:cs="宋体"/>
          <w:color w:val="auto"/>
          <w:sz w:val="24"/>
          <w:lang w:val="en-US" w:eastAsia="zh-CN"/>
        </w:rPr>
        <w:t xml:space="preserve">详见投标（响应）文件  </w:t>
      </w:r>
      <w:r>
        <w:rPr>
          <w:rFonts w:hint="eastAsia" w:ascii="宋体" w:hAnsi="宋体" w:cs="宋体"/>
          <w:color w:val="auto"/>
          <w:sz w:val="24"/>
        </w:rPr>
        <w:t xml:space="preserve">规格型号：</w:t>
      </w:r>
      <w:r>
        <w:rPr>
          <w:rFonts w:hint="eastAsia" w:ascii="宋体" w:hAnsi="宋体" w:cs="宋体"/>
          <w:color w:val="auto"/>
          <w:sz w:val="24"/>
          <w:lang w:val="en-US" w:eastAsia="zh-CN"/>
        </w:rPr>
        <w:t xml:space="preserve">详见投标（响应）文件</w:t>
      </w:r>
      <w:r/>
    </w:p>
    <w:p>
      <w:pPr>
        <w:numPr>
          <w:ilvl w:val="255"/>
          <w:numId w:val="0"/>
        </w:numPr>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ascii="宋体" w:hAnsi="宋体" w:cs="宋体"/>
          <w:color w:val="auto"/>
          <w:sz w:val="24"/>
        </w:rPr>
        <w:t xml:space="preserve">4</w:t>
      </w:r>
      <w:r>
        <w:rPr>
          <w:rFonts w:hint="eastAsia" w:ascii="宋体" w:hAnsi="宋体" w:cs="宋体"/>
          <w:color w:val="auto"/>
          <w:sz w:val="24"/>
        </w:rPr>
        <w:t xml:space="preserve">）政府采购组织形式：</w:t>
      </w:r>
      <w:r>
        <w:rPr>
          <w:rFonts w:ascii="Wingdings" w:hAnsi="Wingdings" w:eastAsia="Wingdings" w:cs="Wingdings"/>
          <w:color w:val="auto"/>
          <w:sz w:val="24"/>
        </w:rPr>
        <w:t xml:space="preserve"></w:t>
      </w:r>
      <w:r>
        <w:rPr>
          <w:rFonts w:hint="eastAsia" w:ascii="宋体" w:hAnsi="宋体" w:cs="宋体"/>
          <w:color w:val="auto"/>
          <w:sz w:val="24"/>
        </w:rPr>
        <w:t xml:space="preserve">政府集中采购</w:t>
      </w:r>
      <w:r>
        <w:rPr>
          <w:rFonts w:ascii="Wingdings" w:hAnsi="Wingdings" w:eastAsia="Wingdings" w:cs="Wingdings"/>
          <w:color w:val="auto"/>
          <w:sz w:val="24"/>
        </w:rPr>
        <w:t xml:space="preserve"></w:t>
      </w:r>
      <w:r>
        <w:rPr>
          <w:rFonts w:hint="eastAsia" w:ascii="宋体" w:hAnsi="宋体" w:cs="宋体"/>
          <w:color w:val="auto"/>
          <w:sz w:val="24"/>
        </w:rPr>
        <w:t xml:space="preserve">部门集中采购  </w:t>
      </w:r>
      <w:r>
        <w:rPr>
          <w:rFonts w:ascii="Wingdings" w:hAnsi="Wingdings" w:eastAsia="Wingdings" w:cs="Wingdings"/>
          <w:color w:val="auto"/>
          <w:sz w:val="24"/>
        </w:rPr>
        <w:t xml:space="preserve">þ</w:t>
      </w:r>
      <w:r>
        <w:rPr>
          <w:rFonts w:hint="eastAsia" w:ascii="宋体" w:hAnsi="宋体" w:cs="宋体"/>
          <w:color w:val="auto"/>
          <w:sz w:val="24"/>
        </w:rPr>
        <w:t xml:space="preserve">分散采购</w:t>
      </w:r>
      <w:r/>
    </w:p>
    <w:p>
      <w:pPr>
        <w:numPr>
          <w:ilvl w:val="255"/>
          <w:numId w:val="0"/>
        </w:num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5</w:t>
      </w:r>
      <w:r>
        <w:rPr>
          <w:rFonts w:hint="eastAsia" w:ascii="宋体" w:hAnsi="宋体" w:cs="宋体"/>
          <w:color w:val="auto"/>
          <w:sz w:val="24"/>
        </w:rPr>
        <w:t xml:space="preserve">）政府采购方式：</w:t>
      </w:r>
      <w:r>
        <w:rPr>
          <w:rFonts w:ascii="Wingdings" w:hAnsi="Wingdings" w:eastAsia="Wingdings" w:cs="Wingdings"/>
          <w:color w:val="auto"/>
          <w:sz w:val="24"/>
        </w:rPr>
        <w:t xml:space="preserve">þ</w:t>
      </w:r>
      <w:r>
        <w:rPr>
          <w:rFonts w:hint="eastAsia" w:ascii="宋体" w:hAnsi="宋体" w:cs="宋体"/>
          <w:color w:val="auto"/>
          <w:sz w:val="24"/>
        </w:rPr>
        <w:t xml:space="preserve">公开招标</w:t>
      </w:r>
      <w:r>
        <w:rPr>
          <w:rFonts w:ascii="Wingdings" w:hAnsi="Wingdings" w:eastAsia="Wingdings" w:cs="Wingdings"/>
          <w:color w:val="auto"/>
          <w:sz w:val="24"/>
        </w:rPr>
        <w:t xml:space="preserve"></w:t>
      </w:r>
      <w:r>
        <w:rPr>
          <w:rFonts w:hint="eastAsia" w:ascii="宋体" w:hAnsi="宋体" w:cs="宋体"/>
          <w:color w:val="auto"/>
          <w:sz w:val="24"/>
        </w:rPr>
        <w:t xml:space="preserve">邀请招标</w:t>
      </w:r>
      <w:r>
        <w:rPr>
          <w:rFonts w:ascii="Wingdings" w:hAnsi="Wingdings" w:eastAsia="Wingdings" w:cs="Wingdings"/>
          <w:color w:val="auto"/>
          <w:sz w:val="24"/>
        </w:rPr>
        <w:t xml:space="preserve"></w:t>
      </w:r>
      <w:r>
        <w:rPr>
          <w:rFonts w:hint="eastAsia" w:ascii="宋体" w:hAnsi="宋体" w:cs="宋体"/>
          <w:color w:val="auto"/>
          <w:sz w:val="24"/>
        </w:rPr>
        <w:t xml:space="preserve">竞争性谈判</w:t>
      </w:r>
      <w:r>
        <w:rPr>
          <w:rFonts w:ascii="Wingdings" w:hAnsi="Wingdings" w:eastAsia="Wingdings" w:cs="Wingdings"/>
          <w:color w:val="auto"/>
          <w:sz w:val="24"/>
        </w:rPr>
        <w:t xml:space="preserve"></w:t>
      </w:r>
      <w:r>
        <w:rPr>
          <w:rFonts w:hint="eastAsia" w:ascii="宋体" w:hAnsi="宋体" w:cs="宋体"/>
          <w:color w:val="auto"/>
          <w:sz w:val="24"/>
        </w:rPr>
        <w:t xml:space="preserve">竞争性磋商</w:t>
      </w:r>
      <w:r/>
    </w:p>
    <w:p>
      <w:pPr>
        <w:numPr>
          <w:ilvl w:val="255"/>
          <w:numId w:val="0"/>
        </w:numPr>
        <w:ind w:firstLine="420"/>
        <w:jc w:val="left"/>
        <w:spacing w:line="360" w:lineRule="auto"/>
        <w:widowControl/>
        <w:rPr>
          <w:rFonts w:ascii="宋体" w:hAnsi="宋体" w:cs="宋体"/>
          <w:color w:val="auto"/>
          <w:sz w:val="24"/>
          <w:u w:val="single"/>
        </w:rPr>
      </w:pPr>
      <w:r>
        <w:rPr>
          <w:rFonts w:ascii="Wingdings" w:hAnsi="Wingdings" w:eastAsia="Wingdings" w:cs="Wingdings"/>
          <w:color w:val="auto"/>
          <w:sz w:val="24"/>
        </w:rPr>
        <w:t xml:space="preserve"></w:t>
      </w:r>
      <w:r>
        <w:rPr>
          <w:rFonts w:hint="eastAsia" w:ascii="宋体" w:hAnsi="宋体" w:cs="宋体"/>
          <w:color w:val="auto"/>
          <w:sz w:val="24"/>
        </w:rPr>
        <w:t xml:space="preserve">询价</w:t>
      </w:r>
      <w:r>
        <w:rPr>
          <w:rFonts w:ascii="Wingdings" w:hAnsi="Wingdings" w:eastAsia="Wingdings" w:cs="Wingdings"/>
          <w:color w:val="auto"/>
          <w:sz w:val="24"/>
        </w:rPr>
        <w:t xml:space="preserve"></w:t>
      </w:r>
      <w:r>
        <w:rPr>
          <w:rFonts w:hint="eastAsia" w:ascii="宋体" w:hAnsi="宋体" w:cs="宋体"/>
          <w:color w:val="auto"/>
          <w:sz w:val="24"/>
        </w:rPr>
        <w:t xml:space="preserve">单一来源</w:t>
      </w:r>
      <w:r>
        <w:rPr>
          <w:rFonts w:ascii="Wingdings" w:hAnsi="Wingdings" w:eastAsia="Wingdings" w:cs="Wingdings"/>
          <w:color w:val="auto"/>
          <w:sz w:val="24"/>
        </w:rPr>
        <w:t xml:space="preserve"></w:t>
      </w:r>
      <w:r>
        <w:rPr>
          <w:rFonts w:hint="eastAsia" w:ascii="宋体" w:hAnsi="宋体" w:cs="宋体"/>
          <w:color w:val="auto"/>
          <w:sz w:val="24"/>
        </w:rPr>
        <w:t xml:space="preserve">框架协议</w:t>
      </w:r>
      <w:r>
        <w:rPr>
          <w:rFonts w:ascii="Wingdings" w:hAnsi="Wingdings" w:eastAsia="Wingdings" w:cs="Wingdings"/>
          <w:color w:val="auto"/>
          <w:sz w:val="24"/>
        </w:rPr>
        <w:t xml:space="preserve"></w:t>
      </w:r>
      <w:r>
        <w:rPr>
          <w:rFonts w:hint="eastAsia" w:ascii="宋体" w:hAnsi="宋体" w:cs="宋体"/>
          <w:color w:val="auto"/>
          <w:sz w:val="24"/>
        </w:rPr>
        <w:t xml:space="preserve">其他：</w:t>
      </w:r>
      <w:r/>
    </w:p>
    <w:p>
      <w:pPr>
        <w:numPr>
          <w:ilvl w:val="255"/>
          <w:numId w:val="0"/>
        </w:num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（注：在框架协议采购的第二阶段，可选择使用该合同文本）</w:t>
      </w:r>
      <w:r/>
    </w:p>
    <w:p>
      <w:pPr>
        <w:numPr>
          <w:ilvl w:val="255"/>
          <w:numId w:val="0"/>
        </w:numPr>
        <w:ind w:firstLine="240"/>
        <w:jc w:val="left"/>
        <w:spacing w:line="360" w:lineRule="auto"/>
        <w:widowControl/>
        <w:rPr>
          <w:rFonts w:ascii="宋体" w:hAnsi="宋体"/>
          <w:color w:val="auto"/>
          <w:sz w:val="24"/>
        </w:rPr>
      </w:pPr>
      <w:r>
        <w:rPr>
          <w:rFonts w:hint="eastAsia" w:ascii="宋体" w:hAnsi="宋体" w:eastAsia="华文楷体" w:cs="华文楷体"/>
          <w:color w:val="auto"/>
          <w:sz w:val="24"/>
        </w:rPr>
        <w:t xml:space="preserve"> （</w:t>
      </w:r>
      <w:r>
        <w:rPr>
          <w:rFonts w:ascii="宋体" w:hAnsi="宋体" w:eastAsia="华文楷体" w:cs="华文楷体"/>
          <w:color w:val="auto"/>
          <w:sz w:val="24"/>
        </w:rPr>
        <w:t xml:space="preserve">6</w:t>
      </w:r>
      <w:r>
        <w:rPr>
          <w:rFonts w:hint="eastAsia" w:ascii="宋体" w:hAnsi="宋体" w:eastAsia="华文楷体" w:cs="华文楷体"/>
          <w:color w:val="auto"/>
          <w:sz w:val="24"/>
        </w:rPr>
        <w:t xml:space="preserve">）</w:t>
      </w:r>
      <w:r>
        <w:rPr>
          <w:rFonts w:hint="eastAsia" w:ascii="宋体" w:hAnsi="宋体"/>
          <w:color w:val="auto"/>
          <w:sz w:val="24"/>
        </w:rPr>
        <w:t xml:space="preserve">中标（成交）采购标的制造商是否为中小企业：</w:t>
      </w:r>
      <w:r>
        <w:rPr>
          <w:rFonts w:ascii="Wingdings" w:hAnsi="Wingdings" w:eastAsia="Wingdings" w:cs="Wingdings"/>
          <w:color w:val="auto"/>
          <w:sz w:val="24"/>
        </w:rPr>
        <w:t xml:space="preserve"></w:t>
      </w:r>
      <w:r>
        <w:rPr>
          <w:rFonts w:hint="eastAsia" w:ascii="宋体" w:hAnsi="宋体"/>
          <w:color w:val="auto"/>
          <w:sz w:val="24"/>
        </w:rPr>
        <w:t xml:space="preserve">是      </w:t>
      </w:r>
      <w:r>
        <w:rPr>
          <w:rFonts w:ascii="Wingdings" w:hAnsi="Wingdings" w:eastAsia="Wingdings" w:cs="Wingdings"/>
          <w:color w:val="auto"/>
          <w:sz w:val="24"/>
        </w:rPr>
        <w:t xml:space="preserve"></w:t>
      </w:r>
      <w:r>
        <w:rPr>
          <w:rFonts w:hint="eastAsia" w:ascii="宋体" w:hAnsi="宋体"/>
          <w:color w:val="auto"/>
          <w:sz w:val="24"/>
        </w:rPr>
        <w:t xml:space="preserve">否</w:t>
      </w:r>
      <w:r/>
    </w:p>
    <w:p>
      <w:pPr>
        <w:numPr>
          <w:ilvl w:val="255"/>
          <w:numId w:val="0"/>
        </w:numPr>
        <w:spacing w:line="360" w:lineRule="auto"/>
        <w:rPr>
          <w:rFonts w:ascii="宋体" w:hAnsi="宋体"/>
          <w:iCs/>
          <w:color w:val="auto"/>
          <w:sz w:val="24"/>
        </w:rPr>
      </w:pPr>
      <w:r>
        <w:rPr>
          <w:rFonts w:hint="eastAsia" w:ascii="宋体" w:hAnsi="宋体"/>
          <w:color w:val="auto"/>
          <w:sz w:val="24"/>
        </w:rPr>
        <w:t xml:space="preserve">         本合同是否为专门面向中小企业的采购合同（中小企业预留合同）：</w:t>
      </w:r>
      <w:r>
        <w:rPr>
          <w:rFonts w:ascii="Wingdings" w:hAnsi="Wingdings" w:eastAsia="Wingdings" w:cs="Wingdings"/>
          <w:iCs/>
          <w:color w:val="auto"/>
          <w:sz w:val="24"/>
        </w:rPr>
        <w:t xml:space="preserve"></w:t>
      </w:r>
      <w:r>
        <w:rPr>
          <w:rFonts w:hint="eastAsia" w:ascii="宋体" w:hAnsi="宋体"/>
          <w:iCs/>
          <w:color w:val="auto"/>
          <w:sz w:val="24"/>
        </w:rPr>
        <w:t xml:space="preserve">是 </w:t>
      </w:r>
      <w:r>
        <w:rPr>
          <w:rFonts w:ascii="Wingdings" w:hAnsi="Wingdings" w:eastAsia="Wingdings" w:cs="Wingdings"/>
          <w:iCs/>
          <w:color w:val="auto"/>
          <w:sz w:val="24"/>
        </w:rPr>
        <w:t xml:space="preserve"></w:t>
      </w:r>
      <w:r>
        <w:rPr>
          <w:rFonts w:hint="eastAsia" w:ascii="宋体" w:hAnsi="宋体"/>
          <w:iCs/>
          <w:color w:val="auto"/>
          <w:sz w:val="24"/>
        </w:rPr>
        <w:t xml:space="preserve">否</w:t>
      </w:r>
      <w:r/>
    </w:p>
    <w:p>
      <w:pPr>
        <w:numPr>
          <w:ilvl w:val="255"/>
          <w:numId w:val="0"/>
        </w:numPr>
        <w:spacing w:line="360" w:lineRule="auto"/>
        <w:rPr>
          <w:rFonts w:ascii="宋体" w:hAnsi="宋体"/>
          <w:iCs/>
          <w:color w:val="auto"/>
          <w:sz w:val="24"/>
        </w:rPr>
      </w:pPr>
      <w:r>
        <w:rPr>
          <w:rFonts w:hint="eastAsia"/>
          <w:color w:val="auto"/>
          <w:sz w:val="24"/>
        </w:rPr>
        <w:t xml:space="preserve">         若本项目不专门面向中小企业采购，是否给予小微企业评审优惠：</w:t>
      </w:r>
      <w:r>
        <w:rPr>
          <w:rFonts w:ascii="Wingdings" w:hAnsi="Wingdings" w:eastAsia="Wingdings" w:cs="Wingdings"/>
          <w:iCs/>
          <w:color w:val="auto"/>
          <w:sz w:val="24"/>
        </w:rPr>
        <w:t xml:space="preserve"></w:t>
      </w:r>
      <w:r>
        <w:rPr>
          <w:rFonts w:hint="eastAsia" w:ascii="宋体" w:hAnsi="宋体"/>
          <w:iCs/>
          <w:color w:val="auto"/>
          <w:sz w:val="24"/>
        </w:rPr>
        <w:t xml:space="preserve">是   </w:t>
      </w:r>
      <w:r>
        <w:rPr>
          <w:rFonts w:ascii="Wingdings" w:hAnsi="Wingdings" w:eastAsia="Wingdings" w:cs="Wingdings"/>
          <w:iCs/>
          <w:color w:val="auto"/>
          <w:sz w:val="24"/>
        </w:rPr>
        <w:t xml:space="preserve"></w:t>
      </w:r>
      <w:r>
        <w:rPr>
          <w:rFonts w:hint="eastAsia" w:ascii="宋体" w:hAnsi="宋体"/>
          <w:iCs/>
          <w:color w:val="auto"/>
          <w:sz w:val="24"/>
        </w:rPr>
        <w:t xml:space="preserve">否</w:t>
      </w:r>
      <w:r/>
    </w:p>
    <w:p>
      <w:pPr>
        <w:numPr>
          <w:ilvl w:val="255"/>
          <w:numId w:val="0"/>
        </w:numPr>
        <w:spacing w:line="360" w:lineRule="auto"/>
        <w:rPr>
          <w:rFonts w:ascii="宋体" w:hAnsi="宋体"/>
          <w:iCs/>
          <w:color w:val="auto"/>
          <w:sz w:val="24"/>
        </w:rPr>
      </w:pPr>
      <w:r>
        <w:rPr>
          <w:rFonts w:hint="eastAsia"/>
          <w:color w:val="auto"/>
          <w:sz w:val="24"/>
        </w:rPr>
        <w:t xml:space="preserve">         中标（成交）采购标的制造商是否为残疾人福利性单位：</w:t>
      </w:r>
      <w:r>
        <w:rPr>
          <w:rFonts w:ascii="Wingdings" w:hAnsi="Wingdings" w:eastAsia="Wingdings" w:cs="Wingdings"/>
          <w:iCs/>
          <w:color w:val="auto"/>
          <w:sz w:val="24"/>
        </w:rPr>
        <w:t xml:space="preserve"></w:t>
      </w:r>
      <w:r>
        <w:rPr>
          <w:rFonts w:hint="eastAsia" w:ascii="宋体" w:hAnsi="宋体"/>
          <w:iCs/>
          <w:color w:val="auto"/>
          <w:sz w:val="24"/>
        </w:rPr>
        <w:t xml:space="preserve">是   </w:t>
      </w:r>
      <w:r>
        <w:rPr>
          <w:rFonts w:ascii="Wingdings" w:hAnsi="Wingdings" w:eastAsia="Wingdings" w:cs="Wingdings"/>
          <w:iCs/>
          <w:color w:val="auto"/>
          <w:sz w:val="24"/>
        </w:rPr>
        <w:t xml:space="preserve"></w:t>
      </w:r>
      <w:r>
        <w:rPr>
          <w:rFonts w:hint="eastAsia" w:ascii="宋体" w:hAnsi="宋体"/>
          <w:iCs/>
          <w:color w:val="auto"/>
          <w:sz w:val="24"/>
        </w:rPr>
        <w:t xml:space="preserve">否</w:t>
      </w:r>
      <w:r/>
    </w:p>
    <w:p>
      <w:pPr>
        <w:spacing w:line="360" w:lineRule="auto"/>
        <w:rPr>
          <w:color w:val="auto"/>
          <w:sz w:val="24"/>
        </w:rPr>
      </w:pPr>
      <w:r>
        <w:rPr>
          <w:rFonts w:hint="eastAsia"/>
          <w:color w:val="auto"/>
          <w:sz w:val="24"/>
        </w:rPr>
        <w:t xml:space="preserve">         中标（成交）采购标的制造商是否为监狱企业：</w:t>
      </w:r>
      <w:r>
        <w:rPr>
          <w:rFonts w:ascii="Wingdings" w:hAnsi="Wingdings" w:eastAsia="Wingdings" w:cs="Wingdings"/>
          <w:iCs/>
          <w:color w:val="auto"/>
          <w:sz w:val="24"/>
        </w:rPr>
        <w:t xml:space="preserve"></w:t>
      </w:r>
      <w:r>
        <w:rPr>
          <w:rFonts w:hint="eastAsia" w:ascii="宋体" w:hAnsi="宋体"/>
          <w:iCs/>
          <w:color w:val="auto"/>
          <w:sz w:val="24"/>
        </w:rPr>
        <w:t xml:space="preserve">是       </w:t>
      </w:r>
      <w:r>
        <w:rPr>
          <w:rFonts w:ascii="Wingdings" w:hAnsi="Wingdings" w:eastAsia="Wingdings" w:cs="Wingdings"/>
          <w:iCs/>
          <w:color w:val="auto"/>
          <w:sz w:val="24"/>
        </w:rPr>
        <w:t xml:space="preserve"></w:t>
      </w:r>
      <w:r>
        <w:rPr>
          <w:rFonts w:hint="eastAsia" w:ascii="宋体" w:hAnsi="宋体"/>
          <w:iCs/>
          <w:color w:val="auto"/>
          <w:sz w:val="24"/>
        </w:rPr>
        <w:t xml:space="preserve">否</w:t>
      </w:r>
      <w:r/>
    </w:p>
    <w:p>
      <w:pPr>
        <w:ind w:firstLine="480"/>
        <w:spacing w:line="360" w:lineRule="auto"/>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7</w:t>
      </w:r>
      <w:r>
        <w:rPr>
          <w:rFonts w:hint="eastAsia" w:ascii="宋体" w:hAnsi="宋体"/>
          <w:color w:val="auto"/>
          <w:sz w:val="24"/>
        </w:rPr>
        <w:t xml:space="preserve">）合同是否分包：</w:t>
      </w:r>
      <w:r>
        <w:rPr>
          <w:rFonts w:ascii="Wingdings" w:hAnsi="Wingdings" w:eastAsia="Wingdings" w:cs="Wingdings"/>
          <w:iCs/>
          <w:color w:val="auto"/>
          <w:sz w:val="24"/>
        </w:rPr>
        <w:t xml:space="preserve"></w:t>
      </w:r>
      <w:r>
        <w:rPr>
          <w:rFonts w:hint="eastAsia" w:ascii="宋体" w:hAnsi="宋体"/>
          <w:iCs/>
          <w:color w:val="auto"/>
          <w:sz w:val="24"/>
        </w:rPr>
        <w:t xml:space="preserve">是       </w:t>
      </w:r>
      <w:r>
        <w:rPr>
          <w:rFonts w:ascii="Wingdings" w:hAnsi="Wingdings" w:eastAsia="Wingdings" w:cs="Wingdings"/>
          <w:iCs/>
          <w:color w:val="auto"/>
          <w:sz w:val="24"/>
        </w:rPr>
        <w:t xml:space="preserve"></w:t>
      </w:r>
      <w:r>
        <w:rPr>
          <w:rFonts w:hint="eastAsia" w:ascii="宋体" w:hAnsi="宋体"/>
          <w:iCs/>
          <w:color w:val="auto"/>
          <w:sz w:val="24"/>
        </w:rPr>
        <w:t xml:space="preserve">否</w:t>
      </w:r>
      <w:r/>
    </w:p>
    <w:p>
      <w:pPr>
        <w:ind w:firstLine="960"/>
        <w:spacing w:line="360" w:lineRule="auto"/>
        <w:rPr>
          <w:rFonts w:ascii="宋体" w:hAnsi="宋体"/>
          <w:color w:val="auto"/>
          <w:sz w:val="24"/>
          <w:u w:val="single"/>
        </w:rPr>
      </w:pPr>
      <w:r>
        <w:rPr>
          <w:rFonts w:hint="eastAsia" w:ascii="宋体" w:hAnsi="宋体"/>
          <w:color w:val="auto"/>
          <w:sz w:val="24"/>
        </w:rPr>
        <w:t xml:space="preserve">分包主要内容：</w:t>
      </w:r>
      <w:r/>
    </w:p>
    <w:p>
      <w:pPr>
        <w:ind w:firstLine="960"/>
        <w:spacing w:line="360" w:lineRule="auto"/>
        <w:rPr>
          <w:rFonts w:ascii="宋体" w:hAnsi="宋体"/>
          <w:color w:val="auto"/>
          <w:sz w:val="24"/>
        </w:rPr>
      </w:pPr>
      <w:r>
        <w:rPr>
          <w:rFonts w:hint="eastAsia" w:ascii="宋体" w:hAnsi="宋体"/>
          <w:color w:val="auto"/>
          <w:sz w:val="24"/>
        </w:rPr>
        <w:t xml:space="preserve">分包供应商/制造商名称（如供应商和制造商不同，请分别填写）：</w:t>
      </w:r>
      <w:r/>
    </w:p>
    <w:p>
      <w:pPr>
        <w:ind w:firstLine="960"/>
        <w:spacing w:line="360" w:lineRule="auto"/>
        <w:rPr>
          <w:rFonts w:ascii="宋体" w:hAnsi="宋体"/>
          <w:color w:val="auto"/>
          <w:sz w:val="24"/>
        </w:rPr>
      </w:pPr>
      <w:r>
        <w:rPr>
          <w:rFonts w:hint="eastAsia" w:ascii="宋体" w:hAnsi="宋体"/>
          <w:color w:val="auto"/>
          <w:sz w:val="24"/>
        </w:rPr>
        <w:t xml:space="preserve">分包供应商/制造商类型（如果供应商和制造商不同，只填写制造商类型）：</w:t>
      </w:r>
      <w:r/>
    </w:p>
    <w:p>
      <w:pPr>
        <w:ind w:firstLine="960"/>
        <w:spacing w:line="360" w:lineRule="auto"/>
        <w:rPr>
          <w:rFonts w:ascii="宋体" w:hAnsi="宋体"/>
          <w:iCs/>
          <w:color w:val="auto"/>
          <w:sz w:val="24"/>
        </w:rPr>
      </w:pPr>
      <w:r>
        <w:rPr>
          <w:rFonts w:ascii="Wingdings" w:hAnsi="Wingdings" w:eastAsia="Wingdings" w:cs="Wingdings"/>
          <w:iCs/>
          <w:color w:val="auto"/>
          <w:sz w:val="24"/>
        </w:rPr>
        <w:t xml:space="preserve"></w:t>
      </w:r>
      <w:r>
        <w:rPr>
          <w:rFonts w:hint="eastAsia" w:ascii="宋体" w:hAnsi="宋体"/>
          <w:iCs/>
          <w:color w:val="auto"/>
          <w:sz w:val="24"/>
        </w:rPr>
        <w:t xml:space="preserve">大型企业  </w:t>
      </w:r>
      <w:r>
        <w:rPr>
          <w:rFonts w:ascii="Wingdings" w:hAnsi="Wingdings" w:eastAsia="Wingdings" w:cs="Wingdings"/>
          <w:iCs/>
          <w:color w:val="auto"/>
          <w:sz w:val="24"/>
        </w:rPr>
        <w:t xml:space="preserve"></w:t>
      </w:r>
      <w:r>
        <w:rPr>
          <w:rFonts w:hint="eastAsia" w:ascii="宋体" w:hAnsi="宋体"/>
          <w:iCs/>
          <w:color w:val="auto"/>
          <w:sz w:val="24"/>
        </w:rPr>
        <w:t xml:space="preserve">中型企业  </w:t>
      </w:r>
      <w:r>
        <w:rPr>
          <w:rFonts w:ascii="Wingdings" w:hAnsi="Wingdings" w:eastAsia="Wingdings" w:cs="Wingdings"/>
          <w:iCs/>
          <w:color w:val="auto"/>
          <w:sz w:val="24"/>
        </w:rPr>
        <w:t xml:space="preserve"></w:t>
      </w:r>
      <w:r>
        <w:rPr>
          <w:rFonts w:hint="eastAsia" w:ascii="宋体" w:hAnsi="宋体"/>
          <w:iCs/>
          <w:color w:val="auto"/>
          <w:sz w:val="24"/>
        </w:rPr>
        <w:t xml:space="preserve">小微型企业</w:t>
      </w:r>
      <w:r/>
    </w:p>
    <w:p>
      <w:pPr>
        <w:ind w:firstLine="960"/>
        <w:spacing w:line="360" w:lineRule="auto"/>
        <w:rPr>
          <w:rFonts w:eastAsia="华文楷体"/>
          <w:color w:val="auto"/>
          <w:sz w:val="24"/>
        </w:rPr>
      </w:pPr>
      <w:r>
        <w:rPr>
          <w:rFonts w:ascii="Wingdings" w:hAnsi="Wingdings" w:eastAsia="Wingdings" w:cs="Wingdings"/>
          <w:iCs/>
          <w:color w:val="auto"/>
          <w:sz w:val="24"/>
        </w:rPr>
        <w:t xml:space="preserve"></w:t>
      </w:r>
      <w:r>
        <w:rPr>
          <w:rFonts w:hint="eastAsia" w:ascii="宋体" w:hAnsi="宋体"/>
          <w:iCs/>
          <w:color w:val="auto"/>
          <w:sz w:val="24"/>
        </w:rPr>
        <w:t xml:space="preserve">残疾人福利性单位</w:t>
      </w:r>
      <w:r>
        <w:rPr>
          <w:rFonts w:ascii="Wingdings" w:hAnsi="Wingdings" w:eastAsia="Wingdings" w:cs="Wingdings"/>
          <w:iCs/>
          <w:color w:val="auto"/>
          <w:sz w:val="24"/>
        </w:rPr>
        <w:t xml:space="preserve"></w:t>
      </w:r>
      <w:r>
        <w:rPr>
          <w:rFonts w:hint="eastAsia" w:ascii="宋体" w:hAnsi="宋体"/>
          <w:iCs/>
          <w:color w:val="auto"/>
          <w:sz w:val="24"/>
        </w:rPr>
        <w:t xml:space="preserve">监狱企业</w:t>
      </w:r>
      <w:r>
        <w:rPr>
          <w:rFonts w:ascii="Wingdings" w:hAnsi="Wingdings" w:eastAsia="Wingdings" w:cs="Wingdings"/>
          <w:iCs/>
          <w:color w:val="auto"/>
          <w:sz w:val="24"/>
        </w:rPr>
        <w:t xml:space="preserve"></w:t>
      </w:r>
      <w:r>
        <w:rPr>
          <w:rFonts w:hint="eastAsia" w:ascii="宋体" w:hAnsi="宋体"/>
          <w:iCs/>
          <w:color w:val="auto"/>
          <w:sz w:val="24"/>
        </w:rPr>
        <w:t xml:space="preserve">其他</w:t>
      </w:r>
      <w:r/>
    </w:p>
    <w:p>
      <w:pPr>
        <w:numPr>
          <w:ilvl w:val="255"/>
          <w:numId w:val="0"/>
        </w:numPr>
        <w:ind w:firstLine="480"/>
        <w:spacing w:line="360" w:lineRule="auto"/>
        <w:rPr>
          <w:rFonts w:ascii="宋体" w:hAnsi="宋体" w:cs="宋体"/>
          <w:iCs/>
          <w:color w:val="auto"/>
          <w:sz w:val="24"/>
        </w:rPr>
      </w:pPr>
      <w:r>
        <w:rPr>
          <w:rFonts w:hint="eastAsia" w:ascii="宋体" w:hAnsi="宋体" w:cs="宋体"/>
          <w:color w:val="auto"/>
          <w:sz w:val="24"/>
        </w:rPr>
        <w:t xml:space="preserve">（</w:t>
      </w:r>
      <w:r>
        <w:rPr>
          <w:rFonts w:ascii="宋体" w:hAnsi="宋体" w:cs="宋体"/>
          <w:color w:val="auto"/>
          <w:sz w:val="24"/>
        </w:rPr>
        <w:t xml:space="preserve">8</w:t>
      </w:r>
      <w:r>
        <w:rPr>
          <w:rFonts w:hint="eastAsia" w:ascii="宋体" w:hAnsi="宋体" w:cs="宋体"/>
          <w:color w:val="auto"/>
          <w:sz w:val="24"/>
        </w:rPr>
        <w:t xml:space="preserve">）中标（成交）供应商是否为外商投资企业：</w:t>
      </w:r>
      <w:r>
        <w:rPr>
          <w:rFonts w:ascii="Wingdings" w:hAnsi="Wingdings" w:eastAsia="Wingdings" w:cs="Wingdings"/>
          <w:iCs/>
          <w:color w:val="auto"/>
          <w:sz w:val="24"/>
        </w:rPr>
        <w:t xml:space="preserve"></w:t>
      </w:r>
      <w:r>
        <w:rPr>
          <w:rFonts w:hint="eastAsia" w:ascii="宋体" w:hAnsi="宋体" w:cs="宋体"/>
          <w:iCs/>
          <w:color w:val="auto"/>
          <w:sz w:val="24"/>
        </w:rPr>
        <w:t xml:space="preserve">是       </w:t>
      </w:r>
      <w:r>
        <w:rPr>
          <w:rFonts w:ascii="Wingdings" w:hAnsi="Wingdings" w:eastAsia="Wingdings" w:cs="Wingdings"/>
          <w:iCs/>
          <w:color w:val="auto"/>
          <w:sz w:val="24"/>
        </w:rPr>
        <w:t xml:space="preserve"></w:t>
      </w:r>
      <w:r>
        <w:rPr>
          <w:rFonts w:hint="eastAsia" w:ascii="宋体" w:hAnsi="宋体" w:cs="宋体"/>
          <w:iCs/>
          <w:color w:val="auto"/>
          <w:sz w:val="24"/>
        </w:rPr>
        <w:t xml:space="preserve">否</w:t>
      </w:r>
      <w:r/>
    </w:p>
    <w:p>
      <w:pPr>
        <w:ind w:firstLine="480"/>
        <w:jc w:val="left"/>
        <w:spacing w:line="360" w:lineRule="auto"/>
        <w:widowControl/>
        <w:tabs>
          <w:tab w:val="left" w:pos="1340" w:leader="none"/>
        </w:tabs>
        <w:rPr>
          <w:rFonts w:ascii="宋体" w:hAnsi="宋体" w:cs="宋体"/>
          <w:color w:val="auto"/>
          <w:sz w:val="24"/>
          <w:u w:val="single"/>
        </w:rPr>
      </w:pPr>
      <w:r>
        <w:rPr>
          <w:rFonts w:hint="eastAsia" w:ascii="宋体" w:hAnsi="宋体" w:cs="宋体"/>
          <w:color w:val="auto"/>
          <w:sz w:val="24"/>
        </w:rPr>
        <w:t xml:space="preserve">     外商投资企业类型：</w:t>
      </w:r>
      <w:r>
        <w:rPr>
          <w:rFonts w:ascii="Wingdings" w:hAnsi="Wingdings" w:eastAsia="Wingdings" w:cs="Wingdings"/>
          <w:iCs/>
          <w:color w:val="auto"/>
          <w:sz w:val="24"/>
        </w:rPr>
        <w:t xml:space="preserve"></w:t>
      </w:r>
      <w:r>
        <w:rPr>
          <w:rFonts w:hint="eastAsia" w:ascii="宋体" w:hAnsi="宋体" w:cs="宋体"/>
          <w:color w:val="auto"/>
          <w:sz w:val="24"/>
        </w:rPr>
        <w:t xml:space="preserve">全部由外国投资者投资  </w:t>
      </w:r>
      <w:r>
        <w:rPr>
          <w:rFonts w:ascii="Wingdings" w:hAnsi="Wingdings" w:eastAsia="Wingdings" w:cs="Wingdings"/>
          <w:iCs/>
          <w:color w:val="auto"/>
          <w:sz w:val="24"/>
        </w:rPr>
        <w:t xml:space="preserve"></w:t>
      </w:r>
      <w:r>
        <w:rPr>
          <w:rFonts w:hint="eastAsia" w:ascii="宋体" w:hAnsi="宋体" w:cs="宋体"/>
          <w:iCs/>
          <w:color w:val="auto"/>
          <w:sz w:val="24"/>
        </w:rPr>
        <w:t xml:space="preserve">部分由外国投资者投资</w:t>
      </w:r>
      <w:r/>
    </w:p>
    <w:p>
      <w:pPr>
        <w:numPr>
          <w:ilvl w:val="255"/>
          <w:numId w:val="0"/>
        </w:numPr>
        <w:ind w:firstLine="480"/>
        <w:spacing w:line="360" w:lineRule="auto"/>
        <w:rPr>
          <w:rFonts w:ascii="宋体" w:hAns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9</w:t>
      </w:r>
      <w:r>
        <w:rPr>
          <w:rFonts w:hint="eastAsia" w:ascii="宋体" w:hAnsi="宋体" w:cs="宋体"/>
          <w:color w:val="auto"/>
          <w:sz w:val="24"/>
        </w:rPr>
        <w:t xml:space="preserve">）是否涉及进口产品：</w:t>
      </w:r>
      <w:r/>
    </w:p>
    <w:p>
      <w:pPr>
        <w:numPr>
          <w:ilvl w:val="255"/>
          <w:numId w:val="0"/>
        </w:numPr>
        <w:ind w:firstLine="960"/>
        <w:spacing w:line="360" w:lineRule="auto"/>
        <w:rPr>
          <w:rFonts w:ascii="宋体" w:hAnsi="宋体" w:cs="宋体"/>
          <w:color w:val="auto"/>
          <w:sz w:val="24"/>
          <w:u w:val="single"/>
        </w:rPr>
      </w:pPr>
      <w:r>
        <w:rPr>
          <w:rFonts w:ascii="Wingdings" w:hAnsi="Wingdings" w:eastAsia="Wingdings" w:cs="Wingdings"/>
          <w:color w:val="auto"/>
          <w:sz w:val="24"/>
        </w:rPr>
        <w:t xml:space="preserve"></w:t>
      </w:r>
      <w:r>
        <w:rPr>
          <w:rFonts w:hint="eastAsia" w:ascii="宋体" w:hAnsi="宋体" w:cs="宋体"/>
          <w:color w:val="auto"/>
          <w:sz w:val="24"/>
        </w:rPr>
        <w:t xml:space="preserve">是，《政府采购品目分类目录》底级品目名称：金额：</w:t>
      </w:r>
      <w:r/>
    </w:p>
    <w:p>
      <w:pPr>
        <w:numPr>
          <w:ilvl w:val="255"/>
          <w:numId w:val="0"/>
        </w:numPr>
        <w:ind w:firstLine="960"/>
        <w:spacing w:line="360" w:lineRule="auto"/>
        <w:rPr>
          <w:rFonts w:ascii="宋体" w:hAnsi="宋体"/>
          <w:color w:val="auto"/>
          <w:sz w:val="24"/>
        </w:rPr>
      </w:pPr>
      <w:r>
        <w:rPr>
          <w:rFonts w:hint="eastAsia" w:ascii="宋体" w:hAnsi="宋体" w:cs="宋体"/>
          <w:color w:val="auto"/>
          <w:sz w:val="24"/>
        </w:rPr>
        <w:t xml:space="preserve">        国别：品牌： 规格型号：</w:t>
      </w:r>
      <w:r/>
    </w:p>
    <w:p>
      <w:pPr>
        <w:ind w:firstLine="960"/>
        <w:spacing w:line="360" w:lineRule="auto"/>
        <w:rPr>
          <w:rFonts w:ascii="宋体" w:hAnsi="宋体"/>
          <w:color w:val="auto"/>
          <w:sz w:val="24"/>
        </w:rPr>
      </w:pPr>
      <w:r>
        <w:rPr>
          <w:rFonts w:ascii="Wingdings" w:hAnsi="Wingdings" w:eastAsia="Wingdings" w:cs="Wingdings"/>
          <w:color w:val="auto"/>
          <w:sz w:val="24"/>
        </w:rPr>
        <w:t xml:space="preserve">þ</w:t>
      </w:r>
      <w:r>
        <w:rPr>
          <w:rFonts w:hint="eastAsia" w:ascii="宋体" w:hAnsi="宋体"/>
          <w:color w:val="auto"/>
          <w:sz w:val="24"/>
        </w:rPr>
        <w:t xml:space="preserve">否</w:t>
      </w:r>
      <w:r/>
    </w:p>
    <w:p>
      <w:pPr>
        <w:numPr>
          <w:ilvl w:val="255"/>
          <w:numId w:val="0"/>
        </w:numPr>
        <w:spacing w:line="360" w:lineRule="auto"/>
        <w:tabs>
          <w:tab w:val="left" w:pos="740" w:leader="none"/>
        </w:tabs>
        <w:rPr>
          <w:rFonts w:ascii="宋体" w:hAnsi="宋体"/>
          <w:color w:val="auto"/>
          <w:sz w:val="24"/>
        </w:rPr>
      </w:pPr>
      <w:r>
        <w:rPr>
          <w:rFonts w:hint="eastAsia" w:ascii="宋体" w:hAnsi="宋体"/>
          <w:color w:val="auto"/>
          <w:sz w:val="24"/>
        </w:rPr>
        <w:t xml:space="preserve">    （1</w:t>
      </w:r>
      <w:r>
        <w:rPr>
          <w:rFonts w:ascii="宋体" w:hAnsi="宋体"/>
          <w:color w:val="auto"/>
          <w:sz w:val="24"/>
        </w:rPr>
        <w:t xml:space="preserve">0</w:t>
      </w:r>
      <w:r>
        <w:rPr>
          <w:rFonts w:hint="eastAsia" w:ascii="宋体" w:hAnsi="宋体"/>
          <w:color w:val="auto"/>
          <w:sz w:val="24"/>
        </w:rPr>
        <w:t xml:space="preserve">）是否涉及节能产品：</w:t>
      </w:r>
      <w:r/>
    </w:p>
    <w:p>
      <w:pPr>
        <w:numPr>
          <w:ilvl w:val="255"/>
          <w:numId w:val="0"/>
        </w:numPr>
        <w:ind w:firstLine="960"/>
        <w:spacing w:line="360" w:lineRule="auto"/>
        <w:tabs>
          <w:tab w:val="left" w:pos="740" w:leader="none"/>
        </w:tabs>
        <w:rPr>
          <w:rFonts w:ascii="宋体" w:hAnsi="宋体"/>
          <w:iCs/>
          <w:color w:val="auto"/>
          <w:sz w:val="24"/>
        </w:rPr>
      </w:pPr>
      <w:r>
        <w:rPr>
          <w:rFonts w:ascii="Wingdings" w:hAnsi="Wingdings" w:eastAsia="Wingdings" w:cs="Wingdings"/>
          <w:color w:val="auto"/>
          <w:sz w:val="24"/>
        </w:rPr>
        <w:t xml:space="preserve"></w:t>
      </w:r>
      <w:r>
        <w:rPr>
          <w:rFonts w:hint="eastAsia" w:ascii="宋体" w:hAnsi="宋体"/>
          <w:color w:val="auto"/>
          <w:sz w:val="24"/>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color w:val="auto"/>
          <w:sz w:val="24"/>
        </w:rPr>
      </w:pPr>
      <w:r>
        <w:rPr>
          <w:rFonts w:ascii="Wingdings" w:hAnsi="Wingdings" w:eastAsia="Wingdings" w:cs="Wingdings"/>
          <w:color w:val="auto"/>
          <w:sz w:val="24"/>
        </w:rPr>
        <w:t xml:space="preserve"></w:t>
      </w:r>
      <w:r>
        <w:rPr>
          <w:rFonts w:hint="eastAsia" w:ascii="宋体" w:hAnsi="宋体"/>
          <w:color w:val="auto"/>
          <w:sz w:val="24"/>
        </w:rPr>
        <w:t xml:space="preserve">强制采购</w:t>
      </w:r>
      <w:r>
        <w:rPr>
          <w:rFonts w:ascii="Wingdings" w:hAnsi="Wingdings" w:eastAsia="Wingdings" w:cs="Wingdings"/>
          <w:color w:val="auto"/>
          <w:sz w:val="24"/>
        </w:rPr>
        <w:t xml:space="preserve"></w:t>
      </w:r>
      <w:r>
        <w:rPr>
          <w:rFonts w:hint="eastAsia" w:ascii="宋体" w:hAnsi="宋体"/>
          <w:color w:val="auto"/>
          <w:sz w:val="24"/>
        </w:rPr>
        <w:t xml:space="preserve">优先采购</w:t>
      </w:r>
      <w:r/>
    </w:p>
    <w:p>
      <w:pPr>
        <w:numPr>
          <w:ilvl w:val="255"/>
          <w:numId w:val="0"/>
        </w:numPr>
        <w:ind w:firstLine="960"/>
        <w:spacing w:line="360" w:lineRule="auto"/>
        <w:tabs>
          <w:tab w:val="left" w:pos="740" w:leader="none"/>
        </w:tabs>
        <w:rPr>
          <w:rFonts w:ascii="宋体" w:hAnsi="宋体"/>
          <w:color w:val="auto"/>
          <w:sz w:val="24"/>
        </w:rPr>
      </w:pPr>
      <w:r>
        <w:rPr>
          <w:rFonts w:ascii="Wingdings" w:hAnsi="Wingdings" w:eastAsia="Wingdings" w:cs="Wingdings"/>
          <w:color w:val="auto"/>
          <w:sz w:val="24"/>
        </w:rPr>
        <w:t xml:space="preserve"></w:t>
      </w:r>
      <w:r>
        <w:rPr>
          <w:rFonts w:hint="eastAsia" w:ascii="宋体" w:hAnsi="宋体"/>
          <w:color w:val="auto"/>
          <w:sz w:val="24"/>
        </w:rPr>
        <w:t xml:space="preserve">否</w:t>
      </w:r>
      <w:r/>
    </w:p>
    <w:p>
      <w:pPr>
        <w:numPr>
          <w:ilvl w:val="255"/>
          <w:numId w:val="0"/>
        </w:numPr>
        <w:ind w:firstLine="960"/>
        <w:spacing w:line="360" w:lineRule="auto"/>
        <w:tabs>
          <w:tab w:val="left" w:pos="740" w:leader="none"/>
        </w:tabs>
        <w:rPr>
          <w:rFonts w:ascii="宋体" w:hAnsi="宋体"/>
          <w:color w:val="auto"/>
          <w:sz w:val="24"/>
        </w:rPr>
      </w:pPr>
      <w:r>
        <w:rPr>
          <w:rFonts w:hint="eastAsia" w:ascii="宋体" w:hAnsi="宋体"/>
          <w:color w:val="auto"/>
          <w:sz w:val="24"/>
        </w:rPr>
        <w:t xml:space="preserve">是否涉及环境标志产品：</w:t>
      </w:r>
      <w:r/>
    </w:p>
    <w:p>
      <w:pPr>
        <w:numPr>
          <w:ilvl w:val="255"/>
          <w:numId w:val="0"/>
        </w:numPr>
        <w:ind w:firstLine="960"/>
        <w:spacing w:line="360" w:lineRule="auto"/>
        <w:tabs>
          <w:tab w:val="left" w:pos="740" w:leader="none"/>
        </w:tabs>
        <w:rPr>
          <w:rFonts w:ascii="宋体" w:hAnsi="宋体"/>
          <w:color w:val="auto"/>
          <w:sz w:val="24"/>
        </w:rPr>
      </w:pPr>
      <w:r>
        <w:rPr>
          <w:rFonts w:ascii="Wingdings" w:hAnsi="Wingdings" w:eastAsia="Wingdings" w:cs="Wingdings"/>
          <w:color w:val="auto"/>
          <w:sz w:val="24"/>
        </w:rPr>
        <w:t xml:space="preserve"></w:t>
      </w:r>
      <w:r>
        <w:rPr>
          <w:rFonts w:hint="eastAsia" w:ascii="宋体" w:hAnsi="宋体"/>
          <w:color w:val="auto"/>
          <w:sz w:val="24"/>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color w:val="auto"/>
          <w:sz w:val="24"/>
        </w:rPr>
      </w:pPr>
      <w:r>
        <w:rPr>
          <w:rFonts w:ascii="Wingdings" w:hAnsi="Wingdings" w:eastAsia="Wingdings" w:cs="Wingdings"/>
          <w:color w:val="auto"/>
          <w:sz w:val="24"/>
        </w:rPr>
        <w:t xml:space="preserve"></w:t>
      </w:r>
      <w:r>
        <w:rPr>
          <w:rFonts w:hint="eastAsia" w:ascii="宋体" w:hAnsi="宋体"/>
          <w:color w:val="auto"/>
          <w:sz w:val="24"/>
        </w:rPr>
        <w:t xml:space="preserve">强制采购</w:t>
      </w:r>
      <w:r>
        <w:rPr>
          <w:rFonts w:ascii="Wingdings" w:hAnsi="Wingdings" w:eastAsia="Wingdings" w:cs="Wingdings"/>
          <w:color w:val="auto"/>
          <w:sz w:val="24"/>
        </w:rPr>
        <w:t xml:space="preserve"></w:t>
      </w:r>
      <w:r>
        <w:rPr>
          <w:rFonts w:hint="eastAsia" w:ascii="宋体" w:hAnsi="宋体"/>
          <w:color w:val="auto"/>
          <w:sz w:val="24"/>
        </w:rPr>
        <w:t xml:space="preserve">优先采购</w:t>
      </w:r>
      <w:r/>
    </w:p>
    <w:p>
      <w:pPr>
        <w:numPr>
          <w:ilvl w:val="255"/>
          <w:numId w:val="0"/>
        </w:numPr>
        <w:ind w:firstLine="960"/>
        <w:spacing w:line="360" w:lineRule="auto"/>
        <w:tabs>
          <w:tab w:val="left" w:pos="740" w:leader="none"/>
        </w:tabs>
        <w:rPr>
          <w:rFonts w:ascii="宋体" w:hAnsi="宋体"/>
          <w:color w:val="auto"/>
          <w:sz w:val="24"/>
        </w:rPr>
      </w:pPr>
      <w:r>
        <w:rPr>
          <w:rFonts w:ascii="Wingdings" w:hAnsi="Wingdings" w:eastAsia="Wingdings" w:cs="Wingdings"/>
          <w:color w:val="auto"/>
          <w:sz w:val="24"/>
        </w:rPr>
        <w:t xml:space="preserve"></w:t>
      </w:r>
      <w:r>
        <w:rPr>
          <w:rFonts w:hint="eastAsia" w:ascii="宋体" w:hAnsi="宋体"/>
          <w:color w:val="auto"/>
          <w:sz w:val="24"/>
        </w:rPr>
        <w:t xml:space="preserve">否</w:t>
      </w:r>
      <w:r/>
    </w:p>
    <w:p>
      <w:pPr>
        <w:numPr>
          <w:ilvl w:val="255"/>
          <w:numId w:val="0"/>
        </w:numPr>
        <w:ind w:firstLine="840"/>
        <w:jc w:val="left"/>
        <w:spacing w:line="360" w:lineRule="auto"/>
        <w:widowControl/>
        <w:rPr>
          <w:rFonts w:ascii="宋体" w:hAnsi="宋体"/>
          <w:color w:val="auto"/>
          <w:sz w:val="24"/>
        </w:rPr>
      </w:pPr>
      <w:r>
        <w:rPr>
          <w:rFonts w:hint="eastAsia" w:ascii="宋体" w:hAnsi="宋体"/>
          <w:color w:val="auto"/>
          <w:sz w:val="24"/>
        </w:rPr>
        <w:t xml:space="preserve">是否涉及绿色产品：</w:t>
      </w:r>
      <w:r/>
    </w:p>
    <w:p>
      <w:pPr>
        <w:ind w:firstLine="900"/>
        <w:jc w:val="left"/>
        <w:spacing w:line="360" w:lineRule="auto"/>
        <w:widowControl/>
        <w:rPr>
          <w:rFonts w:ascii="宋体" w:hAnsi="宋体"/>
          <w:color w:val="auto"/>
          <w:sz w:val="24"/>
        </w:rPr>
      </w:pPr>
      <w:r>
        <w:rPr>
          <w:rFonts w:ascii="Wingdings" w:hAnsi="Wingdings" w:eastAsia="Wingdings" w:cs="Wingdings"/>
          <w:color w:val="auto"/>
          <w:sz w:val="24"/>
        </w:rPr>
        <w:t xml:space="preserve"></w:t>
      </w:r>
      <w:r>
        <w:rPr>
          <w:rFonts w:hint="eastAsia" w:ascii="宋体" w:hAnsi="宋体"/>
          <w:color w:val="auto"/>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color w:val="auto"/>
          <w:sz w:val="24"/>
        </w:rPr>
      </w:pPr>
      <w:r>
        <w:rPr>
          <w:rFonts w:ascii="Wingdings" w:hAnsi="Wingdings" w:eastAsia="Wingdings" w:cs="Wingdings"/>
          <w:color w:val="auto"/>
          <w:sz w:val="24"/>
        </w:rPr>
        <w:t xml:space="preserve"></w:t>
      </w:r>
      <w:r>
        <w:rPr>
          <w:rFonts w:hint="eastAsia" w:ascii="宋体" w:hAnsi="宋体"/>
          <w:color w:val="auto"/>
          <w:sz w:val="24"/>
        </w:rPr>
        <w:t xml:space="preserve">强制采购</w:t>
      </w:r>
      <w:r>
        <w:rPr>
          <w:rFonts w:ascii="Wingdings" w:hAnsi="Wingdings" w:eastAsia="Wingdings" w:cs="Wingdings"/>
          <w:color w:val="auto"/>
          <w:sz w:val="24"/>
        </w:rPr>
        <w:t xml:space="preserve"></w:t>
      </w:r>
      <w:r>
        <w:rPr>
          <w:rFonts w:hint="eastAsia" w:ascii="宋体" w:hAnsi="宋体"/>
          <w:color w:val="auto"/>
          <w:sz w:val="24"/>
        </w:rPr>
        <w:t xml:space="preserve">优先采购</w:t>
      </w:r>
      <w:r/>
    </w:p>
    <w:p>
      <w:pPr>
        <w:ind w:firstLine="900"/>
        <w:jc w:val="left"/>
        <w:spacing w:line="360" w:lineRule="auto"/>
        <w:widowControl/>
        <w:rPr>
          <w:rFonts w:ascii="宋体" w:hAnsi="宋体" w:eastAsia="华文楷体" w:cs="华文楷体"/>
          <w:color w:val="auto"/>
          <w:sz w:val="24"/>
        </w:rPr>
      </w:pPr>
      <w:r>
        <w:rPr>
          <w:rFonts w:ascii="Wingdings" w:hAnsi="Wingdings" w:eastAsia="Wingdings" w:cs="Wingdings"/>
          <w:color w:val="auto"/>
          <w:sz w:val="24"/>
        </w:rPr>
        <w:t xml:space="preserve"></w:t>
      </w:r>
      <w:r>
        <w:rPr>
          <w:rFonts w:hint="eastAsia" w:ascii="宋体" w:hAnsi="宋体"/>
          <w:color w:val="auto"/>
          <w:sz w:val="24"/>
        </w:rPr>
        <w:t xml:space="preserve">否</w:t>
      </w:r>
      <w:r/>
    </w:p>
    <w:p>
      <w:pPr>
        <w:numPr>
          <w:ilvl w:val="255"/>
          <w:numId w:val="0"/>
        </w:numPr>
        <w:spacing w:line="360" w:lineRule="auto"/>
        <w:rPr>
          <w:rFonts w:ascii="宋体" w:hAnsi="宋体"/>
          <w:color w:val="auto"/>
          <w:sz w:val="24"/>
        </w:rPr>
      </w:pPr>
      <w:r>
        <w:rPr>
          <w:rFonts w:hint="eastAsia" w:ascii="宋体" w:hAnsi="宋体"/>
          <w:color w:val="auto"/>
          <w:sz w:val="24"/>
        </w:rPr>
        <w:t xml:space="preserve">    （1</w:t>
      </w:r>
      <w:r>
        <w:rPr>
          <w:rFonts w:ascii="宋体" w:hAnsi="宋体"/>
          <w:color w:val="auto"/>
          <w:sz w:val="24"/>
        </w:rPr>
        <w:t xml:space="preserve">1</w:t>
      </w:r>
      <w:r>
        <w:rPr>
          <w:rFonts w:hint="eastAsia" w:ascii="宋体" w:hAnsi="宋体"/>
          <w:color w:val="auto"/>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color w:val="auto"/>
          <w:sz w:val="24"/>
        </w:rPr>
      </w:pPr>
      <w:r>
        <w:rPr>
          <w:rFonts w:ascii="Wingdings" w:hAnsi="Wingdings" w:eastAsia="Wingdings" w:cs="Wingdings"/>
          <w:color w:val="auto"/>
          <w:sz w:val="24"/>
        </w:rPr>
        <w:t xml:space="preserve">þ</w:t>
      </w:r>
      <w:r>
        <w:rPr>
          <w:rFonts w:hint="eastAsia" w:ascii="宋体" w:hAnsi="宋体"/>
          <w:color w:val="auto"/>
          <w:sz w:val="24"/>
        </w:rPr>
        <w:t xml:space="preserve">是       </w:t>
      </w:r>
      <w:r>
        <w:rPr>
          <w:rFonts w:ascii="Wingdings" w:hAnsi="Wingdings" w:eastAsia="Wingdings" w:cs="Wingdings"/>
          <w:color w:val="auto"/>
          <w:sz w:val="24"/>
        </w:rPr>
        <w:t xml:space="preserve"></w:t>
      </w:r>
      <w:r>
        <w:rPr>
          <w:rFonts w:hint="eastAsia" w:ascii="宋体" w:hAnsi="宋体"/>
          <w:color w:val="auto"/>
          <w:sz w:val="24"/>
        </w:rPr>
        <w:t xml:space="preserve">否</w:t>
      </w:r>
      <w:r>
        <w:rPr>
          <w:rFonts w:ascii="Wingdings" w:hAnsi="Wingdings" w:eastAsia="Wingdings" w:cs="Wingdings"/>
          <w:color w:val="auto"/>
          <w:sz w:val="24"/>
        </w:rPr>
        <w:t xml:space="preserve"></w:t>
      </w:r>
      <w:r>
        <w:rPr>
          <w:rFonts w:hint="eastAsia" w:ascii="宋体" w:hAnsi="宋体"/>
          <w:color w:val="auto"/>
          <w:sz w:val="24"/>
        </w:rPr>
        <w:t xml:space="preserve">不涉及</w:t>
      </w:r>
      <w:r/>
    </w:p>
    <w:p>
      <w:pPr>
        <w:numPr>
          <w:ilvl w:val="0"/>
          <w:numId w:val="1"/>
        </w:numPr>
        <w:ind w:firstLine="482"/>
        <w:spacing w:line="360" w:lineRule="auto"/>
        <w:rPr>
          <w:rFonts w:ascii="宋体" w:hAnsi="宋体"/>
          <w:b/>
          <w:color w:val="auto"/>
          <w:sz w:val="24"/>
        </w:rPr>
      </w:pPr>
      <w:r>
        <w:rPr>
          <w:rFonts w:hint="eastAsia" w:ascii="宋体" w:hAnsi="宋体"/>
          <w:b/>
          <w:color w:val="auto"/>
          <w:sz w:val="24"/>
        </w:rPr>
        <w:t xml:space="preserve">合同金额</w:t>
      </w:r>
      <w:r/>
    </w:p>
    <w:p>
      <w:pPr>
        <w:ind w:firstLine="480"/>
        <w:spacing w:line="360" w:lineRule="auto"/>
        <w:rPr>
          <w:rFonts w:ascii="宋体" w:hAnsi="宋体"/>
          <w:color w:val="auto"/>
          <w:sz w:val="24"/>
        </w:rPr>
      </w:pPr>
      <w:r>
        <w:rPr>
          <w:rFonts w:hint="eastAsia" w:ascii="宋体" w:hAnsi="宋体"/>
          <w:color w:val="auto"/>
          <w:sz w:val="24"/>
        </w:rPr>
        <w:t xml:space="preserve">（1）合同金额小写：</w:t>
      </w:r>
      <w:r/>
    </w:p>
    <w:p>
      <w:pPr>
        <w:ind w:firstLine="600"/>
        <w:spacing w:line="360" w:lineRule="auto"/>
        <w:rPr>
          <w:rFonts w:ascii="宋体" w:hAnsi="宋体"/>
          <w:color w:val="auto"/>
          <w:sz w:val="24"/>
          <w:u w:val="single"/>
        </w:rPr>
      </w:pPr>
      <w:r>
        <w:rPr>
          <w:rFonts w:hint="eastAsia" w:ascii="宋体" w:hAnsi="宋体"/>
          <w:color w:val="auto"/>
          <w:sz w:val="24"/>
        </w:rPr>
        <w:t xml:space="preserve">大写：</w:t>
      </w:r>
      <w:r/>
    </w:p>
    <w:p>
      <w:pPr>
        <w:ind w:firstLine="480"/>
        <w:spacing w:line="360" w:lineRule="auto"/>
        <w:rPr>
          <w:rFonts w:ascii="宋体" w:hAnsi="宋体"/>
          <w:color w:val="auto"/>
          <w:sz w:val="24"/>
        </w:rPr>
      </w:pPr>
      <w:r>
        <w:rPr>
          <w:rFonts w:hint="eastAsia" w:ascii="宋体" w:hAnsi="宋体"/>
          <w:color w:val="auto"/>
          <w:sz w:val="24"/>
        </w:rPr>
        <w:t xml:space="preserve">分包金额（如有）小写：</w:t>
      </w:r>
      <w:r/>
    </w:p>
    <w:p>
      <w:pPr>
        <w:ind w:firstLine="480"/>
        <w:spacing w:line="360" w:lineRule="auto"/>
        <w:rPr>
          <w:rFonts w:hint="eastAsia" w:ascii="宋体" w:hAnsi="宋体"/>
          <w:color w:val="auto"/>
          <w:sz w:val="24"/>
        </w:rPr>
      </w:pPr>
      <w:r>
        <w:rPr>
          <w:rFonts w:hint="eastAsia" w:ascii="宋体" w:hAnsi="宋体"/>
          <w:color w:val="auto"/>
          <w:sz w:val="24"/>
        </w:rPr>
        <w:t xml:space="preserve">大写：</w:t>
      </w:r>
      <w:r/>
    </w:p>
    <w:p>
      <w:pPr>
        <w:ind w:firstLine="480"/>
        <w:spacing w:line="360" w:lineRule="auto"/>
        <w:rPr>
          <w:rFonts w:ascii="宋体" w:hAnsi="宋体"/>
          <w:color w:val="auto"/>
          <w:sz w:val="24"/>
        </w:rPr>
      </w:pPr>
      <w:r>
        <w:rPr>
          <w:rFonts w:hint="eastAsia" w:ascii="宋体" w:hAnsi="宋体"/>
          <w:color w:val="auto"/>
          <w:sz w:val="24"/>
        </w:rPr>
        <w:t xml:space="preserve"> （2）付款方式：</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全额付款：</w:t>
      </w:r>
      <w:r>
        <w:rPr>
          <w:rFonts w:hint="eastAsia" w:ascii="宋体" w:hAnsi="宋体"/>
          <w:color w:val="auto"/>
          <w:szCs w:val="21"/>
          <w:u w:val="single"/>
        </w:rPr>
        <w:t xml:space="preserve">     （应明确一次性支付合同款项的条件）                    </w:t>
      </w:r>
      <w:r/>
    </w:p>
    <w:p>
      <w:pPr>
        <w:ind w:firstLine="630"/>
        <w:spacing w:line="400" w:lineRule="exact"/>
        <w:rPr>
          <w:rFonts w:hint="eastAsia"/>
          <w:color w:val="auto"/>
        </w:rPr>
      </w:pPr>
      <w:r>
        <w:rPr>
          <w:rFonts w:ascii="Wingdings" w:hAnsi="Wingdings" w:eastAsia="Wingdings" w:cs="Wingdings"/>
          <w:color w:val="auto"/>
          <w:szCs w:val="21"/>
        </w:rPr>
        <w:t xml:space="preserve">þ</w:t>
      </w:r>
      <w:r>
        <w:rPr>
          <w:rFonts w:hint="eastAsia" w:ascii="宋体" w:hAnsi="宋体"/>
          <w:color w:val="auto"/>
          <w:szCs w:val="21"/>
        </w:rPr>
        <w:t xml:space="preserve">分期付款：</w:t>
      </w:r>
      <w:r>
        <w:rPr>
          <w:rFonts w:hint="eastAsia" w:ascii="宋体" w:hAnsi="宋体"/>
          <w:color w:val="auto"/>
          <w:szCs w:val="21"/>
          <w:u w:val="single"/>
        </w:rPr>
        <w:t xml:space="preserve">具体详见专用条款第二节第12.2款</w:t>
      </w:r>
      <w:r>
        <w:rPr>
          <w:rFonts w:hint="eastAsia" w:ascii="宋体" w:hAnsi="宋体"/>
          <w:color w:val="auto"/>
          <w:szCs w:val="21"/>
          <w:u w:val="none"/>
        </w:rPr>
        <w:t xml:space="preserve">，其中涉及预付款的：</w:t>
      </w:r>
      <w:r>
        <w:rPr>
          <w:rFonts w:hint="eastAsia" w:ascii="宋体" w:hAnsi="宋体"/>
          <w:color w:val="auto"/>
          <w:szCs w:val="21"/>
          <w:u w:val="single"/>
        </w:rPr>
        <w:t xml:space="preserve">（具体详见专用条款第二节第12.2款）</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成本补偿：</w:t>
      </w:r>
      <w:r>
        <w:rPr>
          <w:rFonts w:hint="eastAsia" w:ascii="宋体" w:hAnsi="宋体"/>
          <w:color w:val="auto"/>
          <w:szCs w:val="21"/>
          <w:u w:val="single"/>
        </w:rPr>
        <w:t xml:space="preserve">      （应明确按照成本补偿方式的支付方式和支付条件）   </w:t>
      </w:r>
      <w:r/>
    </w:p>
    <w:p>
      <w:pPr>
        <w:ind w:firstLine="630"/>
        <w:spacing w:line="400" w:lineRule="exact"/>
        <w:rPr>
          <w:rFonts w:hint="eastAsia" w:ascii="宋体" w:hAnsi="宋体"/>
          <w:color w:val="auto"/>
          <w:szCs w:val="21"/>
        </w:rPr>
      </w:pPr>
      <w:r>
        <w:rPr>
          <w:rFonts w:ascii="Wingdings" w:hAnsi="Wingdings" w:eastAsia="Wingdings" w:cs="Wingdings"/>
          <w:color w:val="auto"/>
          <w:szCs w:val="21"/>
        </w:rPr>
        <w:t xml:space="preserve">¨</w:t>
      </w:r>
      <w:r>
        <w:rPr>
          <w:rFonts w:hint="eastAsia" w:ascii="宋体" w:hAnsi="宋体"/>
          <w:color w:val="auto"/>
          <w:szCs w:val="21"/>
        </w:rPr>
        <w:t xml:space="preserve">绩效激励：</w:t>
      </w:r>
      <w:r>
        <w:rPr>
          <w:rFonts w:hint="eastAsia" w:ascii="宋体" w:hAnsi="宋体"/>
          <w:color w:val="auto"/>
          <w:szCs w:val="21"/>
          <w:u w:val="single"/>
        </w:rPr>
        <w:t xml:space="preserve">      （应明确按照绩效激励方式的支付方式和支付条件）   </w:t>
      </w:r>
      <w:r/>
    </w:p>
    <w:p>
      <w:pPr>
        <w:numPr>
          <w:ilvl w:val="0"/>
          <w:numId w:val="1"/>
        </w:numPr>
        <w:ind w:firstLine="482"/>
        <w:spacing w:line="360" w:lineRule="auto"/>
        <w:rPr>
          <w:rFonts w:ascii="宋体" w:hAnsi="宋体"/>
          <w:b/>
          <w:color w:val="auto"/>
          <w:sz w:val="24"/>
          <w:u w:val="single"/>
        </w:rPr>
      </w:pPr>
      <w:r>
        <w:rPr>
          <w:rFonts w:hint="eastAsia" w:ascii="宋体" w:hAnsi="宋体"/>
          <w:b/>
          <w:color w:val="auto"/>
          <w:sz w:val="24"/>
        </w:rPr>
        <w:t xml:space="preserve">合同履行</w:t>
      </w:r>
      <w:r/>
    </w:p>
    <w:p>
      <w:pPr>
        <w:ind w:firstLine="480"/>
        <w:spacing w:line="360" w:lineRule="auto"/>
        <w:rPr>
          <w:rFonts w:ascii="宋体" w:hAnsi="宋体" w:cs="宋体"/>
          <w:color w:val="auto"/>
          <w:sz w:val="24"/>
        </w:rPr>
      </w:pPr>
      <w:r>
        <w:rPr>
          <w:rFonts w:hint="eastAsia" w:ascii="宋体" w:hAnsi="宋体" w:cs="宋体"/>
          <w:color w:val="auto"/>
          <w:sz w:val="24"/>
        </w:rPr>
        <w:t xml:space="preserve">（1）起始日期：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日，完成日期：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480"/>
        <w:spacing w:line="360" w:lineRule="auto"/>
        <w:rPr>
          <w:rFonts w:ascii="宋体" w:hAnsi="宋体" w:cs="宋体"/>
          <w:color w:val="auto"/>
          <w:sz w:val="24"/>
          <w:u w:val="single"/>
        </w:rPr>
      </w:pPr>
      <w:r>
        <w:rPr>
          <w:rFonts w:hint="eastAsia" w:ascii="宋体" w:hAnsi="宋体" w:cs="宋体"/>
          <w:color w:val="auto"/>
          <w:sz w:val="24"/>
        </w:rPr>
        <w:t xml:space="preserve">（2）履约地点</w:t>
      </w:r>
      <w:r>
        <w:rPr>
          <w:rFonts w:hint="eastAsia" w:ascii="宋体" w:hAnsi="宋体" w:cs="宋体"/>
          <w:bCs/>
          <w:color w:val="auto"/>
          <w:sz w:val="24"/>
        </w:rPr>
        <w:t xml:space="preserve">：</w:t>
      </w:r>
      <w:r>
        <w:rPr>
          <w:rFonts w:hint="eastAsia" w:ascii="宋体" w:hAnsi="宋体" w:cs="宋体"/>
          <w:bCs/>
          <w:color w:val="auto"/>
          <w:sz w:val="24"/>
          <w:u w:val="single"/>
        </w:rPr>
        <w:t xml:space="preserve">同专用条款 第二节 第23.1款 </w:t>
      </w:r>
      <w:r>
        <w:rPr>
          <w:rFonts w:hint="eastAsia" w:ascii="宋体" w:hAnsi="宋体" w:cs="宋体"/>
          <w:bCs/>
          <w:color w:val="auto"/>
          <w:sz w:val="24"/>
        </w:rPr>
        <w:t xml:space="preserve">  </w:t>
      </w:r>
      <w:r/>
    </w:p>
    <w:p>
      <w:pPr>
        <w:ind w:firstLine="480"/>
        <w:spacing w:line="360" w:lineRule="auto"/>
        <w:rPr>
          <w:rFonts w:ascii="宋体" w:hAnsi="宋体" w:cs="宋体"/>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履约担保：履约担保：是否收取履约保证金：</w:t>
      </w:r>
      <w:r>
        <w:rPr>
          <w:rFonts w:ascii="Wingdings" w:hAnsi="Wingdings" w:eastAsia="Wingdings" w:cs="Wingdings"/>
          <w:color w:val="auto"/>
          <w:sz w:val="24"/>
        </w:rPr>
        <w:t xml:space="preserve">þ</w:t>
      </w:r>
      <w:r>
        <w:rPr>
          <w:rFonts w:hint="eastAsia" w:ascii="宋体" w:hAnsi="宋体" w:cs="宋体"/>
          <w:color w:val="auto"/>
          <w:sz w:val="24"/>
        </w:rPr>
        <w:t xml:space="preserve">是    </w:t>
      </w:r>
      <w:r>
        <w:rPr>
          <w:rFonts w:ascii="Wingdings" w:hAnsi="Wingdings" w:eastAsia="Wingdings" w:cs="Wingdings"/>
          <w:color w:val="auto"/>
          <w:sz w:val="24"/>
        </w:rPr>
        <w:t xml:space="preserve">¨</w:t>
      </w:r>
      <w:r>
        <w:rPr>
          <w:rFonts w:hint="eastAsia" w:ascii="宋体" w:hAnsi="宋体" w:cs="宋体"/>
          <w:color w:val="auto"/>
          <w:sz w:val="24"/>
        </w:rPr>
        <w:t xml:space="preserve">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     收取履约保证金形式：</w:t>
      </w:r>
      <w:r/>
    </w:p>
    <w:p>
      <w:pPr>
        <w:ind w:firstLine="480"/>
        <w:spacing w:line="360" w:lineRule="auto"/>
        <w:rPr>
          <w:rFonts w:hint="eastAsia" w:ascii="宋体" w:hAnsi="宋体" w:cs="宋体"/>
          <w:bCs/>
          <w:color w:val="auto"/>
          <w:sz w:val="24"/>
          <w:u w:val="single"/>
        </w:rPr>
      </w:pPr>
      <w:r>
        <w:rPr>
          <w:rFonts w:hint="eastAsia" w:ascii="宋体" w:hAnsi="宋体" w:cs="宋体"/>
          <w:bCs/>
          <w:color w:val="auto"/>
          <w:sz w:val="24"/>
          <w:u w:val="single"/>
          <w:lang w:val="en-US" w:eastAsia="zh-CN"/>
        </w:rPr>
        <w:t xml:space="preserve">1.</w:t>
      </w:r>
      <w:r>
        <w:rPr>
          <w:rFonts w:hint="eastAsia" w:ascii="宋体" w:hAnsi="宋体" w:cs="宋体"/>
          <w:bCs/>
          <w:color w:val="auto"/>
          <w:sz w:val="24"/>
          <w:u w:val="single"/>
        </w:rPr>
        <w:t xml:space="preserve">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cs="宋体"/>
          <w:bCs/>
          <w:color w:val="auto"/>
          <w:sz w:val="24"/>
          <w:u w:val="single"/>
          <w:lang w:val="en-US" w:eastAsia="zh-CN"/>
        </w:rPr>
        <w:t xml:space="preserve"> 否 </w:t>
      </w:r>
      <w:r>
        <w:rPr>
          <w:rFonts w:hint="eastAsia" w:ascii="宋体" w:hAnsi="宋体" w:cs="宋体"/>
          <w:bCs/>
          <w:color w:val="auto"/>
          <w:sz w:val="24"/>
          <w:u w:val="single"/>
        </w:rPr>
        <w:t xml:space="preserve">免收 ，降低履约保证金缴纳比例 </w:t>
      </w:r>
      <w:r>
        <w:rPr>
          <w:rFonts w:hint="eastAsia" w:ascii="宋体" w:hAnsi="宋体" w:cs="宋体"/>
          <w:bCs/>
          <w:color w:val="auto"/>
          <w:sz w:val="24"/>
          <w:u w:val="single"/>
          <w:lang w:val="en-US" w:eastAsia="zh-CN"/>
        </w:rPr>
        <w:t xml:space="preserve">5</w:t>
      </w:r>
      <w:r>
        <w:rPr>
          <w:rFonts w:hint="eastAsia" w:ascii="宋体" w:hAnsi="宋体" w:cs="宋体"/>
          <w:bCs/>
          <w:color w:val="auto"/>
          <w:sz w:val="24"/>
          <w:u w:val="single"/>
        </w:rPr>
        <w:t xml:space="preserve">0% 。</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2合同履行结束后，甲方应及时退还交纳的履约保证金。</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3履约保证金的退还：</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3.1方式：无息退还至投标人缴纳履约保证金的账户。如为保函，在到期时自行失效。</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3.2时间：验收合格且甲方收到发票后30日内。</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3.3条件：按合同要求全部履约完成并经采购人验收合格，且采购人收到中标人出具的发票。</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4不予退还情形：</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（2）中标人不履行与采购人订立的合同的；</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（3）中标人所供货物或服务不符合招标文件规定要求的；</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（4）中标人采取欺骗、弄虚作假方式投标的或与其它投标人串通投标的；</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（5）中标人将合同内容转包、违法分包的；</w:t>
      </w:r>
      <w:r/>
    </w:p>
    <w:p>
      <w:pPr>
        <w:ind w:firstLine="480"/>
        <w:spacing w:line="360" w:lineRule="auto"/>
        <w:rPr>
          <w:rFonts w:hint="eastAsia" w:ascii="宋体" w:hAnsi="宋体" w:cs="宋体"/>
          <w:bCs/>
          <w:color w:val="auto"/>
          <w:sz w:val="24"/>
          <w:u w:val="single"/>
          <w:lang w:val="en-US" w:eastAsia="zh-CN"/>
        </w:rPr>
      </w:pPr>
      <w:r>
        <w:rPr>
          <w:rFonts w:hint="eastAsia" w:ascii="宋体" w:hAnsi="宋体" w:cs="宋体"/>
          <w:bCs/>
          <w:color w:val="auto"/>
          <w:sz w:val="24"/>
          <w:u w:val="single"/>
          <w:lang w:val="en-US" w:eastAsia="zh-CN"/>
        </w:rPr>
        <w:t xml:space="preserve">（6）中标人故意捏造事实或伪造证明材料，进行虚假恶意投诉或反映的。</w:t>
      </w:r>
      <w:r/>
    </w:p>
    <w:p>
      <w:pPr>
        <w:ind w:firstLine="480"/>
        <w:spacing w:line="360" w:lineRule="auto"/>
        <w:rPr>
          <w:rFonts w:ascii="宋体" w:hAnsi="宋体" w:cs="宋体"/>
          <w:color w:val="auto"/>
          <w:sz w:val="24"/>
        </w:rPr>
      </w:pPr>
      <w:r>
        <w:rPr>
          <w:rFonts w:hint="eastAsia" w:ascii="宋体" w:hAnsi="宋体" w:cs="宋体"/>
          <w:bCs/>
          <w:color w:val="auto"/>
          <w:sz w:val="24"/>
          <w:u w:val="single"/>
          <w:lang w:val="en-US" w:eastAsia="zh-CN"/>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bCs/>
          <w:color w:val="auto"/>
          <w:sz w:val="24"/>
        </w:rPr>
        <w:t xml:space="preserve">  </w:t>
      </w: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     收取履约保证金金额：</w:t>
      </w:r>
      <w:r>
        <w:rPr>
          <w:rFonts w:hint="eastAsia" w:ascii="宋体" w:hAnsi="宋体" w:cs="宋体"/>
          <w:bCs/>
          <w:color w:val="auto"/>
          <w:sz w:val="24"/>
          <w:u w:val="single"/>
          <w:lang w:val="en-US" w:eastAsia="zh-CN"/>
        </w:rPr>
        <w:t xml:space="preserve">中标</w:t>
      </w:r>
      <w:r>
        <w:rPr>
          <w:rFonts w:hint="eastAsia" w:ascii="宋体" w:hAnsi="宋体" w:cs="宋体"/>
          <w:bCs/>
          <w:color w:val="auto"/>
          <w:sz w:val="24"/>
          <w:u w:val="single"/>
        </w:rPr>
        <w:t xml:space="preserve">金额的10%</w:t>
      </w:r>
      <w:r>
        <w:rPr>
          <w:rFonts w:hint="eastAsia" w:ascii="宋体" w:hAnsi="宋体" w:cs="宋体"/>
          <w:bCs/>
          <w:color w:val="auto"/>
          <w:sz w:val="24"/>
        </w:rPr>
        <w:t xml:space="preserve">  </w:t>
      </w:r>
      <w:r>
        <w:rPr>
          <w:rFonts w:hint="eastAsia" w:ascii="宋体" w:hAnsi="宋体" w:cs="宋体"/>
          <w:color w:val="auto"/>
          <w:sz w:val="24"/>
        </w:rPr>
        <w:t xml:space="preserve">                            </w:t>
      </w:r>
      <w:r/>
    </w:p>
    <w:p>
      <w:pPr>
        <w:ind w:firstLine="480"/>
        <w:spacing w:line="360" w:lineRule="auto"/>
        <w:rPr>
          <w:rFonts w:ascii="宋体" w:hAnsi="宋体" w:cs="宋体"/>
          <w:color w:val="auto"/>
        </w:rPr>
      </w:pPr>
      <w:r>
        <w:rPr>
          <w:rFonts w:hint="eastAsia" w:ascii="宋体" w:hAnsi="宋体" w:cs="宋体"/>
          <w:color w:val="auto"/>
          <w:sz w:val="24"/>
        </w:rPr>
        <w:t xml:space="preserve">     履约担保期限：</w:t>
      </w:r>
      <w:r>
        <w:rPr>
          <w:rFonts w:hint="eastAsia" w:ascii="宋体" w:hAnsi="宋体" w:cs="宋体"/>
          <w:bCs/>
          <w:color w:val="auto"/>
          <w:sz w:val="24"/>
          <w:u w:val="single"/>
        </w:rPr>
        <w:t xml:space="preserve">合同履行</w:t>
      </w:r>
      <w:r>
        <w:rPr>
          <w:rFonts w:hint="eastAsia" w:ascii="宋体" w:hAnsi="宋体" w:cs="宋体"/>
          <w:bCs/>
          <w:color w:val="auto"/>
          <w:sz w:val="24"/>
          <w:u w:val="single"/>
          <w:lang w:val="en-US" w:eastAsia="zh-CN"/>
        </w:rPr>
        <w:t xml:space="preserve">期限内</w:t>
      </w:r>
      <w:r>
        <w:rPr>
          <w:rFonts w:hint="eastAsia" w:ascii="宋体" w:hAnsi="宋体" w:cs="宋体"/>
          <w:color w:val="auto"/>
        </w:rPr>
        <w:t xml:space="preserve">                            </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4</w:t>
      </w:r>
      <w:r>
        <w:rPr>
          <w:rFonts w:hint="eastAsia" w:ascii="宋体" w:hAnsi="宋体" w:cs="宋体"/>
          <w:bCs/>
          <w:color w:val="auto"/>
          <w:sz w:val="24"/>
        </w:rPr>
        <w:t xml:space="preserve">）分期履行要求：</w:t>
      </w:r>
      <w:r/>
    </w:p>
    <w:p>
      <w:pPr>
        <w:ind w:firstLine="480"/>
        <w:spacing w:line="360" w:lineRule="auto"/>
        <w:rPr>
          <w:rFonts w:ascii="宋体" w:hAnsi="宋体" w:cs="宋体"/>
          <w:color w:val="auto"/>
          <w:sz w:val="24"/>
          <w:u w:val="single"/>
        </w:rPr>
      </w:pP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5</w:t>
      </w:r>
      <w:r>
        <w:rPr>
          <w:rFonts w:hint="eastAsia" w:ascii="宋体" w:hAnsi="宋体" w:cs="宋体"/>
          <w:bCs/>
          <w:color w:val="auto"/>
          <w:sz w:val="24"/>
        </w:rPr>
        <w:t xml:space="preserve">）风险处置措施和替代方案：</w:t>
      </w:r>
      <w:r/>
    </w:p>
    <w:p>
      <w:pPr>
        <w:numPr>
          <w:ilvl w:val="0"/>
          <w:numId w:val="1"/>
        </w:numPr>
        <w:ind w:firstLine="482"/>
        <w:spacing w:line="360" w:lineRule="auto"/>
        <w:rPr>
          <w:rFonts w:ascii="宋体" w:hAnsi="宋体"/>
          <w:b/>
          <w:color w:val="auto"/>
          <w:sz w:val="24"/>
        </w:rPr>
      </w:pPr>
      <w:r>
        <w:rPr>
          <w:rFonts w:hint="eastAsia" w:ascii="宋体" w:hAnsi="宋体"/>
          <w:b/>
          <w:color w:val="auto"/>
          <w:sz w:val="24"/>
        </w:rPr>
        <w:t xml:space="preserve">合同验收</w:t>
      </w:r>
      <w:r/>
    </w:p>
    <w:p>
      <w:pPr>
        <w:numPr>
          <w:ilvl w:val="0"/>
          <w:numId w:val="3"/>
        </w:numPr>
        <w:ind w:firstLine="480"/>
        <w:spacing w:line="360" w:lineRule="auto"/>
        <w:rPr>
          <w:rFonts w:ascii="宋体" w:hAnsi="宋体"/>
          <w:bCs/>
          <w:color w:val="auto"/>
          <w:sz w:val="24"/>
        </w:rPr>
      </w:pPr>
      <w:r>
        <w:rPr>
          <w:rFonts w:hint="eastAsia" w:ascii="宋体" w:hAnsi="宋体"/>
          <w:bCs/>
          <w:color w:val="auto"/>
          <w:sz w:val="24"/>
        </w:rPr>
        <w:t xml:space="preserve">验收组织方式：</w:t>
      </w:r>
      <w:r>
        <w:rPr>
          <w:rFonts w:ascii="Wingdings" w:hAnsi="Wingdings" w:eastAsia="Wingdings" w:cs="Wingdings"/>
          <w:color w:val="auto"/>
          <w:sz w:val="24"/>
        </w:rPr>
        <w:t xml:space="preserve">þ</w:t>
      </w:r>
      <w:r>
        <w:rPr>
          <w:rFonts w:hint="eastAsia" w:ascii="宋体" w:hAnsi="宋体"/>
          <w:bCs/>
          <w:color w:val="auto"/>
          <w:sz w:val="24"/>
        </w:rPr>
        <w:t xml:space="preserve">自行组织 </w:t>
      </w:r>
      <w:r>
        <w:rPr>
          <w:rFonts w:ascii="Wingdings" w:hAnsi="Wingdings" w:eastAsia="Wingdings" w:cs="Wingdings"/>
          <w:color w:val="auto"/>
          <w:sz w:val="24"/>
        </w:rPr>
        <w:t xml:space="preserve"></w:t>
      </w:r>
      <w:r>
        <w:rPr>
          <w:rFonts w:hint="eastAsia" w:ascii="宋体" w:hAnsi="宋体"/>
          <w:bCs/>
          <w:color w:val="auto"/>
          <w:sz w:val="24"/>
        </w:rPr>
        <w:t xml:space="preserve">委托第三方组织</w:t>
      </w:r>
      <w:r/>
    </w:p>
    <w:p>
      <w:pPr>
        <w:ind w:firstLine="960"/>
        <w:spacing w:line="360" w:lineRule="auto"/>
        <w:rPr>
          <w:rFonts w:ascii="宋体" w:hAnsi="宋体" w:cs="宋体"/>
          <w:color w:val="auto"/>
          <w:sz w:val="24"/>
        </w:rPr>
      </w:pPr>
      <w:r>
        <w:rPr>
          <w:rFonts w:hint="eastAsia" w:ascii="宋体" w:hAnsi="宋体"/>
          <w:bCs/>
          <w:color w:val="auto"/>
          <w:sz w:val="24"/>
        </w:rPr>
        <w:t xml:space="preserve">验收主体：</w:t>
      </w:r>
      <w:r>
        <w:rPr>
          <w:rFonts w:hint="eastAsia" w:ascii="宋体" w:hAnsi="宋体" w:cs="宋体"/>
          <w:color w:val="auto"/>
          <w:sz w:val="24"/>
        </w:rPr>
        <w:t xml:space="preserve"> </w:t>
      </w:r>
      <w:r>
        <w:rPr>
          <w:rFonts w:hint="eastAsia" w:ascii="宋体" w:hAnsi="宋体" w:cs="宋体"/>
          <w:bCs/>
          <w:color w:val="auto"/>
          <w:sz w:val="24"/>
          <w:u w:val="single"/>
        </w:rPr>
        <w:t xml:space="preserve"> </w:t>
      </w:r>
      <w:r>
        <w:rPr>
          <w:rFonts w:hint="eastAsia" w:ascii="宋体" w:hAnsi="宋体" w:cs="宋体"/>
          <w:bCs/>
          <w:color w:val="auto"/>
          <w:sz w:val="24"/>
          <w:u w:val="single"/>
          <w:lang w:eastAsia="zh-CN"/>
        </w:rPr>
        <w:t xml:space="preserve">盐城市东台生态环境局</w:t>
      </w:r>
      <w:r>
        <w:rPr>
          <w:rFonts w:hint="eastAsia" w:ascii="宋体" w:hAnsi="宋体" w:cs="宋体"/>
          <w:bCs/>
          <w:color w:val="auto"/>
          <w:sz w:val="24"/>
          <w:u w:val="single"/>
        </w:rPr>
        <w:t xml:space="preserve">  </w:t>
      </w:r>
      <w:r>
        <w:rPr>
          <w:rFonts w:hint="eastAsia" w:ascii="宋体" w:hAnsi="宋体" w:cs="宋体"/>
          <w:color w:val="auto"/>
          <w:sz w:val="24"/>
        </w:rPr>
        <w:t xml:space="preserve"> </w:t>
      </w:r>
      <w:r/>
    </w:p>
    <w:p>
      <w:pPr>
        <w:ind w:firstLine="960"/>
        <w:spacing w:line="360" w:lineRule="auto"/>
        <w:rPr>
          <w:rFonts w:ascii="宋体" w:hAnsi="宋体"/>
          <w:bCs/>
          <w:color w:val="auto"/>
          <w:sz w:val="24"/>
        </w:rPr>
      </w:pPr>
      <w:r>
        <w:rPr>
          <w:rFonts w:hint="eastAsia" w:ascii="宋体" w:hAnsi="宋体"/>
          <w:bCs/>
          <w:color w:val="auto"/>
          <w:sz w:val="24"/>
        </w:rPr>
        <w:t xml:space="preserve">是否邀请本项目的其他供应商参加验收：</w:t>
      </w:r>
      <w:r>
        <w:rPr>
          <w:rFonts w:ascii="Wingdings" w:hAnsi="Wingdings" w:eastAsia="Wingdings" w:cs="Wingdings"/>
          <w:color w:val="auto"/>
          <w:sz w:val="24"/>
        </w:rPr>
        <w:t xml:space="preserve"></w:t>
      </w:r>
      <w:r>
        <w:rPr>
          <w:rFonts w:hint="eastAsia" w:ascii="宋体" w:hAnsi="宋体"/>
          <w:bCs/>
          <w:color w:val="auto"/>
          <w:sz w:val="24"/>
        </w:rPr>
        <w:t xml:space="preserve">是  </w:t>
      </w:r>
      <w:r>
        <w:rPr>
          <w:rFonts w:ascii="Wingdings" w:hAnsi="Wingdings" w:eastAsia="Wingdings" w:cs="Wingdings"/>
          <w:color w:val="auto"/>
          <w:sz w:val="24"/>
        </w:rPr>
        <w:t xml:space="preserve">þ</w:t>
      </w:r>
      <w:r>
        <w:rPr>
          <w:rFonts w:hint="eastAsia" w:ascii="宋体" w:hAnsi="宋体"/>
          <w:bCs/>
          <w:color w:val="auto"/>
          <w:sz w:val="24"/>
        </w:rPr>
        <w:t xml:space="preserve">否</w:t>
      </w:r>
      <w:r/>
    </w:p>
    <w:p>
      <w:pPr>
        <w:ind w:firstLine="960"/>
        <w:spacing w:line="360" w:lineRule="auto"/>
        <w:rPr>
          <w:rFonts w:ascii="宋体" w:hAnsi="宋体"/>
          <w:bCs/>
          <w:color w:val="auto"/>
          <w:sz w:val="24"/>
        </w:rPr>
      </w:pPr>
      <w:r>
        <w:rPr>
          <w:rFonts w:hint="eastAsia" w:ascii="宋体" w:hAnsi="宋体"/>
          <w:bCs/>
          <w:color w:val="auto"/>
          <w:sz w:val="24"/>
        </w:rPr>
        <w:t xml:space="preserve">是否邀请专家参加验收：</w:t>
      </w:r>
      <w:r>
        <w:rPr>
          <w:rFonts w:ascii="Wingdings" w:hAnsi="Wingdings" w:eastAsia="Wingdings" w:cs="Wingdings"/>
          <w:color w:val="auto"/>
          <w:sz w:val="24"/>
        </w:rPr>
        <w:t xml:space="preserve">þ</w:t>
      </w:r>
      <w:r>
        <w:rPr>
          <w:rFonts w:hint="eastAsia" w:ascii="宋体" w:hAnsi="宋体"/>
          <w:bCs/>
          <w:color w:val="auto"/>
          <w:sz w:val="24"/>
        </w:rPr>
        <w:t xml:space="preserve">是  </w:t>
      </w:r>
      <w:r>
        <w:rPr>
          <w:rFonts w:ascii="Wingdings" w:hAnsi="Wingdings" w:eastAsia="Wingdings" w:cs="Wingdings"/>
          <w:color w:val="auto"/>
          <w:sz w:val="24"/>
        </w:rPr>
        <w:t xml:space="preserve"></w:t>
      </w:r>
      <w:r>
        <w:rPr>
          <w:rFonts w:hint="eastAsia" w:ascii="宋体" w:hAnsi="宋体"/>
          <w:bCs/>
          <w:color w:val="auto"/>
          <w:sz w:val="24"/>
        </w:rPr>
        <w:t xml:space="preserve">否</w:t>
      </w:r>
      <w:r/>
    </w:p>
    <w:p>
      <w:pPr>
        <w:ind w:firstLine="960"/>
        <w:spacing w:line="360" w:lineRule="auto"/>
        <w:rPr>
          <w:rFonts w:ascii="宋体" w:hAnsi="宋体"/>
          <w:bCs/>
          <w:color w:val="auto"/>
          <w:sz w:val="24"/>
        </w:rPr>
      </w:pPr>
      <w:r>
        <w:rPr>
          <w:rFonts w:hint="eastAsia" w:ascii="宋体" w:hAnsi="宋体"/>
          <w:bCs/>
          <w:color w:val="auto"/>
          <w:sz w:val="24"/>
        </w:rPr>
        <w:t xml:space="preserve">是否邀请服务对象参加验收：</w:t>
      </w:r>
      <w:r>
        <w:rPr>
          <w:rFonts w:ascii="Wingdings" w:hAnsi="Wingdings" w:eastAsia="Wingdings" w:cs="Wingdings"/>
          <w:color w:val="auto"/>
          <w:sz w:val="24"/>
        </w:rPr>
        <w:t xml:space="preserve"></w:t>
      </w:r>
      <w:r>
        <w:rPr>
          <w:rFonts w:hint="eastAsia" w:ascii="宋体" w:hAnsi="宋体"/>
          <w:bCs/>
          <w:color w:val="auto"/>
          <w:sz w:val="24"/>
        </w:rPr>
        <w:t xml:space="preserve">是  </w:t>
      </w:r>
      <w:r>
        <w:rPr>
          <w:rFonts w:ascii="Wingdings" w:hAnsi="Wingdings" w:eastAsia="Wingdings" w:cs="Wingdings"/>
          <w:color w:val="auto"/>
          <w:sz w:val="24"/>
        </w:rPr>
        <w:t xml:space="preserve">þ</w:t>
      </w:r>
      <w:r>
        <w:rPr>
          <w:rFonts w:hint="eastAsia" w:ascii="宋体" w:hAnsi="宋体"/>
          <w:bCs/>
          <w:color w:val="auto"/>
          <w:sz w:val="24"/>
        </w:rPr>
        <w:t xml:space="preserve">否</w:t>
      </w:r>
      <w:r/>
    </w:p>
    <w:p>
      <w:pPr>
        <w:ind w:firstLine="960"/>
        <w:spacing w:line="360" w:lineRule="auto"/>
        <w:rPr>
          <w:rFonts w:ascii="宋体" w:hAnsi="宋体"/>
          <w:bCs/>
          <w:color w:val="auto"/>
          <w:sz w:val="24"/>
        </w:rPr>
      </w:pPr>
      <w:r>
        <w:rPr>
          <w:rFonts w:hint="eastAsia" w:ascii="宋体" w:hAnsi="宋体"/>
          <w:bCs/>
          <w:color w:val="auto"/>
          <w:sz w:val="24"/>
        </w:rPr>
        <w:t xml:space="preserve">是否邀请第三方检测机构参加验收：</w:t>
      </w:r>
      <w:r>
        <w:rPr>
          <w:rFonts w:ascii="Wingdings" w:hAnsi="Wingdings" w:eastAsia="Wingdings" w:cs="Wingdings"/>
          <w:color w:val="auto"/>
          <w:sz w:val="24"/>
        </w:rPr>
        <w:t xml:space="preserve"></w:t>
      </w:r>
      <w:r>
        <w:rPr>
          <w:rFonts w:hint="eastAsia" w:ascii="宋体" w:hAnsi="宋体"/>
          <w:bCs/>
          <w:color w:val="auto"/>
          <w:sz w:val="24"/>
        </w:rPr>
        <w:t xml:space="preserve">是  </w:t>
      </w:r>
      <w:r>
        <w:rPr>
          <w:rFonts w:ascii="Wingdings" w:hAnsi="Wingdings" w:eastAsia="Wingdings" w:cs="Wingdings"/>
          <w:color w:val="auto"/>
          <w:sz w:val="24"/>
        </w:rPr>
        <w:t xml:space="preserve">þ</w:t>
      </w:r>
      <w:r>
        <w:rPr>
          <w:rFonts w:hint="eastAsia" w:ascii="宋体" w:hAnsi="宋体"/>
          <w:bCs/>
          <w:color w:val="auto"/>
          <w:sz w:val="24"/>
        </w:rPr>
        <w:t xml:space="preserve">否</w:t>
      </w:r>
      <w:r/>
    </w:p>
    <w:p>
      <w:pPr>
        <w:ind w:firstLine="960"/>
        <w:spacing w:line="360" w:lineRule="auto"/>
        <w:rPr>
          <w:rFonts w:ascii="宋体" w:hAnsi="宋体"/>
          <w:bCs/>
          <w:color w:val="auto"/>
          <w:sz w:val="24"/>
        </w:rPr>
      </w:pPr>
      <w:r>
        <w:rPr>
          <w:rFonts w:hint="eastAsia" w:ascii="宋体" w:hAnsi="宋体"/>
          <w:bCs/>
          <w:color w:val="auto"/>
          <w:sz w:val="24"/>
        </w:rPr>
        <w:t xml:space="preserve">是否进行抽查检测：</w:t>
      </w:r>
      <w:r>
        <w:rPr>
          <w:rFonts w:ascii="Wingdings" w:hAnsi="Wingdings" w:eastAsia="Wingdings" w:cs="Wingdings"/>
          <w:color w:val="auto"/>
          <w:sz w:val="24"/>
        </w:rPr>
        <w:t xml:space="preserve"></w:t>
      </w:r>
      <w:r>
        <w:rPr>
          <w:rFonts w:hint="eastAsia" w:ascii="宋体" w:hAnsi="宋体"/>
          <w:bCs/>
          <w:color w:val="auto"/>
          <w:sz w:val="24"/>
        </w:rPr>
        <w:t xml:space="preserve">是，抽查比例：</w:t>
      </w:r>
      <w:r>
        <w:rPr>
          <w:rFonts w:ascii="Wingdings" w:hAnsi="Wingdings" w:eastAsia="Wingdings" w:cs="Wingdings"/>
          <w:color w:val="auto"/>
          <w:sz w:val="24"/>
        </w:rPr>
        <w:t xml:space="preserve">þ</w:t>
      </w:r>
      <w:r>
        <w:rPr>
          <w:rFonts w:hint="eastAsia" w:ascii="宋体" w:hAnsi="宋体"/>
          <w:bCs/>
          <w:color w:val="auto"/>
          <w:sz w:val="24"/>
        </w:rPr>
        <w:t xml:space="preserve">否</w:t>
      </w:r>
      <w:r/>
    </w:p>
    <w:p>
      <w:pPr>
        <w:ind w:firstLine="960"/>
        <w:spacing w:line="360" w:lineRule="auto"/>
        <w:rPr>
          <w:rFonts w:ascii="宋体" w:hAnsi="宋体"/>
          <w:bCs/>
          <w:color w:val="auto"/>
          <w:sz w:val="24"/>
          <w:u w:val="single"/>
        </w:rPr>
      </w:pPr>
      <w:r>
        <w:rPr>
          <w:rFonts w:hint="eastAsia" w:ascii="宋体" w:hAnsi="宋体"/>
          <w:bCs/>
          <w:color w:val="auto"/>
          <w:sz w:val="24"/>
        </w:rPr>
        <w:t xml:space="preserve">是否存在破坏性检测：</w:t>
      </w:r>
      <w:r>
        <w:rPr>
          <w:rFonts w:ascii="Wingdings" w:hAnsi="Wingdings" w:eastAsia="Wingdings" w:cs="Wingdings"/>
          <w:color w:val="auto"/>
          <w:sz w:val="24"/>
        </w:rPr>
        <w:t xml:space="preserve"></w:t>
      </w:r>
      <w:r>
        <w:rPr>
          <w:rFonts w:hint="eastAsia" w:ascii="宋体" w:hAnsi="宋体"/>
          <w:bCs/>
          <w:color w:val="auto"/>
          <w:sz w:val="24"/>
        </w:rPr>
        <w:t xml:space="preserve">是，</w:t>
      </w:r>
      <w:r>
        <w:rPr>
          <w:rFonts w:hint="eastAsia" w:ascii="宋体" w:hAnsi="宋体"/>
          <w:bCs/>
          <w:color w:val="auto"/>
          <w:sz w:val="24"/>
          <w:u w:val="single"/>
        </w:rPr>
        <w:t xml:space="preserve">（应明确对被破坏的检测产品的处理方式）</w:t>
      </w:r>
      <w:r/>
    </w:p>
    <w:p>
      <w:pPr>
        <w:ind w:firstLine="960"/>
        <w:spacing w:line="360" w:lineRule="auto"/>
        <w:rPr>
          <w:rFonts w:ascii="宋体" w:hAnsi="宋体"/>
          <w:bCs/>
          <w:color w:val="auto"/>
          <w:sz w:val="24"/>
        </w:rPr>
      </w:pPr>
      <w:r>
        <w:rPr>
          <w:rFonts w:ascii="Wingdings" w:hAnsi="Wingdings" w:eastAsia="Wingdings" w:cs="Wingdings"/>
          <w:color w:val="auto"/>
          <w:sz w:val="24"/>
        </w:rPr>
        <w:t xml:space="preserve">þ</w:t>
      </w:r>
      <w:r>
        <w:rPr>
          <w:rFonts w:hint="eastAsia" w:ascii="宋体" w:hAnsi="宋体"/>
          <w:bCs/>
          <w:color w:val="auto"/>
          <w:sz w:val="24"/>
        </w:rPr>
        <w:t xml:space="preserve">否</w:t>
      </w:r>
      <w:r/>
    </w:p>
    <w:p>
      <w:pPr>
        <w:ind w:firstLine="960"/>
        <w:spacing w:line="360" w:lineRule="auto"/>
        <w:rPr>
          <w:rFonts w:ascii="宋体" w:hAnsi="宋体"/>
          <w:bCs/>
          <w:color w:val="auto"/>
          <w:sz w:val="24"/>
          <w:u w:val="single"/>
        </w:rPr>
      </w:pPr>
      <w:r>
        <w:rPr>
          <w:rFonts w:hint="eastAsia" w:ascii="宋体" w:hAnsi="宋体"/>
          <w:bCs/>
          <w:color w:val="auto"/>
          <w:sz w:val="24"/>
        </w:rPr>
        <w:t xml:space="preserve">验收组织的其他事项：</w:t>
      </w:r>
      <w:r/>
    </w:p>
    <w:p>
      <w:pPr>
        <w:ind w:firstLine="480"/>
        <w:spacing w:line="360" w:lineRule="auto"/>
        <w:rPr>
          <w:rFonts w:ascii="宋体" w:hAnsi="宋体"/>
          <w:bCs/>
          <w:color w:val="auto"/>
          <w:sz w:val="24"/>
          <w:u w:val="single"/>
        </w:rPr>
      </w:pPr>
      <w:r>
        <w:rPr>
          <w:rFonts w:hint="eastAsia" w:ascii="宋体" w:hAnsi="宋体"/>
          <w:bCs/>
          <w:color w:val="auto"/>
          <w:sz w:val="24"/>
        </w:rPr>
        <w:t xml:space="preserve">（2）履约验收时间：</w:t>
      </w:r>
      <w:r>
        <w:rPr>
          <w:rFonts w:hint="eastAsia" w:ascii="宋体" w:hAnsi="宋体"/>
          <w:bCs/>
          <w:color w:val="auto"/>
          <w:sz w:val="24"/>
          <w:u w:val="single"/>
        </w:rPr>
        <w:t xml:space="preserve">（供应商提出验收申请之日起</w:t>
      </w:r>
      <w:r>
        <w:rPr>
          <w:rFonts w:hint="eastAsia" w:ascii="宋体" w:hAnsi="宋体"/>
          <w:bCs/>
          <w:color w:val="auto"/>
          <w:sz w:val="24"/>
          <w:u w:val="single"/>
          <w:lang w:val="en-US" w:eastAsia="zh-CN"/>
        </w:rPr>
        <w:t xml:space="preserve">30</w:t>
      </w:r>
      <w:r>
        <w:rPr>
          <w:rFonts w:hint="eastAsia" w:ascii="宋体" w:hAnsi="宋体"/>
          <w:bCs/>
          <w:color w:val="auto"/>
          <w:sz w:val="24"/>
          <w:u w:val="single"/>
        </w:rPr>
        <w:t xml:space="preserve">日内组织验收）</w:t>
      </w:r>
      <w:r/>
    </w:p>
    <w:p>
      <w:pPr>
        <w:ind w:firstLine="480"/>
        <w:spacing w:line="360" w:lineRule="auto"/>
        <w:rPr>
          <w:rFonts w:ascii="宋体" w:hAnsi="宋体"/>
          <w:bCs/>
          <w:color w:val="auto"/>
          <w:sz w:val="24"/>
        </w:rPr>
      </w:pPr>
      <w:r>
        <w:rPr>
          <w:rFonts w:hint="eastAsia" w:ascii="宋体" w:hAnsi="宋体"/>
          <w:bCs/>
          <w:color w:val="auto"/>
          <w:sz w:val="24"/>
        </w:rPr>
        <w:t xml:space="preserve">（3）履约验收方式：</w:t>
      </w:r>
      <w:r>
        <w:rPr>
          <w:rFonts w:ascii="Wingdings" w:hAnsi="Wingdings" w:eastAsia="Wingdings" w:cs="Wingdings"/>
          <w:color w:val="auto"/>
          <w:sz w:val="24"/>
        </w:rPr>
        <w:t xml:space="preserve">þ</w:t>
      </w:r>
      <w:r>
        <w:rPr>
          <w:rFonts w:hint="eastAsia" w:ascii="宋体" w:hAnsi="宋体"/>
          <w:bCs/>
          <w:color w:val="auto"/>
          <w:sz w:val="24"/>
        </w:rPr>
        <w:t xml:space="preserve">一次性验收         </w:t>
      </w:r>
      <w:r/>
    </w:p>
    <w:p>
      <w:pPr>
        <w:spacing w:line="360" w:lineRule="auto"/>
        <w:rPr>
          <w:rFonts w:ascii="宋体" w:hAnsi="宋体"/>
          <w:bCs/>
          <w:color w:val="auto"/>
          <w:sz w:val="24"/>
        </w:rPr>
      </w:pPr>
      <w:r>
        <w:rPr>
          <w:rFonts w:ascii="Wingdings" w:hAnsi="Wingdings" w:eastAsia="Wingdings" w:cs="Wingdings"/>
          <w:color w:val="auto"/>
          <w:sz w:val="24"/>
        </w:rPr>
        <w:t xml:space="preserve"></w:t>
      </w:r>
      <w:r>
        <w:rPr>
          <w:rFonts w:hint="eastAsia" w:ascii="宋体" w:hAnsi="宋体"/>
          <w:bCs/>
          <w:color w:val="auto"/>
          <w:sz w:val="24"/>
        </w:rPr>
        <w:t xml:space="preserve">分期/分项验收：</w:t>
      </w:r>
      <w:r>
        <w:rPr>
          <w:rFonts w:hint="eastAsia" w:ascii="宋体" w:hAnsi="宋体"/>
          <w:bCs/>
          <w:color w:val="auto"/>
          <w:sz w:val="24"/>
          <w:u w:val="single"/>
        </w:rPr>
        <w:t xml:space="preserve">（应明确分期</w:t>
      </w:r>
      <w:r>
        <w:rPr>
          <w:rFonts w:ascii="宋体" w:hAnsi="宋体"/>
          <w:bCs/>
          <w:color w:val="auto"/>
          <w:sz w:val="24"/>
          <w:u w:val="single"/>
        </w:rPr>
        <w:t xml:space="preserve">/</w:t>
      </w:r>
      <w:r>
        <w:rPr>
          <w:rFonts w:hint="eastAsia" w:ascii="宋体" w:hAnsi="宋体"/>
          <w:bCs/>
          <w:color w:val="auto"/>
          <w:sz w:val="24"/>
          <w:u w:val="single"/>
        </w:rPr>
        <w:t xml:space="preserve">分项验收的工作安排）</w:t>
      </w:r>
      <w:r/>
    </w:p>
    <w:p>
      <w:pPr>
        <w:ind w:firstLine="480"/>
        <w:spacing w:line="360" w:lineRule="auto"/>
        <w:rPr>
          <w:rFonts w:ascii="宋体" w:hAnsi="宋体"/>
          <w:bCs/>
          <w:color w:val="auto"/>
          <w:sz w:val="24"/>
        </w:rPr>
      </w:pPr>
      <w:r>
        <w:rPr>
          <w:rFonts w:hint="eastAsia" w:ascii="宋体" w:hAnsi="宋体"/>
          <w:bCs/>
          <w:color w:val="auto"/>
          <w:sz w:val="24"/>
        </w:rPr>
        <w:t xml:space="preserve">（4）履约验收程序：</w:t>
      </w:r>
      <w:r>
        <w:rPr>
          <w:rFonts w:hint="eastAsia" w:ascii="宋体" w:hAnsi="宋体"/>
          <w:bCs/>
          <w:color w:val="auto"/>
          <w:sz w:val="24"/>
          <w:u w:val="single"/>
          <w:lang w:eastAsia="zh-CN"/>
        </w:rPr>
        <w:t xml:space="preserve">供应商负责编制验收报告，提交甲方，</w:t>
      </w:r>
      <w:r>
        <w:rPr>
          <w:rFonts w:hint="eastAsia" w:ascii="宋体" w:hAnsi="宋体"/>
          <w:bCs/>
          <w:color w:val="auto"/>
          <w:sz w:val="24"/>
          <w:u w:val="single"/>
        </w:rPr>
        <w:t xml:space="preserve">甲方依法组织履约验收工作。</w:t>
      </w:r>
      <w:r>
        <w:rPr>
          <w:rFonts w:hint="eastAsia" w:ascii="宋体" w:hAnsi="宋体"/>
          <w:bCs/>
          <w:color w:val="auto"/>
          <w:sz w:val="24"/>
          <w:u w:val="single"/>
          <w:lang w:eastAsia="zh-CN"/>
        </w:rPr>
        <w:t xml:space="preserve">由办公室组织，监测站领导、业务科室、专家参与，共同对项目进行验收，并由甲乙双方共同签署验收意见书。</w:t>
      </w:r>
      <w:r/>
    </w:p>
    <w:p>
      <w:pPr>
        <w:ind w:firstLine="480"/>
        <w:spacing w:line="360" w:lineRule="auto"/>
        <w:rPr>
          <w:rFonts w:ascii="宋体" w:hAnsi="宋体"/>
          <w:bCs/>
          <w:color w:val="auto"/>
          <w:sz w:val="24"/>
          <w:u w:val="single"/>
        </w:rPr>
      </w:pPr>
      <w:r>
        <w:rPr>
          <w:rFonts w:hint="eastAsia" w:ascii="宋体" w:hAnsi="宋体"/>
          <w:bCs/>
          <w:color w:val="auto"/>
          <w:sz w:val="24"/>
        </w:rPr>
        <w:t xml:space="preserve">（5）履约验收的内容：</w:t>
      </w:r>
      <w:r>
        <w:rPr>
          <w:rFonts w:hint="eastAsia" w:ascii="宋体" w:hAnsi="宋体"/>
          <w:bCs/>
          <w:color w:val="auto"/>
          <w:sz w:val="24"/>
          <w:u w:val="single"/>
        </w:rPr>
        <w:t xml:space="preserve">（</w:t>
      </w:r>
      <w:r>
        <w:rPr>
          <w:rFonts w:hint="eastAsia" w:ascii="宋体" w:hAnsi="宋体"/>
          <w:color w:val="auto"/>
          <w:sz w:val="24"/>
          <w:u w:val="single"/>
        </w:rPr>
        <w:t xml:space="preserve">型号、规格、数量、外观是否完好，安装调试是否合格</w:t>
      </w:r>
      <w:r>
        <w:rPr>
          <w:rFonts w:hint="eastAsia" w:ascii="宋体" w:hAnsi="宋体"/>
          <w:color w:val="auto"/>
          <w:sz w:val="24"/>
          <w:u w:val="single"/>
          <w:lang w:eastAsia="zh-CN"/>
        </w:rPr>
        <w:t xml:space="preserve">、</w:t>
      </w:r>
      <w:r>
        <w:rPr>
          <w:rFonts w:hint="eastAsia" w:ascii="宋体" w:hAnsi="宋体"/>
          <w:color w:val="auto"/>
          <w:sz w:val="24"/>
          <w:u w:val="single"/>
        </w:rPr>
        <w:t xml:space="preserve">使用状况</w:t>
      </w:r>
      <w:r>
        <w:rPr>
          <w:rFonts w:hint="eastAsia" w:ascii="宋体" w:hAnsi="宋体"/>
          <w:color w:val="auto"/>
          <w:sz w:val="24"/>
          <w:u w:val="single"/>
          <w:lang w:eastAsia="zh-CN"/>
        </w:rPr>
        <w:t xml:space="preserve">、培训情况</w:t>
      </w:r>
      <w:r>
        <w:rPr>
          <w:rFonts w:hint="eastAsia" w:ascii="宋体" w:hAnsi="宋体"/>
          <w:color w:val="auto"/>
          <w:sz w:val="24"/>
          <w:u w:val="single"/>
        </w:rPr>
        <w:t xml:space="preserve">等</w:t>
      </w:r>
      <w:r>
        <w:rPr>
          <w:rFonts w:hint="eastAsia" w:ascii="宋体" w:hAnsi="宋体"/>
          <w:bCs/>
          <w:color w:val="auto"/>
          <w:sz w:val="24"/>
          <w:u w:val="single"/>
          <w:lang w:eastAsia="zh-CN"/>
        </w:rPr>
        <w:t xml:space="preserve">。</w:t>
      </w:r>
      <w:r>
        <w:rPr>
          <w:rFonts w:hint="eastAsia" w:ascii="宋体" w:hAnsi="宋体"/>
          <w:bCs/>
          <w:color w:val="auto"/>
          <w:sz w:val="24"/>
          <w:u w:val="single"/>
        </w:rPr>
        <w:t xml:space="preserve">）</w:t>
      </w:r>
      <w:r/>
    </w:p>
    <w:p>
      <w:pPr>
        <w:ind w:firstLine="480"/>
        <w:spacing w:line="360" w:lineRule="auto"/>
        <w:rPr>
          <w:rFonts w:hint="eastAsia" w:ascii="宋体" w:hAnsi="宋体" w:eastAsiaTheme="minorEastAsia"/>
          <w:bCs/>
          <w:color w:val="auto"/>
          <w:sz w:val="24"/>
          <w:u w:val="single"/>
          <w:lang w:eastAsia="zh-CN"/>
        </w:rPr>
      </w:pPr>
      <w:r>
        <w:rPr>
          <w:rFonts w:hint="eastAsia" w:ascii="宋体" w:hAnsi="宋体"/>
          <w:bCs/>
          <w:color w:val="auto"/>
          <w:sz w:val="24"/>
        </w:rPr>
        <w:t xml:space="preserve">（6）履约验收标准：</w:t>
      </w:r>
      <w:r>
        <w:rPr>
          <w:rFonts w:hint="eastAsia" w:ascii="宋体" w:hAnsi="宋体"/>
          <w:bCs/>
          <w:color w:val="auto"/>
          <w:sz w:val="24"/>
          <w:u w:val="single"/>
          <w:lang w:eastAsia="zh-CN"/>
        </w:rPr>
        <w:t xml:space="preserve">满足投标文件上的技术规格要求和国家有关质量标准，且经乙方组织的现场培训后，使用人员能正确使用仪器，仪器能够稳定运行，并通过专家认可。</w:t>
      </w:r>
      <w:r/>
    </w:p>
    <w:p>
      <w:pPr>
        <w:ind w:firstLine="480"/>
        <w:jc w:val="left"/>
        <w:spacing w:line="360" w:lineRule="auto"/>
        <w:widowControl/>
        <w:rPr>
          <w:rFonts w:ascii="宋体" w:hAnsi="宋体" w:cs="宋体"/>
          <w:color w:val="auto"/>
          <w:sz w:val="24"/>
        </w:rPr>
      </w:pPr>
      <w:r>
        <w:rPr>
          <w:rFonts w:hint="eastAsia" w:ascii="宋体" w:hAnsi="宋体" w:cs="宋体"/>
          <w:bCs/>
          <w:color w:val="auto"/>
          <w:sz w:val="24"/>
        </w:rPr>
        <w:t xml:space="preserve">（7）是否以采购活动中供应商提供的样品作为参考：</w:t>
      </w:r>
      <w:r>
        <w:rPr>
          <w:rFonts w:ascii="Wingdings" w:hAnsi="Wingdings" w:eastAsia="Wingdings" w:cs="Wingdings"/>
          <w:color w:val="auto"/>
          <w:sz w:val="24"/>
        </w:rPr>
        <w:t xml:space="preserve"></w:t>
      </w:r>
      <w:r>
        <w:rPr>
          <w:rFonts w:hint="eastAsia" w:ascii="宋体" w:hAnsi="宋体" w:cs="宋体"/>
          <w:bCs/>
          <w:color w:val="auto"/>
          <w:sz w:val="24"/>
        </w:rPr>
        <w:t xml:space="preserve">是  </w:t>
      </w:r>
      <w:r>
        <w:rPr>
          <w:rFonts w:ascii="Wingdings" w:hAnsi="Wingdings" w:eastAsia="Wingdings" w:cs="Wingdings"/>
          <w:color w:val="auto"/>
          <w:sz w:val="24"/>
        </w:rPr>
        <w:t xml:space="preserve">þ</w:t>
      </w:r>
      <w:r>
        <w:rPr>
          <w:rFonts w:hint="eastAsia" w:ascii="宋体" w:hAnsi="宋体" w:cs="宋体"/>
          <w:bCs/>
          <w:color w:val="auto"/>
          <w:sz w:val="24"/>
        </w:rPr>
        <w:t xml:space="preserve">否</w:t>
      </w:r>
      <w:r/>
    </w:p>
    <w:p>
      <w:pPr>
        <w:ind w:firstLine="480"/>
        <w:spacing w:line="360" w:lineRule="auto"/>
        <w:rPr>
          <w:rFonts w:hint="eastAsia" w:ascii="宋体" w:hAnsi="宋体" w:cs="宋体" w:eastAsiaTheme="minorEastAsia"/>
          <w:bCs/>
          <w:color w:val="auto"/>
          <w:sz w:val="24"/>
          <w:u w:val="single"/>
          <w:lang w:eastAsia="zh-CN"/>
        </w:rPr>
      </w:pPr>
      <w:r>
        <w:rPr>
          <w:rFonts w:hint="eastAsia" w:ascii="宋体" w:hAnsi="宋体" w:cs="宋体"/>
          <w:bCs/>
          <w:color w:val="auto"/>
          <w:sz w:val="24"/>
        </w:rPr>
        <w:t xml:space="preserve">（8）履约验收其他事项：</w:t>
      </w:r>
      <w:r>
        <w:rPr>
          <w:rFonts w:hint="eastAsia" w:ascii="宋体" w:hAnsi="宋体" w:cs="宋体"/>
          <w:bCs/>
          <w:color w:val="auto"/>
          <w:sz w:val="24"/>
          <w:u w:val="single"/>
          <w:lang w:val="en-US" w:eastAsia="zh-CN"/>
        </w:rPr>
        <w:t xml:space="preserve">/</w:t>
      </w:r>
      <w:r/>
    </w:p>
    <w:p>
      <w:pPr>
        <w:numPr>
          <w:ilvl w:val="0"/>
          <w:numId w:val="1"/>
        </w:numPr>
        <w:ind w:firstLine="482"/>
        <w:spacing w:line="360" w:lineRule="auto"/>
        <w:rPr>
          <w:rFonts w:ascii="宋体" w:hAnsi="宋体"/>
          <w:b/>
          <w:color w:val="auto"/>
          <w:sz w:val="24"/>
        </w:rPr>
      </w:pPr>
      <w:r>
        <w:rPr>
          <w:rFonts w:hint="eastAsia" w:ascii="宋体" w:hAnsi="宋体"/>
          <w:b/>
          <w:color w:val="auto"/>
          <w:sz w:val="24"/>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rPr>
        <w:t xml:space="preserve">本合同一式</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陆</w:t>
      </w:r>
      <w:r>
        <w:rPr>
          <w:rFonts w:hint="eastAsia" w:ascii="宋体" w:hAnsi="宋体"/>
          <w:color w:val="auto"/>
          <w:szCs w:val="21"/>
          <w:u w:val="single"/>
        </w:rPr>
        <w:t xml:space="preserve"> </w:t>
      </w:r>
      <w:r>
        <w:rPr>
          <w:rFonts w:hint="eastAsia" w:ascii="宋体" w:hAnsi="宋体"/>
          <w:color w:val="auto"/>
          <w:szCs w:val="21"/>
        </w:rPr>
        <w:t xml:space="preserve">份，</w:t>
      </w:r>
      <w:r>
        <w:rPr>
          <w:rFonts w:hint="eastAsia" w:ascii="宋体" w:hAnsi="宋体"/>
          <w:color w:val="auto"/>
          <w:szCs w:val="21"/>
          <w:lang w:eastAsia="zh-CN"/>
        </w:rPr>
        <w:t xml:space="preserve">甲方</w:t>
      </w:r>
      <w:r>
        <w:rPr>
          <w:rFonts w:hint="eastAsia" w:ascii="宋体" w:hAnsi="宋体"/>
          <w:color w:val="auto"/>
          <w:szCs w:val="21"/>
        </w:rPr>
        <w:t xml:space="preserve">执</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叁 </w:t>
      </w:r>
      <w:r>
        <w:rPr>
          <w:rFonts w:hint="eastAsia" w:ascii="宋体" w:hAnsi="宋体"/>
          <w:color w:val="auto"/>
          <w:szCs w:val="21"/>
        </w:rPr>
        <w:t xml:space="preserve">份，</w:t>
      </w:r>
      <w:r>
        <w:rPr>
          <w:rFonts w:hint="eastAsia" w:ascii="宋体" w:hAnsi="宋体"/>
          <w:color w:val="auto"/>
          <w:szCs w:val="21"/>
          <w:lang w:eastAsia="zh-CN"/>
        </w:rPr>
        <w:t xml:space="preserve">乙方</w:t>
      </w:r>
      <w:r>
        <w:rPr>
          <w:rFonts w:hint="eastAsia" w:ascii="宋体" w:hAnsi="宋体"/>
          <w:color w:val="auto"/>
          <w:szCs w:val="21"/>
        </w:rPr>
        <w:t xml:space="preserve">执</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叁</w:t>
      </w:r>
      <w:r>
        <w:rPr>
          <w:rFonts w:hint="eastAsia" w:ascii="宋体" w:hAnsi="宋体"/>
          <w:color w:val="auto"/>
          <w:szCs w:val="21"/>
          <w:u w:val="single"/>
        </w:rPr>
        <w:t xml:space="preserve"> </w:t>
      </w:r>
      <w:r>
        <w:rPr>
          <w:rFonts w:hint="eastAsia" w:ascii="宋体" w:hAnsi="宋体"/>
          <w:color w:val="auto"/>
          <w:szCs w:val="21"/>
        </w:rPr>
        <w:t xml:space="preserve">份，均具有同等法律效力</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rPr>
          <w:rFonts w:hint="eastAsia" w:ascii="宋体" w:hAnsi="宋体"/>
          <w:color w:val="auto"/>
          <w:szCs w:val="21"/>
          <w:u w:val="single"/>
          <w:lang w:val="en-US" w:eastAsia="zh-CN"/>
        </w:rPr>
        <w:t xml:space="preserve">盐城市东台生态环境局</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color w:val="auto"/>
          <w:szCs w:val="21"/>
        </w:rPr>
      </w:pPr>
      <w:r>
        <w:rPr>
          <w:color w:val="auto"/>
          <w:szCs w:val="21"/>
        </w:rPr>
      </w:r>
      <w:r/>
    </w:p>
    <w:tbl>
      <w:tblPr>
        <w:tblStyle w:val="719"/>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09"/>
        <w:gridCol w:w="2817"/>
        <w:gridCol w:w="2312"/>
        <w:gridCol w:w="2473"/>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auto"/>
                <w:sz w:val="24"/>
              </w:rPr>
            </w:pPr>
            <w:r>
              <w:rPr>
                <w:color w:val="auto"/>
                <w:sz w:val="24"/>
              </w:rPr>
              <w:t xml:space="preserve">甲方</w:t>
            </w:r>
            <w:r>
              <w:rPr>
                <w:rFonts w:hint="eastAsia"/>
                <w:color w:val="auto"/>
                <w:sz w:val="24"/>
              </w:rPr>
              <w:t xml:space="preserve">（采购人</w:t>
            </w:r>
            <w:r>
              <w:rPr>
                <w:rFonts w:hint="eastAsia" w:ascii="宋体" w:hAnsi="宋体"/>
                <w:color w:val="auto"/>
                <w:sz w:val="24"/>
              </w:rPr>
              <w:t xml:space="preserve">、受采购人委托签订合同的单位或</w:t>
            </w:r>
            <w:r>
              <w:rPr>
                <w:rFonts w:hint="eastAsia"/>
                <w:color w:val="auto"/>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auto"/>
                <w:sz w:val="24"/>
              </w:rPr>
            </w:pPr>
            <w:r>
              <w:rPr>
                <w:color w:val="auto"/>
                <w:sz w:val="24"/>
              </w:rPr>
              <w:t xml:space="preserve">乙方</w:t>
            </w:r>
            <w:r>
              <w:rPr>
                <w:rFonts w:hint="eastAsia"/>
                <w:color w:val="auto"/>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color w:val="auto"/>
                <w:sz w:val="24"/>
              </w:rPr>
              <w:t xml:space="preserve">单位名称</w:t>
            </w:r>
            <w:r>
              <w:rPr>
                <w:rFonts w:hint="eastAsia"/>
                <w:color w:val="auto"/>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color w:val="auto"/>
                <w:sz w:val="24"/>
              </w:rPr>
              <w:t xml:space="preserve">单位名称</w:t>
            </w:r>
            <w:r>
              <w:rPr>
                <w:rFonts w:hint="eastAsia"/>
                <w:color w:val="auto"/>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auto"/>
                <w:sz w:val="24"/>
              </w:rPr>
            </w:pPr>
            <w:r>
              <w:rPr>
                <w:color w:val="auto"/>
                <w:sz w:val="24"/>
              </w:rPr>
              <w:t xml:space="preserve">法定代表人</w:t>
            </w:r>
            <w:r/>
          </w:p>
          <w:p>
            <w:pPr>
              <w:ind w:firstLine="115"/>
              <w:jc w:val="center"/>
              <w:spacing w:line="360" w:lineRule="auto"/>
              <w:rPr>
                <w:color w:val="auto"/>
                <w:sz w:val="24"/>
              </w:rPr>
            </w:pPr>
            <w:r>
              <w:rPr>
                <w:rFonts w:hint="eastAsia"/>
                <w:color w:val="auto"/>
                <w:sz w:val="24"/>
              </w:rPr>
              <w:t xml:space="preserve">或其</w:t>
            </w:r>
            <w:r>
              <w:rPr>
                <w:color w:val="auto"/>
                <w:sz w:val="24"/>
              </w:rPr>
              <w:t xml:space="preserve">委托代理人</w:t>
            </w:r>
            <w:r>
              <w:rPr>
                <w:rFonts w:hint="eastAsia"/>
                <w:color w:val="auto"/>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color w:val="auto"/>
                <w:sz w:val="24"/>
              </w:rPr>
              <w:t xml:space="preserve">法定代表人</w:t>
            </w:r>
            <w:r/>
          </w:p>
          <w:p>
            <w:pPr>
              <w:jc w:val="center"/>
              <w:spacing w:line="360" w:lineRule="auto"/>
              <w:rPr>
                <w:color w:val="auto"/>
                <w:sz w:val="24"/>
              </w:rPr>
            </w:pPr>
            <w:r>
              <w:rPr>
                <w:rFonts w:hint="eastAsia"/>
                <w:color w:val="auto"/>
                <w:sz w:val="24"/>
              </w:rPr>
              <w:t xml:space="preserve">或其</w:t>
            </w:r>
            <w:r>
              <w:rPr>
                <w:color w:val="auto"/>
                <w:sz w:val="24"/>
              </w:rPr>
              <w:t xml:space="preserve">委托代理人</w:t>
            </w:r>
            <w:r>
              <w:rPr>
                <w:rFonts w:hint="eastAsia"/>
                <w:color w:val="auto"/>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z w:val="24"/>
              </w:rPr>
            </w:pPr>
            <w:r>
              <w:rPr>
                <w:color w:val="auto"/>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auto"/>
                <w:sz w:val="24"/>
              </w:rPr>
            </w:pPr>
            <w:r>
              <w:rPr>
                <w:color w:val="auto"/>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rFonts w:hint="eastAsia"/>
                <w:color w:val="auto"/>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rFonts w:hint="eastAsia"/>
                <w:color w:val="auto"/>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rFonts w:hint="eastAsia"/>
                <w:color w:val="auto"/>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color w:val="auto"/>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color w:val="auto"/>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color w:val="auto"/>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color w:val="auto"/>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rFonts w:hint="eastAsia"/>
                <w:color w:val="auto"/>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rFonts w:hint="eastAsia"/>
                <w:color w:val="auto"/>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color w:val="auto"/>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color w:val="auto"/>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rFonts w:hint="eastAsia"/>
                <w:color w:val="auto"/>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rFonts w:hint="eastAsia"/>
                <w:color w:val="auto"/>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rFonts w:hint="eastAsia"/>
                <w:color w:val="auto"/>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rFonts w:hint="eastAsia"/>
                <w:color w:val="auto"/>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color w:val="auto"/>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color w:val="auto"/>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rPr>
            </w:pPr>
            <w:r>
              <w:rPr>
                <w:color w:val="auto"/>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auto"/>
                <w:spacing w:val="20"/>
                <w:sz w:val="24"/>
              </w:rPr>
            </w:pPr>
            <w:r>
              <w:rPr>
                <w:rFonts w:hint="eastAsia" w:ascii="宋体" w:hAnsi="宋体"/>
                <w:color w:val="auto"/>
                <w:sz w:val="24"/>
              </w:rPr>
              <w:t xml:space="preserve">注：涉及联合体或其他合同主体的信息应按上表格式加列。</w:t>
            </w:r>
            <w:r/>
          </w:p>
        </w:tc>
      </w:tr>
    </w:tbl>
    <w:p>
      <w:pPr>
        <w:pStyle w:val="715"/>
        <w:jc w:val="center"/>
        <w:spacing w:before="156"/>
        <w:rPr>
          <w:rFonts w:ascii="黑体" w:hAnsi="黑体" w:eastAsia="黑体"/>
          <w:color w:val="auto"/>
          <w:sz w:val="28"/>
          <w:szCs w:val="28"/>
        </w:rPr>
      </w:pPr>
      <w:r>
        <w:rPr>
          <w:rFonts w:ascii="宋体" w:hAnsi="宋体"/>
          <w:color w:val="auto"/>
          <w:u w:val="single"/>
        </w:rPr>
        <w:br w:type="page" w:clear="all"/>
      </w:r>
      <w:bookmarkStart w:id="183" w:name="_Toc27624"/>
      <w:r/>
      <w:bookmarkStart w:id="184" w:name="_Toc20313"/>
      <w:r>
        <w:rPr>
          <w:rFonts w:hint="eastAsia" w:ascii="黑体" w:hAnsi="黑体" w:eastAsia="黑体"/>
          <w:b w:val="0"/>
          <w:bCs w:val="0"/>
          <w:color w:val="auto"/>
          <w:sz w:val="28"/>
          <w:szCs w:val="28"/>
        </w:rPr>
        <w:t xml:space="preserve">第二节 政府采购合同通用条款</w:t>
      </w:r>
      <w:bookmarkEnd w:id="183"/>
      <w:r/>
      <w:r/>
    </w:p>
    <w:p>
      <w:pPr>
        <w:jc w:val="left"/>
        <w:spacing w:line="400" w:lineRule="exact"/>
        <w:tabs>
          <w:tab w:val="left" w:pos="8820" w:leader="none"/>
          <w:tab w:val="left" w:pos="9345" w:leader="none"/>
          <w:tab w:val="left" w:pos="9765" w:leader="none"/>
        </w:tabs>
        <w:rPr>
          <w:rFonts w:hint="eastAsia" w:ascii="宋体" w:hAnsi="宋体"/>
          <w:b/>
          <w:bCs/>
          <w:color w:val="auto"/>
          <w:sz w:val="24"/>
        </w:rPr>
      </w:pPr>
      <w:r>
        <w:rPr>
          <w:rFonts w:hint="eastAsia" w:ascii="宋体" w:hAnsi="宋体"/>
          <w:b/>
          <w:color w:val="auto"/>
          <w:sz w:val="24"/>
        </w:rPr>
        <w:t xml:space="preserve">1. </w:t>
      </w:r>
      <w:r>
        <w:rPr>
          <w:rFonts w:hint="eastAsia" w:ascii="宋体" w:hAnsi="宋体"/>
          <w:b/>
          <w:bCs/>
          <w:color w:val="auto"/>
          <w:sz w:val="24"/>
        </w:rPr>
        <w:t xml:space="preserve">定义</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1.1合同当事人</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（3）其他合同主体是指除采购人和供应商以外，</w:t>
      </w:r>
      <w:r>
        <w:rPr>
          <w:rFonts w:hint="eastAsia" w:ascii="宋体" w:hAnsi="宋体" w:cs="宋体"/>
          <w:bCs/>
          <w:color w:val="auto"/>
          <w:szCs w:val="21"/>
        </w:rPr>
        <w:t xml:space="preserve">依法参与合同缔结或履行，享有权利、承担义务的合同当事人</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rPr>
      </w:pPr>
      <w:r>
        <w:rPr>
          <w:rFonts w:hint="eastAsia" w:ascii="宋体" w:hAnsi="宋体"/>
          <w:color w:val="auto"/>
          <w:szCs w:val="21"/>
        </w:rPr>
        <w:t xml:space="preserve">1.2本合同下列术语应解释为：</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（1）“合同”系指</w:t>
      </w:r>
      <w:r>
        <w:rPr>
          <w:rFonts w:hint="eastAsia" w:ascii="宋体" w:hAnsi="宋体" w:cs="宋体"/>
          <w:bCs/>
          <w:color w:val="auto"/>
          <w:szCs w:val="21"/>
        </w:rPr>
        <w:t xml:space="preserve">合同当事人意思表示达成一致的任何协议，包括签署的</w:t>
      </w:r>
      <w:r>
        <w:rPr>
          <w:rFonts w:hint="eastAsia" w:ascii="宋体" w:hAnsi="宋体"/>
          <w:color w:val="auto"/>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rPr>
        <w:t xml:space="preserve">国家法律、行政法规和规章制度规定或合同约定的作为合同组成部分的其他文件</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rPr>
      </w:pPr>
      <w:r>
        <w:rPr>
          <w:rFonts w:hint="eastAsia" w:ascii="宋体" w:hAnsi="宋体"/>
          <w:color w:val="auto"/>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rPr>
      </w:pPr>
      <w:r>
        <w:rPr>
          <w:rFonts w:hint="eastAsia" w:ascii="宋体" w:hAnsi="宋体"/>
          <w:color w:val="auto"/>
          <w:szCs w:val="21"/>
        </w:rPr>
        <w:t xml:space="preserve">（3）“货物”系指乙方根据本合同规定须向甲方提供的各种形态和种类的物品，包括原材料、设备、产品（包括软件）及相关的其备品备件、工具、手册及</w:t>
      </w:r>
      <w:r>
        <w:rPr>
          <w:rFonts w:hint="eastAsia" w:ascii="宋体" w:hAnsi="宋体"/>
          <w:color w:val="auto"/>
          <w:szCs w:val="21"/>
          <w:lang w:val="en"/>
        </w:rPr>
        <w:t xml:space="preserve">其他</w:t>
      </w:r>
      <w:r>
        <w:rPr>
          <w:rFonts w:hint="eastAsia" w:ascii="宋体" w:hAnsi="宋体"/>
          <w:color w:val="auto"/>
          <w:szCs w:val="21"/>
        </w:rPr>
        <w:t xml:space="preserve">技术资料和材料等。</w:t>
      </w:r>
      <w:r/>
    </w:p>
    <w:p>
      <w:pPr>
        <w:ind w:firstLine="420"/>
        <w:jc w:val="left"/>
        <w:spacing w:line="400" w:lineRule="exact"/>
        <w:rPr>
          <w:rFonts w:hint="eastAsia" w:ascii="宋体" w:hAnsi="宋体"/>
          <w:color w:val="auto"/>
          <w:szCs w:val="21"/>
          <w:highlight w:val="yellow"/>
        </w:rPr>
      </w:pPr>
      <w:r>
        <w:rPr>
          <w:rFonts w:hint="eastAsia" w:ascii="宋体" w:hAnsi="宋体"/>
          <w:color w:val="auto"/>
          <w:szCs w:val="21"/>
        </w:rPr>
        <w:t xml:space="preserve">（4）“相关服务”系指根据合同规定，乙方应提供的与货物有关的技术、管理和</w:t>
      </w:r>
      <w:r>
        <w:rPr>
          <w:rFonts w:hint="eastAsia" w:ascii="宋体" w:hAnsi="宋体"/>
          <w:color w:val="auto"/>
          <w:szCs w:val="21"/>
          <w:lang w:val="en"/>
        </w:rPr>
        <w:t xml:space="preserve">其他</w:t>
      </w:r>
      <w:r>
        <w:rPr>
          <w:rFonts w:hint="eastAsia" w:ascii="宋体" w:hAnsi="宋体"/>
          <w:color w:val="auto"/>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lang w:val="en"/>
        </w:rPr>
        <w:t xml:space="preserve">其他</w:t>
      </w:r>
      <w:r>
        <w:rPr>
          <w:rFonts w:hint="eastAsia" w:ascii="宋体" w:hAnsi="宋体"/>
          <w:color w:val="auto"/>
          <w:szCs w:val="21"/>
        </w:rPr>
        <w:t xml:space="preserve">义务。</w:t>
      </w:r>
      <w:r/>
    </w:p>
    <w:p>
      <w:pPr>
        <w:ind w:firstLine="420"/>
        <w:jc w:val="left"/>
        <w:spacing w:line="400" w:lineRule="exact"/>
        <w:rPr>
          <w:rFonts w:hint="eastAsia" w:ascii="宋体" w:hAnsi="宋体"/>
          <w:color w:val="auto"/>
          <w:szCs w:val="21"/>
          <w:highlight w:val="yellow"/>
        </w:rPr>
      </w:pPr>
      <w:r>
        <w:rPr>
          <w:rFonts w:hint="eastAsia" w:ascii="宋体" w:hAnsi="宋体"/>
          <w:color w:val="auto"/>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rPr>
      </w:pPr>
      <w:r>
        <w:rPr>
          <w:rFonts w:hint="eastAsia" w:ascii="宋体" w:hAnsi="宋体"/>
          <w:color w:val="auto"/>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rPr>
      </w:pPr>
      <w:r>
        <w:rPr>
          <w:rFonts w:hint="eastAsia" w:ascii="宋体" w:hAnsi="宋体"/>
          <w:color w:val="auto"/>
          <w:szCs w:val="21"/>
        </w:rPr>
        <w:t xml:space="preserve">（7）其他术语解释，见【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p>
    <w:p>
      <w:pPr>
        <w:numPr>
          <w:ilvl w:val="0"/>
          <w:numId w:val="4"/>
        </w:numPr>
        <w:jc w:val="left"/>
        <w:spacing w:line="400" w:lineRule="exact"/>
        <w:rPr>
          <w:rFonts w:hint="eastAsia" w:ascii="宋体" w:hAnsi="宋体"/>
          <w:b/>
          <w:bCs/>
          <w:color w:val="auto"/>
          <w:sz w:val="24"/>
        </w:rPr>
      </w:pPr>
      <w:r>
        <w:rPr>
          <w:rFonts w:hint="eastAsia" w:ascii="宋体" w:hAnsi="宋体"/>
          <w:b/>
          <w:color w:val="auto"/>
          <w:sz w:val="24"/>
        </w:rPr>
        <w:t xml:space="preserve">合同标的及金额</w:t>
      </w:r>
      <w:r/>
    </w:p>
    <w:p>
      <w:pPr>
        <w:ind w:firstLine="420"/>
        <w:jc w:val="left"/>
        <w:spacing w:line="400" w:lineRule="exact"/>
        <w:rPr>
          <w:rFonts w:hint="eastAsia" w:ascii="宋体" w:hAnsi="宋体"/>
          <w:b/>
          <w:bCs/>
          <w:i/>
          <w:iCs/>
          <w:color w:val="auto"/>
          <w:szCs w:val="21"/>
        </w:rPr>
      </w:pPr>
      <w:r>
        <w:rPr>
          <w:rFonts w:hint="eastAsia" w:ascii="宋体" w:hAnsi="宋体"/>
          <w:color w:val="auto"/>
          <w:szCs w:val="21"/>
        </w:rPr>
        <w:t xml:space="preserve">2.1 合同标的及金额应与中标（成交）结果一致。乙方为履行本合同而发生的所有费用均应包含在合同价款中，甲方不再另行支付</w:t>
      </w:r>
      <w:r>
        <w:rPr>
          <w:rFonts w:hint="eastAsia" w:ascii="宋体" w:hAnsi="宋体"/>
          <w:color w:val="auto"/>
          <w:szCs w:val="21"/>
          <w:lang w:val="en"/>
        </w:rPr>
        <w:t xml:space="preserve">其他</w:t>
      </w:r>
      <w:r>
        <w:rPr>
          <w:rFonts w:hint="eastAsia" w:ascii="宋体" w:hAnsi="宋体"/>
          <w:color w:val="auto"/>
          <w:szCs w:val="21"/>
        </w:rPr>
        <w:t xml:space="preserve">任何费用。</w:t>
      </w:r>
      <w:r/>
    </w:p>
    <w:p>
      <w:pPr>
        <w:jc w:val="left"/>
        <w:spacing w:line="400" w:lineRule="exact"/>
        <w:rPr>
          <w:rFonts w:hint="eastAsia" w:ascii="宋体" w:hAnsi="宋体"/>
          <w:b/>
          <w:color w:val="auto"/>
          <w:sz w:val="24"/>
        </w:rPr>
      </w:pPr>
      <w:r>
        <w:rPr>
          <w:rFonts w:hint="eastAsia" w:ascii="宋体" w:hAnsi="宋体"/>
          <w:b/>
          <w:color w:val="auto"/>
          <w:sz w:val="24"/>
        </w:rPr>
        <w:t xml:space="preserve">3. 履行合同的时间、地点和方式</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3.1 </w:t>
      </w:r>
      <w:r>
        <w:rPr>
          <w:rFonts w:hint="eastAsia" w:ascii="宋体" w:hAnsi="宋体" w:cs="宋体"/>
          <w:color w:val="auto"/>
          <w:szCs w:val="21"/>
        </w:rPr>
        <w:t xml:space="preserve">乙方应当在约定的时间、地点，按照约定方式履行合同。</w:t>
      </w:r>
      <w:r/>
    </w:p>
    <w:p>
      <w:pPr>
        <w:jc w:val="left"/>
        <w:spacing w:line="400" w:lineRule="exact"/>
        <w:rPr>
          <w:rFonts w:hint="eastAsia" w:ascii="宋体" w:hAnsi="宋体"/>
          <w:b/>
          <w:bCs/>
          <w:color w:val="auto"/>
          <w:sz w:val="24"/>
        </w:rPr>
      </w:pPr>
      <w:r>
        <w:rPr>
          <w:rFonts w:hint="eastAsia" w:ascii="宋体" w:hAnsi="宋体"/>
          <w:b/>
          <w:bCs/>
          <w:color w:val="auto"/>
          <w:sz w:val="24"/>
        </w:rPr>
        <w:t xml:space="preserve">4. 甲方的权利和义务</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4.3 甲方有权要求乙方对缺陷部分予以修复，并按合同约定享有货物保修及其他合同约定的权利。</w:t>
      </w:r>
      <w:r/>
    </w:p>
    <w:p>
      <w:pPr>
        <w:ind w:firstLine="420"/>
        <w:spacing w:line="400" w:lineRule="exact"/>
        <w:rPr>
          <w:rFonts w:hint="eastAsia" w:eastAsia="华文楷体"/>
          <w:color w:val="auto"/>
        </w:rPr>
      </w:pPr>
      <w:r>
        <w:rPr>
          <w:rFonts w:hint="eastAsia" w:ascii="宋体" w:hAnsi="宋体"/>
          <w:color w:val="auto"/>
          <w:szCs w:val="21"/>
        </w:rPr>
        <w:t xml:space="preserve">4.4 甲方应当按照合同约定及时对交付的货物进行验收，</w:t>
      </w:r>
      <w:r>
        <w:rPr>
          <w:rFonts w:hint="eastAsia" w:ascii="宋体" w:hAnsi="宋体" w:cs="宋体"/>
          <w:color w:val="auto"/>
          <w:szCs w:val="21"/>
        </w:rPr>
        <w:t xml:space="preserve">未</w:t>
      </w:r>
      <w:r>
        <w:rPr>
          <w:rFonts w:hint="eastAsia" w:ascii="宋体" w:hAnsi="宋体"/>
          <w:color w:val="auto"/>
          <w:szCs w:val="21"/>
        </w:rPr>
        <w:t xml:space="preserve">在</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约定的期限内对乙方履约提出任何异议或者向乙方作出任何说明的，</w:t>
      </w:r>
      <w:r>
        <w:rPr>
          <w:rFonts w:hint="eastAsia" w:ascii="宋体" w:hAnsi="宋体"/>
          <w:color w:val="auto"/>
          <w:szCs w:val="21"/>
        </w:rPr>
        <w:t xml:space="preserve">视为验收通过。</w:t>
      </w:r>
      <w:r/>
    </w:p>
    <w:p>
      <w:pPr>
        <w:ind w:firstLine="420"/>
        <w:jc w:val="left"/>
        <w:spacing w:line="400" w:lineRule="exact"/>
        <w:rPr>
          <w:rFonts w:ascii="宋体" w:hAnsi="宋体"/>
          <w:color w:val="auto"/>
          <w:szCs w:val="21"/>
        </w:rPr>
      </w:pPr>
      <w:r>
        <w:rPr>
          <w:rFonts w:hint="eastAsia" w:ascii="宋体" w:hAnsi="宋体"/>
          <w:color w:val="auto"/>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4.6 国家法律法规规定及</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约定应由甲方承担的其他义务和责任。</w:t>
      </w:r>
      <w:r/>
    </w:p>
    <w:p>
      <w:pPr>
        <w:jc w:val="left"/>
        <w:spacing w:line="400" w:lineRule="exact"/>
        <w:rPr>
          <w:rFonts w:hint="eastAsia" w:ascii="宋体" w:hAnsi="宋体"/>
          <w:b/>
          <w:bCs/>
          <w:color w:val="auto"/>
          <w:sz w:val="24"/>
        </w:rPr>
      </w:pPr>
      <w:r>
        <w:rPr>
          <w:rFonts w:hint="eastAsia" w:ascii="宋体" w:hAnsi="宋体"/>
          <w:b/>
          <w:bCs/>
          <w:color w:val="auto"/>
          <w:sz w:val="24"/>
        </w:rPr>
        <w:t xml:space="preserve">5. 乙方的权利和义务</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5.1 签署合同后，乙方应确定项目负责人（或项目联系人），负责与本合同有关的事务。</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1"/>
        <w:ind w:firstLine="492"/>
        <w:spacing w:after="0" w:line="400" w:lineRule="exact"/>
        <w:rPr>
          <w:rFonts w:hint="eastAsia" w:ascii="宋体" w:hAnsi="宋体" w:cs="宋体"/>
          <w:color w:val="auto"/>
          <w:szCs w:val="21"/>
        </w:rPr>
      </w:pPr>
      <w:r>
        <w:rPr>
          <w:rFonts w:hint="eastAsia" w:ascii="宋体" w:hAnsi="宋体"/>
          <w:color w:val="auto"/>
          <w:szCs w:val="21"/>
        </w:rPr>
        <w:t xml:space="preserve">5.3乙方有权</w:t>
      </w:r>
      <w:r>
        <w:rPr>
          <w:rFonts w:hint="eastAsia" w:ascii="宋体" w:hAnsi="宋体" w:cs="宋体"/>
          <w:color w:val="auto"/>
          <w:szCs w:val="21"/>
        </w:rPr>
        <w:t xml:space="preserve">根据合同约定向甲方收取合同价款。</w:t>
      </w:r>
      <w:r/>
    </w:p>
    <w:p>
      <w:pPr>
        <w:pStyle w:val="721"/>
        <w:ind w:firstLine="492"/>
        <w:spacing w:after="0" w:line="400" w:lineRule="exact"/>
        <w:rPr>
          <w:rFonts w:hint="eastAsia" w:ascii="宋体" w:hAnsi="宋体" w:cs="宋体"/>
          <w:color w:val="auto"/>
          <w:szCs w:val="21"/>
        </w:rPr>
      </w:pPr>
      <w:r>
        <w:rPr>
          <w:rFonts w:hint="eastAsia" w:ascii="宋体" w:hAnsi="宋体"/>
          <w:color w:val="auto"/>
          <w:szCs w:val="21"/>
        </w:rPr>
        <w:t xml:space="preserve">5.4</w:t>
      </w:r>
      <w:r>
        <w:rPr>
          <w:rFonts w:hint="eastAsia" w:ascii="宋体" w:hAnsi="宋体" w:cs="宋体"/>
          <w:color w:val="auto"/>
          <w:szCs w:val="21"/>
        </w:rPr>
        <w:t xml:space="preserve">国家法律法规规定</w:t>
      </w:r>
      <w:r>
        <w:rPr>
          <w:rFonts w:hint="eastAsia" w:ascii="宋体" w:hAnsi="宋体"/>
          <w:color w:val="auto"/>
          <w:szCs w:val="21"/>
        </w:rPr>
        <w:t xml:space="preserve">及</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约定应由乙方承担的其他义务和责任。</w:t>
      </w:r>
      <w:r/>
    </w:p>
    <w:p>
      <w:pPr>
        <w:numPr>
          <w:ilvl w:val="0"/>
          <w:numId w:val="5"/>
        </w:numPr>
        <w:jc w:val="left"/>
        <w:spacing w:line="400" w:lineRule="exact"/>
        <w:rPr>
          <w:rFonts w:hint="eastAsia" w:ascii="宋体" w:hAnsi="宋体"/>
          <w:b/>
          <w:bCs/>
          <w:color w:val="auto"/>
          <w:sz w:val="24"/>
        </w:rPr>
      </w:pPr>
      <w:r>
        <w:rPr>
          <w:rFonts w:hint="eastAsia" w:ascii="宋体" w:hAnsi="宋体"/>
          <w:b/>
          <w:bCs/>
          <w:color w:val="auto"/>
          <w:sz w:val="24"/>
        </w:rPr>
        <w:t xml:space="preserve">合同履行</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6.1 甲乙双方应当按照</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约定顺序履行合同义务；如果没有先后顺序的，应当同时履行。</w:t>
      </w:r>
      <w:r/>
    </w:p>
    <w:p>
      <w:pPr>
        <w:ind w:firstLine="420"/>
        <w:jc w:val="left"/>
        <w:spacing w:line="400" w:lineRule="exact"/>
        <w:rPr>
          <w:rFonts w:hint="eastAsia"/>
          <w:color w:val="auto"/>
        </w:rPr>
      </w:pPr>
      <w:r>
        <w:rPr>
          <w:rFonts w:hint="eastAsia" w:ascii="宋体" w:hAnsi="宋体"/>
          <w:color w:val="auto"/>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rPr>
      </w:pPr>
      <w:r>
        <w:rPr>
          <w:rFonts w:hint="eastAsia" w:ascii="宋体" w:hAnsi="宋体"/>
          <w:b/>
          <w:bCs/>
          <w:color w:val="auto"/>
          <w:sz w:val="24"/>
        </w:rPr>
        <w:t xml:space="preserve">7. 货物包装、运输、保险和交付要求</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7.1 本合同</w:t>
      </w:r>
      <w:r>
        <w:rPr>
          <w:rFonts w:hint="eastAsia" w:ascii="宋体" w:hAnsi="宋体"/>
          <w:bCs/>
          <w:color w:val="auto"/>
          <w:szCs w:val="21"/>
        </w:rPr>
        <w:t xml:space="preserve">涉及商品包装、快递包装的，</w:t>
      </w:r>
      <w:r>
        <w:rPr>
          <w:rFonts w:hint="eastAsia" w:ascii="宋体" w:hAnsi="宋体"/>
          <w:color w:val="auto"/>
          <w:szCs w:val="21"/>
        </w:rPr>
        <w:t xml:space="preserve">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包装应适应远距离运输、防潮、防震、防锈和防野蛮装卸等要求，确保货物安全无损地运抵</w:t>
      </w:r>
      <w:r>
        <w:rPr>
          <w:rFonts w:hint="eastAsia" w:ascii="宋体" w:hAnsi="宋体"/>
          <w:b/>
          <w:color w:val="auto"/>
          <w:szCs w:val="21"/>
        </w:rPr>
        <w:t xml:space="preserve">【政府采购合同专用条款】</w:t>
      </w:r>
      <w:r>
        <w:rPr>
          <w:rFonts w:hint="eastAsia" w:ascii="宋体" w:hAnsi="宋体"/>
          <w:bCs/>
          <w:color w:val="auto"/>
          <w:szCs w:val="21"/>
        </w:rPr>
        <w:t xml:space="preserve">约定的</w:t>
      </w:r>
      <w:r>
        <w:rPr>
          <w:rFonts w:hint="eastAsia" w:ascii="宋体" w:hAnsi="宋体"/>
          <w:color w:val="auto"/>
          <w:szCs w:val="21"/>
        </w:rPr>
        <w:t xml:space="preserve">指定现场。</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7.2 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7.3 货物保险要求按</w:t>
      </w:r>
      <w:r>
        <w:rPr>
          <w:rFonts w:hint="eastAsia" w:ascii="宋体" w:hAnsi="宋体"/>
          <w:b/>
          <w:color w:val="auto"/>
          <w:szCs w:val="21"/>
        </w:rPr>
        <w:t xml:space="preserve">【政府采购合同专用条款】</w:t>
      </w:r>
      <w:r>
        <w:rPr>
          <w:rFonts w:hint="eastAsia" w:ascii="宋体" w:hAnsi="宋体"/>
          <w:bCs/>
          <w:color w:val="auto"/>
          <w:szCs w:val="21"/>
        </w:rPr>
        <w:t xml:space="preserve">规定执行</w:t>
      </w:r>
      <w:r>
        <w:rPr>
          <w:rFonts w:hint="eastAsia" w:ascii="宋体" w:hAnsi="宋体"/>
          <w:color w:val="auto"/>
          <w:szCs w:val="21"/>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7.5 </w:t>
      </w:r>
      <w:r>
        <w:rPr>
          <w:rFonts w:hint="eastAsia" w:ascii="宋体" w:hAnsi="宋体" w:cs="宋体"/>
          <w:color w:val="auto"/>
          <w:szCs w:val="21"/>
        </w:rPr>
        <w:t xml:space="preserve">乙方在运输到达之前应提前通知甲方，并提示货物运输装卸的注意事项，甲方配合乙方做好货物的接收工作。</w:t>
      </w:r>
      <w:r/>
    </w:p>
    <w:p>
      <w:pPr>
        <w:pStyle w:val="752"/>
        <w:ind w:firstLine="420"/>
        <w:rPr>
          <w:rFonts w:hint="eastAsia"/>
          <w:color w:val="auto"/>
          <w:sz w:val="21"/>
        </w:rPr>
      </w:pPr>
      <w:r>
        <w:rPr>
          <w:rFonts w:hint="eastAsia" w:ascii="宋体" w:hAnsi="宋体" w:eastAsia="宋体" w:cs="Times New Roman"/>
          <w:color w:val="auto"/>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auto"/>
          <w:sz w:val="24"/>
        </w:rPr>
      </w:pPr>
      <w:r>
        <w:rPr>
          <w:rFonts w:hint="eastAsia" w:ascii="宋体" w:hAnsi="宋体"/>
          <w:b/>
          <w:color w:val="auto"/>
          <w:sz w:val="24"/>
        </w:rPr>
        <w:t xml:space="preserve">8. 质量标准和保证</w:t>
      </w:r>
      <w:r/>
    </w:p>
    <w:p>
      <w:pPr>
        <w:pStyle w:val="725"/>
        <w:ind w:firstLine="420"/>
        <w:jc w:val="left"/>
        <w:spacing w:line="400" w:lineRule="exact"/>
        <w:rPr>
          <w:rFonts w:hint="eastAsia" w:hAnsi="宋体"/>
          <w:b/>
          <w:color w:val="auto"/>
        </w:rPr>
      </w:pPr>
      <w:r>
        <w:rPr>
          <w:rFonts w:hint="eastAsia" w:hAnsi="宋体"/>
          <w:color w:val="auto"/>
        </w:rPr>
        <w:t xml:space="preserve">8.1 质量标准</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（1）本合同下提供的货物应符合合同</w:t>
      </w:r>
      <w:r>
        <w:rPr>
          <w:rFonts w:hint="eastAsia" w:ascii="宋体" w:hAnsi="宋体" w:cs="宋体"/>
          <w:color w:val="auto"/>
          <w:szCs w:val="21"/>
        </w:rPr>
        <w:t xml:space="preserve">约定的品牌、规格型号、技术性能、配置、质量、数量等要求。</w:t>
      </w:r>
      <w:r>
        <w:rPr>
          <w:rFonts w:hint="eastAsia" w:ascii="宋体" w:hAnsi="宋体"/>
          <w:color w:val="auto"/>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25"/>
        <w:ind w:firstLine="420"/>
        <w:jc w:val="left"/>
        <w:spacing w:line="400" w:lineRule="exact"/>
        <w:rPr>
          <w:rFonts w:hint="eastAsia" w:hAnsi="宋体"/>
          <w:color w:val="auto"/>
        </w:rPr>
      </w:pPr>
      <w:r>
        <w:rPr>
          <w:rFonts w:hint="eastAsia" w:hAnsi="宋体"/>
          <w:color w:val="auto"/>
        </w:rPr>
        <w:t xml:space="preserve">（2）采用中华人民共和国法定计量单位。</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（3）乙方所提供的货物应符合国家有关安全、环保、卫生的规定。</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8.2 保证</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（1）乙方应保证提供的货物完全符合合同规定的质量、规格和性能要求。乙方应保证货物在正确安装、正常使用和保养条件下，</w:t>
      </w:r>
      <w:r>
        <w:rPr>
          <w:rFonts w:hint="eastAsia" w:ascii="宋体" w:hAnsi="宋体" w:cs="宋体"/>
          <w:color w:val="auto"/>
          <w:szCs w:val="21"/>
        </w:rPr>
        <w:t xml:space="preserve">在其使用寿命期内具备合同约定的性能</w:t>
      </w:r>
      <w:r>
        <w:rPr>
          <w:rFonts w:hint="eastAsia" w:ascii="宋体" w:hAnsi="宋体"/>
          <w:color w:val="auto"/>
          <w:szCs w:val="21"/>
        </w:rPr>
        <w:t xml:space="preserve">。存在质量保证期的，货物最终交付验收合格后在</w:t>
      </w:r>
      <w:r>
        <w:rPr>
          <w:rFonts w:hint="eastAsia" w:ascii="宋体" w:hAnsi="宋体"/>
          <w:b/>
          <w:color w:val="auto"/>
          <w:szCs w:val="21"/>
        </w:rPr>
        <w:t xml:space="preserve">【政府采购合同专用条款】</w:t>
      </w:r>
      <w:r>
        <w:rPr>
          <w:rFonts w:hint="eastAsia" w:ascii="宋体" w:hAnsi="宋体"/>
          <w:color w:val="auto"/>
          <w:szCs w:val="21"/>
        </w:rPr>
        <w:t xml:space="preserve">规定或乙方书面承诺（两者以较长的为准）的质量保证期内，本保证保持有效。</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（2）在质量保证期内所发现的缺陷，甲方应尽快以书面形式通知乙方。</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（3）乙方收到通知后，应在</w:t>
      </w:r>
      <w:r>
        <w:rPr>
          <w:rFonts w:hint="eastAsia" w:ascii="宋体" w:hAnsi="宋体"/>
          <w:b/>
          <w:color w:val="auto"/>
          <w:szCs w:val="21"/>
        </w:rPr>
        <w:t xml:space="preserve">【政府采购合同专用条款】</w:t>
      </w:r>
      <w:r>
        <w:rPr>
          <w:rFonts w:hint="eastAsia" w:ascii="宋体" w:hAnsi="宋体"/>
          <w:color w:val="auto"/>
          <w:szCs w:val="21"/>
        </w:rPr>
        <w:t xml:space="preserve">规定的响应时间内以合理的速度免费维修或更换有缺陷的货物或部件。</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color w:val="auto"/>
        </w:rPr>
      </w:pPr>
      <w:r>
        <w:rPr>
          <w:rFonts w:hint="eastAsia" w:ascii="宋体" w:hAnsi="宋体"/>
          <w:color w:val="auto"/>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rPr>
      </w:pPr>
      <w:r>
        <w:rPr>
          <w:rFonts w:hint="eastAsia" w:ascii="宋体" w:hAnsi="宋体"/>
          <w:b/>
          <w:bCs/>
          <w:color w:val="auto"/>
          <w:sz w:val="24"/>
        </w:rPr>
        <w:t xml:space="preserve">9. 权利瑕疵担保</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9.1 乙方保证对其出售的货物享有合法的权利。</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9.2 </w:t>
      </w:r>
      <w:r>
        <w:rPr>
          <w:rFonts w:hint="eastAsia" w:ascii="宋体" w:hAnsi="宋体" w:cs="宋体"/>
          <w:color w:val="auto"/>
          <w:szCs w:val="15"/>
        </w:rPr>
        <w:t xml:space="preserve">乙方保证在交付的货物上不存在抵押权等担保物权。</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9.3 如甲方使用上述货物构成对第三人侵权的，则由乙方承担全部责任。</w:t>
      </w:r>
      <w:r/>
    </w:p>
    <w:p>
      <w:pPr>
        <w:jc w:val="left"/>
        <w:spacing w:line="400" w:lineRule="exact"/>
        <w:rPr>
          <w:rFonts w:hint="eastAsia" w:ascii="宋体" w:hAnsi="宋体"/>
          <w:b/>
          <w:bCs/>
          <w:color w:val="auto"/>
          <w:sz w:val="24"/>
        </w:rPr>
      </w:pPr>
      <w:r>
        <w:rPr>
          <w:rFonts w:hint="eastAsia" w:ascii="宋体" w:hAnsi="宋体"/>
          <w:b/>
          <w:bCs/>
          <w:color w:val="auto"/>
          <w:sz w:val="24"/>
        </w:rPr>
        <w:t xml:space="preserve">10. 知识产权保护</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10.1 乙方对其所销售的货物应当享有知识产权或经权利人合法授权，保证没有侵犯任何第三人的知识产权等权利。</w:t>
      </w:r>
      <w:bookmarkStart w:id="185" w:name="_Hlk163047038"/>
      <w:r>
        <w:rPr>
          <w:rFonts w:hint="eastAsia" w:ascii="宋体" w:hAnsi="宋体" w:cs="宋体"/>
          <w:color w:val="auto"/>
          <w:szCs w:val="15"/>
        </w:rPr>
        <w:t xml:space="preserve">因违反前述约定对第三人构成侵权的，应当由乙方向第三人承担法律责任；甲方依法向第三人赔偿后，有权向乙方追偿。甲方有其他损失的，乙方应当赔偿</w:t>
      </w:r>
      <w:bookmarkEnd w:id="185"/>
      <w:r>
        <w:rPr>
          <w:rFonts w:hint="eastAsia" w:ascii="宋体" w:hAnsi="宋体"/>
          <w:color w:val="auto"/>
          <w:szCs w:val="21"/>
        </w:rPr>
        <w:t xml:space="preserve">。</w:t>
      </w:r>
      <w:r/>
    </w:p>
    <w:p>
      <w:pPr>
        <w:jc w:val="left"/>
        <w:spacing w:line="400" w:lineRule="exact"/>
        <w:rPr>
          <w:rFonts w:hint="eastAsia" w:ascii="宋体" w:hAnsi="宋体"/>
          <w:b/>
          <w:bCs/>
          <w:color w:val="auto"/>
          <w:sz w:val="24"/>
        </w:rPr>
      </w:pPr>
      <w:r>
        <w:rPr>
          <w:rFonts w:hint="eastAsia" w:ascii="宋体" w:hAnsi="宋体"/>
          <w:b/>
          <w:bCs/>
          <w:color w:val="auto"/>
          <w:sz w:val="24"/>
        </w:rPr>
        <w:t xml:space="preserve">11. 保密义务</w:t>
      </w:r>
      <w:r/>
    </w:p>
    <w:p>
      <w:pPr>
        <w:ind w:firstLine="420"/>
        <w:jc w:val="left"/>
        <w:spacing w:line="400" w:lineRule="exact"/>
        <w:rPr>
          <w:rFonts w:hint="eastAsia" w:ascii="宋体" w:hAnsi="宋体" w:cs="宋体"/>
          <w:color w:val="auto"/>
          <w:szCs w:val="15"/>
        </w:rPr>
      </w:pPr>
      <w:r>
        <w:rPr>
          <w:rFonts w:hint="eastAsia" w:ascii="宋体" w:hAnsi="宋体" w:cs="宋体"/>
          <w:color w:val="auto"/>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中约定。</w:t>
      </w:r>
      <w:r/>
    </w:p>
    <w:p>
      <w:pPr>
        <w:jc w:val="left"/>
        <w:spacing w:line="400" w:lineRule="exact"/>
        <w:rPr>
          <w:rFonts w:hint="eastAsia" w:ascii="宋体" w:hAnsi="宋体"/>
          <w:b/>
          <w:bCs/>
          <w:color w:val="auto"/>
          <w:sz w:val="24"/>
        </w:rPr>
      </w:pPr>
      <w:r>
        <w:rPr>
          <w:rFonts w:hint="eastAsia" w:ascii="宋体" w:hAnsi="宋体"/>
          <w:b/>
          <w:bCs/>
          <w:color w:val="auto"/>
          <w:sz w:val="24"/>
        </w:rPr>
        <w:t xml:space="preserve">12. 合同价款支付</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12.1 合同价款支付按照国库集中支付制度及财政管理相关规定执行。</w:t>
      </w:r>
      <w:r/>
    </w:p>
    <w:p>
      <w:pPr>
        <w:pStyle w:val="715"/>
        <w:ind w:firstLine="420"/>
        <w:spacing w:line="400" w:lineRule="exact"/>
        <w:rPr>
          <w:rFonts w:hint="eastAsia"/>
          <w:color w:val="auto"/>
        </w:rPr>
      </w:pPr>
      <w:r>
        <w:rPr>
          <w:rFonts w:hint="eastAsia" w:ascii="宋体" w:hAnsi="宋体"/>
          <w:b w:val="0"/>
          <w:bCs w:val="0"/>
          <w:color w:val="auto"/>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rPr>
        <w:t xml:space="preserve">政府采购合同专用条款</w:t>
      </w:r>
      <w:r>
        <w:rPr>
          <w:rFonts w:hint="eastAsia" w:ascii="宋体" w:hAnsi="宋体"/>
          <w:b w:val="0"/>
          <w:bCs w:val="0"/>
          <w:color w:val="auto"/>
          <w:sz w:val="21"/>
          <w:szCs w:val="21"/>
        </w:rPr>
        <w:t xml:space="preserve">】中约定。</w:t>
      </w:r>
      <w:r/>
    </w:p>
    <w:p>
      <w:pPr>
        <w:pStyle w:val="721"/>
        <w:spacing w:after="0" w:line="400" w:lineRule="exact"/>
        <w:rPr>
          <w:rFonts w:ascii="宋体" w:hAnsi="宋体"/>
          <w:b/>
          <w:bCs/>
          <w:color w:val="auto"/>
          <w:sz w:val="24"/>
          <w:szCs w:val="24"/>
        </w:rPr>
      </w:pPr>
      <w:r>
        <w:rPr>
          <w:rFonts w:hint="eastAsia" w:ascii="宋体" w:hAnsi="宋体"/>
          <w:b/>
          <w:bCs/>
          <w:color w:val="auto"/>
          <w:sz w:val="24"/>
          <w:szCs w:val="24"/>
        </w:rPr>
        <w:t xml:space="preserve">13. 履约保证金</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13.1 </w:t>
      </w:r>
      <w:r>
        <w:rPr>
          <w:rFonts w:hint="eastAsia" w:ascii="宋体" w:hAnsi="宋体" w:cs="宋体"/>
          <w:color w:val="auto"/>
          <w:szCs w:val="15"/>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13.2 如果乙方出现</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约定情形的</w:t>
      </w:r>
      <w:r>
        <w:rPr>
          <w:rFonts w:hint="eastAsia" w:ascii="宋体" w:hAnsi="宋体"/>
          <w:color w:val="auto"/>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auto"/>
        </w:rPr>
      </w:pPr>
      <w:r>
        <w:rPr>
          <w:rFonts w:hint="eastAsia" w:ascii="宋体" w:hAnsi="宋体"/>
          <w:color w:val="auto"/>
          <w:szCs w:val="21"/>
        </w:rPr>
        <w:t xml:space="preserve">13.3 甲方在项目通过验收后按照</w:t>
      </w:r>
      <w:r>
        <w:rPr>
          <w:rFonts w:hint="eastAsia" w:ascii="宋体" w:hAnsi="宋体"/>
          <w:b/>
          <w:color w:val="auto"/>
          <w:szCs w:val="21"/>
        </w:rPr>
        <w:t xml:space="preserve">【政府采购合同专用条款】</w:t>
      </w:r>
      <w:r>
        <w:rPr>
          <w:rFonts w:hint="eastAsia" w:ascii="宋体" w:hAnsi="宋体"/>
          <w:color w:val="auto"/>
          <w:szCs w:val="21"/>
        </w:rPr>
        <w:t xml:space="preserve">规定的时间内将履约保证金退还乙方；逾期退还的，乙方可要求甲方支付违约金，违约金按照</w:t>
      </w:r>
      <w:r>
        <w:rPr>
          <w:rFonts w:hint="eastAsia" w:ascii="宋体" w:hAnsi="宋体"/>
          <w:b/>
          <w:color w:val="auto"/>
          <w:szCs w:val="21"/>
        </w:rPr>
        <w:t xml:space="preserve">【政府采购合同专用条款】</w:t>
      </w:r>
      <w:r>
        <w:rPr>
          <w:rFonts w:hint="eastAsia" w:ascii="宋体" w:hAnsi="宋体"/>
          <w:color w:val="auto"/>
          <w:szCs w:val="21"/>
        </w:rPr>
        <w:t xml:space="preserve">规定支付。</w:t>
      </w:r>
      <w:r/>
    </w:p>
    <w:p>
      <w:pPr>
        <w:jc w:val="left"/>
        <w:spacing w:line="400" w:lineRule="exact"/>
        <w:rPr>
          <w:rFonts w:ascii="宋体" w:hAnsi="宋体"/>
          <w:b/>
          <w:color w:val="auto"/>
          <w:sz w:val="24"/>
        </w:rPr>
      </w:pPr>
      <w:r>
        <w:rPr>
          <w:rFonts w:hint="eastAsia" w:ascii="宋体" w:hAnsi="宋体"/>
          <w:b/>
          <w:bCs/>
          <w:color w:val="auto"/>
          <w:sz w:val="24"/>
        </w:rPr>
        <w:t xml:space="preserve">14. </w:t>
      </w:r>
      <w:r>
        <w:rPr>
          <w:rFonts w:hint="eastAsia"/>
          <w:b/>
          <w:color w:val="auto"/>
          <w:sz w:val="24"/>
        </w:rPr>
        <w:t xml:space="preserve">售后</w:t>
      </w:r>
      <w:r>
        <w:rPr>
          <w:rFonts w:hint="eastAsia" w:ascii="宋体" w:hAnsi="宋体"/>
          <w:b/>
          <w:color w:val="auto"/>
          <w:sz w:val="24"/>
        </w:rPr>
        <w:t xml:space="preserve">服务</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14.1 除项目不涉及或采购活动中明确约定无须承担外，乙方还应提供下列服务：</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（1）货物的现场移动、安装、调试、启动监督及技术支持；</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（2）提供货物组装和维修所需的专用工具和辅助材料；</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（3）在</w:t>
      </w:r>
      <w:r>
        <w:rPr>
          <w:rFonts w:hint="eastAsia" w:ascii="宋体" w:hAnsi="宋体" w:cs="宋体"/>
          <w:b/>
          <w:bCs/>
          <w:color w:val="auto"/>
          <w:szCs w:val="15"/>
        </w:rPr>
        <w:t xml:space="preserve">【政府采购合同专用条款】</w:t>
      </w:r>
      <w:r>
        <w:rPr>
          <w:rFonts w:hint="eastAsia" w:ascii="宋体" w:hAnsi="宋体"/>
          <w:color w:val="auto"/>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（4）在制造商所在地或指定现场就货物的安装、启动、运营、维护、废弃处置等对甲方操作人员进行培训</w:t>
      </w:r>
      <w:r>
        <w:rPr>
          <w:rFonts w:hint="eastAsia" w:ascii="宋体" w:hAnsi="宋体" w:cs="宋体"/>
          <w:color w:val="auto"/>
          <w:szCs w:val="15"/>
        </w:rPr>
        <w:t xml:space="preserve">；</w:t>
      </w:r>
      <w:r/>
    </w:p>
    <w:p>
      <w:pPr>
        <w:pStyle w:val="752"/>
        <w:ind w:firstLine="420"/>
        <w:rPr>
          <w:rFonts w:hint="eastAsia" w:ascii="宋体" w:hAnsi="宋体" w:eastAsia="宋体" w:cs="宋体"/>
          <w:color w:val="auto"/>
          <w:sz w:val="21"/>
        </w:rPr>
      </w:pPr>
      <w:r>
        <w:rPr>
          <w:rFonts w:hint="eastAsia" w:ascii="宋体" w:hAnsi="宋体" w:eastAsia="宋体" w:cs="宋体"/>
          <w:color w:val="auto"/>
          <w:sz w:val="21"/>
        </w:rPr>
        <w:t xml:space="preserve">（5）依照法律、行政法规的规定或者按照</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（6）</w:t>
      </w:r>
      <w:r>
        <w:rPr>
          <w:rFonts w:hint="eastAsia" w:ascii="宋体" w:hAnsi="宋体"/>
          <w:b/>
          <w:color w:val="auto"/>
          <w:szCs w:val="21"/>
        </w:rPr>
        <w:t xml:space="preserve">【政府采购合同专用条款】</w:t>
      </w:r>
      <w:r>
        <w:rPr>
          <w:rFonts w:hint="eastAsia" w:ascii="宋体" w:hAnsi="宋体"/>
          <w:color w:val="auto"/>
          <w:szCs w:val="21"/>
        </w:rPr>
        <w:t xml:space="preserve">规定由乙方提供的其他服务。</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14.2 乙方提供的售后服务的费用已包含在合同价款中，甲方不再另行支付。</w:t>
      </w:r>
      <w:r/>
    </w:p>
    <w:p>
      <w:pPr>
        <w:jc w:val="left"/>
        <w:spacing w:line="400" w:lineRule="exact"/>
        <w:rPr>
          <w:rFonts w:hint="eastAsia" w:ascii="宋体" w:hAnsi="宋体"/>
          <w:b/>
          <w:bCs/>
          <w:color w:val="auto"/>
          <w:sz w:val="24"/>
        </w:rPr>
      </w:pPr>
      <w:r>
        <w:rPr>
          <w:rFonts w:hint="eastAsia" w:ascii="宋体" w:hAnsi="宋体"/>
          <w:b/>
          <w:bCs/>
          <w:color w:val="auto"/>
          <w:sz w:val="24"/>
        </w:rPr>
        <w:t xml:space="preserve">15. 违约责任</w:t>
      </w:r>
      <w:r/>
    </w:p>
    <w:p>
      <w:pPr>
        <w:ind w:firstLine="420"/>
        <w:jc w:val="left"/>
        <w:spacing w:line="400" w:lineRule="exact"/>
        <w:rPr>
          <w:rFonts w:hint="eastAsia" w:ascii="宋体" w:hAnsi="宋体"/>
          <w:bCs/>
          <w:color w:val="auto"/>
          <w:szCs w:val="21"/>
        </w:rPr>
      </w:pPr>
      <w:r>
        <w:rPr>
          <w:rFonts w:hint="eastAsia" w:ascii="宋体" w:hAnsi="宋体"/>
          <w:bCs/>
          <w:color w:val="auto"/>
          <w:szCs w:val="21"/>
        </w:rPr>
        <w:t xml:space="preserve">15.1质量瑕疵的违约责任</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乙方提供的产品不符合合同约定的质量标准或存在产品质量缺陷，甲方有权要求乙方根据</w:t>
      </w:r>
      <w:r>
        <w:rPr>
          <w:rFonts w:hint="eastAsia" w:ascii="宋体" w:hAnsi="宋体"/>
          <w:b/>
          <w:color w:val="auto"/>
          <w:szCs w:val="21"/>
        </w:rPr>
        <w:t xml:space="preserve">【政府采购合同专用条款】</w:t>
      </w:r>
      <w:r>
        <w:rPr>
          <w:rFonts w:hint="eastAsia" w:ascii="宋体" w:hAnsi="宋体"/>
          <w:bCs/>
          <w:color w:val="auto"/>
          <w:szCs w:val="21"/>
        </w:rPr>
        <w:t xml:space="preserve">要求</w:t>
      </w:r>
      <w:r>
        <w:rPr>
          <w:rFonts w:hint="eastAsia" w:ascii="宋体" w:hAnsi="宋体"/>
          <w:color w:val="auto"/>
          <w:szCs w:val="21"/>
        </w:rPr>
        <w:t xml:space="preserve">及时修理、重作、更换，并承担由此给甲方造成的损失。</w:t>
      </w:r>
      <w:r/>
    </w:p>
    <w:p>
      <w:pPr>
        <w:ind w:firstLine="420"/>
        <w:jc w:val="left"/>
        <w:spacing w:line="400" w:lineRule="exact"/>
        <w:rPr>
          <w:rFonts w:hint="eastAsia" w:ascii="宋体" w:hAnsi="宋体"/>
          <w:bCs/>
          <w:color w:val="auto"/>
          <w:szCs w:val="21"/>
        </w:rPr>
      </w:pPr>
      <w:r>
        <w:rPr>
          <w:rFonts w:hint="eastAsia" w:ascii="宋体" w:hAnsi="宋体"/>
          <w:bCs/>
          <w:color w:val="auto"/>
          <w:szCs w:val="21"/>
        </w:rPr>
        <w:t xml:space="preserve">15.2 迟延交货的违约责任</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rPr>
        <w:t xml:space="preserve">【政府采购合同专用条款】</w:t>
      </w:r>
      <w:r>
        <w:rPr>
          <w:rFonts w:hint="eastAsia" w:ascii="宋体" w:hAnsi="宋体"/>
          <w:color w:val="auto"/>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15.3 迟延支付的违约责任</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甲方存在迟延支付乙方合同款项的，应当承担</w:t>
      </w:r>
      <w:r>
        <w:rPr>
          <w:rFonts w:hint="eastAsia" w:ascii="宋体" w:hAnsi="宋体"/>
          <w:b/>
          <w:bCs/>
          <w:color w:val="auto"/>
          <w:szCs w:val="21"/>
        </w:rPr>
        <w:t xml:space="preserve">【政府采购合同专用条款】</w:t>
      </w:r>
      <w:r>
        <w:rPr>
          <w:rFonts w:hint="eastAsia" w:ascii="宋体" w:hAnsi="宋体"/>
          <w:color w:val="auto"/>
          <w:szCs w:val="21"/>
        </w:rPr>
        <w:t xml:space="preserve">规定的逾期付款利息。</w:t>
      </w:r>
      <w:r/>
    </w:p>
    <w:p>
      <w:pPr>
        <w:ind w:firstLine="420"/>
        <w:jc w:val="left"/>
        <w:spacing w:line="400" w:lineRule="exact"/>
        <w:rPr>
          <w:rFonts w:hint="eastAsia" w:ascii="宋体" w:hAnsi="宋体"/>
          <w:color w:val="auto"/>
          <w:szCs w:val="21"/>
        </w:rPr>
      </w:pPr>
      <w:r>
        <w:rPr>
          <w:rFonts w:hint="eastAsia" w:ascii="宋体" w:hAnsi="宋体"/>
          <w:bCs/>
          <w:color w:val="auto"/>
          <w:szCs w:val="21"/>
        </w:rPr>
        <w:t xml:space="preserve">15.4其他违约责任根据项目实际需要按</w:t>
      </w:r>
      <w:r>
        <w:rPr>
          <w:rFonts w:hint="eastAsia" w:ascii="宋体" w:hAnsi="宋体"/>
          <w:b/>
          <w:bCs/>
          <w:color w:val="auto"/>
          <w:szCs w:val="21"/>
        </w:rPr>
        <w:t xml:space="preserve">【政府采购合同专用条款】</w:t>
      </w:r>
      <w:r>
        <w:rPr>
          <w:rFonts w:hint="eastAsia" w:ascii="宋体" w:hAnsi="宋体"/>
          <w:color w:val="auto"/>
          <w:szCs w:val="21"/>
        </w:rPr>
        <w:t xml:space="preserve">规定执行。</w:t>
      </w:r>
      <w:r/>
    </w:p>
    <w:p>
      <w:pPr>
        <w:numPr>
          <w:ilvl w:val="0"/>
          <w:numId w:val="6"/>
        </w:numPr>
        <w:jc w:val="left"/>
        <w:spacing w:line="400" w:lineRule="exact"/>
        <w:rPr>
          <w:rFonts w:hint="eastAsia" w:ascii="宋体" w:hAnsi="宋体"/>
          <w:b/>
          <w:color w:val="auto"/>
          <w:sz w:val="24"/>
        </w:rPr>
      </w:pPr>
      <w:r>
        <w:rPr>
          <w:rFonts w:hint="eastAsia" w:ascii="宋体" w:hAnsi="宋体"/>
          <w:b/>
          <w:color w:val="auto"/>
          <w:sz w:val="24"/>
        </w:rPr>
        <w:t xml:space="preserve">合同变更、中止与终止</w:t>
      </w:r>
      <w:r/>
    </w:p>
    <w:p>
      <w:pPr>
        <w:jc w:val="left"/>
        <w:spacing w:line="400" w:lineRule="exact"/>
        <w:rPr>
          <w:rFonts w:hint="eastAsia" w:ascii="宋体" w:hAnsi="宋体"/>
          <w:color w:val="auto"/>
          <w:szCs w:val="21"/>
        </w:rPr>
      </w:pPr>
      <w:r>
        <w:rPr>
          <w:rFonts w:hint="eastAsia" w:ascii="宋体" w:hAnsi="宋体"/>
          <w:color w:val="auto"/>
          <w:szCs w:val="21"/>
        </w:rPr>
        <w:t xml:space="preserve">    16.1合同的变更</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16.2合同的中止</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52"/>
        <w:ind w:firstLine="420"/>
        <w:jc w:val="both"/>
        <w:rPr>
          <w:rFonts w:hint="eastAsia"/>
          <w:color w:val="auto"/>
          <w:sz w:val="21"/>
        </w:rPr>
      </w:pPr>
      <w:r>
        <w:rPr>
          <w:rFonts w:hint="eastAsia" w:ascii="宋体" w:hAnsi="宋体" w:eastAsia="宋体" w:cs="宋体"/>
          <w:color w:val="auto"/>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auto"/>
        </w:rPr>
      </w:pPr>
      <w:r>
        <w:rPr>
          <w:rFonts w:hint="eastAsia" w:ascii="宋体" w:hAnsi="宋体"/>
          <w:color w:val="auto"/>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rPr>
      </w:pPr>
      <w:r>
        <w:rPr>
          <w:rFonts w:hint="eastAsia" w:ascii="宋体" w:hAnsi="宋体"/>
          <w:color w:val="auto"/>
          <w:szCs w:val="21"/>
        </w:rPr>
        <w:t xml:space="preserve">16.3合同的终止</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（1）合同因有效期限届满而终止；</w:t>
      </w:r>
      <w:r/>
    </w:p>
    <w:p>
      <w:pPr>
        <w:ind w:firstLine="420"/>
        <w:spacing w:line="400" w:lineRule="exact"/>
        <w:rPr>
          <w:rFonts w:hint="eastAsia" w:ascii="宋体" w:hAnsi="宋体" w:cs="宋体"/>
          <w:color w:val="auto"/>
          <w:szCs w:val="21"/>
        </w:rPr>
      </w:pPr>
      <w:r>
        <w:rPr>
          <w:rFonts w:hint="eastAsia" w:ascii="宋体" w:hAnsi="宋体"/>
          <w:color w:val="auto"/>
          <w:szCs w:val="21"/>
        </w:rPr>
        <w:t xml:space="preserve">（2）乙方未按合同约定履行，构成根本性违约的，甲方有权终止合同，</w:t>
      </w:r>
      <w:r>
        <w:rPr>
          <w:rFonts w:hint="eastAsia" w:ascii="宋体" w:hAnsi="宋体" w:cs="宋体"/>
          <w:color w:val="auto"/>
          <w:szCs w:val="21"/>
        </w:rPr>
        <w:t xml:space="preserve">并追究乙方的违约责任</w:t>
      </w:r>
      <w:r>
        <w:rPr>
          <w:rFonts w:hint="eastAsia" w:ascii="宋体" w:hAnsi="宋体"/>
          <w:color w:val="auto"/>
          <w:szCs w:val="21"/>
        </w:rPr>
        <w:t xml:space="preserve">。</w:t>
      </w:r>
      <w:r/>
    </w:p>
    <w:p>
      <w:pPr>
        <w:pStyle w:val="752"/>
        <w:rPr>
          <w:rFonts w:hint="eastAsia" w:ascii="宋体" w:hAnsi="宋体"/>
          <w:color w:val="auto"/>
        </w:rPr>
      </w:pPr>
      <w:r>
        <w:rPr>
          <w:rFonts w:hint="eastAsia" w:ascii="宋体" w:hAnsi="宋体"/>
          <w:color w:val="auto"/>
        </w:rPr>
        <w:t xml:space="preserve">16.4 </w:t>
      </w:r>
      <w:r>
        <w:rPr>
          <w:rFonts w:hint="eastAsia" w:ascii="宋体" w:hAnsi="宋体" w:eastAsia="宋体" w:cs="Times New Roman"/>
          <w:color w:val="auto"/>
          <w:sz w:val="21"/>
        </w:rPr>
        <w:t xml:space="preserve">涉及国家利益、社会公共利益的情形</w:t>
      </w:r>
      <w:r/>
    </w:p>
    <w:p>
      <w:pPr>
        <w:pStyle w:val="752"/>
        <w:ind w:firstLine="420"/>
        <w:jc w:val="both"/>
        <w:rPr>
          <w:rFonts w:hint="eastAsia"/>
          <w:color w:val="auto"/>
          <w:sz w:val="21"/>
        </w:rPr>
      </w:pPr>
      <w:r>
        <w:rPr>
          <w:rFonts w:hint="eastAsia" w:ascii="宋体" w:hAnsi="宋体" w:eastAsia="宋体" w:cs="宋体"/>
          <w:color w:val="auto"/>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auto"/>
          <w:sz w:val="24"/>
        </w:rPr>
      </w:pPr>
      <w:r>
        <w:rPr>
          <w:rFonts w:hint="eastAsia" w:ascii="宋体" w:hAnsi="宋体"/>
          <w:b/>
          <w:bCs/>
          <w:color w:val="auto"/>
          <w:sz w:val="24"/>
        </w:rPr>
        <w:t xml:space="preserve">17. 合同分包</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auto"/>
          <w:sz w:val="24"/>
        </w:rPr>
      </w:pPr>
      <w:r>
        <w:rPr>
          <w:rFonts w:hint="eastAsia" w:ascii="宋体" w:hAnsi="宋体"/>
          <w:b/>
          <w:bCs/>
          <w:color w:val="auto"/>
          <w:sz w:val="24"/>
        </w:rPr>
        <w:t xml:space="preserve">18. 不可抗力</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18.1 不可抗力是指合同双方不能预见、不能避免且不能克服的客观情况。</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rPr>
      </w:pPr>
      <w:r>
        <w:rPr>
          <w:rFonts w:hint="eastAsia" w:ascii="宋体" w:hAnsi="宋体"/>
          <w:b/>
          <w:bCs/>
          <w:color w:val="auto"/>
          <w:sz w:val="24"/>
        </w:rPr>
        <w:t xml:space="preserve">19. 解决争议的方法</w:t>
      </w:r>
      <w:r/>
    </w:p>
    <w:p>
      <w:pPr>
        <w:pStyle w:val="752"/>
        <w:ind w:firstLine="420"/>
        <w:jc w:val="both"/>
        <w:rPr>
          <w:rFonts w:hint="eastAsia" w:ascii="宋体" w:hAnsi="宋体" w:eastAsia="宋体" w:cs="宋体"/>
          <w:color w:val="auto"/>
          <w:sz w:val="21"/>
        </w:rPr>
      </w:pPr>
      <w:r>
        <w:rPr>
          <w:rFonts w:hint="eastAsia" w:ascii="宋体" w:hAnsi="宋体" w:eastAsia="宋体" w:cs="宋体"/>
          <w:color w:val="auto"/>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52"/>
        <w:ind w:firstLine="420"/>
        <w:jc w:val="both"/>
        <w:rPr>
          <w:rFonts w:hint="eastAsia" w:ascii="宋体" w:hAnsi="宋体" w:eastAsia="宋体" w:cs="宋体"/>
          <w:color w:val="auto"/>
          <w:sz w:val="21"/>
        </w:rPr>
      </w:pPr>
      <w:r>
        <w:rPr>
          <w:rFonts w:hint="eastAsia" w:ascii="宋体" w:hAnsi="宋体" w:eastAsia="宋体" w:cs="宋体"/>
          <w:color w:val="auto"/>
          <w:sz w:val="21"/>
        </w:rPr>
        <w:t xml:space="preserve">19.2 选择仲裁的，应在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中明确仲裁机构及仲裁地；通过诉讼方式解决的，可以在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中进一步约定选择与争议有实际联系的地点的人民法院管辖，但管辖法院的约定不得违反级别管辖和专属管辖的规定。</w:t>
      </w:r>
      <w:r/>
    </w:p>
    <w:p>
      <w:pPr>
        <w:pStyle w:val="752"/>
        <w:ind w:firstLine="420"/>
        <w:jc w:val="both"/>
        <w:rPr>
          <w:rFonts w:hint="eastAsia" w:ascii="宋体" w:hAnsi="宋体" w:eastAsia="宋体" w:cs="宋体"/>
          <w:color w:val="auto"/>
          <w:sz w:val="21"/>
        </w:rPr>
      </w:pPr>
      <w:r>
        <w:rPr>
          <w:rFonts w:hint="eastAsia" w:ascii="宋体" w:hAnsi="宋体" w:eastAsia="宋体" w:cs="宋体"/>
          <w:color w:val="auto"/>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auto"/>
          <w:sz w:val="24"/>
        </w:rPr>
      </w:pPr>
      <w:r>
        <w:rPr>
          <w:rFonts w:hint="eastAsia" w:ascii="宋体" w:hAnsi="宋体"/>
          <w:b/>
          <w:color w:val="auto"/>
          <w:sz w:val="24"/>
        </w:rPr>
        <w:t xml:space="preserve">20. 政府采购政策</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20.1 </w:t>
      </w:r>
      <w:r>
        <w:rPr>
          <w:rFonts w:hint="eastAsia" w:ascii="宋体" w:hAnsi="宋体" w:cs="宋体"/>
          <w:color w:val="auto"/>
          <w:lang w:val="en-GB"/>
        </w:rPr>
        <w:t xml:space="preserve">本合同应当按照规定执行政府采购政策。</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20.2 本合同依法执行政府采购政策的方式和内容，属于合同履约验收的范围。</w:t>
      </w:r>
      <w:r>
        <w:rPr>
          <w:rFonts w:hint="eastAsia" w:ascii="宋体" w:hAnsi="宋体" w:cs="宋体"/>
          <w:color w:val="auto"/>
        </w:rPr>
        <w:t xml:space="preserve">甲乙双方</w:t>
      </w:r>
      <w:r>
        <w:rPr>
          <w:rFonts w:hint="eastAsia" w:ascii="宋体" w:hAnsi="宋体" w:cs="宋体"/>
          <w:color w:val="auto"/>
          <w:lang w:val="en-GB"/>
        </w:rPr>
        <w:t xml:space="preserve">未按规定要求执行政府采购政策造成损失的</w:t>
      </w:r>
      <w:r>
        <w:rPr>
          <w:rFonts w:hint="eastAsia" w:ascii="宋体" w:hAnsi="宋体"/>
          <w:color w:val="auto"/>
          <w:szCs w:val="21"/>
        </w:rPr>
        <w:t xml:space="preserve">，有过错的一方应当承担赔偿责任，双方都有过错的，各自承担相应的责任。</w:t>
      </w:r>
      <w:r/>
    </w:p>
    <w:p>
      <w:pPr>
        <w:pStyle w:val="721"/>
        <w:ind w:firstLine="560"/>
        <w:spacing w:after="0" w:line="400" w:lineRule="exact"/>
        <w:rPr>
          <w:rFonts w:hint="eastAsia"/>
          <w:color w:val="auto"/>
        </w:rPr>
      </w:pPr>
      <w:r>
        <w:rPr>
          <w:rFonts w:hint="eastAsia" w:ascii="宋体" w:hAnsi="宋体"/>
          <w:color w:val="auto"/>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rPr>
      </w:pPr>
      <w:r>
        <w:rPr>
          <w:rFonts w:hint="eastAsia" w:ascii="宋体" w:hAnsi="宋体"/>
          <w:b/>
          <w:color w:val="auto"/>
          <w:sz w:val="24"/>
        </w:rPr>
        <w:t xml:space="preserve">21. 法律适用</w:t>
      </w:r>
      <w:r/>
    </w:p>
    <w:p>
      <w:pPr>
        <w:pStyle w:val="752"/>
        <w:ind w:firstLine="420"/>
        <w:jc w:val="both"/>
        <w:rPr>
          <w:rFonts w:hint="eastAsia" w:ascii="宋体" w:hAnsi="宋体" w:eastAsia="宋体" w:cs="宋体"/>
          <w:color w:val="auto"/>
          <w:sz w:val="21"/>
        </w:rPr>
      </w:pPr>
      <w:r>
        <w:rPr>
          <w:rFonts w:hint="eastAsia" w:ascii="宋体" w:hAnsi="宋体" w:eastAsia="宋体" w:cs="宋体"/>
          <w:color w:val="auto"/>
          <w:sz w:val="21"/>
        </w:rPr>
        <w:t xml:space="preserve">21.1 本合同的订立、生效、解释、履行及与本合同有关的争议解决，均适用法律、行政法规。</w:t>
      </w:r>
      <w:r/>
    </w:p>
    <w:p>
      <w:pPr>
        <w:pStyle w:val="752"/>
        <w:ind w:firstLine="420"/>
        <w:jc w:val="both"/>
        <w:rPr>
          <w:rFonts w:hint="eastAsia" w:ascii="宋体" w:hAnsi="宋体" w:eastAsia="宋体" w:cs="宋体"/>
          <w:color w:val="auto"/>
          <w:sz w:val="21"/>
        </w:rPr>
      </w:pPr>
      <w:r>
        <w:rPr>
          <w:rFonts w:hint="eastAsia" w:ascii="宋体" w:hAnsi="宋体" w:eastAsia="宋体" w:cs="宋体"/>
          <w:color w:val="auto"/>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auto"/>
          <w:sz w:val="24"/>
        </w:rPr>
      </w:pPr>
      <w:r>
        <w:rPr>
          <w:rFonts w:hint="eastAsia" w:ascii="宋体" w:hAnsi="宋体"/>
          <w:b/>
          <w:color w:val="auto"/>
          <w:sz w:val="24"/>
        </w:rPr>
        <w:t xml:space="preserve">22. 通知</w:t>
      </w:r>
      <w:r/>
    </w:p>
    <w:p>
      <w:pPr>
        <w:pStyle w:val="752"/>
        <w:ind w:firstLine="420"/>
        <w:jc w:val="both"/>
        <w:rPr>
          <w:rFonts w:hint="eastAsia" w:ascii="宋体" w:hAnsi="宋体" w:eastAsia="宋体" w:cs="宋体"/>
          <w:color w:val="auto"/>
          <w:sz w:val="21"/>
        </w:rPr>
      </w:pPr>
      <w:r>
        <w:rPr>
          <w:rFonts w:hint="eastAsia" w:ascii="宋体" w:hAnsi="宋体" w:eastAsia="宋体" w:cs="宋体"/>
          <w:color w:val="auto"/>
          <w:sz w:val="21"/>
        </w:rPr>
        <w:t xml:space="preserve">22.1 本合同任何一方向对方发出的通知、信件、数据电文等，应当发送至本合同第一部分《政府采购合同协议书》所约定的通讯地址、联系人、联系电话或电子邮箱。</w:t>
      </w:r>
      <w:r/>
    </w:p>
    <w:p>
      <w:pPr>
        <w:pStyle w:val="752"/>
        <w:ind w:firstLine="0"/>
        <w:jc w:val="both"/>
        <w:rPr>
          <w:rFonts w:hint="eastAsia"/>
          <w:color w:val="auto"/>
          <w:sz w:val="21"/>
        </w:rPr>
      </w:pPr>
      <w:r>
        <w:rPr>
          <w:rFonts w:hint="eastAsia" w:ascii="宋体" w:hAnsi="宋体" w:eastAsia="宋体" w:cs="宋体"/>
          <w:color w:val="auto"/>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b/>
          <w:bCs/>
          <w:color w:val="auto"/>
          <w:sz w:val="24"/>
        </w:rPr>
      </w:pPr>
      <w:r>
        <w:rPr>
          <w:rFonts w:hint="eastAsia" w:ascii="宋体" w:hAnsi="宋体"/>
          <w:b/>
          <w:bCs/>
          <w:color w:val="auto"/>
          <w:sz w:val="24"/>
        </w:rPr>
        <w:t xml:space="preserve">合同未尽事项</w:t>
      </w:r>
      <w:r/>
    </w:p>
    <w:p>
      <w:pPr>
        <w:ind w:firstLine="420"/>
        <w:jc w:val="left"/>
        <w:spacing w:line="400" w:lineRule="exact"/>
        <w:rPr>
          <w:rFonts w:hint="eastAsia" w:ascii="宋体" w:hAnsi="宋体"/>
          <w:bCs/>
          <w:color w:val="auto"/>
          <w:szCs w:val="21"/>
        </w:rPr>
      </w:pPr>
      <w:r>
        <w:rPr>
          <w:rFonts w:hint="eastAsia" w:ascii="宋体" w:hAnsi="宋体"/>
          <w:bCs/>
          <w:color w:val="auto"/>
          <w:szCs w:val="21"/>
        </w:rPr>
        <w:t xml:space="preserve">23.1合同未尽事项见</w:t>
      </w:r>
      <w:r>
        <w:rPr>
          <w:rFonts w:hint="eastAsia" w:ascii="宋体" w:hAnsi="宋体"/>
          <w:b/>
          <w:color w:val="auto"/>
          <w:szCs w:val="21"/>
        </w:rPr>
        <w:t xml:space="preserve">【政府采购合同专用条款】</w:t>
      </w:r>
      <w:r>
        <w:rPr>
          <w:rFonts w:hint="eastAsia" w:ascii="宋体" w:hAnsi="宋体"/>
          <w:bCs/>
          <w:color w:val="auto"/>
          <w:szCs w:val="21"/>
        </w:rPr>
        <w:t xml:space="preserve">。</w:t>
      </w:r>
      <w:r/>
    </w:p>
    <w:p>
      <w:pPr>
        <w:jc w:val="left"/>
        <w:spacing w:line="400" w:lineRule="exact"/>
        <w:rPr>
          <w:rFonts w:hint="eastAsia" w:ascii="黑体" w:hAnsi="华文中宋" w:eastAsia="黑体"/>
          <w:color w:val="auto"/>
          <w:sz w:val="28"/>
          <w:szCs w:val="28"/>
        </w:rPr>
      </w:pPr>
      <w:r>
        <w:rPr>
          <w:rFonts w:hint="eastAsia" w:ascii="宋体" w:hAnsi="宋体"/>
          <w:bCs/>
          <w:color w:val="auto"/>
          <w:szCs w:val="21"/>
        </w:rPr>
        <w:t xml:space="preserve">    23.2 合同附件与合同正文具有同等的法律效力。</w:t>
      </w:r>
      <w:r/>
    </w:p>
    <w:p>
      <w:pPr>
        <w:jc w:val="center"/>
        <w:keepLines/>
        <w:keepNext/>
        <w:spacing w:line="360" w:lineRule="auto"/>
        <w:rPr>
          <w:rFonts w:ascii="黑体" w:hAnsi="华文中宋" w:eastAsia="黑体"/>
          <w:color w:val="auto"/>
          <w:sz w:val="24"/>
        </w:rPr>
        <w:outlineLvl w:val="1"/>
      </w:pPr>
      <w:r>
        <w:rPr>
          <w:rFonts w:hint="eastAsia" w:ascii="黑体" w:hAnsi="华文中宋" w:eastAsia="黑体"/>
          <w:color w:val="auto"/>
          <w:sz w:val="24"/>
        </w:rPr>
        <w:br w:type="page" w:clear="all"/>
      </w:r>
      <w:r/>
    </w:p>
    <w:p>
      <w:pPr>
        <w:jc w:val="center"/>
        <w:keepLines/>
        <w:keepNext/>
        <w:spacing w:line="360" w:lineRule="auto"/>
        <w:rPr>
          <w:rFonts w:ascii="黑体" w:hAnsi="华文中宋" w:eastAsia="黑体"/>
          <w:color w:val="auto"/>
          <w:sz w:val="24"/>
        </w:rPr>
        <w:outlineLvl w:val="1"/>
      </w:pPr>
      <w:r>
        <w:rPr>
          <w:rFonts w:hint="eastAsia" w:ascii="黑体" w:hAnsi="华文中宋" w:eastAsia="黑体"/>
          <w:color w:val="auto"/>
          <w:sz w:val="24"/>
        </w:rPr>
        <w:t xml:space="preserve">第三节 政府采购合同专用条款</w:t>
      </w:r>
      <w:bookmarkEnd w:id="184"/>
      <w:r/>
      <w:r/>
    </w:p>
    <w:tbl>
      <w:tblPr>
        <w:tblStyle w:val="71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同招标公告及文件</w:t>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十五个工作日内</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ind w:left="0" w:right="0" w:firstLine="0"/>
              <w:jc w:val="both"/>
              <w:spacing w:before="0" w:after="0" w:line="32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70" w:type="dxa"/>
            <w:vAlign w:val="center"/>
            <w:textDirection w:val="lrTb"/>
            <w:noWrap w:val="false"/>
          </w:tcPr>
          <w:p>
            <w:pPr>
              <w:ind w:left="0" w:right="0" w:firstLine="0"/>
              <w:jc w:val="both"/>
              <w:spacing w:before="0" w:after="0" w:line="32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ind w:left="0" w:right="0" w:firstLine="0"/>
              <w:jc w:val="both"/>
              <w:spacing w:before="0" w:after="0" w:line="320"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同协议书</w:t>
            </w:r>
            <w:r/>
          </w:p>
        </w:tc>
      </w:tr>
      <w:tr>
        <w:trPr>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w:t>
            </w:r>
            <w:r>
              <w:rPr>
                <w:rFonts w:hint="eastAsia"/>
                <w:color w:val="auto"/>
                <w:sz w:val="24"/>
                <w:highlight w:val="none"/>
                <w:lang w:eastAsia="zh-CN"/>
              </w:rPr>
              <w:t xml:space="preserve">：</w:t>
            </w:r>
            <w:r>
              <w:rPr>
                <w:rFonts w:hint="eastAsia"/>
                <w:color w:val="auto"/>
                <w:sz w:val="24"/>
                <w:highlight w:val="none"/>
              </w:rPr>
              <w:t xml:space="preserve">使用泡泡纸覆盖包装 防止碰撞；板式件</w:t>
            </w:r>
            <w:r>
              <w:rPr>
                <w:rFonts w:hint="eastAsia"/>
                <w:color w:val="auto"/>
                <w:sz w:val="24"/>
                <w:highlight w:val="none"/>
                <w:lang w:eastAsia="zh-CN"/>
              </w:rPr>
              <w:t xml:space="preserve">：</w:t>
            </w:r>
            <w:r>
              <w:rPr>
                <w:rFonts w:hint="eastAsia"/>
                <w:color w:val="auto"/>
                <w:sz w:val="24"/>
                <w:highlight w:val="none"/>
              </w:rPr>
              <w:t xml:space="preserve"> 不同板件用捆扎带分类打包，边角处用瓦楞纸覆盖，防止损坏；塑料件和五金件</w:t>
            </w:r>
            <w:r>
              <w:rPr>
                <w:rFonts w:hint="eastAsia"/>
                <w:color w:val="auto"/>
                <w:sz w:val="24"/>
                <w:highlight w:val="none"/>
                <w:lang w:eastAsia="zh-CN"/>
              </w:rPr>
              <w:t xml:space="preserve">：</w:t>
            </w:r>
            <w:r>
              <w:rPr>
                <w:rFonts w:hint="eastAsia"/>
                <w:color w:val="auto"/>
                <w:sz w:val="24"/>
                <w:highlight w:val="none"/>
              </w:rPr>
              <w:t xml:space="preserve">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p>
            <w:pPr>
              <w:rPr>
                <w:color w:val="auto"/>
                <w:sz w:val="24"/>
                <w:highlight w:val="none"/>
              </w:rPr>
            </w:pPr>
            <w:r>
              <w:rPr>
                <w:color w:val="auto"/>
                <w:sz w:val="24"/>
                <w:highlight w:val="none"/>
              </w:rPr>
            </w:r>
            <w:r/>
          </w:p>
        </w:tc>
      </w:tr>
      <w:tr>
        <w:trPr>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color w:val="auto"/>
                <w:sz w:val="24"/>
                <w:highlight w:val="none"/>
              </w:rPr>
            </w:pPr>
            <w:r>
              <w:rPr>
                <w:color w:val="auto"/>
                <w:sz w:val="24"/>
                <w:highlight w:val="none"/>
              </w:rPr>
              <w:t xml:space="preserve">同协议书</w:t>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752"/>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752"/>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729"/>
              <w:ind w:left="480" w:hanging="480"/>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1.货物免费质保期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年</w:t>
            </w:r>
            <w:r>
              <w:rPr>
                <w:rFonts w:hint="eastAsia" w:ascii="宋体" w:hAnsi="宋体"/>
                <w:color w:val="auto"/>
                <w:highlight w:val="none"/>
              </w:rPr>
              <w:t xml:space="preserve">。（</w:t>
            </w:r>
            <w:r>
              <w:rPr>
                <w:rFonts w:hint="eastAsia" w:ascii="宋体" w:hAnsi="宋体" w:cs="宋体"/>
                <w:color w:val="auto"/>
                <w:highlight w:val="none"/>
              </w:rPr>
              <w:t xml:space="preserve">自</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验收合格之日起计），因人为因素出现的故障不在免费保修范围内。超过保修期的机器设备，终生维修，维修时只收部件成本费。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u w:val="single"/>
                <w:lang w:val="en-US" w:eastAsia="zh-CN"/>
              </w:rPr>
              <w:t xml:space="preserve"> 24 </w:t>
            </w:r>
            <w:r>
              <w:rPr>
                <w:rFonts w:hint="eastAsia" w:ascii="宋体" w:hAnsi="宋体"/>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hint="eastAsia"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hint="eastAsia"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hint="eastAsia"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hint="eastAsia" w:ascii="宋体" w:hAnsi="宋体"/>
                <w:color w:val="auto"/>
                <w:sz w:val="24"/>
                <w:highlight w:val="none"/>
              </w:rPr>
            </w:pPr>
            <w:r>
              <w:rPr>
                <w:rFonts w:hint="eastAsia" w:ascii="宋体" w:hAnsi="宋体"/>
                <w:color w:val="auto"/>
                <w:sz w:val="24"/>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（1）合同签订后10工作日内（自收到发票之日起），</w:t>
            </w:r>
            <w:r>
              <w:rPr>
                <w:rFonts w:hint="eastAsia" w:ascii="宋体" w:hAnsi="宋体"/>
                <w:color w:val="auto"/>
                <w:sz w:val="24"/>
                <w:highlight w:val="none"/>
                <w:lang w:val="en-US" w:eastAsia="zh-CN"/>
              </w:rPr>
              <w:t xml:space="preserve">甲方</w:t>
            </w:r>
            <w:r>
              <w:rPr>
                <w:rFonts w:hint="eastAsia" w:ascii="宋体" w:hAnsi="宋体"/>
                <w:color w:val="auto"/>
                <w:sz w:val="24"/>
                <w:highlight w:val="none"/>
                <w:lang w:val="zh-CN" w:eastAsia="zh-CN"/>
              </w:rPr>
              <w:t xml:space="preserve">支付</w:t>
            </w:r>
            <w:r>
              <w:rPr>
                <w:rFonts w:hint="eastAsia" w:ascii="宋体" w:hAnsi="宋体"/>
                <w:color w:val="auto"/>
                <w:sz w:val="24"/>
                <w:highlight w:val="none"/>
                <w:lang w:val="en-US" w:eastAsia="zh-CN"/>
              </w:rPr>
              <w:t xml:space="preserve">乙方</w:t>
            </w:r>
            <w:r>
              <w:rPr>
                <w:rFonts w:hint="eastAsia" w:ascii="宋体" w:hAnsi="宋体"/>
                <w:color w:val="auto"/>
                <w:sz w:val="24"/>
                <w:highlight w:val="none"/>
                <w:lang w:val="zh-CN" w:eastAsia="zh-CN"/>
              </w:rPr>
              <w:t xml:space="preserve">合同总价的30％作为预付款；</w:t>
            </w:r>
            <w:r/>
          </w:p>
          <w:p>
            <w:pPr>
              <w:jc w:val="left"/>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（2）项目按合同履行结束，并经</w:t>
            </w:r>
            <w:r>
              <w:rPr>
                <w:rFonts w:hint="eastAsia" w:ascii="宋体" w:hAnsi="宋体"/>
                <w:color w:val="auto"/>
                <w:sz w:val="24"/>
                <w:highlight w:val="none"/>
                <w:lang w:val="en-US" w:eastAsia="zh-CN"/>
              </w:rPr>
              <w:t xml:space="preserve">甲方</w:t>
            </w:r>
            <w:r>
              <w:rPr>
                <w:rFonts w:hint="eastAsia" w:ascii="宋体" w:hAnsi="宋体"/>
                <w:color w:val="auto"/>
                <w:sz w:val="24"/>
                <w:highlight w:val="none"/>
                <w:lang w:val="zh-CN" w:eastAsia="zh-CN"/>
              </w:rPr>
              <w:t xml:space="preserve">验收合格后10个工作日内（自收到发票之日起），</w:t>
            </w:r>
            <w:r>
              <w:rPr>
                <w:rFonts w:hint="eastAsia" w:ascii="宋体" w:hAnsi="宋体"/>
                <w:color w:val="auto"/>
                <w:sz w:val="24"/>
                <w:highlight w:val="none"/>
                <w:lang w:val="en-US" w:eastAsia="zh-CN"/>
              </w:rPr>
              <w:t xml:space="preserve">甲方</w:t>
            </w:r>
            <w:r>
              <w:rPr>
                <w:rFonts w:hint="eastAsia" w:ascii="宋体" w:hAnsi="宋体"/>
                <w:color w:val="auto"/>
                <w:sz w:val="24"/>
                <w:highlight w:val="none"/>
                <w:lang w:val="zh-CN" w:eastAsia="zh-CN"/>
              </w:rPr>
              <w:t xml:space="preserve">支付</w:t>
            </w:r>
            <w:r>
              <w:rPr>
                <w:rFonts w:hint="eastAsia" w:ascii="宋体" w:hAnsi="宋体"/>
                <w:color w:val="auto"/>
                <w:sz w:val="24"/>
                <w:highlight w:val="none"/>
                <w:lang w:val="en-US" w:eastAsia="zh-CN"/>
              </w:rPr>
              <w:t xml:space="preserve">乙方</w:t>
            </w:r>
            <w:r>
              <w:rPr>
                <w:rFonts w:hint="eastAsia" w:ascii="宋体" w:hAnsi="宋体"/>
                <w:color w:val="auto"/>
                <w:sz w:val="24"/>
                <w:highlight w:val="none"/>
                <w:lang w:val="zh-CN" w:eastAsia="zh-CN"/>
              </w:rPr>
              <w:t xml:space="preserve">应结算金额的100%（扣除项目已支付的金额）。</w:t>
            </w:r>
            <w:r/>
          </w:p>
          <w:p>
            <w:pPr>
              <w:jc w:val="left"/>
              <w:rPr>
                <w:rFonts w:hint="eastAsia" w:ascii="宋体" w:hAnsi="宋体"/>
                <w:color w:val="auto"/>
                <w:sz w:val="24"/>
                <w:highlight w:val="none"/>
              </w:rPr>
            </w:pPr>
            <w:r>
              <w:rPr>
                <w:rFonts w:hint="eastAsia" w:ascii="宋体" w:hAnsi="宋体"/>
                <w:color w:val="auto"/>
                <w:sz w:val="24"/>
                <w:highlight w:val="none"/>
                <w:lang w:val="zh-CN" w:eastAsia="zh-CN"/>
              </w:rPr>
              <w:t xml:space="preserve">每次付款前</w:t>
            </w:r>
            <w:r>
              <w:rPr>
                <w:rFonts w:hint="eastAsia" w:ascii="宋体" w:hAnsi="宋体"/>
                <w:color w:val="auto"/>
                <w:sz w:val="24"/>
                <w:highlight w:val="none"/>
                <w:lang w:val="en-US" w:eastAsia="zh-CN"/>
              </w:rPr>
              <w:t xml:space="preserve">乙方</w:t>
            </w:r>
            <w:r>
              <w:rPr>
                <w:rFonts w:hint="eastAsia" w:ascii="宋体" w:hAnsi="宋体"/>
                <w:color w:val="auto"/>
                <w:sz w:val="24"/>
                <w:highlight w:val="none"/>
                <w:lang w:val="zh-CN" w:eastAsia="zh-CN"/>
              </w:rPr>
              <w:t xml:space="preserve">需开具合法有效的增值税发票（开具付款金额）给采购人，以上付款均无银行利息，一律通过银行结转。</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除不可抗力情况外，投标人出现下列情形之一的，其履约保证金，招标人将视情节决定不予退还或部分不予退还。</w:t>
            </w:r>
            <w:r/>
          </w:p>
          <w:p>
            <w:pPr>
              <w:jc w:val="left"/>
              <w:rPr>
                <w:rFonts w:hint="eastAsia" w:ascii="宋体" w:hAnsi="宋体"/>
                <w:color w:val="auto"/>
                <w:sz w:val="24"/>
                <w:highlight w:val="none"/>
              </w:rPr>
            </w:pPr>
            <w:r>
              <w:rPr>
                <w:rFonts w:hint="eastAsia" w:ascii="宋体" w:hAnsi="宋体"/>
                <w:color w:val="auto"/>
                <w:sz w:val="24"/>
                <w:highlight w:val="none"/>
              </w:rPr>
              <w:t xml:space="preserve">（1）中标人无正当理由拒绝签订合同的，或者在签订合同时向采购人提出附加条件或者更改合同实质性内容要求的；</w:t>
            </w:r>
            <w:r/>
          </w:p>
          <w:p>
            <w:pPr>
              <w:jc w:val="left"/>
              <w:rPr>
                <w:rFonts w:hint="eastAsia" w:ascii="宋体" w:hAnsi="宋体"/>
                <w:color w:val="auto"/>
                <w:sz w:val="24"/>
                <w:highlight w:val="none"/>
              </w:rPr>
            </w:pPr>
            <w:r>
              <w:rPr>
                <w:rFonts w:hint="eastAsia" w:ascii="宋体" w:hAnsi="宋体"/>
                <w:color w:val="auto"/>
                <w:sz w:val="24"/>
                <w:highlight w:val="none"/>
              </w:rPr>
              <w:t xml:space="preserve">（2）中标人不履行与采购人订立的合同的；</w:t>
            </w:r>
            <w:r/>
          </w:p>
          <w:p>
            <w:pPr>
              <w:jc w:val="left"/>
              <w:rPr>
                <w:rFonts w:hint="eastAsia" w:ascii="宋体" w:hAnsi="宋体"/>
                <w:color w:val="auto"/>
                <w:sz w:val="24"/>
                <w:highlight w:val="none"/>
              </w:rPr>
            </w:pPr>
            <w:r>
              <w:rPr>
                <w:rFonts w:hint="eastAsia" w:ascii="宋体" w:hAnsi="宋体"/>
                <w:color w:val="auto"/>
                <w:sz w:val="24"/>
                <w:highlight w:val="none"/>
              </w:rPr>
              <w:t xml:space="preserve">（3）中标人所供货物或服务不符合招标文件规定要求的；</w:t>
            </w:r>
            <w:r/>
          </w:p>
          <w:p>
            <w:pPr>
              <w:jc w:val="left"/>
              <w:rPr>
                <w:rFonts w:hint="eastAsia" w:ascii="宋体" w:hAnsi="宋体"/>
                <w:color w:val="auto"/>
                <w:sz w:val="24"/>
                <w:highlight w:val="none"/>
              </w:rPr>
            </w:pPr>
            <w:r>
              <w:rPr>
                <w:rFonts w:hint="eastAsia" w:ascii="宋体" w:hAnsi="宋体"/>
                <w:color w:val="auto"/>
                <w:sz w:val="24"/>
                <w:highlight w:val="none"/>
              </w:rPr>
              <w:t xml:space="preserve">（4）中标人采取欺骗、弄虚作假方式投标的或与其它投标人串通投标的；</w:t>
            </w:r>
            <w:r/>
          </w:p>
          <w:p>
            <w:pPr>
              <w:jc w:val="left"/>
              <w:rPr>
                <w:rFonts w:hint="eastAsia" w:ascii="宋体" w:hAnsi="宋体"/>
                <w:color w:val="auto"/>
                <w:sz w:val="24"/>
                <w:highlight w:val="none"/>
              </w:rPr>
            </w:pPr>
            <w:r>
              <w:rPr>
                <w:rFonts w:hint="eastAsia" w:ascii="宋体" w:hAnsi="宋体"/>
                <w:color w:val="auto"/>
                <w:sz w:val="24"/>
                <w:highlight w:val="none"/>
              </w:rPr>
              <w:t xml:space="preserve">（5）中标人将合同内容转包、违法分包的；</w:t>
            </w:r>
            <w:r/>
          </w:p>
          <w:p>
            <w:pPr>
              <w:jc w:val="left"/>
              <w:rPr>
                <w:rFonts w:hint="eastAsia" w:ascii="宋体" w:hAnsi="宋体"/>
                <w:color w:val="auto"/>
                <w:sz w:val="24"/>
                <w:highlight w:val="none"/>
              </w:rPr>
            </w:pPr>
            <w:r>
              <w:rPr>
                <w:rFonts w:hint="eastAsia" w:ascii="宋体" w:hAnsi="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1、合同履行结束后，甲方应及时退还交纳的履约保证金。</w:t>
            </w:r>
            <w:r/>
          </w:p>
          <w:p>
            <w:pPr>
              <w:jc w:val="left"/>
              <w:rPr>
                <w:rFonts w:hint="eastAsia" w:ascii="宋体" w:hAnsi="宋体"/>
                <w:color w:val="auto"/>
                <w:sz w:val="24"/>
                <w:highlight w:val="none"/>
              </w:rPr>
            </w:pPr>
            <w:r>
              <w:rPr>
                <w:rFonts w:hint="eastAsia" w:ascii="宋体" w:hAnsi="宋体"/>
                <w:color w:val="auto"/>
                <w:sz w:val="24"/>
                <w:highlight w:val="none"/>
              </w:rPr>
              <w:t xml:space="preserve">2、退还方式：无息退还至投标人缴纳履约保证金的账户。如为保函，在到期时自行失效。</w:t>
            </w:r>
            <w:r/>
          </w:p>
          <w:p>
            <w:pPr>
              <w:jc w:val="left"/>
              <w:rPr>
                <w:rFonts w:hint="eastAsia" w:ascii="宋体" w:hAnsi="宋体"/>
                <w:color w:val="auto"/>
                <w:sz w:val="24"/>
                <w:highlight w:val="none"/>
              </w:rPr>
            </w:pPr>
            <w:r>
              <w:rPr>
                <w:rFonts w:hint="eastAsia" w:ascii="宋体" w:hAnsi="宋体"/>
                <w:color w:val="auto"/>
                <w:sz w:val="24"/>
                <w:highlight w:val="none"/>
              </w:rPr>
              <w:t xml:space="preserve">3、退还时间：验收合格且甲方收到发票后30日内。</w:t>
            </w:r>
            <w:r/>
          </w:p>
          <w:p>
            <w:pPr>
              <w:jc w:val="left"/>
              <w:rPr>
                <w:rFonts w:hint="eastAsia" w:ascii="宋体" w:hAnsi="宋体"/>
                <w:color w:val="auto"/>
                <w:sz w:val="24"/>
                <w:highlight w:val="none"/>
              </w:rPr>
            </w:pPr>
            <w:r>
              <w:rPr>
                <w:rFonts w:hint="eastAsia" w:ascii="宋体" w:hAnsi="宋体"/>
                <w:color w:val="auto"/>
                <w:sz w:val="24"/>
                <w:highlight w:val="none"/>
              </w:rPr>
              <w:t xml:space="preserve">4、退还条件：按合同要求全部履约完成并经采购人验收合格，且采购人收到中标人出具的发票。</w:t>
            </w:r>
            <w:r/>
          </w:p>
          <w:p>
            <w:pPr>
              <w:jc w:val="left"/>
              <w:rPr>
                <w:rFonts w:hint="eastAsia" w:ascii="宋体" w:hAnsi="宋体"/>
                <w:color w:val="auto"/>
                <w:sz w:val="24"/>
                <w:highlight w:val="none"/>
              </w:rPr>
            </w:pPr>
            <w:r>
              <w:rPr>
                <w:rFonts w:hint="eastAsia" w:ascii="宋体" w:hAnsi="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同合同通用条款</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同合同通用条款</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lang w:eastAsia="zh-CN"/>
              </w:rPr>
              <w:t xml:space="preserve">乙方除履行安装、调试服务外，还应当提供必要的现场操作培训，</w:t>
            </w:r>
            <w:r>
              <w:rPr>
                <w:rFonts w:hint="eastAsia" w:ascii="宋体" w:hAnsi="宋体"/>
                <w:color w:val="auto"/>
                <w:sz w:val="24"/>
                <w:highlight w:val="none"/>
                <w:lang w:val="en-US" w:eastAsia="zh-CN"/>
              </w:rPr>
              <w:t xml:space="preserve">20万以上仪器设备还应当提供2人次至厂家的培训学习。</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修理、重作、更换相关具体规定</w:t>
            </w:r>
            <w:r/>
          </w:p>
        </w:tc>
        <w:tc>
          <w:tcPr>
            <w:tcW w:w="5170" w:type="dxa"/>
            <w:vAlign w:val="center"/>
            <w:textDirection w:val="lrTb"/>
            <w:noWrap w:val="false"/>
          </w:tcPr>
          <w:p>
            <w:pPr>
              <w:numPr>
                <w:ilvl w:val="0"/>
                <w:numId w:val="8"/>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8"/>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729"/>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lang w:val="en-US" w:eastAsia="zh-CN"/>
              </w:rPr>
              <w:t xml:space="preserve"> 1%</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729"/>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甲方应按逾期付款总额每日</w:t>
            </w:r>
            <w:r>
              <w:rPr>
                <w:rFonts w:hint="eastAsia" w:ascii="宋体" w:hAnsi="宋体" w:cs="宋体"/>
                <w:color w:val="auto"/>
                <w:highlight w:val="none"/>
                <w:u w:val="single"/>
                <w:lang w:val="en-US" w:eastAsia="zh-CN"/>
              </w:rPr>
              <w:t xml:space="preserve"> 5‰</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u w:val="none"/>
              </w:rPr>
            </w:pPr>
            <w:r>
              <w:rPr>
                <w:rFonts w:hint="eastAsia" w:ascii="宋体" w:hAnsi="宋体"/>
                <w:color w:val="auto"/>
                <w:sz w:val="24"/>
                <w:highlight w:val="none"/>
                <w:u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auto"/>
                <w:sz w:val="24"/>
                <w:highlight w:val="none"/>
                <w:u w:val="none"/>
              </w:rPr>
            </w:pPr>
            <w:r>
              <w:rPr>
                <w:rFonts w:ascii="宋体" w:hAnsi="宋体"/>
                <w:color w:val="auto"/>
                <w:sz w:val="24"/>
                <w:highlight w:val="none"/>
                <w:u w:val="none"/>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东台市</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w:t>
            </w:r>
            <w:r>
              <w:rPr>
                <w:rFonts w:hint="eastAsia" w:ascii="宋体" w:hAnsi="宋体"/>
                <w:color w:val="auto"/>
                <w:sz w:val="24"/>
                <w:highlight w:val="none"/>
                <w:lang w:eastAsia="zh-CN"/>
              </w:rPr>
              <w:t xml:space="preserve">签</w:t>
            </w:r>
            <w:r>
              <w:rPr>
                <w:rFonts w:hint="eastAsia" w:ascii="宋体" w:hAnsi="宋体"/>
                <w:color w:val="auto"/>
                <w:sz w:val="24"/>
                <w:highlight w:val="none"/>
              </w:rPr>
              <w:t xml:space="preserve">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hint="eastAsia"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lang w:val="en-US" w:eastAsia="zh-CN"/>
              </w:rPr>
              <w:t xml:space="preserve">采购包1为合同签订后30日历天完成所有产品的供货、安装、调试、并运行，免费</w:t>
            </w:r>
            <w:r>
              <w:rPr>
                <w:rFonts w:hint="eastAsia" w:ascii="宋体" w:hAnsi="宋体"/>
                <w:color w:val="auto"/>
                <w:sz w:val="24"/>
                <w:highlight w:val="none"/>
                <w:lang w:val="zh-CN" w:eastAsia="zh-CN"/>
              </w:rPr>
              <w:t xml:space="preserve">质保期为</w:t>
            </w:r>
            <w:r>
              <w:rPr>
                <w:rFonts w:hint="eastAsia" w:ascii="宋体" w:hAnsi="宋体"/>
                <w:color w:val="auto"/>
                <w:sz w:val="24"/>
                <w:highlight w:val="none"/>
                <w:lang w:val="en-US" w:eastAsia="zh-CN"/>
              </w:rPr>
              <w:t xml:space="preserve">4</w:t>
            </w:r>
            <w:r>
              <w:rPr>
                <w:rFonts w:hint="eastAsia" w:ascii="宋体" w:hAnsi="宋体"/>
                <w:color w:val="auto"/>
                <w:sz w:val="24"/>
                <w:highlight w:val="none"/>
                <w:lang w:val="zh-CN" w:eastAsia="zh-CN"/>
              </w:rPr>
              <w:t xml:space="preserve">年</w:t>
            </w:r>
            <w:r>
              <w:rPr>
                <w:rFonts w:hint="eastAsia" w:ascii="宋体" w:hAnsi="宋体"/>
                <w:color w:val="auto"/>
                <w:sz w:val="24"/>
                <w:highlight w:val="none"/>
                <w:lang w:val="en-US" w:eastAsia="zh-CN"/>
              </w:rPr>
              <w:t xml:space="preserve">（自交货验收合格之日起计）；采购包2为合同签订后30日历天内开发完成并上线试运行，免费运维期为2年（自验收合格之日起计）。</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zh-CN" w:eastAsia="zh-CN"/>
              </w:rPr>
              <w:t xml:space="preserve">采购人指定地点</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lang w:val="zh-CN" w:eastAsia="zh-CN"/>
              </w:rPr>
              <w:t xml:space="preserve">货物运输到达后，乙方应安排人员协助甲方收货，并负责货物的装卸和搬运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rPr>
              <w:t xml:space="preserve">日内进行验收，验收包括：型号、规格、数量、外观是否完好，安装调试是否合格</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使用状况</w:t>
            </w:r>
            <w:r>
              <w:rPr>
                <w:rFonts w:hint="eastAsia" w:ascii="宋体" w:hAnsi="宋体"/>
                <w:color w:val="auto"/>
                <w:sz w:val="24"/>
                <w:highlight w:val="none"/>
                <w:lang w:eastAsia="zh-CN"/>
              </w:rPr>
              <w:t xml:space="preserve">、培训情况</w:t>
            </w:r>
            <w:r>
              <w:rPr>
                <w:rFonts w:hint="eastAsia" w:ascii="宋体" w:hAnsi="宋体"/>
                <w:color w:val="auto"/>
                <w:sz w:val="24"/>
                <w:highlight w:val="none"/>
              </w:rPr>
              <w:t xml:space="preserve">等</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验收合格后甲方应在验收报告上签字盖章。</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w:t>
            </w:r>
            <w:r>
              <w:rPr>
                <w:rFonts w:hint="eastAsia" w:ascii="宋体" w:hAnsi="宋体"/>
                <w:color w:val="auto"/>
                <w:sz w:val="24"/>
                <w:highlight w:val="none"/>
                <w:lang w:eastAsia="zh-CN"/>
              </w:rPr>
              <w:t xml:space="preserve">搬运、</w:t>
            </w:r>
            <w:r>
              <w:rPr>
                <w:rFonts w:hint="eastAsia" w:ascii="宋体" w:hAnsi="宋体"/>
                <w:color w:val="auto"/>
                <w:sz w:val="24"/>
                <w:highlight w:val="none"/>
              </w:rPr>
              <w:t xml:space="preserve">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合同生效及其它</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4.本合同应按照中华人民共和国的现行法律进行解释。本合同未尽事宜，遵照《民法典》、《政府采购法》等有关条文执行。</w:t>
            </w:r>
            <w:r/>
          </w:p>
        </w:tc>
      </w:tr>
    </w:tbl>
    <w:p>
      <w:pPr>
        <w:rPr>
          <w:color w:val="auto"/>
        </w:rPr>
      </w:pPr>
      <w:r>
        <w:rPr>
          <w:color w:val="auto"/>
        </w:rPr>
      </w:r>
      <w:r/>
    </w:p>
    <w:p>
      <w:pPr>
        <w:rPr>
          <w:rFonts w:hint="eastAsia"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729"/>
        <w:ind w:right="840"/>
        <w:jc w:val="center"/>
        <w:spacing w:beforeAutospacing="0" w:afterAutospacing="0"/>
        <w:rPr>
          <w:rFonts w:hint="eastAsia" w:ascii="黑体" w:hAnsi="黑体" w:eastAsia="黑体" w:cs="黑体"/>
          <w:color w:val="auto"/>
          <w:sz w:val="44"/>
          <w:szCs w:val="44"/>
          <w:lang w:val="en-US" w:eastAsia="zh-CN"/>
        </w:rPr>
      </w:pPr>
      <w:r>
        <w:rPr>
          <w:rFonts w:hint="eastAsia" w:ascii="黑体" w:hAnsi="黑体" w:eastAsia="黑体" w:cs="黑体"/>
          <w:color w:val="auto"/>
          <w:sz w:val="44"/>
          <w:szCs w:val="44"/>
          <w:lang w:val="en-US" w:eastAsia="zh-CN"/>
        </w:rPr>
        <w:t xml:space="preserve">第</w:t>
      </w:r>
      <w:bookmarkEnd w:id="176"/>
      <w:r>
        <w:rPr>
          <w:rFonts w:hint="eastAsia" w:ascii="黑体" w:hAnsi="黑体" w:eastAsia="黑体" w:cs="黑体"/>
          <w:color w:val="auto"/>
          <w:sz w:val="44"/>
          <w:szCs w:val="44"/>
          <w:lang w:val="en-US" w:eastAsia="zh-CN"/>
        </w:rPr>
        <w:t xml:space="preserve">四章 采购需求</w:t>
      </w:r>
      <w:bookmarkEnd w:id="177"/>
      <w:r/>
      <w:bookmarkEnd w:id="178"/>
      <w:r/>
      <w:bookmarkEnd w:id="179"/>
      <w:r/>
      <w:bookmarkEnd w:id="180"/>
      <w:r/>
      <w:bookmarkEnd w:id="181"/>
      <w:r/>
      <w:r/>
    </w:p>
    <w:p>
      <w:pPr>
        <w:pStyle w:val="729"/>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rPr>
      </w:pPr>
      <w:r/>
      <w:bookmarkStart w:id="186" w:name="_Toc49090575"/>
      <w:r/>
      <w:bookmarkStart w:id="187" w:name="_Toc26554093"/>
      <w:r>
        <w:rPr>
          <w:rFonts w:hint="eastAsia" w:asciiTheme="minorEastAsia" w:hAnsiTheme="minorEastAsia" w:eastAsiaTheme="minorEastAsia" w:cstheme="minorEastAsia"/>
          <w:color w:val="auto"/>
        </w:rPr>
        <w:t xml:space="preserve">项目属性</w:t>
      </w:r>
      <w:r>
        <w:rPr>
          <w:rFonts w:hint="eastAsia" w:asciiTheme="minorEastAsia" w:hAnsiTheme="minorEastAsia" w:cstheme="minorEastAsia"/>
          <w:color w:val="auto"/>
          <w:lang w:eastAsia="zh-CN"/>
        </w:rPr>
        <w:t xml:space="preserve">：</w:t>
      </w:r>
      <w:r>
        <w:rPr>
          <w:rFonts w:hint="eastAsia" w:asciiTheme="minorEastAsia" w:hAnsiTheme="minorEastAsia" w:cstheme="minorEastAsia"/>
          <w:color w:val="auto"/>
          <w:lang w:val="en-US" w:eastAsia="zh-CN"/>
        </w:rPr>
        <w:t xml:space="preserve">货物</w:t>
      </w:r>
      <w:r>
        <w:rPr>
          <w:rFonts w:hint="eastAsia" w:asciiTheme="minorEastAsia" w:hAnsiTheme="minorEastAsia" w:eastAsiaTheme="minorEastAsia" w:cstheme="minorEastAsia"/>
          <w:color w:val="auto"/>
        </w:rPr>
        <w:t xml:space="preserve">类项目。</w:t>
      </w:r>
      <w:bookmarkEnd w:id="186"/>
      <w:r/>
      <w:bookmarkEnd w:id="187"/>
      <w:r/>
      <w:r/>
    </w:p>
    <w:p>
      <w:pPr>
        <w:pStyle w:val="729"/>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lang w:val="en-US" w:eastAsia="zh-CN"/>
        </w:rPr>
      </w:pPr>
      <w:r>
        <w:rPr>
          <w:rFonts w:hint="eastAsia" w:asciiTheme="minorEastAsia" w:hAnsiTheme="minorEastAsia" w:eastAsiaTheme="minorEastAsia" w:cstheme="minorEastAsia"/>
          <w:b/>
          <w:bCs/>
          <w:color w:val="auto"/>
          <w:lang w:val="en-US" w:eastAsia="zh-CN"/>
        </w:rPr>
        <w:t xml:space="preserve">一、项目概述</w:t>
      </w:r>
      <w:r/>
    </w:p>
    <w:p>
      <w:pPr>
        <w:pStyle w:val="729"/>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bookmarkStart w:id="188" w:name="_Toc97295831"/>
      <w:r>
        <w:rPr>
          <w:rFonts w:hint="eastAsia" w:asciiTheme="minorEastAsia" w:hAnsiTheme="minorEastAsia" w:eastAsiaTheme="minorEastAsia" w:cstheme="minorEastAsia"/>
          <w:color w:val="auto"/>
          <w:highlight w:val="none"/>
          <w:lang w:val="en-US" w:eastAsia="zh-CN"/>
        </w:rPr>
        <w:t xml:space="preserve">1.1项目名称</w:t>
      </w:r>
      <w:bookmarkEnd w:id="188"/>
      <w:r>
        <w:rPr>
          <w:rFonts w:hint="eastAsia" w:asciiTheme="minorEastAsia" w:hAnsiTheme="minorEastAsia" w:eastAsiaTheme="minorEastAsia" w:cstheme="minorEastAsia"/>
          <w:color w:val="auto"/>
          <w:highlight w:val="none"/>
          <w:lang w:val="en-US" w:eastAsia="zh-CN"/>
        </w:rPr>
        <w:t xml:space="preserve">：</w:t>
      </w:r>
      <w:r>
        <w:rPr>
          <w:rFonts w:hint="eastAsia" w:asciiTheme="minorEastAsia" w:hAnsiTheme="minorEastAsia" w:cstheme="minorEastAsia"/>
          <w:color w:val="auto"/>
          <w:highlight w:val="none"/>
          <w:lang w:val="en-US" w:eastAsia="zh-CN"/>
        </w:rPr>
        <w:t xml:space="preserve">东台生态环境监测站规范化建设项目</w:t>
      </w:r>
      <w:r/>
    </w:p>
    <w:p>
      <w:pPr>
        <w:pStyle w:val="729"/>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1.2项目背景：根据基层监测机构职责和规范化建设要求，结合我省执法监测和应急监测工作开展情况，明确规范要求，提出基层生态环境监测机构规范化建设指标体系。具体包含七类指标，其中，基础指标四项全部满足是评为规范化监测机构的基本条件，现根据相关需求进行仪器的采购和实验室信息管理系统升级改造。</w:t>
      </w:r>
      <w:r/>
    </w:p>
    <w:p>
      <w:pPr>
        <w:pStyle w:val="729"/>
        <w:ind w:firstLine="480"/>
        <w:jc w:val="left"/>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lang w:val="en-US" w:eastAsia="zh-CN"/>
        </w:rPr>
        <w:t xml:space="preserve">预算金额及最高限价：</w:t>
      </w:r>
      <w:r>
        <w:rPr>
          <w:rFonts w:hint="eastAsia" w:ascii="宋体" w:hAnsi="宋体" w:cs="宋体"/>
          <w:color w:val="auto"/>
          <w:sz w:val="24"/>
          <w:szCs w:val="24"/>
        </w:rPr>
        <w:t xml:space="preserve">合计</w:t>
      </w:r>
      <w:r>
        <w:rPr>
          <w:rFonts w:hint="eastAsia" w:asciiTheme="minorEastAsia" w:hAnsiTheme="minorEastAsia" w:eastAsiaTheme="minorEastAsia" w:cstheme="minorEastAsia"/>
          <w:color w:val="auto"/>
          <w:highlight w:val="none"/>
          <w:lang w:val="en-US" w:eastAsia="zh-CN"/>
        </w:rPr>
        <w:t xml:space="preserve">人民币</w:t>
      </w:r>
      <w:r>
        <w:rPr>
          <w:rFonts w:hint="eastAsia" w:ascii="宋体" w:hAnsi="宋体" w:eastAsia="宋体" w:cs="宋体"/>
          <w:color w:val="auto"/>
          <w:sz w:val="24"/>
          <w:szCs w:val="24"/>
          <w:lang w:val="en-US" w:eastAsia="zh-CN"/>
        </w:rPr>
        <w:t xml:space="preserve">460.65万元（采购包1:420.65万元；采购包2:40万元）</w:t>
      </w:r>
      <w:r/>
    </w:p>
    <w:p>
      <w:pPr>
        <w:pStyle w:val="729"/>
        <w:ind w:firstLine="480"/>
        <w:jc w:val="left"/>
        <w:pageBreakBefore w:val="0"/>
        <w:spacing w:beforeAutospacing="0" w:afterAutospacing="0" w:line="360" w:lineRule="auto"/>
        <w:rPr>
          <w:rFonts w:hint="eastAsia" w:ascii="宋体" w:hAnsi="宋体" w:eastAsia="宋体" w:cs="宋体"/>
          <w:color w:val="auto"/>
          <w:sz w:val="24"/>
          <w:szCs w:val="24"/>
        </w:rPr>
      </w:pPr>
      <w:r>
        <w:rPr>
          <w:rFonts w:hint="eastAsia" w:asciiTheme="minorEastAsia" w:hAnsiTheme="minorEastAsia" w:eastAsiaTheme="minorEastAsia" w:cstheme="minorEastAsia"/>
          <w:color w:val="auto"/>
          <w:highlight w:val="none"/>
          <w:lang w:val="en-US" w:eastAsia="zh-CN"/>
        </w:rPr>
        <w:t xml:space="preserve">1.</w:t>
      </w:r>
      <w:r>
        <w:rPr>
          <w:rFonts w:hint="eastAsia" w:ascii="宋体" w:hAnsi="宋体" w:eastAsia="宋体" w:cs="宋体"/>
          <w:color w:val="auto"/>
          <w:sz w:val="24"/>
          <w:szCs w:val="24"/>
        </w:rPr>
        <w:t xml:space="preserve">4采购包划分：</w:t>
      </w:r>
      <w:r/>
    </w:p>
    <w:tbl>
      <w:tblPr>
        <w:tblStyle w:val="73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241"/>
        <w:gridCol w:w="3523"/>
        <w:gridCol w:w="2811"/>
        <w:gridCol w:w="823"/>
        <w:gridCol w:w="823"/>
      </w:tblGrid>
      <w:tr>
        <w:trPr>
          <w:jc w:val="center"/>
          <w:trHeight w:val="567"/>
        </w:trPr>
        <w:tc>
          <w:tcPr>
            <w:tcW w:w="368"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序号</w:t>
            </w:r>
            <w:r/>
          </w:p>
        </w:tc>
        <w:tc>
          <w:tcPr>
            <w:tcW w:w="623"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采购包号</w:t>
            </w:r>
            <w:r/>
          </w:p>
        </w:tc>
        <w:tc>
          <w:tcPr>
            <w:tcW w:w="1768"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采购包名称</w:t>
            </w:r>
            <w:r/>
          </w:p>
        </w:tc>
        <w:tc>
          <w:tcPr>
            <w:tcW w:w="1411"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品目</w:t>
            </w:r>
            <w:r/>
          </w:p>
        </w:tc>
        <w:tc>
          <w:tcPr>
            <w:tcW w:w="413"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数量</w:t>
            </w:r>
            <w:r/>
          </w:p>
        </w:tc>
        <w:tc>
          <w:tcPr>
            <w:tcW w:w="413"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单位</w:t>
            </w:r>
            <w:r/>
          </w:p>
        </w:tc>
      </w:tr>
      <w:tr>
        <w:trPr>
          <w:jc w:val="center"/>
          <w:trHeight w:val="567"/>
        </w:trPr>
        <w:tc>
          <w:tcPr>
            <w:tcW w:w="368"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en-US" w:eastAsia="zh-CN"/>
              </w:rPr>
              <w:t xml:space="preserve">1</w:t>
            </w:r>
            <w:r/>
          </w:p>
        </w:tc>
        <w:tc>
          <w:tcPr>
            <w:tcW w:w="623"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en-US" w:eastAsia="zh-CN"/>
              </w:rPr>
              <w:t xml:space="preserve">包1</w:t>
            </w:r>
            <w:r/>
          </w:p>
        </w:tc>
        <w:tc>
          <w:tcPr>
            <w:tcW w:w="1768"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t xml:space="preserve">仪器设备采购</w:t>
            </w:r>
            <w:r/>
          </w:p>
        </w:tc>
        <w:tc>
          <w:tcPr>
            <w:tcW w:w="1411"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en-US" w:eastAsia="zh-CN"/>
              </w:rPr>
              <w:t xml:space="preserve">A02100415环境监测仪器及综合分析装置</w:t>
            </w:r>
            <w:r/>
          </w:p>
        </w:tc>
        <w:tc>
          <w:tcPr>
            <w:tcW w:w="413"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w:t>
            </w:r>
            <w:r/>
          </w:p>
        </w:tc>
        <w:tc>
          <w:tcPr>
            <w:tcW w:w="413"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项</w:t>
            </w:r>
            <w:r/>
          </w:p>
        </w:tc>
      </w:tr>
      <w:tr>
        <w:trPr>
          <w:jc w:val="center"/>
          <w:trHeight w:val="567"/>
        </w:trPr>
        <w:tc>
          <w:tcPr>
            <w:tcW w:w="368"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w:t>
            </w:r>
            <w:r/>
          </w:p>
        </w:tc>
        <w:tc>
          <w:tcPr>
            <w:tcW w:w="623"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en-US" w:eastAsia="zh-CN"/>
              </w:rPr>
              <w:t xml:space="preserve">包2</w:t>
            </w:r>
            <w:r/>
          </w:p>
        </w:tc>
        <w:tc>
          <w:tcPr>
            <w:tcW w:w="1768"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t xml:space="preserve">实验室信息管理系统升级改造</w:t>
            </w:r>
            <w:r/>
          </w:p>
        </w:tc>
        <w:tc>
          <w:tcPr>
            <w:tcW w:w="1411"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cstheme="minorEastAsia"/>
                <w:color w:val="auto"/>
                <w:highlight w:val="none"/>
                <w:lang w:val="en-US" w:eastAsia="zh-CN"/>
              </w:rPr>
              <w:t xml:space="preserve">A08060302支撑软件</w:t>
            </w:r>
            <w:r/>
          </w:p>
        </w:tc>
        <w:tc>
          <w:tcPr>
            <w:tcW w:w="413"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w:t>
            </w:r>
            <w:r/>
          </w:p>
        </w:tc>
        <w:tc>
          <w:tcPr>
            <w:tcW w:w="413"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项</w:t>
            </w:r>
            <w:r/>
          </w:p>
        </w:tc>
      </w:tr>
    </w:tbl>
    <w:p>
      <w:pPr>
        <w:pStyle w:val="729"/>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注：同一供应商可同时参与上述2个采购包的投标，但兼投不兼中（在上一采购包评审中被确定为第一中标候选人的供应商，可继续参与下一采购包的评审，但不再被推荐为下一采购包的中标候选人），开、评定标顺序先采购包1→采购包2。</w:t>
      </w:r>
      <w:r/>
    </w:p>
    <w:p>
      <w:pPr>
        <w:pStyle w:val="729"/>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lang w:val="en-US" w:eastAsia="zh-CN"/>
        </w:rPr>
        <w:t xml:space="preserve">项目</w:t>
      </w:r>
      <w:r>
        <w:rPr>
          <w:rFonts w:hint="eastAsia" w:asciiTheme="minorEastAsia" w:hAnsiTheme="minorEastAsia" w:eastAsiaTheme="minorEastAsia" w:cstheme="minorEastAsia"/>
          <w:color w:val="auto"/>
          <w:highlight w:val="none"/>
          <w:lang w:val="zh-CN" w:eastAsia="zh-CN"/>
        </w:rPr>
        <w:t xml:space="preserve">清单：</w:t>
      </w:r>
      <w:r/>
    </w:p>
    <w:p>
      <w:pPr>
        <w:pStyle w:val="729"/>
        <w:ind w:firstLine="480"/>
        <w:jc w:val="both"/>
        <w:keepLines w:val="0"/>
        <w:keepNext w:val="0"/>
        <w:pageBreakBefore w:val="0"/>
        <w:spacing w:beforeAutospacing="0" w:afterAutospacing="0" w:line="360" w:lineRule="auto"/>
        <w:rPr>
          <w:rFonts w:hint="eastAsia" w:asciiTheme="minorEastAsia" w:hAnsiTheme="minorEastAsia" w:eastAsiaTheme="minorEastAsia" w:cstheme="minorEastAsia"/>
          <w:color w:val="auto"/>
          <w:highlight w:val="none"/>
          <w:lang w:val="zh-CN" w:eastAsia="zh-CN"/>
        </w:rPr>
      </w:pPr>
      <w:r>
        <w:rPr>
          <w:rFonts w:hint="eastAsia" w:ascii="宋体" w:hAnsi="宋体"/>
          <w:color w:val="auto"/>
          <w:sz w:val="24"/>
          <w:highlight w:val="none"/>
          <w:lang w:val="en-US" w:eastAsia="zh-CN"/>
        </w:rPr>
        <w:t xml:space="preserve">本采购项目的</w:t>
      </w:r>
      <w:r>
        <w:rPr>
          <w:rFonts w:hint="eastAsia" w:ascii="宋体" w:hAnsi="宋体"/>
          <w:color w:val="auto"/>
          <w:sz w:val="24"/>
          <w:highlight w:val="none"/>
        </w:rPr>
        <w:t xml:space="preserve">核心产品</w:t>
      </w:r>
      <w:r>
        <w:rPr>
          <w:rFonts w:hint="eastAsia" w:asciiTheme="minorEastAsia" w:hAnsiTheme="minorEastAsia" w:eastAsiaTheme="minorEastAsia" w:cstheme="minorEastAsia"/>
          <w:b w:val="0"/>
          <w:bCs w:val="0"/>
          <w:color w:val="auto"/>
          <w:highlight w:val="none"/>
          <w:lang w:val="en-US" w:eastAsia="zh-CN"/>
        </w:rPr>
        <w:t xml:space="preserve">为：采购包1为</w:t>
      </w:r>
      <w:r>
        <w:rPr>
          <w:rFonts w:hint="eastAsia" w:asciiTheme="minorEastAsia" w:hAnsiTheme="minorEastAsia" w:cstheme="minorEastAsia"/>
          <w:b w:val="0"/>
          <w:bCs w:val="0"/>
          <w:color w:val="auto"/>
          <w:highlight w:val="none"/>
          <w:u w:val="single"/>
          <w:lang w:val="en-US" w:eastAsia="zh-CN"/>
        </w:rPr>
        <w:t xml:space="preserve"> 便携式傅里叶红外分析仪 </w:t>
      </w:r>
      <w:r>
        <w:rPr>
          <w:rFonts w:hint="eastAsia" w:asciiTheme="minorEastAsia" w:hAnsiTheme="minorEastAsia" w:eastAsiaTheme="minorEastAsia" w:cstheme="minorEastAsia"/>
          <w:b w:val="0"/>
          <w:bCs w:val="0"/>
          <w:color w:val="auto"/>
          <w:highlight w:val="none"/>
          <w:lang w:val="en-US" w:eastAsia="zh-CN"/>
        </w:rPr>
        <w:t xml:space="preserve">货物、采购包2为单一产品采购项目</w:t>
      </w:r>
      <w:r>
        <w:rPr>
          <w:rFonts w:hint="eastAsia" w:asciiTheme="minorEastAsia" w:hAnsiTheme="minorEastAsia" w:cstheme="minorEastAsia"/>
          <w:b w:val="0"/>
          <w:bCs w:val="0"/>
          <w:color w:val="auto"/>
          <w:highlight w:val="none"/>
          <w:lang w:val="en-US" w:eastAsia="zh-CN"/>
        </w:rPr>
        <w:t xml:space="preserve">。</w:t>
      </w:r>
      <w:r/>
    </w:p>
    <w:tbl>
      <w:tblPr>
        <w:tblStyle w:val="7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2577"/>
        <w:gridCol w:w="637"/>
        <w:gridCol w:w="637"/>
        <w:gridCol w:w="5468"/>
      </w:tblGrid>
      <w:tr>
        <w:trPr>
          <w:jc w:val="center"/>
          <w:trHeight w:val="567"/>
          <w:tblHeader/>
        </w:trPr>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标的名称</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tcW w:w="2744" w:type="pct"/>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cstheme="minorEastAsia"/>
                <w:i w:val="0"/>
                <w:iCs w:val="0"/>
                <w:color w:val="auto"/>
                <w:sz w:val="24"/>
                <w:szCs w:val="24"/>
                <w:highlight w:val="none"/>
                <w:u w:val="none"/>
                <w:lang w:val="en-US" w:eastAsia="zh-CN" w:bidi="ar"/>
              </w:rPr>
              <w:t xml:space="preserve">用途</w:t>
            </w:r>
            <w:r/>
          </w:p>
        </w:tc>
      </w:tr>
      <w:tr>
        <w:trPr>
          <w:jc w:val="center"/>
          <w:trHeight w:val="567"/>
        </w:trPr>
        <w:tc>
          <w:tcPr>
            <w:gridSpan w:val="5"/>
            <w:shd w:val="clear" w:color="auto" w:fill="auto"/>
            <w:tcW w:w="500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cstheme="minorEastAsia"/>
                <w:b/>
                <w:bCs/>
                <w:i w:val="0"/>
                <w:iCs w:val="0"/>
                <w:color w:val="auto"/>
                <w:sz w:val="24"/>
                <w:szCs w:val="24"/>
                <w:highlight w:val="none"/>
                <w:u w:val="none"/>
                <w:lang w:val="en-US" w:eastAsia="zh-CN" w:bidi="ar"/>
              </w:rPr>
              <w:t xml:space="preserve">采购包1 仪器设备采购</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便携式傅里叶红外分析仪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可现场对CO、CO2、SO2、NO、NO2、HCl、HCN、HF、N2O、NH3等无机气体</w:t>
            </w:r>
            <w:r>
              <w:rPr>
                <w:rFonts w:hint="eastAsia" w:asciiTheme="minorEastAsia" w:hAnsiTheme="minorEastAsia" w:cstheme="minorEastAsia"/>
                <w:i w:val="0"/>
                <w:iCs w:val="0"/>
                <w:color w:val="auto"/>
                <w:sz w:val="24"/>
                <w:szCs w:val="24"/>
                <w:highlight w:val="none"/>
                <w:u w:val="none"/>
                <w:lang w:val="en-US" w:eastAsia="zh-CN" w:bidi="ar"/>
              </w:rPr>
              <w:t xml:space="preserve">和挥发性有机物</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进行定性和半定量监测。</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红外热成像气体检测仪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远距离对环境空气监测，爆炸、火灾现场燃烧产物危险性评估，船只烟囱或通风管道排放监测。</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便携式气相分子吸收光谱仪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用于快速测定水中硫化物、氨氮、硝酸盐氮等。</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便携式测油仪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用于现场快速检测水质中的油类含量。</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氨氮自动分析仪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增强氨氮分析能力</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全自动总磷总氮分析仪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增强总磷总氮分析能力</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便携式颗粒物检测仪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主要用于现场颗粒物的快速监测。</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便携水质自动分析仪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用于现场检测COD、氨氮、氰化物、总磷、六价铬、余氯等常规监测项目检测。</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固相微萃取装置(便携式GC-MS加配)</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主要用于现场定性、定量检测水中挥发性和半挥发性有机组分(VOCs、SVOCs)。</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 便携式电导率仪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用于现场测定水质电导率。</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手持式叶绿素(蓝绿藻)测定仪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用于快速检测水中的叶绿素浓度等。</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细菌快速检测仪</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用于快速检测水中的大肠杆菌浓度。</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深井采样器</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用于地下水或深井采样。</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空气采样器</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tcW w:w="320" w:type="pct"/>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空气采样，用于吸收液或吸附管采样，便于携带。</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I型声级计</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噪声测量，用于测量35dB以下的噪声。</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fldChar w:fldCharType="begin"/>
            </w:r>
            <w:r>
              <w:rPr>
                <w:rFonts w:hint="eastAsia" w:asciiTheme="minorEastAsia" w:hAnsiTheme="minorEastAsia" w:eastAsiaTheme="minorEastAsia" w:cstheme="minorEastAsia"/>
                <w:i w:val="0"/>
                <w:iCs w:val="0"/>
                <w:color w:val="auto"/>
                <w:sz w:val="24"/>
                <w:szCs w:val="24"/>
                <w:highlight w:val="none"/>
                <w:u w:val="none"/>
                <w:lang w:val="en-US" w:eastAsia="zh-CN" w:bidi="ar"/>
              </w:rPr>
              <w:instrText xml:space="preserve"> = 2 \* ROMAN \* MERGEFORMAT </w:instrText>
            </w:r>
            <w:r>
              <w:rPr>
                <w:rFonts w:hint="eastAsia" w:asciiTheme="minorEastAsia" w:hAnsiTheme="minorEastAsia" w:eastAsiaTheme="minorEastAsia" w:cstheme="minorEastAsia"/>
                <w:i w:val="0"/>
                <w:iCs w:val="0"/>
                <w:color w:val="auto"/>
                <w:sz w:val="24"/>
                <w:szCs w:val="24"/>
                <w:highlight w:val="none"/>
                <w:u w:val="none"/>
                <w:lang w:val="en-US" w:eastAsia="zh-CN" w:bidi="ar"/>
              </w:rPr>
              <w:fldChar w:fldCharType="separate"/>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II</w:t>
            </w:r>
            <w:r>
              <w:rPr>
                <w:rFonts w:hint="eastAsia" w:asciiTheme="minorEastAsia" w:hAnsiTheme="minorEastAsia" w:eastAsiaTheme="minorEastAsia" w:cstheme="minorEastAsia"/>
                <w:i w:val="0"/>
                <w:iCs w:val="0"/>
                <w:color w:val="auto"/>
                <w:sz w:val="24"/>
                <w:szCs w:val="24"/>
                <w:highlight w:val="none"/>
                <w:u w:val="none"/>
                <w:lang w:val="en-US" w:eastAsia="zh-CN" w:bidi="ar"/>
              </w:rPr>
              <w:fldChar w:fldCharType="end"/>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型声级计</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噪声测量，用于测量厂界噪声及各类环境噪声。</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声级校准器</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声级计校准。</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气袋采样系统（含采样箱、采样泵等）</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采集有机废气</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土壤样品冷藏储存装置（含冰箱）</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土壤样品保存</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全球定位系统</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tcW w:w="320" w:type="pct"/>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cstheme="minorEastAsia"/>
                <w:i w:val="0"/>
                <w:iCs w:val="0"/>
                <w:color w:val="auto"/>
                <w:sz w:val="24"/>
                <w:szCs w:val="24"/>
                <w:highlight w:val="none"/>
                <w:u w:val="none"/>
                <w:lang w:val="en-US" w:eastAsia="zh-CN" w:bidi="ar"/>
              </w:rPr>
              <w:t xml:space="preserve">用于现场</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定位</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户外供电电源</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tcW w:w="320" w:type="pct"/>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户外供电，满足便携式GC/MS、便携式非甲烷总烃测定仪、烟尘采样器等仪器的现场供电。</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全自动红外测油仪增加测油烟的控制程序   </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实现油烟分析自动化</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水质试纸</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主要用于水质参数的现场定性。</w:t>
            </w:r>
            <w:r/>
          </w:p>
        </w:tc>
      </w:tr>
      <w:tr>
        <w:trPr>
          <w:jc w:val="center"/>
          <w:trHeight w:val="567"/>
        </w:trPr>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w:t>
            </w:r>
            <w:r/>
          </w:p>
        </w:tc>
        <w:tc>
          <w:tcPr>
            <w:shd w:val="clear" w:color="auto" w:fill="auto"/>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水质试剂盒</w:t>
            </w:r>
            <w:r/>
          </w:p>
        </w:tc>
        <w:tc>
          <w:tcPr>
            <w:shd w:val="clear" w:color="auto" w:fill="auto"/>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盒</w:t>
            </w:r>
            <w:r/>
          </w:p>
        </w:tc>
        <w:tc>
          <w:tcPr>
            <w:shd w:val="clear" w:color="auto" w:fill="auto"/>
            <w:tcW w:w="2744" w:type="pct"/>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主要用于水质参数的现场定性和半定量检测 。</w:t>
            </w:r>
            <w:r/>
          </w:p>
        </w:tc>
      </w:tr>
      <w:tr>
        <w:trPr>
          <w:jc w:val="center"/>
          <w:trHeight w:val="567"/>
        </w:trPr>
        <w:tc>
          <w:tcPr>
            <w:gridSpan w:val="5"/>
            <w:tcW w:w="500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采购包2</w:t>
            </w:r>
            <w:r>
              <w:rPr>
                <w:rFonts w:hint="eastAsia" w:asciiTheme="minorEastAsia" w:hAnsiTheme="minorEastAsia" w:cstheme="minorEastAsia"/>
                <w:b/>
                <w:bCs/>
                <w:i w:val="0"/>
                <w:iCs w:val="0"/>
                <w:color w:val="auto"/>
                <w:sz w:val="24"/>
                <w:szCs w:val="24"/>
                <w:highlight w:val="none"/>
                <w:u w:val="none"/>
                <w:lang w:val="en-US" w:eastAsia="zh-CN" w:bidi="ar"/>
              </w:rPr>
              <w:t xml:space="preserve"> </w:t>
            </w: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实验室信息管理系统升级改造</w:t>
            </w:r>
            <w:r/>
          </w:p>
        </w:tc>
      </w:tr>
      <w:tr>
        <w:trPr>
          <w:jc w:val="center"/>
          <w:trHeight w:val="567"/>
        </w:trPr>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129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zh-CN" w:eastAsia="zh-CN" w:bidi="ar"/>
              </w:rPr>
              <w:t xml:space="preserve">实验室信息管理系统升级改造</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W w:w="320"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cstheme="minorEastAsia"/>
                <w:i w:val="0"/>
                <w:iCs w:val="0"/>
                <w:color w:val="auto"/>
                <w:sz w:val="24"/>
                <w:szCs w:val="24"/>
                <w:highlight w:val="none"/>
                <w:u w:val="none"/>
                <w:lang w:val="en-US" w:eastAsia="zh-CN" w:bidi="ar"/>
              </w:rPr>
              <w:t xml:space="preserve">套</w:t>
            </w:r>
            <w:r/>
          </w:p>
        </w:tc>
        <w:tc>
          <w:tcPr>
            <w:tcW w:w="2744"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cstheme="minorEastAsia"/>
                <w:i w:val="0"/>
                <w:iCs w:val="0"/>
                <w:color w:val="auto"/>
                <w:sz w:val="24"/>
                <w:szCs w:val="24"/>
                <w:highlight w:val="none"/>
                <w:u w:val="none"/>
                <w:lang w:val="en-US" w:eastAsia="zh-CN" w:bidi="ar"/>
              </w:rPr>
            </w:r>
            <w:r/>
          </w:p>
        </w:tc>
      </w:tr>
    </w:tbl>
    <w:p>
      <w:pPr>
        <w:pStyle w:val="729"/>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二、项目执行的相关标准：符合国家、省、市相关标准、强制性标准，并通过相关部门审查，通过相关行政主管部门评审。</w:t>
      </w:r>
      <w:r/>
    </w:p>
    <w:p>
      <w:pPr>
        <w:pStyle w:val="729"/>
        <w:jc w:val="both"/>
        <w:keepLines w:val="0"/>
        <w:keepNext w:val="0"/>
        <w:pageBreakBefore w:val="0"/>
        <w:spacing w:beforeAutospacing="0" w:afterAutospacing="0" w:line="360" w:lineRule="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三、技术要求：</w:t>
      </w:r>
      <w:r/>
    </w:p>
    <w:p>
      <w:pPr>
        <w:pStyle w:val="733"/>
        <w:keepLines w:val="0"/>
        <w:keepNext w:val="0"/>
        <w:pageBreakBefore w:val="0"/>
        <w:spacing w:line="360" w:lineRule="auto"/>
        <w:widowControl w:val="off"/>
        <w:rPr>
          <w:rFonts w:hint="eastAsia" w:ascii="宋体" w:hAnsi="宋体" w:eastAsia="宋体" w:cs="宋体"/>
          <w:b/>
          <w:bCs/>
          <w:color w:val="auto"/>
          <w:highlight w:val="none"/>
          <w:lang w:val="en-US" w:eastAsia="zh-CN"/>
        </w:rPr>
      </w:pPr>
      <w:r/>
      <w:bookmarkStart w:id="189" w:name="_Toc105107784"/>
      <w:r>
        <w:rPr>
          <w:rFonts w:hint="eastAsia" w:ascii="宋体" w:hAnsi="宋体" w:eastAsia="宋体" w:cs="宋体"/>
          <w:b/>
          <w:bCs/>
          <w:color w:val="auto"/>
          <w:highlight w:val="none"/>
          <w:lang w:val="en-US" w:eastAsia="zh-CN"/>
        </w:rPr>
        <w:t xml:space="preserve">采购包1：</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▲总体要求：所投仪器设备功能需完全满足项目采购清单中对于用途的描述，数量满足采购清单中数量要求。如有偏离，作无效投标处理。</w:t>
      </w:r>
      <w:r/>
    </w:p>
    <w:p>
      <w:pPr>
        <w:jc w:val="center"/>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分项1：便携式傅里叶红外分析仪（1套）</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▲总体要求：可现场对CO、CO2、SO2、NO、NO2、HCl、HCN、HF、N2O、NH3等无机气体和挥发性有机物进行定性和半定量监测。</w:t>
      </w:r>
      <w:r/>
    </w:p>
    <w:p>
      <w:pPr>
        <w:pStyle w:val="747"/>
        <w:numPr>
          <w:ilvl w:val="0"/>
          <w:numId w:val="0"/>
        </w:numPr>
        <w:ind w:left="0" w:firstLine="482"/>
        <w:jc w:val="left"/>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rPr>
      </w:pPr>
      <w:r>
        <w:rPr>
          <w:rStyle w:val="736"/>
          <w:rFonts w:hint="eastAsia" w:ascii="宋体" w:hAnsi="宋体" w:eastAsia="宋体" w:cs="宋体"/>
          <w:b/>
          <w:bCs/>
          <w:color w:val="auto"/>
          <w:sz w:val="24"/>
          <w:szCs w:val="24"/>
        </w:rPr>
        <w:t xml:space="preserve">一、单套配置要求</w:t>
      </w:r>
      <w:r/>
    </w:p>
    <w:p>
      <w:pPr>
        <w:pStyle w:val="747"/>
        <w:numPr>
          <w:ilvl w:val="0"/>
          <w:numId w:val="0"/>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分析仪主机，1台；</w:t>
      </w:r>
      <w:r/>
    </w:p>
    <w:p>
      <w:pPr>
        <w:pStyle w:val="747"/>
        <w:numPr>
          <w:ilvl w:val="0"/>
          <w:numId w:val="0"/>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烟气采样系统，1套；</w:t>
      </w:r>
      <w:r/>
    </w:p>
    <w:p>
      <w:pPr>
        <w:pStyle w:val="747"/>
        <w:numPr>
          <w:ilvl w:val="0"/>
          <w:numId w:val="0"/>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空气采样系统，1套；</w:t>
      </w:r>
      <w:r/>
    </w:p>
    <w:p>
      <w:pPr>
        <w:pStyle w:val="747"/>
        <w:numPr>
          <w:ilvl w:val="0"/>
          <w:numId w:val="0"/>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可拆卸电池，2块；</w:t>
      </w:r>
      <w:r/>
    </w:p>
    <w:p>
      <w:pPr>
        <w:pStyle w:val="747"/>
        <w:numPr>
          <w:ilvl w:val="0"/>
          <w:numId w:val="0"/>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便携箱，1个；</w:t>
      </w:r>
      <w:r/>
    </w:p>
    <w:p>
      <w:pPr>
        <w:pStyle w:val="747"/>
        <w:numPr>
          <w:ilvl w:val="0"/>
          <w:numId w:val="0"/>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滤芯，2个；</w:t>
      </w:r>
      <w:r/>
    </w:p>
    <w:p>
      <w:pPr>
        <w:pStyle w:val="747"/>
        <w:numPr>
          <w:ilvl w:val="0"/>
          <w:numId w:val="0"/>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中文分析软件，1套；</w:t>
      </w:r>
      <w:r/>
    </w:p>
    <w:p>
      <w:pPr>
        <w:pStyle w:val="747"/>
        <w:numPr>
          <w:ilvl w:val="0"/>
          <w:numId w:val="0"/>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分析仪工作站1台。</w:t>
      </w:r>
      <w:r/>
    </w:p>
    <w:p>
      <w:pPr>
        <w:pStyle w:val="747"/>
        <w:numPr>
          <w:ilvl w:val="0"/>
          <w:numId w:val="0"/>
        </w:numPr>
        <w:ind w:left="0" w:firstLine="482"/>
        <w:jc w:val="left"/>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rPr>
      </w:pPr>
      <w:r>
        <w:rPr>
          <w:rStyle w:val="736"/>
          <w:rFonts w:hint="eastAsia" w:ascii="宋体" w:hAnsi="宋体" w:eastAsia="宋体" w:cs="宋体"/>
          <w:b/>
          <w:bCs/>
          <w:color w:val="auto"/>
          <w:sz w:val="24"/>
          <w:szCs w:val="24"/>
        </w:rPr>
        <w:t xml:space="preserve">二、基本要求</w:t>
      </w:r>
      <w:r/>
    </w:p>
    <w:p>
      <w:pPr>
        <w:pStyle w:val="748"/>
        <w:numPr>
          <w:ilvl w:val="0"/>
          <w:numId w:val="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lang w:val="en-US"/>
        </w:rPr>
        <w:t xml:space="preserve">1.</w:t>
      </w:r>
      <w:r>
        <w:rPr>
          <w:rStyle w:val="736"/>
          <w:rFonts w:hint="eastAsia" w:ascii="宋体" w:hAnsi="宋体" w:eastAsia="宋体" w:cs="宋体"/>
          <w:color w:val="auto"/>
          <w:sz w:val="24"/>
          <w:szCs w:val="24"/>
        </w:rPr>
        <w:t xml:space="preserve">用于空气应急和固定污染源两种应用场景下的无机、有机气体监测，无需制样、直接采样，能在现场进行长时间的监测，无需值守，符合《环境空气 无机有害气体的应急监测便携式傅里叶红外仪法》（HJ920-2017）、《环境空气 挥发性有机物的测定便携式傅里叶红外仪法》（HJ919-2017）和《固定污染源废气 气态污染物（SO2、NO、NO2、CO、CO2）的测定 便携式傅立叶 变换红外光谱法》（HJ1240-2021)、</w:t>
      </w:r>
      <w:r>
        <w:rPr>
          <w:rStyle w:val="736"/>
          <w:rFonts w:hint="eastAsia" w:ascii="宋体" w:hAnsi="宋体" w:eastAsia="宋体" w:cs="宋体"/>
          <w:color w:val="auto"/>
          <w:sz w:val="24"/>
          <w:szCs w:val="24"/>
          <w:highlight w:val="none"/>
        </w:rPr>
        <w:t xml:space="preserve"> 《固定污染源废气 氨和氯化氢的测定 便携式傅立叶变换红外光谱法》（HJ 1330-2023）、</w:t>
      </w:r>
      <w:r>
        <w:rPr>
          <w:rStyle w:val="736"/>
          <w:rFonts w:hint="eastAsia" w:ascii="宋体" w:hAnsi="宋体" w:eastAsia="宋体" w:cs="宋体"/>
          <w:color w:val="auto"/>
          <w:sz w:val="24"/>
          <w:szCs w:val="24"/>
        </w:rPr>
        <w:t xml:space="preserve">《环境空气和废气  挥发性有机物组分便携式傅里叶红外检测技术要求及检测方法》（HJ 1011-2018)的标准要求。</w:t>
      </w:r>
      <w:r/>
    </w:p>
    <w:p>
      <w:pPr>
        <w:pStyle w:val="748"/>
        <w:numPr>
          <w:ilvl w:val="0"/>
          <w:numId w:val="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lang w:val="en-US"/>
        </w:rPr>
        <w:t xml:space="preserve">2.</w:t>
      </w:r>
      <w:r>
        <w:rPr>
          <w:rStyle w:val="736"/>
          <w:rFonts w:hint="eastAsia" w:ascii="宋体" w:hAnsi="宋体" w:eastAsia="宋体" w:cs="宋体"/>
          <w:color w:val="auto"/>
          <w:sz w:val="24"/>
          <w:szCs w:val="24"/>
        </w:rPr>
        <w:t xml:space="preserve">原理：傅里叶变换红外分析原理。</w:t>
      </w:r>
      <w:r/>
    </w:p>
    <w:p>
      <w:pPr>
        <w:pStyle w:val="748"/>
        <w:numPr>
          <w:ilvl w:val="0"/>
          <w:numId w:val="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Style w:val="736"/>
          <w:rFonts w:hint="eastAsia" w:ascii="宋体" w:hAnsi="宋体" w:eastAsia="宋体" w:cs="宋体"/>
          <w:color w:val="auto"/>
          <w:sz w:val="24"/>
          <w:szCs w:val="24"/>
        </w:rPr>
        <w:t xml:space="preserve">供电方式：具备市电和内置电池供电两种方式，采用内置电池供电时，续航不低于4小时。</w:t>
      </w:r>
      <w:r/>
    </w:p>
    <w:p>
      <w:pPr>
        <w:pStyle w:val="748"/>
        <w:numPr>
          <w:ilvl w:val="0"/>
          <w:numId w:val="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rPr>
        <w:t xml:space="preserve">便携式，仪器具有高集成度。主机内内置采样泵、氧气传感器。分析仪主机应不超过</w:t>
      </w:r>
      <w:r>
        <w:rPr>
          <w:rStyle w:val="736"/>
          <w:rFonts w:hint="eastAsia" w:cs="宋体"/>
          <w:color w:val="auto"/>
          <w:sz w:val="24"/>
          <w:szCs w:val="24"/>
          <w:lang w:val="en-US"/>
        </w:rPr>
        <w:t xml:space="preserve">20</w:t>
      </w:r>
      <w:r>
        <w:rPr>
          <w:rStyle w:val="736"/>
          <w:rFonts w:hint="eastAsia" w:ascii="宋体" w:hAnsi="宋体" w:eastAsia="宋体" w:cs="宋体"/>
          <w:color w:val="auto"/>
          <w:sz w:val="24"/>
          <w:szCs w:val="24"/>
        </w:rPr>
        <w:t xml:space="preserve">kg。（提供第三方机构出具的检测报告）</w:t>
      </w:r>
      <w:r/>
    </w:p>
    <w:p>
      <w:pPr>
        <w:pStyle w:val="748"/>
        <w:numPr>
          <w:ilvl w:val="0"/>
          <w:numId w:val="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lang w:val="en-US"/>
        </w:rPr>
        <w:t xml:space="preserve">5.</w:t>
      </w:r>
      <w:r>
        <w:rPr>
          <w:rStyle w:val="736"/>
          <w:rFonts w:hint="eastAsia" w:ascii="宋体" w:hAnsi="宋体" w:eastAsia="宋体" w:cs="宋体"/>
          <w:color w:val="auto"/>
          <w:sz w:val="24"/>
          <w:szCs w:val="24"/>
        </w:rPr>
        <w:t xml:space="preserve">全中文分析软件，</w:t>
      </w:r>
      <w:r>
        <w:rPr>
          <w:rStyle w:val="736"/>
          <w:rFonts w:hint="eastAsia" w:ascii="宋体" w:hAnsi="宋体" w:eastAsia="宋体" w:cs="宋体"/>
          <w:color w:val="auto"/>
          <w:sz w:val="24"/>
          <w:szCs w:val="24"/>
          <w:lang w:eastAsia="zh-CN"/>
        </w:rPr>
        <w:t xml:space="preserve">并</w:t>
      </w:r>
      <w:r>
        <w:rPr>
          <w:rStyle w:val="736"/>
          <w:rFonts w:hint="eastAsia" w:ascii="宋体" w:hAnsi="宋体" w:eastAsia="宋体" w:cs="宋体"/>
          <w:color w:val="auto"/>
          <w:sz w:val="24"/>
          <w:szCs w:val="24"/>
        </w:rPr>
        <w:t xml:space="preserve">提供软件终身升级服务。</w:t>
      </w:r>
      <w:r/>
    </w:p>
    <w:p>
      <w:pPr>
        <w:pStyle w:val="747"/>
        <w:numPr>
          <w:ilvl w:val="0"/>
          <w:numId w:val="0"/>
        </w:numPr>
        <w:ind w:left="0" w:firstLine="482"/>
        <w:jc w:val="left"/>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rPr>
      </w:pPr>
      <w:r>
        <w:rPr>
          <w:rStyle w:val="736"/>
          <w:rFonts w:hint="eastAsia" w:ascii="宋体" w:hAnsi="宋体" w:eastAsia="宋体" w:cs="宋体"/>
          <w:b/>
          <w:bCs/>
          <w:color w:val="auto"/>
          <w:sz w:val="24"/>
          <w:szCs w:val="24"/>
        </w:rPr>
        <w:t xml:space="preserve">三、参数要求</w:t>
      </w:r>
      <w:r/>
    </w:p>
    <w:p>
      <w:pPr>
        <w:pStyle w:val="748"/>
        <w:numPr>
          <w:ilvl w:val="0"/>
          <w:numId w:val="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lang w:val="en-US"/>
        </w:rPr>
        <w:t xml:space="preserve">1.</w:t>
      </w:r>
      <w:r>
        <w:rPr>
          <w:rStyle w:val="736"/>
          <w:rFonts w:hint="eastAsia" w:ascii="宋体" w:hAnsi="宋体" w:eastAsia="宋体" w:cs="宋体"/>
          <w:color w:val="auto"/>
          <w:sz w:val="24"/>
          <w:szCs w:val="24"/>
        </w:rPr>
        <w:t xml:space="preserve">分析仪主机</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采用角镜型干涉仪，结构坚固，抗震性强；</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光谱分辨率：优于8cm</w:t>
      </w:r>
      <w:r>
        <w:rPr>
          <w:rStyle w:val="736"/>
          <w:rFonts w:hint="eastAsia" w:ascii="宋体" w:hAnsi="宋体" w:eastAsia="宋体" w:cs="宋体"/>
          <w:color w:val="auto"/>
          <w:sz w:val="24"/>
          <w:szCs w:val="24"/>
          <w:vertAlign w:val="superscript"/>
        </w:rPr>
        <w:t xml:space="preserve">-1</w:t>
      </w:r>
      <w:r>
        <w:rPr>
          <w:rStyle w:val="736"/>
          <w:rFonts w:hint="eastAsia" w:ascii="宋体" w:hAnsi="宋体" w:eastAsia="宋体" w:cs="宋体"/>
          <w:color w:val="auto"/>
          <w:sz w:val="24"/>
          <w:szCs w:val="24"/>
        </w:rPr>
        <w:t xml:space="preserve">。</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rPr>
        <w:t xml:space="preserve">波数范围：至少满足600~4500cm</w:t>
      </w:r>
      <w:r>
        <w:rPr>
          <w:rStyle w:val="736"/>
          <w:rFonts w:hint="eastAsia" w:ascii="宋体" w:hAnsi="宋体" w:eastAsia="宋体" w:cs="宋体"/>
          <w:color w:val="auto"/>
          <w:sz w:val="24"/>
          <w:szCs w:val="24"/>
          <w:vertAlign w:val="superscript"/>
        </w:rPr>
        <w:t xml:space="preserve">-1</w:t>
      </w:r>
      <w:r>
        <w:rPr>
          <w:rStyle w:val="736"/>
          <w:rFonts w:hint="eastAsia" w:ascii="宋体" w:hAnsi="宋体" w:eastAsia="宋体" w:cs="宋体"/>
          <w:color w:val="auto"/>
          <w:sz w:val="24"/>
          <w:szCs w:val="24"/>
        </w:rPr>
        <w:t xml:space="preserve">；（提供第三方机构出具的检测报告）</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rPr>
        <w:t xml:space="preserve">检测器：TEC（半导体内置制冷器）制冷，激光器的显示温度波动≤0.1℃；</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示值误差≤±5%；</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rPr>
        <w:t xml:space="preserve">重复性：≤±2%；</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响应时间：不大于90s；</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rPr>
        <w:t xml:space="preserve">稳定性≤±2%h；</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零点漂移≤±2%FS/24；</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量程漂移≤±2%FS/24；</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rPr>
        <w:t xml:space="preserve">仪器环境适应性，仪器通过高温测试（至少达到40℃，持续2小时）、低温测试（至少达到5℃，持续2小时）、高温贮存试验（至少达到55℃，持续8小时）、低温贮存实验（至少达到-20℃，持续8小时），在上述条件下仪器的示值误差≤±5%；</w:t>
      </w:r>
      <w:r/>
    </w:p>
    <w:p>
      <w:pPr>
        <w:pStyle w:val="748"/>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注：5）~11）（提供第三方机构出具的检测报告</w:t>
      </w:r>
      <w:r>
        <w:rPr>
          <w:rStyle w:val="736"/>
          <w:rFonts w:hint="eastAsia" w:ascii="宋体" w:hAnsi="宋体" w:eastAsia="宋体" w:cs="宋体"/>
          <w:color w:val="auto"/>
          <w:sz w:val="24"/>
          <w:szCs w:val="24"/>
          <w:lang w:eastAsia="zh-CN"/>
        </w:rPr>
        <w:t xml:space="preserve">，</w:t>
      </w:r>
      <w:r>
        <w:rPr>
          <w:rStyle w:val="736"/>
          <w:rFonts w:hint="eastAsia" w:ascii="宋体" w:hAnsi="宋体" w:eastAsia="宋体" w:cs="宋体"/>
          <w:color w:val="auto"/>
          <w:sz w:val="24"/>
          <w:szCs w:val="24"/>
        </w:rPr>
        <w:t xml:space="preserve">测试因子至少包括SO2、NO、NO2、CO、NH3、HCL、C6H6、C7H8）。</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cs="宋体"/>
          <w:color w:val="auto"/>
          <w:sz w:val="24"/>
          <w:szCs w:val="24"/>
        </w:rPr>
        <w:t xml:space="preserve">分析仪工作站</w:t>
      </w:r>
      <w:r>
        <w:rPr>
          <w:rStyle w:val="736"/>
          <w:rFonts w:hint="eastAsia" w:ascii="宋体" w:hAnsi="宋体" w:eastAsia="宋体" w:cs="宋体"/>
          <w:color w:val="auto"/>
          <w:sz w:val="24"/>
          <w:szCs w:val="24"/>
        </w:rPr>
        <w:t xml:space="preserve">显示内容不少于组分浓度、氧气测试结果、数据结果</w:t>
      </w:r>
      <w:r>
        <w:rPr>
          <w:rStyle w:val="736"/>
          <w:rFonts w:hint="eastAsia" w:cs="宋体"/>
          <w:color w:val="auto"/>
          <w:sz w:val="24"/>
          <w:szCs w:val="24"/>
        </w:rPr>
        <w:t xml:space="preserve">、地理位置</w:t>
      </w:r>
      <w:r>
        <w:rPr>
          <w:rStyle w:val="736"/>
          <w:rFonts w:hint="eastAsia" w:ascii="宋体" w:hAnsi="宋体" w:eastAsia="宋体" w:cs="宋体"/>
          <w:color w:val="auto"/>
          <w:sz w:val="24"/>
          <w:szCs w:val="24"/>
        </w:rPr>
        <w:t xml:space="preserve">等</w:t>
      </w:r>
      <w:r>
        <w:rPr>
          <w:rStyle w:val="736"/>
          <w:rFonts w:hint="eastAsia" w:cs="宋体"/>
          <w:color w:val="auto"/>
          <w:sz w:val="24"/>
          <w:szCs w:val="24"/>
        </w:rPr>
        <w:t xml:space="preserve">，</w:t>
      </w:r>
      <w:r>
        <w:rPr>
          <w:rStyle w:val="736"/>
          <w:rFonts w:hint="eastAsia" w:ascii="宋体" w:hAnsi="宋体" w:eastAsia="宋体" w:cs="宋体"/>
          <w:color w:val="auto"/>
          <w:sz w:val="24"/>
          <w:szCs w:val="24"/>
        </w:rPr>
        <w:t xml:space="preserve">同时可设置并查看气体传输管和气体室的温度信息。</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仪器集成数据采集、分析计算和结果显示功能，同时兼具外接电脑能力。</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通讯模式：蓝牙或WIFI。</w:t>
      </w:r>
      <w:r/>
    </w:p>
    <w:p>
      <w:pPr>
        <w:pStyle w:val="748"/>
        <w:numPr>
          <w:ilvl w:val="0"/>
          <w:numId w:val="9"/>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主机内置地理定位信息模块，</w:t>
      </w:r>
      <w:r>
        <w:rPr>
          <w:rStyle w:val="736"/>
          <w:rFonts w:hint="eastAsia" w:cs="宋体"/>
          <w:color w:val="auto"/>
          <w:sz w:val="24"/>
          <w:szCs w:val="24"/>
        </w:rPr>
        <w:t xml:space="preserve">可设置仅北斗信号，</w:t>
      </w:r>
      <w:r>
        <w:rPr>
          <w:rStyle w:val="736"/>
          <w:rFonts w:hint="eastAsia" w:ascii="宋体" w:hAnsi="宋体" w:eastAsia="宋体" w:cs="宋体"/>
          <w:color w:val="auto"/>
          <w:sz w:val="24"/>
          <w:szCs w:val="24"/>
        </w:rPr>
        <w:t xml:space="preserve">仪器检测出的每一条光谱中均嵌入地理经纬度信息，可以通过测试数据得知监测点位。</w:t>
      </w:r>
      <w:r/>
    </w:p>
    <w:p>
      <w:pPr>
        <w:pStyle w:val="748"/>
        <w:numPr>
          <w:ilvl w:val="0"/>
          <w:numId w:val="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lang w:val="en-US"/>
        </w:rPr>
        <w:t xml:space="preserve">2.</w:t>
      </w:r>
      <w:r>
        <w:rPr>
          <w:rStyle w:val="736"/>
          <w:rFonts w:hint="eastAsia" w:ascii="宋体" w:hAnsi="宋体" w:eastAsia="宋体" w:cs="宋体"/>
          <w:color w:val="auto"/>
          <w:sz w:val="24"/>
          <w:szCs w:val="24"/>
        </w:rPr>
        <w:t xml:space="preserve">气体室</w:t>
      </w:r>
      <w:r/>
    </w:p>
    <w:p>
      <w:pPr>
        <w:pStyle w:val="748"/>
        <w:numPr>
          <w:ilvl w:val="1"/>
          <w:numId w:val="1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rPr>
        <w:t xml:space="preserve">工作温度：可同时设置空气模式（50℃）和烟气模式（180℃）；</w:t>
      </w:r>
      <w:r/>
    </w:p>
    <w:p>
      <w:pPr>
        <w:pStyle w:val="748"/>
        <w:numPr>
          <w:ilvl w:val="1"/>
          <w:numId w:val="1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气体室耐腐蚀，气体室内光学反射镜为贵金属镀层；</w:t>
      </w:r>
      <w:r/>
    </w:p>
    <w:p>
      <w:pPr>
        <w:pStyle w:val="748"/>
        <w:numPr>
          <w:ilvl w:val="1"/>
          <w:numId w:val="1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光程长度：≥9 m 。</w:t>
      </w:r>
      <w:r/>
    </w:p>
    <w:p>
      <w:pPr>
        <w:pStyle w:val="748"/>
        <w:numPr>
          <w:ilvl w:val="1"/>
          <w:numId w:val="1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气体池集成带温控功能的粉尘滤芯进气装置，起到保护气体池的左右；滤芯可拆卸。</w:t>
      </w:r>
      <w:r/>
    </w:p>
    <w:p>
      <w:pPr>
        <w:pStyle w:val="748"/>
        <w:numPr>
          <w:ilvl w:val="0"/>
          <w:numId w:val="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lang w:val="en-US"/>
        </w:rPr>
        <w:t xml:space="preserve">3.</w:t>
      </w:r>
      <w:r>
        <w:rPr>
          <w:rStyle w:val="736"/>
          <w:rFonts w:hint="eastAsia" w:ascii="宋体" w:hAnsi="宋体" w:eastAsia="宋体" w:cs="宋体"/>
          <w:color w:val="auto"/>
          <w:sz w:val="24"/>
          <w:szCs w:val="24"/>
        </w:rPr>
        <w:t xml:space="preserve">烟气采样枪</w:t>
      </w:r>
      <w:r/>
    </w:p>
    <w:p>
      <w:pPr>
        <w:pStyle w:val="748"/>
        <w:numPr>
          <w:ilvl w:val="0"/>
          <w:numId w:val="11"/>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伴热管：采样枪到主机3米长，导管加热恒温180℃；</w:t>
      </w:r>
      <w:r/>
    </w:p>
    <w:p>
      <w:pPr>
        <w:pStyle w:val="748"/>
        <w:numPr>
          <w:ilvl w:val="0"/>
          <w:numId w:val="11"/>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过滤系统，粉尘过滤不大于5µm；</w:t>
      </w:r>
      <w:r/>
    </w:p>
    <w:p>
      <w:pPr>
        <w:pStyle w:val="748"/>
        <w:numPr>
          <w:ilvl w:val="0"/>
          <w:numId w:val="0"/>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lang w:val="en-US"/>
        </w:rPr>
        <w:t xml:space="preserve">4.</w:t>
      </w:r>
      <w:r>
        <w:rPr>
          <w:rStyle w:val="736"/>
          <w:rFonts w:hint="eastAsia" w:ascii="宋体" w:hAnsi="宋体" w:eastAsia="宋体" w:cs="宋体"/>
          <w:color w:val="auto"/>
          <w:sz w:val="24"/>
          <w:szCs w:val="24"/>
        </w:rPr>
        <w:t xml:space="preserve">仪器工作站</w:t>
      </w:r>
      <w:r/>
    </w:p>
    <w:p>
      <w:pPr>
        <w:pStyle w:val="748"/>
        <w:numPr>
          <w:ilvl w:val="0"/>
          <w:numId w:val="12"/>
        </w:numPr>
        <w:ind w:left="0" w:firstLine="480"/>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出厂标定光谱库 </w:t>
      </w:r>
      <w:r/>
    </w:p>
    <w:tbl>
      <w:tblPr>
        <w:tblStyle w:val="7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2131"/>
        <w:gridCol w:w="1734"/>
        <w:gridCol w:w="2469"/>
        <w:gridCol w:w="2129"/>
      </w:tblGrid>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eastAsia="zh-CN"/>
              </w:rPr>
            </w:pPr>
            <w:r>
              <w:rPr>
                <w:rStyle w:val="736"/>
                <w:rFonts w:hint="eastAsia" w:ascii="宋体" w:hAnsi="宋体" w:eastAsia="宋体" w:cs="宋体"/>
                <w:color w:val="auto"/>
                <w:sz w:val="24"/>
                <w:szCs w:val="24"/>
                <w:lang w:eastAsia="zh-CN"/>
              </w:rPr>
              <w:t xml:space="preserve">序号</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中文名称</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化学式</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检出限(mg/m3)</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量程(mg/m3)</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一氧化碳</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CO</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4~ 150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2</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二氧化氮</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NO2</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4 ~ 100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3</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一氧化氮</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NO</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4 ~ 130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4</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二氧化硫</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SO2</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4 ~ 480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5</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二氧化碳</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CO2</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4~ 3000</w:t>
            </w:r>
            <w:r/>
          </w:p>
        </w:tc>
      </w:tr>
      <w:tr>
        <w:trPr>
          <w:jc w:val="center"/>
          <w:trHeight w:val="342"/>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6</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氯化氢</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HCl</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2</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8 ~ 240</w:t>
            </w:r>
            <w:r/>
          </w:p>
        </w:tc>
      </w:tr>
      <w:tr>
        <w:trPr>
          <w:jc w:val="center"/>
          <w:trHeight w:val="90"/>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7</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氰化氢</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HCN</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5~240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8</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氟化氢</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HF</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4~ 45</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9</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一氧化二氮</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N2O</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4 ~ 200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10</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氨气</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NH3</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4 ~ 160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11</w:t>
            </w:r>
            <w:r/>
          </w:p>
        </w:tc>
        <w:tc>
          <w:tcPr>
            <w:shd w:val="clear" w:color="auto" w:fill="auto"/>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甲烷</w:t>
            </w:r>
            <w:r/>
          </w:p>
        </w:tc>
        <w:tc>
          <w:tcPr>
            <w:shd w:val="clear" w:color="auto" w:fill="auto"/>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CH4</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0.25</w:t>
            </w:r>
            <w:r/>
          </w:p>
        </w:tc>
        <w:tc>
          <w:tcPr>
            <w:shd w:val="clear" w:color="auto" w:fill="auto"/>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 ~ 100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12</w:t>
            </w:r>
            <w:r/>
          </w:p>
        </w:tc>
        <w:tc>
          <w:tcPr>
            <w:shd w:val="clear" w:color="auto" w:fill="auto"/>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乙烷</w:t>
            </w:r>
            <w:r/>
          </w:p>
        </w:tc>
        <w:tc>
          <w:tcPr>
            <w:shd w:val="clear" w:color="auto" w:fill="auto"/>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C2H6</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0.3</w:t>
            </w:r>
            <w:r/>
          </w:p>
        </w:tc>
        <w:tc>
          <w:tcPr>
            <w:shd w:val="clear" w:color="auto" w:fill="auto"/>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1.2 ~ 50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13</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丙烷</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C3H8</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0.3</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1.2~ 50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14</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乙烯</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C2H4</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4 ~ 50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15</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丙烯</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C3H6</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0.8</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3.2~ 50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16</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乙炔</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C2H2</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0.3</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1.2 ~ 50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17</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苯</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C6H6</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2</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8~ 50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18</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甲苯</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C7H8</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2</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8~ 50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19</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乙苯</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C8H10</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2</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8~ 100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20</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苯乙烯</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C8H8</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2</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8 ~ 100</w:t>
            </w:r>
            <w:r/>
          </w:p>
        </w:tc>
      </w:tr>
      <w:tr>
        <w:trPr>
          <w:jc w:val="center"/>
          <w:trHeight w:val="57"/>
        </w:trPr>
        <w:tc>
          <w:tcPr>
            <w:tcW w:w="7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21</w:t>
            </w:r>
            <w:r/>
          </w:p>
        </w:tc>
        <w:tc>
          <w:tcPr>
            <w:tcW w:w="107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水</w:t>
            </w:r>
            <w:r/>
          </w:p>
        </w:tc>
        <w:tc>
          <w:tcPr>
            <w:tcW w:w="87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H2O</w:t>
            </w:r>
            <w:r/>
          </w:p>
        </w:tc>
        <w:tc>
          <w:tcPr>
            <w:shd w:val="clear" w:color="auto" w:fill="auto"/>
            <w:tcW w:w="12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0.03%</w:t>
            </w:r>
            <w:r/>
          </w:p>
        </w:tc>
        <w:tc>
          <w:tcPr>
            <w:tcW w:w="10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0.03%~30%</w:t>
            </w:r>
            <w:r/>
          </w:p>
        </w:tc>
      </w:tr>
    </w:tbl>
    <w:p>
      <w:pPr>
        <w:pStyle w:val="747"/>
        <w:numPr>
          <w:ilvl w:val="0"/>
          <w:numId w:val="12"/>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分析软件需同时显示全部标定组分浓度、大气压力、气体室温度、气体室压强测试结果、测量数据的地理位置信息。</w:t>
      </w:r>
      <w:r/>
    </w:p>
    <w:p>
      <w:pPr>
        <w:pStyle w:val="747"/>
        <w:numPr>
          <w:ilvl w:val="0"/>
          <w:numId w:val="12"/>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测量时间可选，可进行无人值守的连续测量。</w:t>
      </w:r>
      <w:r/>
    </w:p>
    <w:p>
      <w:pPr>
        <w:pStyle w:val="747"/>
        <w:numPr>
          <w:ilvl w:val="0"/>
          <w:numId w:val="12"/>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仪器工作站须具有数据库进行文件自动记录与存储、历史数据查询、再处理的功能。</w:t>
      </w:r>
      <w:r/>
    </w:p>
    <w:p>
      <w:pPr>
        <w:pStyle w:val="747"/>
        <w:numPr>
          <w:ilvl w:val="0"/>
          <w:numId w:val="12"/>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rPr>
      </w:pPr>
      <w:r>
        <w:rPr>
          <w:rStyle w:val="736"/>
          <w:rFonts w:hint="eastAsia" w:ascii="宋体" w:hAnsi="宋体" w:eastAsia="宋体" w:cs="宋体"/>
          <w:color w:val="auto"/>
          <w:sz w:val="24"/>
          <w:szCs w:val="24"/>
        </w:rPr>
        <w:t xml:space="preserve">能够进行未知气体的自动查找和判定；</w:t>
      </w:r>
      <w:r/>
    </w:p>
    <w:p>
      <w:pPr>
        <w:pStyle w:val="747"/>
        <w:numPr>
          <w:ilvl w:val="0"/>
          <w:numId w:val="12"/>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eastAsia="zh-CN"/>
        </w:rPr>
      </w:pPr>
      <w:r>
        <w:rPr>
          <w:rStyle w:val="736"/>
          <w:rFonts w:hint="eastAsia" w:ascii="宋体" w:hAnsi="宋体" w:eastAsia="宋体" w:cs="宋体"/>
          <w:color w:val="auto"/>
          <w:sz w:val="24"/>
          <w:szCs w:val="24"/>
        </w:rPr>
        <w:t xml:space="preserve">能进行ppm与mg/m3以及干、湿气体浓度的测量及转换；</w:t>
      </w:r>
      <w:r/>
    </w:p>
    <w:p>
      <w:pPr>
        <w:pStyle w:val="747"/>
        <w:numPr>
          <w:ilvl w:val="0"/>
          <w:numId w:val="12"/>
        </w:num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eastAsia="zh-CN"/>
        </w:rPr>
        <w:sectPr>
          <w:headerReference w:type="default" r:id="rId9"/>
          <w:footerReference w:type="default" r:id="rId11"/>
          <w:footnotePr/>
          <w:endnotePr/>
          <w:type w:val="nextPage"/>
          <w:pgSz w:w="11906" w:h="16838" w:orient="portrait"/>
          <w:pgMar w:top="1440" w:right="1083" w:bottom="1440" w:left="1083" w:header="851" w:footer="992" w:gutter="0"/>
          <w:pgNumType w:start="1"/>
          <w:cols w:num="1" w:sep="0" w:space="0" w:equalWidth="1"/>
          <w:docGrid w:linePitch="360"/>
        </w:sectPr>
      </w:pPr>
      <w:r>
        <w:rPr>
          <w:rStyle w:val="736"/>
          <w:rFonts w:hint="eastAsia" w:ascii="宋体" w:hAnsi="宋体" w:eastAsia="宋体" w:cs="宋体"/>
          <w:color w:val="auto"/>
          <w:sz w:val="24"/>
          <w:szCs w:val="24"/>
        </w:rPr>
        <w:t xml:space="preserve">用户可根据需要远程查看仪器工作状态和测试数据，对仪器数据进行下载制作报表。</w:t>
      </w:r>
      <w:r/>
    </w:p>
    <w:p>
      <w:pPr>
        <w:jc w:val="center"/>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分项2：红外热成像气体检测仪（1套）</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▲总体要求：远距离对环境空气监测，爆炸、火灾现场燃烧产物危险性评估，船只烟囱或通风管道排放监测。</w:t>
      </w:r>
      <w:r/>
    </w:p>
    <w:p>
      <w:pPr>
        <w:pStyle w:val="747"/>
        <w:numPr>
          <w:ilvl w:val="0"/>
          <w:numId w:val="0"/>
        </w:numPr>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一、</w:t>
      </w:r>
      <w:r>
        <w:rPr>
          <w:rFonts w:hint="eastAsia" w:ascii="宋体" w:hAnsi="宋体" w:eastAsia="宋体" w:cs="宋体"/>
          <w:b/>
          <w:bCs/>
          <w:color w:val="auto"/>
          <w:sz w:val="24"/>
          <w:szCs w:val="24"/>
        </w:rPr>
        <w:t xml:space="preserve">单套配置要求</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主机，1台</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专用锂电池，3块</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专用电源适配器和充电底座，1套</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USB数据线和HDMI数据线，1套</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标准SD卡和读卡器，1套</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专用蓝牙耳机，1副</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镜头清洁工具套装，1套</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仪器防护箱，1个</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定量模块，1个</w:t>
      </w:r>
      <w:r/>
    </w:p>
    <w:p>
      <w:pPr>
        <w:pStyle w:val="747"/>
        <w:numPr>
          <w:ilvl w:val="0"/>
          <w:numId w:val="0"/>
        </w:numPr>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二、</w:t>
      </w:r>
      <w:r>
        <w:rPr>
          <w:rFonts w:hint="eastAsia" w:ascii="宋体" w:hAnsi="宋体" w:eastAsia="宋体" w:cs="宋体"/>
          <w:b/>
          <w:bCs/>
          <w:color w:val="auto"/>
          <w:sz w:val="24"/>
          <w:szCs w:val="24"/>
        </w:rPr>
        <w:t xml:space="preserve">基本要求</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针对挥发性有机气体的非接触式检测仪，以图像形式快速发现挥发性有机气体泄漏，并能精准定位泄漏或排放源头。</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探测器类型：制冷型高灵敏度探测器； </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操作方式：具备中文操作界面，用按键或者触摸屏操作；</w:t>
      </w:r>
      <w:r/>
    </w:p>
    <w:p>
      <w:pPr>
        <w:pStyle w:val="747"/>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图像调整：自动/手动调整对比度、亮度；</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录制红外视频和可见光视频时，可以同时录制语音数据；</w:t>
      </w:r>
      <w:r/>
    </w:p>
    <w:p>
      <w:pPr>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语音记录和回放功能：可随图像一同存储不少于60秒语音记录；</w:t>
      </w:r>
      <w:r/>
    </w:p>
    <w:p>
      <w:pPr>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具有可旋转触摸彩色显示屏，可根据测量点位调整屏幕视角，方便观察；</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★激光测距：具有测距功能，可在屏幕上显示距离信息，最大测量距离≥1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00m。（</w:t>
      </w:r>
      <w:r>
        <w:rPr>
          <w:rStyle w:val="736"/>
          <w:rFonts w:hint="eastAsia" w:ascii="宋体" w:hAnsi="宋体" w:eastAsia="宋体" w:cs="宋体"/>
          <w:color w:val="auto"/>
          <w:sz w:val="24"/>
          <w:szCs w:val="24"/>
        </w:rPr>
        <w:t xml:space="preserve">提供第三方机构出具的检测报告</w:t>
      </w:r>
      <w:r>
        <w:rPr>
          <w:rFonts w:hint="eastAsia" w:ascii="宋体" w:hAnsi="宋体" w:eastAsia="宋体" w:cs="宋体"/>
          <w:color w:val="auto"/>
          <w:sz w:val="24"/>
          <w:szCs w:val="24"/>
        </w:rPr>
        <w:t xml:space="preserve">）</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定位：显示屏可以显示实时经纬度信息</w:t>
      </w:r>
      <w:r>
        <w:rPr>
          <w:rFonts w:hint="eastAsia" w:ascii="宋体" w:hAnsi="宋体" w:eastAsia="宋体" w:cs="宋体"/>
          <w:color w:val="auto"/>
          <w:sz w:val="24"/>
          <w:szCs w:val="24"/>
          <w:lang w:eastAsia="zh-CN"/>
        </w:rPr>
        <w:t xml:space="preserve">，可设置仅北斗信号</w:t>
      </w:r>
      <w:r>
        <w:rPr>
          <w:rFonts w:hint="eastAsia" w:ascii="宋体" w:hAnsi="宋体" w:eastAsia="宋体" w:cs="宋体"/>
          <w:color w:val="auto"/>
          <w:sz w:val="24"/>
          <w:szCs w:val="24"/>
        </w:rPr>
        <w:t xml:space="preserve">。</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放大镜功能：可使用放大镜功能对热图像进行局部放大。</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图像冻结功能：具备图像冻结功能。</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通过WIFI连接防爆手操器，可对红外热成像气体泄漏检测仪图像远程传输并可以进行远程控制。</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★防爆要求：设备具备防爆安全性，可在防爆环境中使用操作，也可在有潜在易燃易爆气体的危险性环境中操作且防爆等级不低于 Ex</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ic nC IIC T6 Gc。（</w:t>
      </w:r>
      <w:r>
        <w:rPr>
          <w:rStyle w:val="736"/>
          <w:rFonts w:hint="eastAsia" w:ascii="宋体" w:hAnsi="宋体" w:eastAsia="宋体" w:cs="宋体"/>
          <w:color w:val="auto"/>
          <w:sz w:val="24"/>
          <w:szCs w:val="24"/>
        </w:rPr>
        <w:t xml:space="preserve">提供第三方机构出具的检测报告</w:t>
      </w:r>
      <w:r>
        <w:rPr>
          <w:rFonts w:hint="eastAsia" w:ascii="宋体" w:hAnsi="宋体" w:eastAsia="宋体" w:cs="宋体"/>
          <w:color w:val="auto"/>
          <w:sz w:val="24"/>
          <w:szCs w:val="24"/>
        </w:rPr>
        <w:t xml:space="preserve">）</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电池使用时间：具有电量报警、自动关机或自动息屏功能，单块电池连续使用时间≥4小时；低温环境下（-20℃及以下）电池使用时间≥3小时。</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可检测气体至少包含：甲烷、乙烷、丙烷、丁烷、戊烷、环氧乙烷、溴甲烷、溴乙烷、氯甲烷、1-己烷、乙烯、丙烯、异戊二烯、异丁烯、1,3-丁二烯、苯、甲苯、二甲苯、三甲苯、对二甲苯、乙苯、苯乙烯、1,2-二甲苯、甲醇、乙醇、异丙醇等多种常见的挥发性有机气体。</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★气体分析功能：可通过WIFI连接定量模块（FID+PID），红外热成像气体泄漏检测仪屏幕可以同时显示FID检测器和PID检测器的检测数据在一定时间范围内的最大值。（提供仪器软件界面截图）</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t xml:space="preserve">定量模块技术要求：</w:t>
      </w:r>
      <w:r/>
    </w:p>
    <w:p>
      <w:pPr>
        <w:numPr>
          <w:ilvl w:val="0"/>
          <w:numId w:val="13"/>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检测功能：VOCs排查溯源</w:t>
      </w:r>
      <w:r>
        <w:rPr>
          <w:rFonts w:hint="eastAsia" w:ascii="宋体" w:hAnsi="宋体" w:eastAsia="宋体" w:cs="宋体"/>
          <w:color w:val="auto"/>
          <w:sz w:val="24"/>
          <w:szCs w:val="24"/>
          <w:lang w:eastAsia="zh-Hans"/>
        </w:rPr>
        <w:t xml:space="preserve">和</w:t>
      </w:r>
      <w:r>
        <w:rPr>
          <w:rFonts w:hint="eastAsia" w:ascii="宋体" w:hAnsi="宋体" w:eastAsia="宋体" w:cs="宋体"/>
          <w:color w:val="auto"/>
          <w:sz w:val="24"/>
          <w:szCs w:val="24"/>
        </w:rPr>
        <w:t xml:space="preserve">污染应急现场。</w:t>
      </w:r>
      <w:r/>
    </w:p>
    <w:p>
      <w:pPr>
        <w:numPr>
          <w:ilvl w:val="0"/>
          <w:numId w:val="13"/>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检测原理：FID检测器和PID检测器。</w:t>
      </w:r>
      <w:r/>
    </w:p>
    <w:p>
      <w:pPr>
        <w:numPr>
          <w:ilvl w:val="0"/>
          <w:numId w:val="13"/>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★氢气瓶充氢方式：可使用氢气发生器充气，氢气发生器采用电解水原理，重量不超过</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kg。</w:t>
      </w:r>
      <w:r>
        <w:rPr>
          <w:rFonts w:hint="eastAsia" w:ascii="宋体" w:hAnsi="宋体" w:eastAsia="宋体" w:cs="宋体"/>
          <w:bCs/>
          <w:color w:val="auto"/>
          <w:sz w:val="24"/>
          <w:szCs w:val="24"/>
          <w:lang w:eastAsia="zh-Hans"/>
        </w:rPr>
        <w:t xml:space="preserve">（</w:t>
      </w:r>
      <w:r>
        <w:rPr>
          <w:rStyle w:val="736"/>
          <w:rFonts w:hint="eastAsia" w:ascii="宋体" w:hAnsi="宋体" w:eastAsia="宋体" w:cs="宋体"/>
          <w:color w:val="auto"/>
          <w:sz w:val="24"/>
          <w:szCs w:val="24"/>
        </w:rPr>
        <w:t xml:space="preserve">提供第三方机构出具的检测报告</w:t>
      </w:r>
      <w:r>
        <w:rPr>
          <w:rFonts w:hint="eastAsia" w:ascii="宋体" w:hAnsi="宋体" w:eastAsia="宋体" w:cs="宋体"/>
          <w:bCs/>
          <w:color w:val="auto"/>
          <w:sz w:val="24"/>
          <w:szCs w:val="24"/>
          <w:lang w:eastAsia="zh-Hans"/>
        </w:rPr>
        <w:t xml:space="preserve">）</w:t>
      </w:r>
      <w:r/>
    </w:p>
    <w:p>
      <w:pPr>
        <w:numPr>
          <w:ilvl w:val="0"/>
          <w:numId w:val="13"/>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lang w:eastAsia="zh-Hans"/>
        </w:rPr>
        <w:t xml:space="preserve">氢气气源：储氢合金作为氢气气源，连续工作时间≥6小时，容纳氢气体积不少于10L；（</w:t>
      </w:r>
      <w:r>
        <w:rPr>
          <w:rStyle w:val="736"/>
          <w:rFonts w:hint="eastAsia" w:ascii="宋体" w:hAnsi="宋体" w:eastAsia="宋体" w:cs="宋体"/>
          <w:color w:val="auto"/>
          <w:sz w:val="24"/>
          <w:szCs w:val="24"/>
        </w:rPr>
        <w:t xml:space="preserve">提供第三方机构出具的检测报告</w:t>
      </w:r>
      <w:r>
        <w:rPr>
          <w:rFonts w:hint="eastAsia" w:ascii="宋体" w:hAnsi="宋体" w:eastAsia="宋体" w:cs="宋体"/>
          <w:bCs/>
          <w:color w:val="auto"/>
          <w:sz w:val="24"/>
          <w:szCs w:val="24"/>
          <w:lang w:eastAsia="zh-Hans"/>
        </w:rPr>
        <w:t xml:space="preserve">）</w:t>
      </w:r>
      <w:r/>
    </w:p>
    <w:p>
      <w:pPr>
        <w:pStyle w:val="749"/>
        <w:numPr>
          <w:ilvl w:val="0"/>
          <w:numId w:val="13"/>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★防爆要求：分析仪在有潜在易燃易爆气体的危险性环境中操作，应具有防爆安全性，整机防爆等级至少达到Ex db ia IIC T4 Gb。（</w:t>
      </w:r>
      <w:r>
        <w:rPr>
          <w:rStyle w:val="736"/>
          <w:rFonts w:hint="eastAsia" w:ascii="宋体" w:hAnsi="宋体" w:eastAsia="宋体" w:cs="宋体"/>
          <w:color w:val="auto"/>
          <w:sz w:val="24"/>
          <w:szCs w:val="24"/>
        </w:rPr>
        <w:t xml:space="preserve">提供第三方机构出具的检测报告</w:t>
      </w:r>
      <w:r>
        <w:rPr>
          <w:rFonts w:hint="eastAsia" w:ascii="宋体" w:hAnsi="宋体" w:eastAsia="宋体" w:cs="宋体"/>
          <w:color w:val="auto"/>
          <w:sz w:val="24"/>
          <w:szCs w:val="24"/>
        </w:rPr>
        <w:t xml:space="preserve">）</w:t>
      </w:r>
      <w:r/>
    </w:p>
    <w:p>
      <w:pPr>
        <w:numPr>
          <w:ilvl w:val="0"/>
          <w:numId w:val="13"/>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充电方式：仪器具备直接充电和座充两种充电方式，可采用电源适配器连接主机充电口直接充电，或将电池拆卸采用座充独立充电，座充可同时为两块电池充电；</w:t>
      </w:r>
      <w:r/>
    </w:p>
    <w:p>
      <w:pPr>
        <w:numPr>
          <w:ilvl w:val="0"/>
          <w:numId w:val="13"/>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安全要求：为保障产品的安全性，定量模块应具有功能安全认证；</w:t>
      </w:r>
      <w:r/>
    </w:p>
    <w:p>
      <w:pPr>
        <w:numPr>
          <w:ilvl w:val="0"/>
          <w:numId w:val="13"/>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量程范围：FID：0~50000μmol/mol，PID：0.5~2000μmol/mol</w:t>
      </w:r>
      <w:r/>
    </w:p>
    <w:p>
      <w:pPr>
        <w:numPr>
          <w:ilvl w:val="0"/>
          <w:numId w:val="13"/>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检出限：FID：≤0.5μmol/mol ，PID：≤0.5μmol/mol</w:t>
      </w:r>
      <w:r/>
    </w:p>
    <w:p>
      <w:pPr>
        <w:numPr>
          <w:ilvl w:val="0"/>
          <w:numId w:val="13"/>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重复性：FID：≤2%，PID：≤2%</w:t>
      </w:r>
      <w:r/>
    </w:p>
    <w:p>
      <w:pPr>
        <w:pStyle w:val="747"/>
        <w:numPr>
          <w:ilvl w:val="0"/>
          <w:numId w:val="0"/>
        </w:numPr>
        <w:ind w:lef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三、</w:t>
      </w:r>
      <w:r>
        <w:rPr>
          <w:rFonts w:hint="eastAsia" w:ascii="宋体" w:hAnsi="宋体" w:eastAsia="宋体" w:cs="宋体"/>
          <w:b/>
          <w:bCs/>
          <w:color w:val="auto"/>
          <w:sz w:val="24"/>
          <w:szCs w:val="24"/>
        </w:rPr>
        <w:t xml:space="preserve">参数要求</w:t>
      </w:r>
      <w:r/>
    </w:p>
    <w:tbl>
      <w:tblPr>
        <w:tblStyle w:val="7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837"/>
        <w:gridCol w:w="6229"/>
      </w:tblGrid>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42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W w:w="312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指标要求</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工作温度</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-20℃～+50℃</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存储温度</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-40℃～+60℃</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测温范围</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-40℃～+500℃</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工作波段</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ja-JP"/>
              </w:rPr>
            </w:pPr>
            <w:r>
              <w:rPr>
                <w:rFonts w:hint="eastAsia" w:ascii="宋体" w:hAnsi="宋体" w:eastAsia="宋体" w:cs="宋体"/>
                <w:color w:val="auto"/>
                <w:sz w:val="24"/>
                <w:szCs w:val="24"/>
              </w:rPr>
              <w:t xml:space="preserve">3.2~3.5μm</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分辨率</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≥320×256</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热灵敏度</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≤10mk@25℃</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制冷器运行噪声</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≤35dB</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显示屏</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≥5英寸</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摸液晶显示屏，分辨率≥1920×1080</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启动时间</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 min</w:t>
            </w:r>
            <w:r/>
          </w:p>
        </w:tc>
      </w:tr>
      <w:tr>
        <w:trPr>
          <w:jc w:val="center"/>
          <w:trHeight w:val="407"/>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目镜分辨率</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≥1920×1080（可旋转）</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可见光摄像头像素</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≥500万（CMOS，带补光灯）</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手柄可旋转角度</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≥150度</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显示模式</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可使用用户自定义的调色板伪彩显示热图，具有不少于10种伪彩色调色板，可以手动/自动调节色标，具备色标反向功能。</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变倍</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1~8倍连续数字变倍</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视频存储</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SD卡≥64G</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重量</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kg（含标配镜头和电池）</w:t>
            </w:r>
            <w:r/>
          </w:p>
        </w:tc>
      </w:tr>
      <w:tr>
        <w:trPr>
          <w:jc w:val="center"/>
          <w:trHeight w:val="395"/>
        </w:trPr>
        <w:tc>
          <w:tcPr>
            <w:tcW w:w="44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W w:w="1425"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仪器防护箱</w:t>
            </w:r>
            <w:r/>
          </w:p>
        </w:tc>
        <w:tc>
          <w:tcPr>
            <w:tcW w:w="3127"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拉杆式防护箱，防护等级不低于IP6</w:t>
            </w:r>
            <w:r>
              <w:rPr>
                <w:rFonts w:hint="eastAsia" w:ascii="宋体" w:hAnsi="宋体" w:eastAsia="宋体" w:cs="宋体"/>
                <w:color w:val="auto"/>
                <w:sz w:val="24"/>
                <w:szCs w:val="24"/>
                <w:lang w:val="en-US" w:eastAsia="zh-CN"/>
              </w:rPr>
              <w:t xml:space="preserve">5</w:t>
            </w:r>
            <w:r/>
          </w:p>
        </w:tc>
      </w:tr>
      <w:tr>
        <w:trPr>
          <w:jc w:val="center"/>
          <w:trHeight w:val="395"/>
        </w:trPr>
        <w:tc>
          <w:tcPr>
            <w:gridSpan w:val="3"/>
            <w:tcW w:w="5000"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注：此表格中的</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参数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均需</w:t>
            </w:r>
            <w:r>
              <w:rPr>
                <w:rStyle w:val="736"/>
                <w:rFonts w:hint="eastAsia" w:ascii="宋体" w:hAnsi="宋体" w:eastAsia="宋体" w:cs="宋体"/>
                <w:color w:val="auto"/>
                <w:sz w:val="24"/>
                <w:szCs w:val="24"/>
              </w:rPr>
              <w:t xml:space="preserve">提供第三方机构出具的检测报告</w:t>
            </w:r>
            <w:r>
              <w:rPr>
                <w:rFonts w:hint="eastAsia" w:ascii="宋体" w:hAnsi="宋体" w:eastAsia="宋体" w:cs="宋体"/>
                <w:color w:val="auto"/>
                <w:sz w:val="24"/>
                <w:szCs w:val="24"/>
              </w:rPr>
              <w:t xml:space="preserve">。</w:t>
            </w:r>
            <w:r/>
          </w:p>
        </w:tc>
      </w:tr>
    </w:tbl>
    <w:p>
      <w:pPr>
        <w:ind w:left="0" w:firstLine="482"/>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highlight w:val="none"/>
          <w:u w:val="none"/>
          <w:lang w:val="en-US" w:eastAsia="zh-CN" w:bidi="ar"/>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
          <w:bCs/>
          <w:i w:val="0"/>
          <w:iCs w:val="0"/>
          <w:color w:val="auto"/>
          <w:sz w:val="24"/>
          <w:szCs w:val="24"/>
          <w:highlight w:val="none"/>
          <w:u w:val="none"/>
          <w:lang w:val="en-US" w:eastAsia="zh-CN" w:bidi="ar"/>
        </w:rPr>
      </w:r>
      <w:r/>
    </w:p>
    <w:p>
      <w:pPr>
        <w:jc w:val="center"/>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分项3：</w:t>
      </w:r>
      <w:r>
        <w:rPr>
          <w:rFonts w:hint="eastAsia" w:ascii="宋体" w:hAnsi="宋体" w:eastAsia="宋体" w:cs="宋体"/>
          <w:b/>
          <w:bCs/>
          <w:i w:val="0"/>
          <w:iCs w:val="0"/>
          <w:color w:val="auto"/>
          <w:sz w:val="24"/>
          <w:szCs w:val="24"/>
          <w:highlight w:val="none"/>
          <w:u w:val="none"/>
          <w:lang w:val="en-US" w:eastAsia="zh-CN" w:bidi="ar"/>
        </w:rPr>
        <w:t xml:space="preserve">便携式气相分子吸收光谱仪（1套）</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▲总体要求：主要用于测定水中氨氮、硫化物、硝酸盐氮、亚硝酸盐氮、总氮。</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一、</w:t>
      </w:r>
      <w:r>
        <w:rPr>
          <w:rFonts w:hint="eastAsia" w:ascii="宋体" w:hAnsi="宋体" w:eastAsia="宋体" w:cs="宋体"/>
          <w:b/>
          <w:bCs/>
          <w:color w:val="auto"/>
          <w:sz w:val="24"/>
          <w:szCs w:val="24"/>
        </w:rPr>
        <w:t xml:space="preserve">系统配置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设备名称：便携式气相分子吸收光谱仪</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工作条件：野外使用可便携式移动电源，实验室内使用时支持AC 220V；</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技术特点：一体便携式设计，必须在一个主机内集成仪器正常工作需要全部功能；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一体式的主机必须包含如下结构：进样及反应控制系统、气液分离系统、加热系统、光源光学及检测系统、自动稀释系统、总氮紫外在线消解模块。 </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二、</w:t>
      </w:r>
      <w:r>
        <w:rPr>
          <w:rFonts w:hint="eastAsia" w:ascii="宋体" w:hAnsi="宋体" w:eastAsia="宋体" w:cs="宋体"/>
          <w:b/>
          <w:bCs/>
          <w:color w:val="auto"/>
          <w:sz w:val="24"/>
          <w:szCs w:val="24"/>
        </w:rPr>
        <w:t xml:space="preserve">光源光学及检测系统</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满足HJ/T 195～HJ/T 200-2005六项气相分子吸收光谱法标准对光学系统测定稳定性要求； </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检测器：配备多波长同时测定的高灵敏度CCD检测器</w:t>
      </w:r>
      <w:r>
        <w:rPr>
          <w:rFonts w:hint="eastAsia" w:ascii="宋体" w:hAnsi="宋体" w:eastAsia="宋体" w:cs="宋体"/>
          <w:color w:val="auto"/>
          <w:sz w:val="24"/>
          <w:szCs w:val="24"/>
          <w:lang w:eastAsia="zh-CN"/>
        </w:rPr>
        <w:t xml:space="preserve">；</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三、</w:t>
      </w:r>
      <w:r>
        <w:rPr>
          <w:rFonts w:hint="eastAsia" w:ascii="宋体" w:hAnsi="宋体" w:eastAsia="宋体" w:cs="宋体"/>
          <w:b/>
          <w:bCs/>
          <w:color w:val="auto"/>
          <w:sz w:val="24"/>
          <w:szCs w:val="24"/>
        </w:rPr>
        <w:t xml:space="preserve">进样及反应控制系统</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 TCS温度控制系统:&lt;0.5℃,加热器预热时间少于5分钟, 降低环境温度和样品温度变化带来的影响；</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配备氨氮快速氧化装置：氨氮快速氧化装置的加热方式为将氨氮样品溶液预加热到温度60℃～70℃，不加热次溴酸盐氧化剂；在预热后氨氮样品溶液中迅速加入次溴酸盐氧化剂，氧化剂在加入瞬间将溶液中的氨氮氧化为亚硝酸盐氮</w:t>
      </w:r>
      <w:r>
        <w:rPr>
          <w:rFonts w:hint="eastAsia" w:ascii="宋体" w:hAnsi="宋体" w:eastAsia="宋体" w:cs="宋体"/>
          <w:color w:val="auto"/>
          <w:sz w:val="24"/>
          <w:szCs w:val="24"/>
          <w:lang w:eastAsia="zh-CN"/>
        </w:rPr>
        <w:t xml:space="preserve">。</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四、</w:t>
      </w:r>
      <w:r>
        <w:rPr>
          <w:rFonts w:hint="eastAsia" w:ascii="宋体" w:hAnsi="宋体" w:eastAsia="宋体" w:cs="宋体"/>
          <w:b/>
          <w:bCs/>
          <w:color w:val="auto"/>
          <w:sz w:val="24"/>
          <w:szCs w:val="24"/>
        </w:rPr>
        <w:t xml:space="preserve">载气及控制</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载气：内置气源自供载气，同时支持使用外供载气（空气或氮气均可）；</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EPC载气电子压力控制系统：EPC系统对载气流量自动补偿修正，增强仪器稳定性能、响应时间&lt;1S；</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配备电子压力报警系统：仪器自动监控载气流量及压力，当载气压力及流量达不到正常测试需求时，自动蜂鸣报警并自动关闭进样及加热系统，同时锁定软件并自动保存已测定数据；</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五、</w:t>
      </w:r>
      <w:r>
        <w:rPr>
          <w:rFonts w:hint="eastAsia" w:ascii="宋体" w:hAnsi="宋体" w:eastAsia="宋体" w:cs="宋体"/>
          <w:b/>
          <w:bCs/>
          <w:color w:val="auto"/>
          <w:sz w:val="24"/>
          <w:szCs w:val="24"/>
        </w:rPr>
        <w:t xml:space="preserve">气液分离系统</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气液分离采用长管路连续多次萃取方式，以确保待测成份能从液相中充分分离；</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配备除水系统，不使用任何干燥剂，有效去除分离后气体中带出的水份；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内置自动稀释系统：</w:t>
      </w:r>
      <w:r>
        <w:rPr>
          <w:rFonts w:hint="eastAsia" w:ascii="宋体" w:hAnsi="宋体" w:eastAsia="宋体" w:cs="宋体"/>
          <w:color w:val="auto"/>
          <w:sz w:val="24"/>
          <w:szCs w:val="24"/>
        </w:rPr>
        <w:t xml:space="preserve">自动在线稀释功能：可对高浓度样品自动选择合适的稀释倍数，可自动配置稀释比达到40倍数的标准曲线，相关性系数&gt;0.9995，最大稀释倍数不小于40，稀释准确度：0~20倍时，稀释误差小于3%；20倍以上稀释误差小于5%；</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六、</w:t>
      </w:r>
      <w:r>
        <w:rPr>
          <w:rFonts w:hint="eastAsia" w:ascii="宋体" w:hAnsi="宋体" w:eastAsia="宋体" w:cs="宋体"/>
          <w:b/>
          <w:bCs/>
          <w:color w:val="auto"/>
          <w:sz w:val="24"/>
          <w:szCs w:val="24"/>
        </w:rPr>
        <w:t xml:space="preserve">便携性要求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主机标配带轮便携箱（带拉杆，带轮），便于携带、野外使用，主机总重不超过</w:t>
      </w:r>
      <w:r>
        <w:rPr>
          <w:rFonts w:hint="eastAsia" w:ascii="宋体" w:hAnsi="宋体" w:eastAsia="宋体" w:cs="宋体"/>
          <w:color w:val="auto"/>
          <w:sz w:val="24"/>
          <w:szCs w:val="24"/>
          <w:lang w:val="en-US" w:eastAsia="zh-CN"/>
        </w:rPr>
        <w:t xml:space="preserve">40</w:t>
      </w:r>
      <w:r>
        <w:rPr>
          <w:rFonts w:hint="eastAsia" w:ascii="宋体" w:hAnsi="宋体" w:eastAsia="宋体" w:cs="宋体"/>
          <w:color w:val="auto"/>
          <w:sz w:val="24"/>
          <w:szCs w:val="24"/>
        </w:rPr>
        <w:t xml:space="preserve">kg，方便野外移动使用</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主机软件系统具有自检功能: 测定前仪器自动检测通讯口、波长等。软件具有反控功能，由软件直接设置仪器测试波长，泵进样参数等测试条件</w:t>
      </w:r>
      <w:r>
        <w:rPr>
          <w:rFonts w:hint="eastAsia" w:ascii="宋体" w:hAnsi="宋体" w:eastAsia="宋体" w:cs="宋体"/>
          <w:color w:val="auto"/>
          <w:sz w:val="24"/>
          <w:szCs w:val="24"/>
          <w:lang w:eastAsia="zh-CN"/>
        </w:rPr>
        <w:t xml:space="preserve">。</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七、</w:t>
      </w:r>
      <w:r>
        <w:rPr>
          <w:rFonts w:hint="eastAsia" w:ascii="宋体" w:hAnsi="宋体" w:eastAsia="宋体" w:cs="宋体"/>
          <w:b/>
          <w:bCs/>
          <w:color w:val="auto"/>
          <w:sz w:val="24"/>
          <w:szCs w:val="24"/>
        </w:rPr>
        <w:t xml:space="preserve">测试指标</w:t>
      </w:r>
      <w:r/>
    </w:p>
    <w:p>
      <w:pPr>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氨氮项目：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精密度要求（连续测定6次）：0.1mg/L，RSD&lt; 3％；0.2mg/L，RSD&lt; 2％；0.5mg/L，RSD&lt; 1％。</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线性要求：根据设定自动配置标准曲线浓度，相关性系数r≥0.9995；</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检出限要求：除去亚硝酸盐时的检出限≤0.02mg/L；</w:t>
      </w:r>
      <w:r/>
    </w:p>
    <w:p>
      <w:pPr>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硫化物项目：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精密度要求（连续测定6次）：0.1mg/L，RSD&lt; 5％；0.2mg/L，RSD&lt; 3％；0.5mg/L，RSD&lt; 2％。</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线性要求：根据设定自动配置标准曲线浓度，相关性系数r≥0.9995；</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检出限要求：≤0.005mg/L；</w:t>
      </w:r>
      <w:r/>
    </w:p>
    <w:p>
      <w:pPr>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硝酸盐氮项目：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精密度要求（连续测定6次）：0.2mg/L，RSD&lt; 5％；0.5mg/L，RSD&lt; 3％；1.0mg/L，RSD&lt; 2％。</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线性要求：根据设定自动配置标准曲线浓度，相关性系数r≥0.9995；</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检出限要求：≤0.006mg/L；</w:t>
      </w:r>
      <w:r/>
    </w:p>
    <w:p>
      <w:pPr>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亚硝酸盐氮项目：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精密度要求（连续测定6次）：0.2mg/L，RSD&lt;5％；0.5mg/L，RSD&lt;3％；1.0mg/L，RSD&lt;2％；</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线性要求：根据设定自动配置标准曲线浓度，相关性系数r≥0.9995；</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检出限要求：≤0.003mg/L；</w:t>
      </w:r>
      <w:r/>
    </w:p>
    <w:p>
      <w:pPr>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总氮项目：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精密度要求（连续测定6次）：0.2mg/L，RSD&lt;5％；0.5mg/L，RSD&lt;3％；1.0mg/L，RSD&lt;2％；</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线性要求：根据设定自动配置标准曲线浓度，相关性系数r≥0.9995；</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检出限要求：≤0.03mg/L；</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八、</w:t>
      </w:r>
      <w:r>
        <w:rPr>
          <w:rFonts w:hint="eastAsia" w:ascii="宋体" w:hAnsi="宋体" w:eastAsia="宋体" w:cs="宋体"/>
          <w:b/>
          <w:bCs/>
          <w:color w:val="auto"/>
          <w:sz w:val="24"/>
          <w:szCs w:val="24"/>
        </w:rPr>
        <w:t xml:space="preserve">配置要求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主机1套：光源光学及检测系统、自动除水系统、在线加热系统、TCS温度控制系统、EPC电子压力控制系统、在线稀释系统、氨氮在线氧化系统、总氮消解系统；</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主机便携箱（带轮）1套；</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附件箱（含移动电源，试剂盒） 1套；</w:t>
      </w:r>
      <w:r/>
    </w:p>
    <w:p>
      <w:pPr>
        <w:ind w:left="0" w:firstLine="480"/>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壹年耗材配件，含进样软管，尾气吸收装置</w:t>
      </w:r>
      <w:r>
        <w:rPr>
          <w:rFonts w:hint="eastAsia" w:ascii="宋体" w:hAnsi="宋体" w:eastAsia="宋体" w:cs="宋体"/>
          <w:color w:val="auto"/>
          <w:sz w:val="24"/>
          <w:szCs w:val="24"/>
          <w:lang w:eastAsia="zh-CN"/>
        </w:rPr>
        <w:t xml:space="preserve">。</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u w:val="none"/>
          <w:lang w:val="en-US" w:eastAsia="zh-CN" w:bidi="ar"/>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
          <w:bCs/>
          <w:i w:val="0"/>
          <w:iCs w:val="0"/>
          <w:color w:val="auto"/>
          <w:sz w:val="24"/>
          <w:szCs w:val="24"/>
          <w:u w:val="none"/>
          <w:lang w:val="en-US" w:eastAsia="zh-CN" w:bidi="ar"/>
        </w:rPr>
      </w:r>
      <w:r/>
    </w:p>
    <w:p>
      <w:pPr>
        <w:jc w:val="center"/>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分项4：便携式测油仪（1套）</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▲总体要求：用于现场快速检测水质中的油类含量，可用于应急测定工业废水、生活污水中石油类和动植物油类。</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lang w:eastAsia="zh-CN"/>
        </w:rPr>
        <w:t xml:space="preserve">一</w:t>
      </w:r>
      <w:r>
        <w:rPr>
          <w:rFonts w:hint="eastAsia" w:ascii="宋体" w:hAnsi="宋体" w:eastAsia="宋体" w:cs="宋体"/>
          <w:b/>
          <w:bCs/>
          <w:color w:val="auto"/>
          <w:sz w:val="24"/>
          <w:szCs w:val="24"/>
        </w:rPr>
        <w:t xml:space="preserve">、技术</w:t>
      </w:r>
      <w:r>
        <w:rPr>
          <w:rFonts w:hint="eastAsia" w:ascii="宋体" w:hAnsi="宋体" w:eastAsia="宋体" w:cs="宋体"/>
          <w:b/>
          <w:bCs/>
          <w:color w:val="auto"/>
          <w:sz w:val="24"/>
          <w:szCs w:val="24"/>
          <w:lang w:eastAsia="zh-CN"/>
        </w:rPr>
        <w:t xml:space="preserve">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符合标准方法“HJ637-2018水质石油类和动植物油的测定 红外分光光度法”。</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可独立使用：仪器包含前处理单元、测试单元，内置触控终端，也可外接电脑工作。（</w:t>
      </w:r>
      <w:r>
        <w:rPr>
          <w:rFonts w:hint="eastAsia" w:ascii="宋体" w:hAnsi="宋体" w:eastAsia="宋体" w:cs="宋体"/>
          <w:color w:val="auto"/>
          <w:sz w:val="24"/>
          <w:szCs w:val="24"/>
          <w:lang w:val="en-US" w:eastAsia="zh-CN"/>
        </w:rPr>
        <w:t xml:space="preserve">需提供产品介绍及</w:t>
      </w:r>
      <w:r>
        <w:rPr>
          <w:rFonts w:hint="eastAsia" w:ascii="宋体" w:hAnsi="宋体" w:eastAsia="宋体" w:cs="宋体"/>
          <w:color w:val="auto"/>
          <w:sz w:val="24"/>
          <w:szCs w:val="24"/>
        </w:rPr>
        <w:t xml:space="preserve">仪器照片等证明材料）</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自动化程度：工作时从水样的定容、萃取、分离、吸附到进样、分析、检测、清洗、排废等全流程实现自动化</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萃取方式：采用旋转搅拌萃取技术，萃取效率更高。</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硅酸镁吸附柱：每个样品更换一次新硅酸镁吸附柱，避免样品间交叉污染。</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需提供产品介绍及仪器照片等证明材料）</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油水分离：油水分离膜代替无水硫酸钠去除微量水份，膜直径大于35mm，杜绝堵漏出现。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需提供产品介绍及仪器照片等证明材料）</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检测体积：可自动检测水样体积，测量误差≤3ml（单个标准量水样）。</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稳定性高：光学系统设计稳定性好、抗震性能高，可以在监测车行驶状态下工作。</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标定方式：可支持标准曲线校正、单点校正，确保检测精度。</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实时打印检测结果：仪器安装有嵌入式打印机，测量数据可实时打印查看。</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专用配件耗材箱：贴心设计的防水防震塑料箱设有专用收纳位，可容纳萃取剂、防护用品，检测所需容器及试剂耗材合理安放，检测时开盖与主机连接即可使用。</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三防设计：设备内部采用防水、防震、防尘设计，以确保设备能在各种条件下能正常稳定的进行使用。</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样品瓶：集采样、萃取、测量一体，样品不转移。</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供电方式：内置锂电池可持续工作8h；可连接汽车电源、便携电源、市电电源，测量时间不受限制。</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自动提醒：样品测量并清洗完成，软件提示用户当前操作已完成，让操作更方便。</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无线上传功能：室外完成数据测量后，可以连接无线网络，进行数据的上传备份。</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rPr>
        <w:t xml:space="preserve">三、</w:t>
      </w:r>
      <w:r>
        <w:rPr>
          <w:rFonts w:hint="eastAsia" w:ascii="宋体" w:hAnsi="宋体" w:eastAsia="宋体" w:cs="宋体"/>
          <w:b/>
          <w:bCs/>
          <w:color w:val="auto"/>
          <w:sz w:val="24"/>
          <w:szCs w:val="24"/>
          <w:lang w:eastAsia="zh-CN"/>
        </w:rPr>
        <w:t xml:space="preserve">指标要求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仪器检出限：DL≤0.02mg/L(测量11次空白计算3倍标准偏差)。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定性方式：红外谱图扫描。</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校准系数：在同一套校正系数下验收20mg/L苯、20mg/L异辛烷、100mg正十六烷误差范围不超过8%。</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重复性：RSD≤0.6%(20-100mg/L油标样测定11次)。</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准确度：误差≤±1%。</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测量时间：≤10min（单个样品）。</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体积量取：仪器自动测量水样体积，误差</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2%。</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体积读取：仪器自动读取（超声波测量方式）或人工输入。</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控制机构：自带嵌入式触屏电脑，也可外接电脑。</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内置锂电池：24V/20AH，前处理部分可连续工作36h，主机部分可连续测量12h</w:t>
      </w:r>
      <w:r>
        <w:rPr>
          <w:rFonts w:hint="eastAsia" w:ascii="宋体" w:hAnsi="宋体" w:eastAsia="宋体" w:cs="宋体"/>
          <w:color w:val="auto"/>
          <w:sz w:val="24"/>
          <w:szCs w:val="24"/>
          <w:lang w:eastAsia="zh-CN"/>
        </w:rPr>
        <w:t xml:space="preserve">。</w:t>
      </w:r>
      <w:r/>
    </w:p>
    <w:p>
      <w:pPr>
        <w:pStyle w:val="721"/>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
          <w:bCs/>
          <w:color w:val="auto"/>
          <w:spacing w:val="-1"/>
          <w:sz w:val="24"/>
          <w:szCs w:val="24"/>
          <w:lang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i w:val="0"/>
          <w:iCs w:val="0"/>
          <w:color w:val="auto"/>
          <w:sz w:val="24"/>
          <w:szCs w:val="24"/>
          <w:u w:val="none"/>
          <w:lang w:val="en-US" w:eastAsia="zh-CN" w:bidi="ar"/>
        </w:rPr>
        <w:t xml:space="preserve">分项5：</w:t>
      </w:r>
      <w:r>
        <w:rPr>
          <w:rFonts w:hint="eastAsia" w:ascii="宋体" w:hAnsi="宋体" w:eastAsia="宋体" w:cs="宋体"/>
          <w:b/>
          <w:bCs/>
          <w:color w:val="auto"/>
          <w:spacing w:val="-1"/>
          <w:sz w:val="24"/>
          <w:szCs w:val="24"/>
        </w:rPr>
        <w:t xml:space="preserve">氨氮自动分析仪</w:t>
      </w:r>
      <w:r>
        <w:rPr>
          <w:rFonts w:hint="eastAsia" w:ascii="宋体" w:hAnsi="宋体" w:eastAsia="宋体" w:cs="宋体"/>
          <w:b/>
          <w:bCs/>
          <w:color w:val="auto"/>
          <w:spacing w:val="-1"/>
          <w:sz w:val="24"/>
          <w:szCs w:val="24"/>
          <w:lang w:eastAsia="zh-CN"/>
        </w:rPr>
        <w:t xml:space="preserve">（</w:t>
      </w:r>
      <w:r>
        <w:rPr>
          <w:rFonts w:hint="eastAsia" w:ascii="宋体" w:hAnsi="宋体" w:eastAsia="宋体" w:cs="宋体"/>
          <w:b/>
          <w:bCs/>
          <w:color w:val="auto"/>
          <w:spacing w:val="-1"/>
          <w:sz w:val="24"/>
          <w:szCs w:val="24"/>
          <w:lang w:val="en-US" w:eastAsia="zh-CN"/>
        </w:rPr>
        <w:t xml:space="preserve">1套</w:t>
      </w:r>
      <w:r>
        <w:rPr>
          <w:rFonts w:hint="eastAsia" w:ascii="宋体" w:hAnsi="宋体" w:eastAsia="宋体" w:cs="宋体"/>
          <w:b/>
          <w:bCs/>
          <w:color w:val="auto"/>
          <w:spacing w:val="-1"/>
          <w:sz w:val="24"/>
          <w:szCs w:val="24"/>
          <w:lang w:eastAsia="zh-CN"/>
        </w:rPr>
        <w:t xml:space="preserve">）</w:t>
      </w:r>
      <w:r/>
    </w:p>
    <w:p>
      <w:pPr>
        <w:ind w:left="0" w:firstLine="482"/>
        <w:jc w:val="left"/>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lang w:val="en-US" w:eastAsia="zh-CN"/>
        </w:rPr>
      </w:pPr>
      <w:r>
        <w:rPr>
          <w:rStyle w:val="736"/>
          <w:rFonts w:hint="eastAsia" w:ascii="宋体" w:hAnsi="宋体" w:eastAsia="宋体" w:cs="宋体"/>
          <w:b/>
          <w:bCs/>
          <w:color w:val="auto"/>
          <w:sz w:val="24"/>
          <w:szCs w:val="24"/>
          <w:lang w:val="en-US" w:eastAsia="zh-CN"/>
        </w:rPr>
        <w:t xml:space="preserve">一、设备要求：</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适用于地表水、生活污水、工业废水、地下水中氨氮项目的自动定量取样进样、自动加试剂、自动清洗测定分析，全过程无人操作干预运行。</w:t>
      </w:r>
      <w:r/>
    </w:p>
    <w:p>
      <w:pPr>
        <w:ind w:left="0" w:firstLine="482"/>
        <w:jc w:val="left"/>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lang w:val="en-US" w:eastAsia="zh-CN"/>
        </w:rPr>
      </w:pPr>
      <w:r>
        <w:rPr>
          <w:rStyle w:val="736"/>
          <w:rFonts w:hint="eastAsia" w:ascii="宋体" w:hAnsi="宋体" w:eastAsia="宋体" w:cs="宋体"/>
          <w:b/>
          <w:bCs/>
          <w:color w:val="auto"/>
          <w:sz w:val="24"/>
          <w:szCs w:val="24"/>
          <w:lang w:val="en-US" w:eastAsia="zh-CN"/>
        </w:rPr>
        <w:t xml:space="preserve">二、技术要求：</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▲1.测量方法：要求符合标准方法《HJ535-2009 水质 氨氮的测定 纳氏试剂分光光度法》，实现整个分析过程蒸馏、显色、分析、数据处理及试剂添加和各环节容器清洗的全自动化运行，无需人员干预值守。</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lang w:val="en-US" w:eastAsia="zh-CN" w:bidi="ar-SA"/>
        </w:rPr>
        <w:t xml:space="preserve">2.要求全自动蒸馏系统具备多通道循环蒸馏、所需蒸馏试剂自动定量添加、烧瓶容器自动清洗、馏出液自动定量收集并转移等功能</w:t>
      </w:r>
      <w:r>
        <w:rPr>
          <w:rStyle w:val="736"/>
          <w:rFonts w:hint="eastAsia" w:ascii="宋体" w:hAnsi="宋体" w:eastAsia="宋体" w:cs="宋体"/>
          <w:b/>
          <w:bCs/>
          <w:color w:val="auto"/>
          <w:sz w:val="24"/>
          <w:szCs w:val="24"/>
          <w:lang w:val="en-US" w:eastAsia="zh-CN" w:bidi="ar-SA"/>
        </w:rPr>
        <w:t xml:space="preserve">（提供实物彩色照片证明）</w:t>
      </w:r>
      <w:r>
        <w:rPr>
          <w:rStyle w:val="736"/>
          <w:rFonts w:hint="eastAsia" w:ascii="宋体" w:hAnsi="宋体" w:eastAsia="宋体" w:cs="宋体"/>
          <w:color w:val="auto"/>
          <w:sz w:val="24"/>
          <w:szCs w:val="24"/>
          <w:lang w:val="en-US" w:eastAsia="zh-CN" w:bidi="ar-SA"/>
        </w:rPr>
        <w:t xml:space="preserve">。</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3.要求具备蒸馏样品自动混匀功能，混匀速度可调，确保样品充分反应和馏出液匀速流出。</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4.要求自动绘制标准曲线，标准母液自动比例稀释，且线性系数&gt;0.999。</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5.独立的光度计检测器，满足2套密闭比色皿同时安置。</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6.要求各分析环节过程自动清洗，进样针、蒸馏容器、接收容器和比色皿等全自动清洗。</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7.要求自动进样器不少于40位样品通道，要求原水待测样品自动定量取样分析</w:t>
      </w:r>
      <w:r>
        <w:rPr>
          <w:rStyle w:val="736"/>
          <w:rFonts w:hint="eastAsia" w:ascii="宋体" w:hAnsi="宋体" w:eastAsia="宋体" w:cs="宋体"/>
          <w:b/>
          <w:bCs/>
          <w:color w:val="auto"/>
          <w:sz w:val="24"/>
          <w:szCs w:val="24"/>
          <w:lang w:val="en-US" w:eastAsia="zh-CN" w:bidi="ar-SA"/>
        </w:rPr>
        <w:t xml:space="preserve">（提供40位样品通道实物彩色照片证明）</w:t>
      </w:r>
      <w:r>
        <w:rPr>
          <w:rStyle w:val="736"/>
          <w:rFonts w:hint="eastAsia" w:ascii="宋体" w:hAnsi="宋体" w:eastAsia="宋体" w:cs="宋体"/>
          <w:color w:val="auto"/>
          <w:sz w:val="24"/>
          <w:szCs w:val="24"/>
          <w:lang w:val="en-US" w:eastAsia="zh-CN" w:bidi="ar-SA"/>
        </w:rPr>
        <w:t xml:space="preserve">。</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8.电脑联机操控，减少主机镶嵌触控屏幕的干扰模式，自由编辑序列和样品类型。</w:t>
      </w:r>
      <w:r/>
    </w:p>
    <w:p>
      <w:pPr>
        <w:ind w:left="0" w:firstLine="482"/>
        <w:jc w:val="left"/>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lang w:val="en-US" w:eastAsia="zh-CN"/>
        </w:rPr>
      </w:pPr>
      <w:r>
        <w:rPr>
          <w:rStyle w:val="736"/>
          <w:rFonts w:hint="eastAsia" w:ascii="宋体" w:hAnsi="宋体" w:eastAsia="宋体" w:cs="宋体"/>
          <w:b/>
          <w:bCs/>
          <w:color w:val="auto"/>
          <w:sz w:val="24"/>
          <w:szCs w:val="24"/>
          <w:lang w:val="en-US" w:eastAsia="zh-CN"/>
        </w:rPr>
        <w:t xml:space="preserve">三、指标要求：</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1.标准选择：纳氏试剂分光光度法，满足复杂样品全自动蒸馏预处理分析</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lang w:val="en-US" w:eastAsia="zh-CN" w:bidi="ar-SA"/>
        </w:rPr>
        <w:t xml:space="preserve">2.蒸馏模式：自动定量进样蒸馏、自动加注蒸馏所需试剂、烧瓶等容器自动清洗，不接受外接普通蒸馏仪联机操作</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lang w:val="en-US" w:eastAsia="zh-CN" w:bidi="ar-SA"/>
        </w:rPr>
        <w:t xml:space="preserve">3.自动进样器：不少于40通道，≥200mL定量注射泵取样</w:t>
      </w:r>
      <w:r>
        <w:rPr>
          <w:rStyle w:val="736"/>
          <w:rFonts w:hint="eastAsia" w:ascii="宋体" w:hAnsi="宋体" w:eastAsia="宋体" w:cs="宋体"/>
          <w:b/>
          <w:bCs/>
          <w:color w:val="auto"/>
          <w:sz w:val="24"/>
          <w:szCs w:val="24"/>
          <w:lang w:val="en-US" w:eastAsia="zh-CN" w:bidi="ar-SA"/>
        </w:rPr>
        <w:t xml:space="preserve">（提供投标产品实物图证明）</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4.试剂加液：全过程所有试剂自动加液，高精度定量注射泵加液</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lang w:val="en-US" w:eastAsia="zh-CN" w:bidi="ar-SA"/>
        </w:rPr>
        <w:t xml:space="preserve">5.防暴沸：蒸馏烧瓶内可调转速转子防暴沸</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6.检出限：≤0.025mg/L</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7.测量范围：（0.025-2.0）mg/L</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pPr>
      <w:r>
        <w:rPr>
          <w:rStyle w:val="736"/>
          <w:rFonts w:hint="eastAsia" w:ascii="宋体" w:hAnsi="宋体" w:eastAsia="宋体" w:cs="宋体"/>
          <w:color w:val="auto"/>
          <w:sz w:val="24"/>
          <w:szCs w:val="24"/>
          <w:lang w:val="en-US" w:eastAsia="zh-CN" w:bidi="ar-SA"/>
        </w:rPr>
        <w:t xml:space="preserve">8.线性系数：r&gt;0.999自动配标（不少于8个配标浓度点）</w:t>
      </w:r>
      <w:r>
        <w:rPr>
          <w:rStyle w:val="736"/>
          <w:rFonts w:hint="eastAsia" w:ascii="宋体" w:hAnsi="宋体" w:eastAsia="宋体" w:cs="宋体"/>
          <w:b/>
          <w:bCs/>
          <w:color w:val="auto"/>
          <w:sz w:val="24"/>
          <w:szCs w:val="24"/>
          <w:lang w:val="en-US" w:eastAsia="zh-CN"/>
        </w:rPr>
        <w:t xml:space="preserve">（提供软件操作实物图证明）</w:t>
      </w:r>
      <w:r/>
    </w:p>
    <w:p>
      <w:pPr>
        <w:ind w:left="0" w:firstLine="482"/>
        <w:jc w:val="left"/>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lang w:val="en-US" w:eastAsia="zh-CN"/>
        </w:rPr>
      </w:pPr>
      <w:r>
        <w:rPr>
          <w:rStyle w:val="736"/>
          <w:rFonts w:hint="eastAsia" w:ascii="宋体" w:hAnsi="宋体" w:eastAsia="宋体" w:cs="宋体"/>
          <w:b/>
          <w:bCs/>
          <w:color w:val="auto"/>
          <w:sz w:val="24"/>
          <w:szCs w:val="24"/>
          <w:lang w:val="en-US" w:eastAsia="zh-CN"/>
        </w:rPr>
        <w:t xml:space="preserve">四、配置要求：</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bidi="ar-SA"/>
        </w:rPr>
        <w:sectPr>
          <w:footnotePr/>
          <w:endnotePr/>
          <w:type w:val="nextPage"/>
          <w:pgSz w:w="11906" w:h="16838" w:orient="portrait"/>
          <w:pgMar w:top="1440" w:right="1083" w:bottom="1440" w:left="1083" w:header="851" w:footer="992" w:gutter="0"/>
          <w:cols w:num="1" w:sep="0" w:space="0" w:equalWidth="1"/>
          <w:docGrid w:linePitch="360"/>
        </w:sectPr>
      </w:pPr>
      <w:r>
        <w:rPr>
          <w:rStyle w:val="736"/>
          <w:rFonts w:hint="eastAsia" w:ascii="宋体" w:hAnsi="宋体" w:eastAsia="宋体" w:cs="宋体"/>
          <w:color w:val="auto"/>
          <w:sz w:val="24"/>
          <w:szCs w:val="24"/>
          <w:lang w:val="en-US" w:eastAsia="zh-CN" w:bidi="ar-SA"/>
        </w:rPr>
        <w:t xml:space="preserve">氨氮主机1套、电脑及打印机1套、样品盘1套、试剂瓶5个、蒸馏系统1套、定量注射泵4套、40位自动进样器1套、循环水冷阱1套、数据工作站软件1套、可调比色池光度计1套、废液收集1套、随机附件1套。</w:t>
      </w:r>
      <w:r/>
    </w:p>
    <w:p>
      <w:pPr>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bidi="ar"/>
        </w:rPr>
      </w:pPr>
      <w:r>
        <w:rPr>
          <w:rFonts w:hint="eastAsia" w:ascii="宋体" w:hAnsi="宋体" w:eastAsia="宋体" w:cs="宋体"/>
          <w:b/>
          <w:bCs/>
          <w:i w:val="0"/>
          <w:iCs w:val="0"/>
          <w:color w:val="auto"/>
          <w:sz w:val="24"/>
          <w:szCs w:val="24"/>
          <w:u w:val="none"/>
          <w:lang w:val="en-US" w:eastAsia="zh-CN" w:bidi="ar"/>
        </w:rPr>
        <w:t xml:space="preserve">分项6：</w:t>
      </w:r>
      <w:r>
        <w:rPr>
          <w:rFonts w:hint="eastAsia" w:ascii="宋体" w:hAnsi="宋体" w:eastAsia="宋体" w:cs="宋体"/>
          <w:b/>
          <w:bCs/>
          <w:color w:val="auto"/>
          <w:spacing w:val="-1"/>
          <w:sz w:val="24"/>
          <w:szCs w:val="24"/>
        </w:rPr>
        <w:t xml:space="preserve">全自动总磷总氮分析仪</w:t>
      </w:r>
      <w:r>
        <w:rPr>
          <w:rFonts w:hint="eastAsia" w:ascii="宋体" w:hAnsi="宋体" w:eastAsia="宋体" w:cs="宋体"/>
          <w:b/>
          <w:bCs/>
          <w:color w:val="auto"/>
          <w:spacing w:val="-1"/>
          <w:sz w:val="24"/>
          <w:szCs w:val="24"/>
          <w:lang w:eastAsia="zh-CN"/>
        </w:rPr>
        <w:t xml:space="preserve">（</w:t>
      </w:r>
      <w:r>
        <w:rPr>
          <w:rFonts w:hint="eastAsia" w:ascii="宋体" w:hAnsi="宋体" w:eastAsia="宋体" w:cs="宋体"/>
          <w:b/>
          <w:bCs/>
          <w:color w:val="auto"/>
          <w:spacing w:val="-1"/>
          <w:sz w:val="24"/>
          <w:szCs w:val="24"/>
          <w:lang w:val="en-US" w:eastAsia="zh-CN"/>
        </w:rPr>
        <w:t xml:space="preserve">1套</w:t>
      </w:r>
      <w:r>
        <w:rPr>
          <w:rFonts w:hint="eastAsia" w:ascii="宋体" w:hAnsi="宋体" w:eastAsia="宋体" w:cs="宋体"/>
          <w:b/>
          <w:bCs/>
          <w:color w:val="auto"/>
          <w:spacing w:val="-1"/>
          <w:sz w:val="24"/>
          <w:szCs w:val="24"/>
          <w:lang w:eastAsia="zh-CN"/>
        </w:rPr>
        <w:t xml:space="preserve">）</w:t>
      </w:r>
      <w:r/>
    </w:p>
    <w:p>
      <w:pPr>
        <w:pStyle w:val="750"/>
        <w:ind w:left="0" w:firstLine="482"/>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lang w:val="en-US" w:eastAsia="zh-CN"/>
        </w:rPr>
      </w:pPr>
      <w:r>
        <w:rPr>
          <w:rStyle w:val="736"/>
          <w:rFonts w:hint="eastAsia" w:ascii="宋体" w:hAnsi="宋体" w:eastAsia="宋体" w:cs="宋体"/>
          <w:b/>
          <w:bCs/>
          <w:color w:val="auto"/>
          <w:sz w:val="24"/>
          <w:szCs w:val="24"/>
          <w:lang w:val="en-US" w:eastAsia="zh-CN"/>
        </w:rPr>
        <w:t xml:space="preserve">一、设备要求：</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适用于水质总磷、总氮等项目的全自动消解测定分析。</w:t>
      </w:r>
      <w:r/>
    </w:p>
    <w:p>
      <w:pPr>
        <w:pStyle w:val="750"/>
        <w:ind w:left="0" w:firstLine="482"/>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lang w:val="en-US" w:eastAsia="zh-CN"/>
        </w:rPr>
      </w:pPr>
      <w:r>
        <w:rPr>
          <w:rStyle w:val="736"/>
          <w:rFonts w:hint="eastAsia" w:ascii="宋体" w:hAnsi="宋体" w:eastAsia="宋体" w:cs="宋体"/>
          <w:b/>
          <w:bCs/>
          <w:color w:val="auto"/>
          <w:sz w:val="24"/>
          <w:szCs w:val="24"/>
          <w:lang w:val="en-US" w:eastAsia="zh-CN"/>
        </w:rPr>
        <w:t xml:space="preserve">二、技术要求：</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▲1.要求符合国标GB/T 11893-1989《钼酸铵分光光度法》和HJ 636-2012《碱性过硫酸钾消解紫外分光光度法》，实现总磷、总氮的全自动消解测定，实现密闭消解、分析、数据处理等全过程。</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lang w:val="en-US" w:eastAsia="zh-CN"/>
        </w:rPr>
        <w:t xml:space="preserve">2.具备恒温循环水冷却，冷凝温度10-25度自由设定，水箱容量不小于10L</w:t>
      </w:r>
      <w:r>
        <w:rPr>
          <w:rStyle w:val="736"/>
          <w:rFonts w:hint="eastAsia" w:ascii="宋体" w:hAnsi="宋体" w:eastAsia="宋体" w:cs="宋体"/>
          <w:b/>
          <w:bCs/>
          <w:color w:val="auto"/>
          <w:sz w:val="24"/>
          <w:szCs w:val="24"/>
          <w:lang w:val="en-US" w:eastAsia="zh-CN"/>
        </w:rPr>
        <w:t xml:space="preserve">（提供带温度控制的循环水实物图证明）</w:t>
      </w:r>
      <w:r>
        <w:rPr>
          <w:rStyle w:val="736"/>
          <w:rFonts w:hint="eastAsia" w:ascii="宋体" w:hAnsi="宋体" w:eastAsia="宋体" w:cs="宋体"/>
          <w:color w:val="auto"/>
          <w:sz w:val="24"/>
          <w:szCs w:val="24"/>
          <w:lang w:val="en-US" w:eastAsia="zh-CN"/>
        </w:rPr>
        <w:t xml:space="preserve">。</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3.要求高压容器自动控制，120℃控温，具备电子数显压力传感器、全自动开关盖消解。</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4.独立的光度计检测器，便于计量校准，自动紫外-可见波段全光谱检测，自动比色分析数据汇总。</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5.运行安全防护，具有高低水位自动识别传感器，超水和缺水自动报警，并自动停机</w:t>
      </w:r>
      <w:r>
        <w:rPr>
          <w:rStyle w:val="736"/>
          <w:rFonts w:hint="eastAsia" w:ascii="宋体" w:hAnsi="宋体" w:eastAsia="宋体" w:cs="宋体"/>
          <w:b/>
          <w:bCs/>
          <w:color w:val="auto"/>
          <w:sz w:val="24"/>
          <w:szCs w:val="24"/>
          <w:lang w:val="en-US" w:eastAsia="zh-CN"/>
        </w:rPr>
        <w:t xml:space="preserve">（提供实物照片）</w:t>
      </w:r>
      <w:r>
        <w:rPr>
          <w:rStyle w:val="736"/>
          <w:rFonts w:hint="eastAsia" w:ascii="宋体" w:hAnsi="宋体" w:eastAsia="宋体" w:cs="宋体"/>
          <w:color w:val="auto"/>
          <w:sz w:val="24"/>
          <w:szCs w:val="24"/>
          <w:lang w:val="en-US" w:eastAsia="zh-CN"/>
        </w:rPr>
        <w:t xml:space="preserve">。</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lang w:val="en-US" w:eastAsia="zh-CN"/>
        </w:rPr>
        <w:t xml:space="preserve">6.多通道独立定量试剂系统，至少配套2套独立的试剂定量注射泵，减少试剂间的交叉污染，保证试剂注入精度</w:t>
      </w:r>
      <w:r>
        <w:rPr>
          <w:rStyle w:val="736"/>
          <w:rFonts w:hint="eastAsia" w:ascii="宋体" w:hAnsi="宋体" w:eastAsia="宋体" w:cs="宋体"/>
          <w:b/>
          <w:bCs/>
          <w:color w:val="auto"/>
          <w:sz w:val="24"/>
          <w:szCs w:val="24"/>
          <w:lang w:val="en-US" w:eastAsia="zh-CN"/>
        </w:rPr>
        <w:t xml:space="preserve">（提供2套独立注射泵实物照片证明）</w:t>
      </w:r>
      <w:r>
        <w:rPr>
          <w:rStyle w:val="736"/>
          <w:rFonts w:hint="eastAsia" w:ascii="宋体" w:hAnsi="宋体" w:eastAsia="宋体" w:cs="宋体"/>
          <w:color w:val="auto"/>
          <w:sz w:val="24"/>
          <w:szCs w:val="24"/>
          <w:lang w:val="en-US" w:eastAsia="zh-CN"/>
        </w:rPr>
        <w:t xml:space="preserve">。</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lang w:val="en-US" w:eastAsia="zh-CN"/>
        </w:rPr>
        <w:t xml:space="preserve">7.要求具备消解后样品自动排空废液，自动清洗消解管</w:t>
      </w:r>
      <w:r>
        <w:rPr>
          <w:rStyle w:val="736"/>
          <w:rFonts w:hint="eastAsia" w:ascii="宋体" w:hAnsi="宋体" w:eastAsia="宋体" w:cs="宋体"/>
          <w:b/>
          <w:bCs/>
          <w:color w:val="auto"/>
          <w:sz w:val="24"/>
          <w:szCs w:val="24"/>
          <w:lang w:val="en-US" w:eastAsia="zh-CN"/>
        </w:rPr>
        <w:t xml:space="preserve">（提供实物照片）</w:t>
      </w:r>
      <w:r>
        <w:rPr>
          <w:rStyle w:val="736"/>
          <w:rFonts w:hint="eastAsia" w:ascii="宋体" w:hAnsi="宋体" w:eastAsia="宋体" w:cs="宋体"/>
          <w:color w:val="auto"/>
          <w:sz w:val="24"/>
          <w:szCs w:val="24"/>
          <w:lang w:val="en-US" w:eastAsia="zh-CN"/>
        </w:rPr>
        <w:t xml:space="preserve">。</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lang w:val="en-US" w:eastAsia="zh-CN"/>
        </w:rPr>
        <w:t xml:space="preserve">8.要求不少于50位样品通道同时消解，样品托架可灵活取放，配套独立的密封盖密封</w:t>
      </w:r>
      <w:r>
        <w:rPr>
          <w:rStyle w:val="736"/>
          <w:rFonts w:hint="eastAsia" w:ascii="宋体" w:hAnsi="宋体" w:eastAsia="宋体" w:cs="宋体"/>
          <w:b/>
          <w:bCs/>
          <w:color w:val="auto"/>
          <w:sz w:val="24"/>
          <w:szCs w:val="24"/>
          <w:lang w:val="en-US" w:eastAsia="zh-CN"/>
        </w:rPr>
        <w:t xml:space="preserve">（提供实物照片）</w:t>
      </w:r>
      <w:r>
        <w:rPr>
          <w:rStyle w:val="736"/>
          <w:rFonts w:hint="eastAsia" w:ascii="宋体" w:hAnsi="宋体" w:eastAsia="宋体" w:cs="宋体"/>
          <w:color w:val="auto"/>
          <w:sz w:val="24"/>
          <w:szCs w:val="24"/>
          <w:lang w:val="en-US" w:eastAsia="zh-CN"/>
        </w:rPr>
        <w:t xml:space="preserve">。</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9.具整机结构具有防护门，减少蒸气外溢影响实验环境。</w:t>
      </w:r>
      <w:r/>
    </w:p>
    <w:p>
      <w:pPr>
        <w:pStyle w:val="750"/>
        <w:ind w:left="0" w:firstLine="482"/>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lang w:val="en-US" w:eastAsia="zh-CN"/>
        </w:rPr>
      </w:pPr>
      <w:r>
        <w:rPr>
          <w:rStyle w:val="736"/>
          <w:rFonts w:hint="eastAsia" w:ascii="宋体" w:hAnsi="宋体" w:eastAsia="宋体" w:cs="宋体"/>
          <w:b/>
          <w:bCs/>
          <w:color w:val="auto"/>
          <w:sz w:val="24"/>
          <w:szCs w:val="24"/>
          <w:lang w:val="en-US" w:eastAsia="zh-CN"/>
        </w:rPr>
        <w:t xml:space="preserve">三、指标要求：</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1.标准选择：钼酸铵分光光度法、碱性过硫酸钾消解紫外分光光度法</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2.运行模式：两个项目同时进行，具有3组独立的安全泄压监控</w:t>
      </w:r>
      <w:r>
        <w:rPr>
          <w:rStyle w:val="736"/>
          <w:rFonts w:hint="eastAsia" w:ascii="宋体" w:hAnsi="宋体" w:eastAsia="宋体" w:cs="宋体"/>
          <w:b/>
          <w:bCs/>
          <w:color w:val="auto"/>
          <w:sz w:val="24"/>
          <w:szCs w:val="24"/>
          <w:lang w:val="en-US" w:eastAsia="zh-CN"/>
        </w:rPr>
        <w:t xml:space="preserve">（提供实物照片证明）</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3.高压消解容量：满足不少于50位样品同时消解，配套电子压力显示传感器</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lang w:val="en-US" w:eastAsia="zh-CN"/>
        </w:rPr>
        <w:t xml:space="preserve">4.样品分析：高浓度样品自动稀释定容，空白自动定量取样</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Style w:val="736"/>
          <w:rFonts w:hint="eastAsia" w:ascii="宋体" w:hAnsi="宋体" w:eastAsia="宋体" w:cs="宋体"/>
          <w:color w:val="auto"/>
          <w:sz w:val="24"/>
          <w:szCs w:val="24"/>
          <w:lang w:val="en-US" w:eastAsia="zh-CN"/>
        </w:rPr>
        <w:t xml:space="preserve">5.样品瓶密封：独立瓶盖密封，减少开放式样品瓶消解逃逸，具备弹性密封</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6.检出限：≤0.01mg/L（总磷）、≤0.05mg/L（总氮）</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7.测量范围：(0.01-0.6)mg/L（总磷）(0.05-7)mg/L（总氮）</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8.重复性：5%</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lang w:val="en-US" w:eastAsia="zh-CN"/>
        </w:rPr>
      </w:pPr>
      <w:r>
        <w:rPr>
          <w:rStyle w:val="736"/>
          <w:rFonts w:hint="eastAsia" w:ascii="宋体" w:hAnsi="宋体" w:eastAsia="宋体" w:cs="宋体"/>
          <w:color w:val="auto"/>
          <w:sz w:val="24"/>
          <w:szCs w:val="24"/>
          <w:lang w:val="en-US" w:eastAsia="zh-CN"/>
        </w:rPr>
        <w:t xml:space="preserve">9.线性系数：r&gt;0.999自动配标</w:t>
      </w:r>
      <w:r>
        <w:rPr>
          <w:rStyle w:val="736"/>
          <w:rFonts w:hint="eastAsia" w:ascii="宋体" w:hAnsi="宋体" w:eastAsia="宋体" w:cs="宋体"/>
          <w:b/>
          <w:bCs/>
          <w:color w:val="auto"/>
          <w:sz w:val="24"/>
          <w:szCs w:val="24"/>
          <w:lang w:val="en-US" w:eastAsia="zh-CN"/>
        </w:rPr>
        <w:t xml:space="preserve">（提供软件操作实物图证明）</w:t>
      </w:r>
      <w:r/>
    </w:p>
    <w:p>
      <w:pPr>
        <w:pStyle w:val="750"/>
        <w:ind w:left="0" w:firstLine="482"/>
        <w:keepLines w:val="0"/>
        <w:keepNext w:val="0"/>
        <w:pageBreakBefore w:val="0"/>
        <w:spacing w:beforeAutospacing="0" w:afterAutospacing="0" w:line="360" w:lineRule="auto"/>
        <w:widowControl w:val="off"/>
        <w:rPr>
          <w:rStyle w:val="736"/>
          <w:rFonts w:hint="eastAsia" w:ascii="宋体" w:hAnsi="宋体" w:eastAsia="宋体" w:cs="宋体"/>
          <w:b/>
          <w:bCs/>
          <w:color w:val="auto"/>
          <w:sz w:val="24"/>
          <w:szCs w:val="24"/>
          <w:lang w:val="en-US" w:eastAsia="zh-CN"/>
        </w:rPr>
      </w:pPr>
      <w:r>
        <w:rPr>
          <w:rStyle w:val="736"/>
          <w:rFonts w:hint="eastAsia" w:ascii="宋体" w:hAnsi="宋体" w:eastAsia="宋体" w:cs="宋体"/>
          <w:b/>
          <w:bCs/>
          <w:color w:val="auto"/>
          <w:sz w:val="24"/>
          <w:szCs w:val="24"/>
          <w:lang w:val="en-US" w:eastAsia="zh-CN"/>
        </w:rPr>
        <w:t xml:space="preserve">四、配置要求：</w:t>
      </w:r>
      <w:r/>
    </w:p>
    <w:p>
      <w:pPr>
        <w:ind w:left="0" w:firstLine="480"/>
        <w:jc w:val="left"/>
        <w:keepLines w:val="0"/>
        <w:keepNext w:val="0"/>
        <w:pageBreakBefore w:val="0"/>
        <w:spacing w:beforeAutospacing="0" w:afterAutospacing="0" w:line="360" w:lineRule="auto"/>
        <w:widowControl w:val="off"/>
        <w:rPr>
          <w:rStyle w:val="736"/>
          <w:rFonts w:hint="eastAsia" w:ascii="宋体" w:hAnsi="宋体" w:eastAsia="宋体" w:cs="宋体"/>
          <w:color w:val="auto"/>
          <w:sz w:val="24"/>
          <w:szCs w:val="24"/>
          <w:lang w:val="en-US" w:eastAsia="zh-CN"/>
        </w:rPr>
      </w:pPr>
      <w:r>
        <w:rPr>
          <w:rStyle w:val="736"/>
          <w:rFonts w:hint="eastAsia" w:ascii="宋体" w:hAnsi="宋体" w:eastAsia="宋体" w:cs="宋体"/>
          <w:color w:val="auto"/>
          <w:sz w:val="24"/>
          <w:szCs w:val="24"/>
          <w:lang w:val="en-US" w:eastAsia="zh-CN"/>
        </w:rPr>
        <w:t xml:space="preserve">主机1套、电脑及打印机1套、样品盘1套、试剂瓶8个、恒温循环水系统1套、数据工作站软件1套、泄压监控安全阀3套、高压消解一体机1套、机器人手臂1套、电子压力阀1套、随机附件1套。</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i w:val="0"/>
          <w:iCs w:val="0"/>
          <w:color w:val="auto"/>
          <w:sz w:val="24"/>
          <w:szCs w:val="24"/>
          <w:u w:val="none"/>
          <w:lang w:val="en-US" w:eastAsia="zh-CN" w:bidi="ar"/>
        </w:rPr>
        <w:t xml:space="preserve">分项7：便携式颗粒物</w:t>
      </w:r>
      <w:r>
        <w:rPr>
          <w:rFonts w:hint="eastAsia" w:ascii="宋体" w:hAnsi="宋体" w:eastAsia="宋体" w:cs="宋体"/>
          <w:b/>
          <w:bCs/>
          <w:color w:val="auto"/>
          <w:spacing w:val="-1"/>
          <w:sz w:val="24"/>
          <w:szCs w:val="24"/>
          <w:lang w:val="en-US" w:eastAsia="zh-CN"/>
        </w:rPr>
        <w:t xml:space="preserve">检测仪（1套）</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▲总体要求：主要用于现场颗粒物的快速监测。</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一、仪器用途</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适用于常规或易燃易爆等场合的应急检测、浓度超限报警；职业卫生场所有毒有害气体检测；也可用于环境空气颗粒物PM1、PM2.5、PM10、TSP浓度的测量。</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二、仪器执行标准</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GB 3836.1           爆炸性环境 第1部分：设备 通用要求</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GB 3836.4           爆炸性环境 第4部分：由本质安全型“i”保护的设备</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GB 12358-2006       作业场所环境气体检测报警仪通用技术要求</w:t>
      </w:r>
      <w:r/>
    </w:p>
    <w:p>
      <w:pPr>
        <w:numPr>
          <w:ilvl w:val="0"/>
          <w:numId w:val="0"/>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JJG 846-2015        粉尘浓度测量仪</w:t>
      </w:r>
      <w:r/>
    </w:p>
    <w:p>
      <w:pPr>
        <w:numPr>
          <w:ilvl w:val="0"/>
          <w:numId w:val="0"/>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LD98-1996           空气中粉尘浓度的光散射式测定法</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三、仪器技术特点</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1.支持多气体浓度动态曲线同时显示和详情显示，方便用户观测污染物变化</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2.内置上百种气体数据库，方便使用者选择，使检测结果更准确</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3.气体传感器模块化设计，可根据需求搭配自行安装相应的传感器模块，无需进行配置，即插即用</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4.默认泵吸式测量方式，方便狭小空间采样便于查找泄漏点，可定制扩散式</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5.实时测量大气压、环境温度、环境相对湿度等参数</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6.内置大容量锂电池，可连续工作8小时</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7.直流5V供电方案，具有仪器供电和电池充电管理双功能</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8.采用不小于4寸高亮触摸液晶屏，图文显示、操作更便捷</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9.可独立设置不同种类有毒有害气体的限值：TWA、STEL、MAC</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10.仪器报警后提示相应的处理方式以及应急预案</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11.具有umol/mol和mg/m3双单位换算功能</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12.提供USB接口，可U盘导出数据，便于后期数据记录处理</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13.内置电子标签，可与仪器出入库管理平台软件配合实现仪器智能化管理</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14.可拓展激光颗粒物传感器，可实时检测PM1/PM2.5/PM10/TSP颗粒物浓度</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四、仪器技术指标</w:t>
      </w:r>
      <w:r/>
    </w:p>
    <w:tbl>
      <w:tblPr>
        <w:tblStyle w:val="7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2"/>
        <w:gridCol w:w="1352"/>
        <w:gridCol w:w="327"/>
        <w:gridCol w:w="3391"/>
        <w:gridCol w:w="3254"/>
      </w:tblGrid>
      <w:tr>
        <w:trPr>
          <w:trHeight w:val="251"/>
        </w:trPr>
        <w:tc>
          <w:tcPr>
            <w:gridSpan w:val="5"/>
            <w:shd w:val="clear" w:color="auto" w:fill="auto"/>
            <w:tcW w:w="5000" w:type="pct"/>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基本参数</w:t>
            </w:r>
            <w:r/>
          </w:p>
        </w:tc>
      </w:tr>
      <w:tr>
        <w:trPr>
          <w:trHeight w:val="251"/>
        </w:trPr>
        <w:tc>
          <w:tcPr>
            <w:gridSpan w:val="2"/>
            <w:shd w:val="clear" w:color="auto" w:fill="auto"/>
            <w:tcW w:w="1499" w:type="pct"/>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主要参数</w:t>
            </w:r>
            <w:r/>
          </w:p>
        </w:tc>
        <w:tc>
          <w:tcPr>
            <w:gridSpan w:val="3"/>
            <w:shd w:val="clear" w:color="auto" w:fill="auto"/>
            <w:tcW w:w="3500" w:type="pct"/>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参数范围</w:t>
            </w:r>
            <w:r/>
          </w:p>
        </w:tc>
      </w:tr>
      <w:tr>
        <w:trPr/>
        <w:tc>
          <w:tcPr>
            <w:gridSpan w:val="2"/>
            <w:shd w:val="clear" w:color="auto" w:fill="auto"/>
            <w:tcW w:w="1499"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主机重量</w:t>
            </w:r>
            <w:r/>
          </w:p>
        </w:tc>
        <w:tc>
          <w:tcPr>
            <w:gridSpan w:val="3"/>
            <w:shd w:val="clear" w:color="auto" w:fill="auto"/>
            <w:tcW w:w="3500"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≤1.0kg</w:t>
            </w:r>
            <w:r/>
          </w:p>
        </w:tc>
      </w:tr>
      <w:tr>
        <w:trPr/>
        <w:tc>
          <w:tcPr>
            <w:gridSpan w:val="2"/>
            <w:shd w:val="clear" w:color="auto" w:fill="auto"/>
            <w:tcW w:w="1499"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持续工作时间</w:t>
            </w:r>
            <w:r/>
          </w:p>
        </w:tc>
        <w:tc>
          <w:tcPr>
            <w:gridSpan w:val="3"/>
            <w:shd w:val="clear" w:color="auto" w:fill="auto"/>
            <w:tcW w:w="3500"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不少于8h</w:t>
            </w:r>
            <w:r/>
          </w:p>
        </w:tc>
      </w:tr>
      <w:tr>
        <w:trPr/>
        <w:tc>
          <w:tcPr>
            <w:gridSpan w:val="2"/>
            <w:shd w:val="clear" w:color="auto" w:fill="auto"/>
            <w:tcW w:w="1499"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环境温度</w:t>
            </w:r>
            <w:r/>
          </w:p>
        </w:tc>
        <w:tc>
          <w:tcPr>
            <w:gridSpan w:val="3"/>
            <w:shd w:val="clear" w:color="auto" w:fill="auto"/>
            <w:tcW w:w="3500"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（-20~45）℃</w:t>
            </w:r>
            <w:r/>
          </w:p>
        </w:tc>
      </w:tr>
      <w:tr>
        <w:trPr/>
        <w:tc>
          <w:tcPr>
            <w:gridSpan w:val="2"/>
            <w:shd w:val="clear" w:color="auto" w:fill="auto"/>
            <w:tcW w:w="1499"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环境湿度</w:t>
            </w:r>
            <w:r/>
          </w:p>
        </w:tc>
        <w:tc>
          <w:tcPr>
            <w:gridSpan w:val="3"/>
            <w:shd w:val="clear" w:color="auto" w:fill="auto"/>
            <w:tcW w:w="3500"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（0~95）%RH</w:t>
            </w:r>
            <w:r/>
          </w:p>
        </w:tc>
      </w:tr>
      <w:tr>
        <w:trPr/>
        <w:tc>
          <w:tcPr>
            <w:gridSpan w:val="2"/>
            <w:shd w:val="clear" w:color="auto" w:fill="auto"/>
            <w:tcW w:w="1499"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大 气 压</w:t>
            </w:r>
            <w:r/>
          </w:p>
        </w:tc>
        <w:tc>
          <w:tcPr>
            <w:gridSpan w:val="3"/>
            <w:shd w:val="clear" w:color="auto" w:fill="auto"/>
            <w:tcW w:w="3500"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（50~130）kPa</w:t>
            </w:r>
            <w:r/>
          </w:p>
        </w:tc>
      </w:tr>
      <w:tr>
        <w:trPr/>
        <w:tc>
          <w:tcPr>
            <w:gridSpan w:val="2"/>
            <w:shd w:val="clear" w:color="auto" w:fill="auto"/>
            <w:tcW w:w="1499"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数据存储</w:t>
            </w:r>
            <w:r/>
          </w:p>
        </w:tc>
        <w:tc>
          <w:tcPr>
            <w:gridSpan w:val="3"/>
            <w:shd w:val="clear" w:color="auto" w:fill="auto"/>
            <w:tcW w:w="3500"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大于5000组</w:t>
            </w:r>
            <w:r/>
          </w:p>
        </w:tc>
      </w:tr>
      <w:tr>
        <w:trPr/>
        <w:tc>
          <w:tcPr>
            <w:gridSpan w:val="2"/>
            <w:shd w:val="clear" w:color="auto" w:fill="auto"/>
            <w:tcW w:w="1499"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功    耗</w:t>
            </w:r>
            <w:r/>
          </w:p>
        </w:tc>
        <w:tc>
          <w:tcPr>
            <w:gridSpan w:val="3"/>
            <w:shd w:val="clear" w:color="auto" w:fill="auto"/>
            <w:tcW w:w="3500"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w:t>
            </w:r>
            <w:r/>
          </w:p>
        </w:tc>
      </w:tr>
      <w:tr>
        <w:trPr>
          <w:trHeight w:val="90"/>
        </w:trPr>
        <w:tc>
          <w:tcPr>
            <w:gridSpan w:val="2"/>
            <w:shd w:val="clear" w:color="auto" w:fill="auto"/>
            <w:tcW w:w="1499"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工作电源</w:t>
            </w:r>
            <w:r/>
          </w:p>
        </w:tc>
        <w:tc>
          <w:tcPr>
            <w:gridSpan w:val="3"/>
            <w:shd w:val="clear" w:color="auto" w:fill="auto"/>
            <w:tcW w:w="3500"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内置锂电池（7.4V/3.4Ah）或外接5V/3.5A电源适配器</w:t>
            </w:r>
            <w:r/>
          </w:p>
        </w:tc>
      </w:tr>
      <w:tr>
        <w:trPr/>
        <w:tc>
          <w:tcPr>
            <w:gridSpan w:val="2"/>
            <w:shd w:val="clear" w:color="auto" w:fill="auto"/>
            <w:tcW w:w="1499"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充电时间</w:t>
            </w:r>
            <w:r/>
          </w:p>
        </w:tc>
        <w:tc>
          <w:tcPr>
            <w:gridSpan w:val="3"/>
            <w:shd w:val="clear" w:color="auto" w:fill="auto"/>
            <w:tcW w:w="3500"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约4小时</w:t>
            </w:r>
            <w:r/>
          </w:p>
        </w:tc>
      </w:tr>
      <w:tr>
        <w:trPr/>
        <w:tc>
          <w:tcPr>
            <w:gridSpan w:val="5"/>
            <w:shd w:val="clear" w:color="auto" w:fill="auto"/>
            <w:tcW w:w="5000"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常用传感器技术参数</w:t>
            </w:r>
            <w:r/>
          </w:p>
        </w:tc>
      </w:tr>
      <w:tr>
        <w:trPr/>
        <w:tc>
          <w:tcPr>
            <w:gridSpan w:val="3"/>
            <w:shd w:val="clear" w:color="auto" w:fill="auto"/>
            <w:tcW w:w="1663"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主要参数</w:t>
            </w:r>
            <w:r/>
          </w:p>
        </w:tc>
        <w:tc>
          <w:tcPr>
            <w:shd w:val="clear" w:color="auto" w:fill="auto"/>
            <w:tcW w:w="1703"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参数范围</w:t>
            </w:r>
            <w:r/>
          </w:p>
        </w:tc>
        <w:tc>
          <w:tcPr>
            <w:shd w:val="clear" w:color="auto" w:fill="auto"/>
            <w:tcW w:w="1632"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分辨率</w:t>
            </w:r>
            <w:r/>
          </w:p>
        </w:tc>
      </w:tr>
      <w:tr>
        <w:trPr>
          <w:trHeight w:val="281"/>
        </w:trPr>
        <w:tc>
          <w:tcPr>
            <w:shd w:val="clear" w:color="auto" w:fill="auto"/>
            <w:tcW w:w="820" w:type="pct"/>
            <w:vAlign w:val="center"/>
            <w:vMerge w:val="restart"/>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颗粒物检测模块</w:t>
            </w:r>
            <w:r/>
          </w:p>
        </w:tc>
        <w:tc>
          <w:tcPr>
            <w:gridSpan w:val="2"/>
            <w:shd w:val="clear" w:color="auto" w:fill="auto"/>
            <w:tcW w:w="843"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PM1.0</w:t>
            </w:r>
            <w:r/>
          </w:p>
        </w:tc>
        <w:tc>
          <w:tcPr>
            <w:shd w:val="clear" w:color="auto" w:fill="auto"/>
            <w:tcW w:w="1703"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（0~1000）μg/m3</w:t>
            </w:r>
            <w:r/>
          </w:p>
        </w:tc>
        <w:tc>
          <w:tcPr>
            <w:shd w:val="clear" w:color="auto" w:fill="auto"/>
            <w:tcW w:w="1632"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1μg/m3</w:t>
            </w:r>
            <w:r/>
          </w:p>
        </w:tc>
      </w:tr>
      <w:tr>
        <w:trPr/>
        <w:tc>
          <w:tcPr>
            <w:shd w:val="clear" w:color="auto" w:fill="auto"/>
            <w:tcW w:w="820" w:type="pct"/>
            <w:vAlign w:val="center"/>
            <w:vMerge w:val="continue"/>
            <w:textDirection w:val="lrTb"/>
            <w:noWrap w:val="false"/>
          </w:tcPr>
          <w:p>
            <w:pPr>
              <w:numPr>
                <w:ilvl w:val="0"/>
                <w:numId w:val="0"/>
              </w:numPr>
              <w:ind w:left="0" w:firstLine="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gridSpan w:val="2"/>
            <w:shd w:val="clear" w:color="auto" w:fill="auto"/>
            <w:tcW w:w="843"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PM2.5</w:t>
            </w:r>
            <w:r/>
          </w:p>
        </w:tc>
        <w:tc>
          <w:tcPr>
            <w:shd w:val="clear" w:color="auto" w:fill="auto"/>
            <w:tcW w:w="1703"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（0~1000）μg/m3</w:t>
            </w:r>
            <w:r/>
          </w:p>
        </w:tc>
        <w:tc>
          <w:tcPr>
            <w:shd w:val="clear" w:color="auto" w:fill="auto"/>
            <w:tcW w:w="1632"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1μg/m3</w:t>
            </w:r>
            <w:r/>
          </w:p>
        </w:tc>
      </w:tr>
      <w:tr>
        <w:trPr>
          <w:trHeight w:val="206"/>
        </w:trPr>
        <w:tc>
          <w:tcPr>
            <w:shd w:val="clear" w:color="auto" w:fill="auto"/>
            <w:tcW w:w="820" w:type="pct"/>
            <w:vAlign w:val="center"/>
            <w:vMerge w:val="continue"/>
            <w:textDirection w:val="lrTb"/>
            <w:noWrap w:val="false"/>
          </w:tcPr>
          <w:p>
            <w:pPr>
              <w:numPr>
                <w:ilvl w:val="0"/>
                <w:numId w:val="0"/>
              </w:numPr>
              <w:ind w:left="0" w:firstLine="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gridSpan w:val="2"/>
            <w:shd w:val="clear" w:color="auto" w:fill="auto"/>
            <w:tcW w:w="843"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PM10</w:t>
            </w:r>
            <w:r/>
          </w:p>
        </w:tc>
        <w:tc>
          <w:tcPr>
            <w:shd w:val="clear" w:color="auto" w:fill="auto"/>
            <w:tcW w:w="1703"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（0~1000）μg/m3</w:t>
            </w:r>
            <w:r/>
          </w:p>
        </w:tc>
        <w:tc>
          <w:tcPr>
            <w:shd w:val="clear" w:color="auto" w:fill="auto"/>
            <w:tcW w:w="1632"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1μg/m3</w:t>
            </w:r>
            <w:r/>
          </w:p>
        </w:tc>
      </w:tr>
      <w:tr>
        <w:trPr/>
        <w:tc>
          <w:tcPr>
            <w:shd w:val="clear" w:color="auto" w:fill="auto"/>
            <w:tcW w:w="820" w:type="pct"/>
            <w:vAlign w:val="center"/>
            <w:vMerge w:val="continue"/>
            <w:textDirection w:val="lrTb"/>
            <w:noWrap w:val="false"/>
          </w:tcPr>
          <w:p>
            <w:pPr>
              <w:numPr>
                <w:ilvl w:val="0"/>
                <w:numId w:val="0"/>
              </w:numPr>
              <w:ind w:left="0" w:firstLine="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gridSpan w:val="2"/>
            <w:shd w:val="clear" w:color="auto" w:fill="auto"/>
            <w:tcW w:w="843"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TSP</w:t>
            </w:r>
            <w:r/>
          </w:p>
        </w:tc>
        <w:tc>
          <w:tcPr>
            <w:shd w:val="clear" w:color="auto" w:fill="auto"/>
            <w:tcW w:w="1703"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（0~1000）μg/m3</w:t>
            </w:r>
            <w:r/>
          </w:p>
        </w:tc>
        <w:tc>
          <w:tcPr>
            <w:shd w:val="clear" w:color="auto" w:fill="auto"/>
            <w:tcW w:w="1632" w:type="pct"/>
            <w:vAlign w:val="top"/>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1μg/m3</w:t>
            </w:r>
            <w:r/>
          </w:p>
        </w:tc>
      </w:tr>
    </w:tbl>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五、仪器配置</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主机1套、颗粒物检测模块1套、充电器1套、包装箱1个、合格证1份。</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分项8：便携水质自动分析仪</w:t>
      </w:r>
      <w:r>
        <w:rPr>
          <w:rFonts w:hint="eastAsia" w:ascii="宋体" w:hAnsi="宋体" w:eastAsia="宋体" w:cs="宋体"/>
          <w:b/>
          <w:bCs/>
          <w:color w:val="auto"/>
          <w:spacing w:val="-1"/>
          <w:sz w:val="24"/>
          <w:szCs w:val="24"/>
          <w:lang w:val="en-US" w:eastAsia="zh-CN"/>
        </w:rPr>
        <w:t xml:space="preserve">（1套）</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▲总体要求：用于现场检测COD、氨氮、氰化物、总磷、六价铬、余氯等常规监测项目检测。</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技术要求：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lang w:eastAsia="zh-CN"/>
        </w:rPr>
        <w:t xml:space="preserve">不小于</w:t>
      </w:r>
      <w:r>
        <w:rPr>
          <w:rFonts w:hint="eastAsia" w:ascii="宋体" w:hAnsi="宋体" w:eastAsia="宋体" w:cs="宋体"/>
          <w:color w:val="auto"/>
          <w:sz w:val="24"/>
          <w:szCs w:val="24"/>
        </w:rPr>
        <w:t xml:space="preserve">7英寸触摸彩屏显示，操作界面直观鲜明；</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支持比色管360度旋转比色方式，测量快速准确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采用交直流两用供电，便携移动在实验室、野外进行检测；</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实现消解、比色一体化，自带便携箱，野外操作方便；</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应用人性化设计、检测项目一键式选定，曲线波长调用随意切换；</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具有物联网数据查看、通过手机上传云服务中心、远程升级功能；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具有内置打印机，可打印当前数据，查询历史数据功能；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双温区，具有消解功率随负载自动调整，智能恒温控制，延时保护功能；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温度与时间可随实验参数任意调节并保存；</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采用冷光源、窄带干涉、光源寿命长达10万小时；</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采用先进分光技术，避免外界光干扰，测试数据稳定可靠；</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可</w:t>
      </w:r>
      <w:r>
        <w:rPr>
          <w:rFonts w:hint="eastAsia" w:ascii="宋体" w:hAnsi="宋体" w:eastAsia="宋体" w:cs="宋体"/>
          <w:color w:val="auto"/>
          <w:sz w:val="24"/>
          <w:szCs w:val="24"/>
          <w:lang w:eastAsia="zh-CN"/>
        </w:rPr>
        <w:t xml:space="preserve">至少监测</w:t>
      </w:r>
      <w:r>
        <w:rPr>
          <w:rFonts w:hint="eastAsia" w:ascii="宋体" w:hAnsi="宋体" w:eastAsia="宋体" w:cs="宋体"/>
          <w:i w:val="0"/>
          <w:iCs w:val="0"/>
          <w:color w:val="auto"/>
          <w:sz w:val="24"/>
          <w:szCs w:val="24"/>
          <w:u w:val="none"/>
          <w:lang w:val="en-US" w:eastAsia="zh-CN" w:bidi="ar"/>
        </w:rPr>
        <w:t xml:space="preserve">COD、氨氮、氰化物、总磷、六价铬、余氯、高锰酸盐指数</w:t>
      </w:r>
      <w:r>
        <w:rPr>
          <w:rFonts w:hint="eastAsia" w:ascii="宋体" w:hAnsi="宋体" w:eastAsia="宋体" w:cs="宋体"/>
          <w:color w:val="auto"/>
          <w:sz w:val="24"/>
          <w:szCs w:val="24"/>
        </w:rPr>
        <w:t xml:space="preserve">7项指标</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检测指标</w:t>
      </w:r>
      <w:r/>
    </w:p>
    <w:tbl>
      <w:tblPr>
        <w:tblStyle w:val="719"/>
        <w:tblpPr w:horzAnchor="page" w:tblpXSpec="center" w:vertAnchor="text" w:tblpY="140" w:leftFromText="180" w:topFromText="0" w:rightFromText="180" w:bottomFromText="0"/>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7"/>
        <w:gridCol w:w="3461"/>
        <w:gridCol w:w="4554"/>
      </w:tblGrid>
      <w:tr>
        <w:trPr>
          <w:jc w:val="center"/>
          <w:trHeight w:val="395"/>
        </w:trPr>
        <w:tc>
          <w:tcPr>
            <w:tcW w:w="9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测量项目</w:t>
            </w:r>
            <w:r/>
          </w:p>
        </w:tc>
        <w:tc>
          <w:tcPr>
            <w:tcW w:w="17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量程</w:t>
            </w:r>
            <w:r/>
          </w:p>
        </w:tc>
        <w:tc>
          <w:tcPr>
            <w:tcW w:w="229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控制指标</w:t>
            </w:r>
            <w:r/>
          </w:p>
        </w:tc>
      </w:tr>
      <w:tr>
        <w:trPr>
          <w:jc w:val="center"/>
          <w:trHeight w:val="319"/>
        </w:trPr>
        <w:tc>
          <w:tcPr>
            <w:tcW w:w="9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COD</w:t>
            </w:r>
            <w:r/>
          </w:p>
        </w:tc>
        <w:tc>
          <w:tcPr>
            <w:tcW w:w="17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5-12000mg/L（分段）</w:t>
            </w:r>
            <w:r/>
          </w:p>
        </w:tc>
        <w:tc>
          <w:tcPr>
            <w:tcW w:w="2290" w:type="pct"/>
            <w:vAlign w:val="center"/>
            <w:vMerge w:val="restart"/>
            <w:textDirection w:val="lrTb"/>
            <w:noWrap w:val="false"/>
          </w:tcPr>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·测量误差：≤±5%</w:t>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·波长范围：400-750nm</w:t>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·曲线数量：100条</w:t>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·存储数据：500万个</w:t>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·重 复 性：≤±5%</w:t>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·批处理样：4*2/批</w:t>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·抗氯干扰：{cl-}＜1200mg/l；{cl-}＜4000mg/l</w:t>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·控温范围：室温－200℃</w:t>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·消解温度：165/123±0.5℃</w:t>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·消解时间：10/30分钟</w:t>
            </w:r>
            <w:r/>
          </w:p>
          <w:p>
            <w:pPr>
              <w:keepLines w:val="0"/>
              <w:keepNext w:val="0"/>
              <w:pageBreakBefore w:val="0"/>
              <w:spacing w:line="240" w:lineRule="auto"/>
              <w:widowControl w:val="off"/>
              <w:rPr>
                <w:color w:val="auto"/>
              </w:rPr>
            </w:pPr>
            <w:r>
              <w:rPr>
                <w:color w:val="auto"/>
              </w:rPr>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·工作电源：AC/220V±10%/50Hz （适配器） DC 24V（电池） </w:t>
            </w:r>
            <w:r/>
          </w:p>
          <w:p>
            <w:pPr>
              <w:ind w:lef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·整机重量：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KG</w:t>
            </w:r>
            <w:r/>
          </w:p>
        </w:tc>
      </w:tr>
      <w:tr>
        <w:trPr>
          <w:jc w:val="center"/>
          <w:trHeight w:val="319"/>
        </w:trPr>
        <w:tc>
          <w:tcPr>
            <w:tcW w:w="9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HN3</w:t>
            </w:r>
            <w:r/>
          </w:p>
        </w:tc>
        <w:tc>
          <w:tcPr>
            <w:tcW w:w="17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0.01-200mg/L（分段）</w:t>
            </w:r>
            <w:r/>
          </w:p>
        </w:tc>
        <w:tc>
          <w:tcPr>
            <w:tcW w:w="2290" w:type="pct"/>
            <w:vAlign w:val="center"/>
            <w:vMerge w:val="continue"/>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57"/>
        </w:trPr>
        <w:tc>
          <w:tcPr>
            <w:tcW w:w="9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总磷</w:t>
            </w:r>
            <w:r/>
          </w:p>
        </w:tc>
        <w:tc>
          <w:tcPr>
            <w:tcW w:w="17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0.001-16mg/L（分段）</w:t>
            </w:r>
            <w:r/>
          </w:p>
        </w:tc>
        <w:tc>
          <w:tcPr>
            <w:tcW w:w="2290" w:type="pct"/>
            <w:vAlign w:val="center"/>
            <w:vMerge w:val="continue"/>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57"/>
        </w:trPr>
        <w:tc>
          <w:tcPr>
            <w:tcW w:w="9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六价铬</w:t>
            </w:r>
            <w:r/>
          </w:p>
        </w:tc>
        <w:tc>
          <w:tcPr>
            <w:tcW w:w="17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0-2mg/L</w:t>
            </w:r>
            <w:r/>
          </w:p>
        </w:tc>
        <w:tc>
          <w:tcPr>
            <w:tcW w:w="2290" w:type="pct"/>
            <w:vAlign w:val="center"/>
            <w:vMerge w:val="continue"/>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57"/>
        </w:trPr>
        <w:tc>
          <w:tcPr>
            <w:tcW w:w="9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余氯</w:t>
            </w:r>
            <w:r/>
          </w:p>
        </w:tc>
        <w:tc>
          <w:tcPr>
            <w:tcW w:w="17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0-3mg/L</w:t>
            </w:r>
            <w:r/>
          </w:p>
        </w:tc>
        <w:tc>
          <w:tcPr>
            <w:tcW w:w="2290" w:type="pct"/>
            <w:vAlign w:val="center"/>
            <w:vMerge w:val="continue"/>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57"/>
        </w:trPr>
        <w:tc>
          <w:tcPr>
            <w:tcW w:w="9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氰化物</w:t>
            </w:r>
            <w:r/>
          </w:p>
        </w:tc>
        <w:tc>
          <w:tcPr>
            <w:tcW w:w="17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0-0.5mg/L</w:t>
            </w:r>
            <w:r/>
          </w:p>
        </w:tc>
        <w:tc>
          <w:tcPr>
            <w:tcW w:w="2290" w:type="pct"/>
            <w:vAlign w:val="center"/>
            <w:vMerge w:val="continue"/>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66"/>
        </w:trPr>
        <w:tc>
          <w:tcPr>
            <w:tcW w:w="96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高锰</w:t>
            </w:r>
            <w:r>
              <w:rPr>
                <w:rFonts w:hint="eastAsia" w:ascii="宋体" w:hAnsi="宋体" w:eastAsia="宋体" w:cs="宋体"/>
                <w:color w:val="auto"/>
                <w:sz w:val="24"/>
                <w:szCs w:val="24"/>
              </w:rPr>
              <w:t xml:space="preserve">酸盐指数</w:t>
            </w:r>
            <w:r/>
          </w:p>
        </w:tc>
        <w:tc>
          <w:tcPr>
            <w:tcW w:w="174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0-10mg/L（分段）</w:t>
            </w:r>
            <w:r/>
          </w:p>
        </w:tc>
        <w:tc>
          <w:tcPr>
            <w:tcW w:w="2290" w:type="pct"/>
            <w:vAlign w:val="center"/>
            <w:vMerge w:val="continue"/>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1"/>
        <w:ind w:left="0" w:firstLine="480"/>
        <w:keepLines w:val="0"/>
        <w:keepNext w:val="0"/>
        <w:pageBreakBefore w:val="0"/>
        <w:spacing w:beforeAutospacing="0" w:after="0" w:afterAutospacing="0" w:line="360" w:lineRule="auto"/>
        <w:widowControl w:val="off"/>
        <w:rPr>
          <w:rFonts w:hint="eastAsia" w:ascii="宋体" w:hAnsi="宋体" w:eastAsia="宋体" w:cs="宋体"/>
          <w:i w:val="0"/>
          <w:iCs w:val="0"/>
          <w:color w:val="auto"/>
          <w:sz w:val="24"/>
          <w:szCs w:val="24"/>
          <w:u w:val="none"/>
          <w:lang w:val="en-US" w:eastAsia="zh-CN" w:bidi="ar"/>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i w:val="0"/>
          <w:iCs w:val="0"/>
          <w:color w:val="auto"/>
          <w:sz w:val="24"/>
          <w:szCs w:val="24"/>
          <w:u w:val="none"/>
          <w:lang w:val="en-US" w:eastAsia="zh-CN" w:bidi="ar"/>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rPr>
      </w:pPr>
      <w:r>
        <w:rPr>
          <w:rFonts w:hint="eastAsia" w:ascii="宋体" w:hAnsi="宋体" w:eastAsia="宋体" w:cs="宋体"/>
          <w:b/>
          <w:bCs/>
          <w:i w:val="0"/>
          <w:iCs w:val="0"/>
          <w:color w:val="auto"/>
          <w:sz w:val="24"/>
          <w:szCs w:val="24"/>
          <w:u w:val="none"/>
          <w:lang w:val="en-US" w:eastAsia="zh-CN" w:bidi="ar"/>
        </w:rPr>
        <w:t xml:space="preserve">分项9：</w:t>
      </w:r>
      <w:r>
        <w:rPr>
          <w:rFonts w:hint="eastAsia" w:ascii="宋体" w:hAnsi="宋体" w:eastAsia="宋体" w:cs="宋体"/>
          <w:b/>
          <w:bCs/>
          <w:color w:val="auto"/>
          <w:spacing w:val="-1"/>
          <w:sz w:val="24"/>
          <w:szCs w:val="24"/>
        </w:rPr>
        <w:t xml:space="preserve">固相微萃取装置(便携式GC-MS</w:t>
      </w:r>
      <w:r>
        <w:rPr>
          <w:rFonts w:hint="eastAsia" w:ascii="宋体" w:hAnsi="宋体" w:eastAsia="宋体" w:cs="宋体"/>
          <w:b/>
          <w:bCs/>
          <w:color w:val="auto"/>
          <w:spacing w:val="-1"/>
          <w:sz w:val="24"/>
          <w:szCs w:val="24"/>
          <w:lang w:eastAsia="zh-CN"/>
        </w:rPr>
        <w:t xml:space="preserve">加配</w:t>
      </w:r>
      <w:r>
        <w:rPr>
          <w:rFonts w:hint="eastAsia" w:ascii="宋体" w:hAnsi="宋体" w:eastAsia="宋体" w:cs="宋体"/>
          <w:b/>
          <w:bCs/>
          <w:color w:val="auto"/>
          <w:spacing w:val="-1"/>
          <w:sz w:val="24"/>
          <w:szCs w:val="24"/>
        </w:rPr>
        <w:t xml:space="preserve">)</w:t>
      </w:r>
      <w:r>
        <w:rPr>
          <w:rFonts w:hint="eastAsia" w:ascii="宋体" w:hAnsi="宋体" w:eastAsia="宋体" w:cs="宋体"/>
          <w:b/>
          <w:bCs/>
          <w:color w:val="auto"/>
          <w:spacing w:val="-1"/>
          <w:sz w:val="24"/>
          <w:szCs w:val="24"/>
          <w:lang w:val="en-US" w:eastAsia="zh-CN"/>
        </w:rPr>
        <w:t xml:space="preserve">（1套）</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▲总体要求：主要用于现场定性、定量检测水中挥发性和半挥发性有机组分(VOCs、SVOCs)。</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性能要求：集成样品加热、搅拌模块与纤维老化模块，可通过一台仪器完成整个固相微萃取前处理过程。</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使用石英砂作为基质，添加滴滴伊（p,p’-DDE），制作0.2 mg/kg的标准土壤。使用固相微萃取综合前处理仪进行样品</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前处理，然后进行便携式GC-MS检测，滴滴伊特征离子峰的信噪比高于10:1。 </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重量：≤</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kg。</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样品池：系统至少具备三个可同时加热的样品位，温度设置范围覆盖40℃~90℃。</w:t>
      </w:r>
      <w:r>
        <w:rPr>
          <w:rFonts w:hint="eastAsia" w:ascii="宋体" w:hAnsi="宋体" w:eastAsia="宋体" w:cs="宋体"/>
          <w:b/>
          <w:bCs/>
          <w:color w:val="auto"/>
          <w:sz w:val="24"/>
          <w:szCs w:val="24"/>
        </w:rPr>
        <w:t xml:space="preserve">（需提供系统实物照片作为证明材料）</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萃取位：</w:t>
      </w:r>
      <w:bookmarkStart w:id="190" w:name="_Hlk161149831"/>
      <w:r>
        <w:rPr>
          <w:rFonts w:hint="eastAsia" w:ascii="宋体" w:hAnsi="宋体" w:eastAsia="宋体" w:cs="宋体"/>
          <w:color w:val="auto"/>
          <w:sz w:val="24"/>
          <w:szCs w:val="24"/>
        </w:rPr>
        <w:t xml:space="preserve">样品萃取位的搅拌速率至少满足300 rpm~1800 rpm，同时萃取位需自带LED探照灯，以便在恶劣工况下观察样品的搅拌和萃取情况。</w:t>
      </w:r>
      <w:bookmarkEnd w:id="190"/>
      <w:r>
        <w:rPr>
          <w:rFonts w:hint="eastAsia" w:ascii="宋体" w:hAnsi="宋体" w:eastAsia="宋体" w:cs="宋体"/>
          <w:b/>
          <w:bCs/>
          <w:color w:val="auto"/>
          <w:sz w:val="24"/>
          <w:szCs w:val="24"/>
        </w:rPr>
        <w:t xml:space="preserve">（需提供系统实物照片作为证明材料）</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老化腔：</w:t>
      </w:r>
      <w:bookmarkStart w:id="191" w:name="_Hlk161149877"/>
      <w:r>
        <w:rPr>
          <w:rFonts w:hint="eastAsia" w:ascii="宋体" w:hAnsi="宋体" w:eastAsia="宋体" w:cs="宋体"/>
          <w:color w:val="auto"/>
          <w:sz w:val="24"/>
          <w:szCs w:val="24"/>
        </w:rPr>
        <w:t xml:space="preserve">系统内置便携式高纯氦气瓶，与便携式GC-MS主机内置便携载气瓶的型号规格完全相同，现场可直接替换使用，为纤维头老化提供惰性气体，老化温度至少满足50℃~280℃。</w:t>
      </w:r>
      <w:bookmarkEnd w:id="191"/>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内置不可拆卸高清晰度、触摸式显示屏，尺寸≥5英寸。</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固相微萃取前处理系统外壳防护等级≥IP 65</w:t>
      </w:r>
      <w:r>
        <w:rPr>
          <w:rFonts w:hint="eastAsia" w:ascii="宋体" w:hAnsi="宋体" w:eastAsia="宋体" w:cs="宋体"/>
          <w:color w:val="auto"/>
          <w:sz w:val="24"/>
          <w:szCs w:val="24"/>
          <w:lang w:eastAsia="zh-CN"/>
        </w:rPr>
        <w:t xml:space="preserve">。</w:t>
      </w:r>
      <w:r/>
    </w:p>
    <w:p>
      <w:pPr>
        <w:pStyle w:val="721"/>
        <w:ind w:left="0" w:firstLine="480"/>
        <w:keepLines w:val="0"/>
        <w:keepNext w:val="0"/>
        <w:pageBreakBefore w:val="0"/>
        <w:spacing w:beforeAutospacing="0" w:after="0" w:afterAutospacing="0" w:line="360" w:lineRule="auto"/>
        <w:widowControl w:val="off"/>
        <w:rPr>
          <w:rFonts w:hint="eastAsia" w:ascii="宋体" w:hAnsi="宋体" w:eastAsia="宋体" w:cs="宋体"/>
          <w:i w:val="0"/>
          <w:iCs w:val="0"/>
          <w:color w:val="auto"/>
          <w:sz w:val="24"/>
          <w:szCs w:val="24"/>
          <w:u w:val="none"/>
          <w:lang w:val="en-US" w:eastAsia="zh-CN" w:bidi="ar"/>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i w:val="0"/>
          <w:iCs w:val="0"/>
          <w:color w:val="auto"/>
          <w:sz w:val="24"/>
          <w:szCs w:val="24"/>
          <w:u w:val="none"/>
          <w:lang w:val="en-US" w:eastAsia="zh-CN" w:bidi="ar"/>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rPr>
      </w:pPr>
      <w:r>
        <w:rPr>
          <w:rFonts w:hint="eastAsia" w:ascii="宋体" w:hAnsi="宋体" w:eastAsia="宋体" w:cs="宋体"/>
          <w:b/>
          <w:bCs/>
          <w:i w:val="0"/>
          <w:iCs w:val="0"/>
          <w:color w:val="auto"/>
          <w:sz w:val="24"/>
          <w:szCs w:val="24"/>
          <w:u w:val="none"/>
          <w:lang w:val="en-US" w:eastAsia="zh-CN" w:bidi="ar"/>
        </w:rPr>
        <w:t xml:space="preserve">分项10：</w:t>
      </w:r>
      <w:r>
        <w:rPr>
          <w:rFonts w:hint="eastAsia" w:ascii="宋体" w:hAnsi="宋体" w:eastAsia="宋体" w:cs="宋体"/>
          <w:b/>
          <w:bCs/>
          <w:color w:val="auto"/>
          <w:spacing w:val="-1"/>
          <w:sz w:val="24"/>
          <w:szCs w:val="24"/>
        </w:rPr>
        <w:t xml:space="preserve">便携式电导率仪</w:t>
      </w:r>
      <w:r>
        <w:rPr>
          <w:rFonts w:hint="eastAsia" w:ascii="宋体" w:hAnsi="宋体" w:eastAsia="宋体" w:cs="宋体"/>
          <w:b/>
          <w:bCs/>
          <w:color w:val="auto"/>
          <w:spacing w:val="-1"/>
          <w:sz w:val="24"/>
          <w:szCs w:val="24"/>
          <w:lang w:val="en-US" w:eastAsia="zh-CN"/>
        </w:rPr>
        <w:t xml:space="preserve">（1套）</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主要用途：</w:t>
      </w:r>
      <w:r>
        <w:rPr>
          <w:rFonts w:hint="eastAsia" w:ascii="宋体" w:hAnsi="宋体" w:eastAsia="宋体" w:cs="宋体"/>
          <w:color w:val="auto"/>
          <w:spacing w:val="-1"/>
          <w:sz w:val="24"/>
          <w:szCs w:val="24"/>
          <w:lang w:eastAsia="zh-CN"/>
        </w:rPr>
        <w:t xml:space="preserve">用于现场测定水质电导率。</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一、配置要求：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lang w:eastAsia="zh-CN"/>
        </w:rPr>
        <w:t xml:space="preserve">不小于</w:t>
      </w:r>
      <w:r>
        <w:rPr>
          <w:rFonts w:hint="eastAsia" w:ascii="宋体" w:hAnsi="宋体" w:eastAsia="宋体" w:cs="宋体"/>
          <w:color w:val="auto"/>
          <w:sz w:val="24"/>
          <w:szCs w:val="24"/>
        </w:rPr>
        <w:t xml:space="preserve">4英寸高清彩色液晶触摸屏，显示清晰</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支持中英文</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温度单位可选：℃和°F</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参比温度5.0℃、10.0℃、15.0℃、18.0℃、20.0℃和25.0℃可选，默认25℃</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支持开机自诊断、自动关机、断电保护和恢复出厂设置等功能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支持固件升级功能，允许功能扩展和个性化要求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支持IP65防护等级</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标配复合电导电极、电极挂架、硅胶保护套、腕带、便携式手提箱、校准溶液</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二、智能检测、自动识别要求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智能操作系统，具有方法管理、电极管理、数据管理和用户管理等功能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支持用户三级权限管理，支持密码管理</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智能判别终点，支持自动读数、定时读数、定时间隔读数、手动读数</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支持自动/手动温度补偿</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自动识别GB和国际标准电导溶液，支持电导电极1-5点标定</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具有标定提醒和报警功能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支持不补偿、线性、纯水补偿等多种电导率补偿方式</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支持自动频率切换，配套电极可覆盖0.055μS/cm至满量程的测量</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三、电源管理要求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大容量锂电池供电，支持连接PC和移动电源充电</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具有电池欠压提醒功能和充电状态提醒功能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支持背光调节</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t xml:space="preserve">可充锂电池</w:t>
      </w:r>
      <w:r/>
    </w:p>
    <w:p>
      <w:pPr>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电源适配器(输入：AC100~240V,输出：DC5V)</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四、数据管理要求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23.</w:t>
      </w:r>
      <w:r>
        <w:rPr>
          <w:rFonts w:hint="eastAsia" w:ascii="宋体" w:hAnsi="宋体" w:eastAsia="宋体" w:cs="宋体"/>
          <w:color w:val="auto"/>
          <w:sz w:val="24"/>
          <w:szCs w:val="24"/>
        </w:rPr>
        <w:t xml:space="preserve">支持数据存储(各1000套)、查阅、删除、统计、分析、传输</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rPr>
        <w:t xml:space="preserve">符合GLP,实现数据追溯和统计分析</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25.</w:t>
      </w:r>
      <w:r>
        <w:rPr>
          <w:rFonts w:hint="eastAsia" w:ascii="宋体" w:hAnsi="宋体" w:eastAsia="宋体" w:cs="宋体"/>
          <w:color w:val="auto"/>
          <w:sz w:val="24"/>
          <w:szCs w:val="24"/>
        </w:rPr>
        <w:t xml:space="preserve">具有USB接口，通过专用通信软件与PC连接，实现数据传输；支持连接LIMS系统；支持U盘读写；支持扫描枪</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26.</w:t>
      </w:r>
      <w:r>
        <w:rPr>
          <w:rFonts w:hint="eastAsia" w:ascii="宋体" w:hAnsi="宋体" w:eastAsia="宋体" w:cs="宋体"/>
          <w:color w:val="auto"/>
          <w:sz w:val="24"/>
          <w:szCs w:val="24"/>
        </w:rPr>
        <w:t xml:space="preserve">内置蓝牙，支持无线传输</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五、</w:t>
      </w:r>
      <w:r>
        <w:rPr>
          <w:rFonts w:hint="eastAsia" w:ascii="宋体" w:hAnsi="宋体" w:eastAsia="宋体" w:cs="宋体"/>
          <w:b/>
          <w:bCs/>
          <w:color w:val="auto"/>
          <w:sz w:val="24"/>
          <w:szCs w:val="24"/>
        </w:rPr>
        <w:t xml:space="preserve">技术参数</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仪器级别</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0.5级</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测量参数</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电导率、电阻率、TDS、盐度、温度</w:t>
      </w:r>
      <w:r/>
    </w:p>
    <w:tbl>
      <w:tblPr>
        <w:tblStyle w:val="7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8741"/>
      </w:tblGrid>
      <w:tr>
        <w:trPr/>
        <w:tc>
          <w:tcPr>
            <w:tcW w:w="610" w:type="pct"/>
            <w:vAlign w:val="center"/>
            <w:textDirection w:val="lrTb"/>
            <w:noWrap w:val="false"/>
          </w:tcPr>
          <w:p>
            <w:pPr>
              <w:pStyle w:val="721"/>
              <w:ind w:left="0" w:firstLine="0"/>
              <w:jc w:val="center"/>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 xml:space="preserve">项目</w:t>
            </w:r>
            <w:r/>
          </w:p>
        </w:tc>
        <w:tc>
          <w:tcPr>
            <w:tcW w:w="4389" w:type="pct"/>
            <w:vAlign w:val="center"/>
            <w:textDirection w:val="lrTb"/>
            <w:noWrap w:val="false"/>
          </w:tcPr>
          <w:p>
            <w:pPr>
              <w:pStyle w:val="721"/>
              <w:ind w:left="0" w:firstLine="0"/>
              <w:jc w:val="center"/>
              <w:keepLines w:val="0"/>
              <w:keepNext w:val="0"/>
              <w:pageBreakBefore w:val="0"/>
              <w:spacing w:beforeAutospacing="0" w:after="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 xml:space="preserve">要求</w:t>
            </w:r>
            <w:r/>
          </w:p>
        </w:tc>
      </w:tr>
      <w:tr>
        <w:trPr/>
        <w:tc>
          <w:tcPr>
            <w:tcW w:w="61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rPr>
              <w:t xml:space="preserve">电导率</w:t>
            </w:r>
            <w:r/>
          </w:p>
        </w:tc>
        <w:tc>
          <w:tcPr>
            <w:tcW w:w="4389"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rPr>
              <w:t xml:space="preserve">范围</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0.000μS/cm～3000 mS/cm</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最小分辨率</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0.001μS/cm,根据量程自动切换</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电子单元引用误差</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±0.5%FS</w:t>
            </w:r>
            <w:r/>
          </w:p>
        </w:tc>
      </w:tr>
      <w:tr>
        <w:trPr/>
        <w:tc>
          <w:tcPr>
            <w:tcW w:w="61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rPr>
              <w:t xml:space="preserve">电阻率</w:t>
            </w:r>
            <w:r/>
          </w:p>
        </w:tc>
        <w:tc>
          <w:tcPr>
            <w:tcW w:w="4389"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rPr>
              <w:t xml:space="preserve">范围</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5.000·cm～100.0 MOcm</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最小分辨率</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0.010·cm,根据量程自动切换</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电子单元引用误差</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±0.5%FS</w:t>
            </w:r>
            <w:r/>
          </w:p>
        </w:tc>
      </w:tr>
      <w:tr>
        <w:trPr/>
        <w:tc>
          <w:tcPr>
            <w:tcW w:w="61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rPr>
              <w:t xml:space="preserve">TDS</w:t>
            </w:r>
            <w:r/>
          </w:p>
        </w:tc>
        <w:tc>
          <w:tcPr>
            <w:tcW w:w="4389"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rPr>
              <w:t xml:space="preserve">范围</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0.000mg/L～1000 g/L</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最小分辨率</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0.001mg/L,根据量程自动切换</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电子单元引用误差</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±0.5%FS</w:t>
            </w:r>
            <w:r/>
          </w:p>
        </w:tc>
      </w:tr>
      <w:tr>
        <w:trPr/>
        <w:tc>
          <w:tcPr>
            <w:tcW w:w="61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rPr>
              <w:t xml:space="preserve">盐度</w:t>
            </w:r>
            <w:r/>
          </w:p>
        </w:tc>
        <w:tc>
          <w:tcPr>
            <w:tcW w:w="4389"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rPr>
              <w:t xml:space="preserve">范围</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(0.00～8.00)%</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最小分辨率</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0.01%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电子单元引用误差</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±0.1%</w:t>
            </w:r>
            <w:r/>
          </w:p>
        </w:tc>
      </w:tr>
      <w:tr>
        <w:trPr/>
        <w:tc>
          <w:tcPr>
            <w:tcW w:w="61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rPr>
              <w:t xml:space="preserve">温度</w:t>
            </w:r>
            <w:r/>
          </w:p>
        </w:tc>
        <w:tc>
          <w:tcPr>
            <w:tcW w:w="4389" w:type="pct"/>
            <w:vAlign w:val="center"/>
            <w:textDirection w:val="lrTb"/>
            <w:noWrap w:val="false"/>
          </w:tcPr>
          <w:p>
            <w:pPr>
              <w:ind w:left="0" w:firstLine="0"/>
              <w:jc w:val="left"/>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rPr>
              <w:t xml:space="preserve">范围</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(-10.0～135.0)℃/(14.0～275.0)°F</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最小分辨率</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0.1℃/0.1°F</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电子单元示值误差</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±0.1℃</w:t>
            </w:r>
            <w:r/>
          </w:p>
        </w:tc>
      </w:tr>
    </w:tbl>
    <w:p>
      <w:pPr>
        <w:pStyle w:val="721"/>
        <w:ind w:left="0"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分项11：手持式叶绿素</w:t>
      </w:r>
      <w:r>
        <w:rPr>
          <w:rStyle w:val="743"/>
          <w:rFonts w:hint="eastAsia" w:ascii="宋体" w:hAnsi="宋体" w:eastAsia="宋体" w:cs="宋体"/>
          <w:b/>
          <w:bCs/>
          <w:color w:val="auto"/>
          <w:sz w:val="24"/>
          <w:szCs w:val="24"/>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蓝绿藻</w:t>
      </w:r>
      <w:r>
        <w:rPr>
          <w:rStyle w:val="743"/>
          <w:rFonts w:hint="eastAsia" w:ascii="宋体" w:hAnsi="宋体" w:eastAsia="宋体" w:cs="宋体"/>
          <w:b/>
          <w:bCs/>
          <w:color w:val="auto"/>
          <w:sz w:val="24"/>
          <w:szCs w:val="24"/>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测定仪（1台）</w:t>
      </w:r>
      <w:r/>
    </w:p>
    <w:p>
      <w:pPr>
        <w:pStyle w:val="721"/>
        <w:ind w:left="0" w:firstLine="480"/>
        <w:keepLines w:val="0"/>
        <w:keepNext w:val="0"/>
        <w:pageBreakBefore w:val="0"/>
        <w:spacing w:beforeAutospacing="0" w:after="0" w:afterAutospacing="0" w:line="360" w:lineRule="auto"/>
        <w:widowControl w:val="off"/>
        <w:rPr>
          <w:rStyle w:val="745"/>
          <w:rFonts w:hint="eastAsia" w:ascii="宋体" w:hAnsi="宋体" w:eastAsia="宋体" w:cs="宋体"/>
          <w:color w:val="auto"/>
          <w:sz w:val="24"/>
          <w:szCs w:val="24"/>
          <w:lang w:val="en-US" w:eastAsia="zh-CN" w:bidi="ar"/>
        </w:rPr>
      </w:pPr>
      <w:r>
        <w:rPr>
          <w:rStyle w:val="745"/>
          <w:rFonts w:hint="eastAsia" w:ascii="宋体" w:hAnsi="宋体" w:eastAsia="宋体" w:cs="宋体"/>
          <w:color w:val="auto"/>
          <w:sz w:val="24"/>
          <w:szCs w:val="24"/>
          <w:lang w:val="en-US" w:eastAsia="zh-CN" w:bidi="ar"/>
        </w:rPr>
        <w:t xml:space="preserve">主要用途：用于快速检测水中的叶绿素浓度等。</w:t>
      </w:r>
      <w:r/>
    </w:p>
    <w:p>
      <w:pPr>
        <w:pStyle w:val="721"/>
        <w:ind w:left="0" w:firstLine="482"/>
        <w:keepLines w:val="0"/>
        <w:keepNext w:val="0"/>
        <w:pageBreakBefore w:val="0"/>
        <w:spacing w:beforeAutospacing="0" w:after="0" w:afterAutospacing="0" w:line="360" w:lineRule="auto"/>
        <w:widowControl w:val="off"/>
        <w:rPr>
          <w:rStyle w:val="745"/>
          <w:rFonts w:hint="eastAsia" w:ascii="宋体" w:hAnsi="宋体" w:eastAsia="宋体" w:cs="宋体"/>
          <w:b/>
          <w:bCs/>
          <w:color w:val="auto"/>
          <w:sz w:val="24"/>
          <w:szCs w:val="24"/>
          <w:lang w:val="en-US" w:eastAsia="zh-CN" w:bidi="ar"/>
        </w:rPr>
      </w:pPr>
      <w:r>
        <w:rPr>
          <w:rStyle w:val="745"/>
          <w:rFonts w:hint="eastAsia" w:ascii="宋体" w:hAnsi="宋体" w:eastAsia="宋体" w:cs="宋体"/>
          <w:b/>
          <w:bCs/>
          <w:color w:val="auto"/>
          <w:sz w:val="24"/>
          <w:szCs w:val="24"/>
          <w:lang w:val="en-US" w:eastAsia="zh-CN" w:bidi="ar"/>
        </w:rPr>
        <w:t xml:space="preserve">技术要求：</w:t>
      </w:r>
      <w:r/>
    </w:p>
    <w:tbl>
      <w:tblPr>
        <w:tblStyle w:val="7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5"/>
        <w:gridCol w:w="6459"/>
      </w:tblGrid>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工作原理</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荧光法</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测量范围</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0~200.0/2000.0Kcells/mL</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检出限/分辨率</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0.15Kcells/mL/0.01Kcells/mL</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测量精度</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＜8％FS</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重复性</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温度范围</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5-45℃</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最大承受压力</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1bar</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电源标准</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DC 5V +/-5%，电流&lt;50MA</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采用材质</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POM,尼龙和316不锈钢</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校正模式</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单点校正</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电极线长</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3M（可定制）</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传感器直径</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mm</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屏幕尺寸</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3寸液晶屏</w:t>
            </w:r>
            <w:r/>
          </w:p>
        </w:tc>
      </w:tr>
      <w:tr>
        <w:trPr>
          <w:jc w:val="center"/>
          <w:trHeight w:val="23"/>
        </w:trPr>
        <w:tc>
          <w:tcPr>
            <w:tcW w:w="175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净重</w:t>
            </w:r>
            <w:r/>
          </w:p>
        </w:tc>
        <w:tc>
          <w:tcPr>
            <w:tcW w:w="3244"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0.3kg</w:t>
            </w:r>
            <w:r>
              <w:rPr>
                <w:rFonts w:hint="eastAsia" w:ascii="宋体" w:hAnsi="宋体" w:eastAsia="宋体" w:cs="宋体"/>
                <w:color w:val="auto"/>
                <w:sz w:val="24"/>
                <w:szCs w:val="24"/>
                <w:lang w:eastAsia="zh-CN"/>
              </w:rPr>
              <w:t xml:space="preserve">左右</w:t>
            </w:r>
            <w:r/>
          </w:p>
        </w:tc>
      </w:tr>
    </w:tbl>
    <w:p>
      <w:pPr>
        <w:pStyle w:val="721"/>
        <w:ind w:left="0" w:firstLine="480"/>
        <w:keepLines w:val="0"/>
        <w:keepNext w:val="0"/>
        <w:pageBreakBefore w:val="0"/>
        <w:spacing w:beforeAutospacing="0" w:after="0" w:afterAutospacing="0" w:line="360" w:lineRule="auto"/>
        <w:widowControl w:val="off"/>
        <w:rPr>
          <w:rStyle w:val="745"/>
          <w:rFonts w:hint="eastAsia" w:ascii="宋体" w:hAnsi="宋体" w:eastAsia="宋体" w:cs="宋体"/>
          <w:color w:val="auto"/>
          <w:sz w:val="24"/>
          <w:szCs w:val="24"/>
          <w:lang w:val="en-US" w:eastAsia="zh-CN" w:bidi="ar"/>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bidi="ar"/>
        </w:rPr>
      </w:r>
      <w:r/>
    </w:p>
    <w:p>
      <w:pPr>
        <w:jc w:val="center"/>
        <w:keepLines w:val="0"/>
        <w:keepNext w:val="0"/>
        <w:pageBreakBefore w:val="0"/>
        <w:spacing w:beforeAutospacing="0" w:afterAutospacing="0" w:line="360" w:lineRule="auto"/>
        <w:widowControl w:val="off"/>
        <w:rPr>
          <w:rStyle w:val="745"/>
          <w:rFonts w:hint="eastAsia" w:ascii="宋体" w:hAnsi="宋体" w:eastAsia="宋体" w:cs="宋体"/>
          <w:color w:val="auto"/>
          <w:sz w:val="24"/>
          <w:szCs w:val="24"/>
          <w:lang w:val="en-US" w:eastAsia="zh-CN" w:bidi="ar"/>
        </w:rPr>
      </w:pPr>
      <w:r>
        <w:rPr>
          <w:rFonts w:hint="eastAsia" w:ascii="宋体" w:hAnsi="宋体" w:eastAsia="宋体" w:cs="宋体"/>
          <w:b/>
          <w:bCs/>
          <w:i w:val="0"/>
          <w:iCs w:val="0"/>
          <w:color w:val="auto"/>
          <w:sz w:val="24"/>
          <w:szCs w:val="24"/>
          <w:u w:val="none"/>
          <w:lang w:val="en-US" w:eastAsia="zh-CN" w:bidi="ar"/>
        </w:rPr>
        <w:t xml:space="preserve">分项12：</w:t>
      </w:r>
      <w:r>
        <w:rPr>
          <w:rFonts w:hint="eastAsia" w:ascii="宋体" w:hAnsi="宋体" w:eastAsia="宋体" w:cs="宋体"/>
          <w:b/>
          <w:bCs/>
          <w:i w:val="0"/>
          <w:iCs w:val="0"/>
          <w:color w:val="auto"/>
          <w:sz w:val="24"/>
          <w:szCs w:val="24"/>
          <w:highlight w:val="none"/>
          <w:u w:val="none"/>
          <w:lang w:val="en-US" w:eastAsia="zh-CN" w:bidi="ar"/>
        </w:rPr>
        <w:t xml:space="preserve">细菌快速检测仪</w:t>
      </w:r>
      <w:r>
        <w:rPr>
          <w:rFonts w:hint="eastAsia" w:ascii="宋体" w:hAnsi="宋体" w:eastAsia="宋体" w:cs="宋体"/>
          <w:b/>
          <w:bCs/>
          <w:color w:val="auto"/>
          <w:spacing w:val="-1"/>
          <w:sz w:val="24"/>
          <w:szCs w:val="24"/>
          <w:lang w:val="en-US" w:eastAsia="zh-CN"/>
        </w:rPr>
        <w:t xml:space="preserve">（1台）</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i w:val="0"/>
          <w:iCs w:val="0"/>
          <w:color w:val="auto"/>
          <w:sz w:val="24"/>
          <w:szCs w:val="24"/>
          <w:u w:val="none"/>
          <w:lang w:val="en-US" w:eastAsia="zh-CN" w:bidi="ar"/>
        </w:rPr>
        <w:t xml:space="preserve">主要用途：用于快速检测水中的大肠杆菌浓度。</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Hans"/>
        </w:rPr>
        <w:t xml:space="preserve">显示屏：高精度真彩触摸屏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eastAsia="zh-Hans"/>
        </w:rPr>
        <w:t xml:space="preserve">3.5英寸</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Hans"/>
        </w:rPr>
        <w:t xml:space="preserve">处理器：32位高速数据处理芯片</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Hans"/>
        </w:rPr>
        <w:t xml:space="preserve">检测精度：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eastAsia="zh-Hans"/>
        </w:rPr>
        <w:t xml:space="preserve">1×10</w:t>
      </w:r>
      <w:r>
        <w:rPr>
          <w:rFonts w:hint="eastAsia" w:ascii="宋体" w:hAnsi="宋体" w:eastAsia="宋体" w:cs="宋体"/>
          <w:color w:val="auto"/>
          <w:sz w:val="24"/>
          <w:szCs w:val="24"/>
          <w:vertAlign w:val="superscript"/>
          <w:lang w:eastAsia="zh-Hans"/>
        </w:rPr>
        <w:t xml:space="preserve">-18</w:t>
      </w:r>
      <w:r>
        <w:rPr>
          <w:rFonts w:hint="eastAsia" w:ascii="宋体" w:hAnsi="宋体" w:eastAsia="宋体" w:cs="宋体"/>
          <w:color w:val="auto"/>
          <w:sz w:val="24"/>
          <w:szCs w:val="24"/>
          <w:lang w:eastAsia="zh-Hans"/>
        </w:rPr>
        <w:t xml:space="preserve">mol ATP</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Hans"/>
        </w:rPr>
        <w:t xml:space="preserve">检测范围：0-9999 RLUs</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Hans"/>
        </w:rPr>
        <w:t xml:space="preserve">检测时间：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eastAsia="zh-Hans"/>
        </w:rPr>
        <w:t xml:space="preserve">15秒</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Hans"/>
        </w:rPr>
        <w:t xml:space="preserve">背景噪声值： ≤6RLU(n=10）</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lang w:eastAsia="zh-Hans"/>
        </w:rPr>
        <w:t xml:space="preserve">检出限：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eastAsia="zh-Hans"/>
        </w:rPr>
        <w:t xml:space="preserve">9.4×10</w:t>
      </w:r>
      <w:r>
        <w:rPr>
          <w:rFonts w:hint="eastAsia" w:ascii="宋体" w:hAnsi="宋体" w:eastAsia="宋体" w:cs="宋体"/>
          <w:color w:val="auto"/>
          <w:sz w:val="24"/>
          <w:szCs w:val="24"/>
          <w:vertAlign w:val="superscript"/>
          <w:lang w:eastAsia="zh-Hans"/>
        </w:rPr>
        <w:t xml:space="preserve">-15</w:t>
      </w:r>
      <w:r>
        <w:rPr>
          <w:rFonts w:hint="eastAsia" w:ascii="宋体" w:hAnsi="宋体" w:eastAsia="宋体" w:cs="宋体"/>
          <w:color w:val="auto"/>
          <w:sz w:val="24"/>
          <w:szCs w:val="24"/>
          <w:lang w:eastAsia="zh-Hans"/>
        </w:rPr>
        <w:t xml:space="preserve">mol ATP，RLU 示值为≤2；</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eastAsia="zh-Hans"/>
        </w:rPr>
        <w:t xml:space="preserve">重复性：仪器示值为100RLU左右时，重复测定的相对标准偏差为≤2.3%(n=10）</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lang w:eastAsia="zh-Hans"/>
        </w:rPr>
        <w:t xml:space="preserve">线性误差：仪器示值为100RLU左右时，测定的线性误差为≥-3.6%。</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eastAsia="zh-Hans"/>
        </w:rPr>
        <w:t xml:space="preserve">操作温度范围：5℃到40℃</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lang w:eastAsia="zh-Hans"/>
        </w:rPr>
        <w:t xml:space="preserve">操作湿度范围：20—85﹪</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lang w:eastAsia="zh-Hans"/>
        </w:rPr>
        <w:t xml:space="preserve">ATP 回收率：90-110%</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lang w:eastAsia="zh-Hans"/>
        </w:rPr>
        <w:t xml:space="preserve">检出模式：RLU</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lang w:eastAsia="zh-Hans"/>
        </w:rPr>
        <w:t xml:space="preserve">50 个用户ID设定</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lang w:eastAsia="zh-Hans"/>
        </w:rPr>
        <w:t xml:space="preserve">可设定的结果限值个数：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250</w:t>
      </w:r>
      <w:r>
        <w:rPr>
          <w:rFonts w:hint="eastAsia" w:ascii="宋体" w:hAnsi="宋体" w:eastAsia="宋体" w:cs="宋体"/>
          <w:color w:val="auto"/>
          <w:sz w:val="24"/>
          <w:szCs w:val="24"/>
          <w:lang w:eastAsia="zh-Hans"/>
        </w:rPr>
        <w:t xml:space="preserve"> 个</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lang w:eastAsia="zh-Hans"/>
        </w:rPr>
        <w:t xml:space="preserve">自动判断合格与不合格</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lang w:eastAsia="zh-Hans"/>
        </w:rPr>
        <w:t xml:space="preserve">可设置上下限值</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lang w:eastAsia="zh-Hans"/>
        </w:rPr>
        <w:t xml:space="preserve">自动统计合格率</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lang w:eastAsia="zh-Hans"/>
        </w:rPr>
        <w:t xml:space="preserve">内置自校光源</w:t>
      </w:r>
      <w:r/>
    </w:p>
    <w:p>
      <w:pPr>
        <w:pStyle w:val="733"/>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lang w:eastAsia="zh-Hans"/>
        </w:rPr>
        <w:t xml:space="preserve">开机自检</w:t>
      </w:r>
      <w:r>
        <w:rPr>
          <w:rFonts w:hint="eastAsia" w:ascii="宋体" w:hAnsi="宋体" w:eastAsia="宋体" w:cs="宋体"/>
          <w:color w:val="auto"/>
          <w:sz w:val="24"/>
          <w:szCs w:val="24"/>
          <w:lang w:eastAsia="zh-CN"/>
        </w:rPr>
        <w:t xml:space="preserve">小于等于</w:t>
      </w:r>
      <w:r>
        <w:rPr>
          <w:rFonts w:hint="eastAsia" w:ascii="宋体" w:hAnsi="宋体" w:eastAsia="宋体" w:cs="宋体"/>
          <w:color w:val="auto"/>
          <w:sz w:val="24"/>
          <w:szCs w:val="24"/>
          <w:lang w:val="en-US" w:eastAsia="zh-CN"/>
        </w:rPr>
        <w:t xml:space="preserve">30秒</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lang w:eastAsia="zh-Hans"/>
        </w:rPr>
        <w:t xml:space="preserve">配有 miniUSB 接口，可将数据结果上传至 PC 电脑端</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lang w:eastAsia="zh-Hans"/>
        </w:rPr>
        <w:t xml:space="preserve">配带上位机软件，专用软件驱动 U 盘代替传统光盘</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24.</w:t>
      </w:r>
      <w:r>
        <w:rPr>
          <w:rFonts w:hint="eastAsia" w:ascii="宋体" w:hAnsi="宋体" w:eastAsia="宋体" w:cs="宋体"/>
          <w:color w:val="auto"/>
          <w:sz w:val="24"/>
          <w:szCs w:val="24"/>
          <w:lang w:eastAsia="zh-Hans"/>
        </w:rPr>
        <w:t xml:space="preserve">内置锂电池供电，待机 8 个小时以上</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25.</w:t>
      </w:r>
      <w:r>
        <w:rPr>
          <w:rFonts w:hint="eastAsia" w:ascii="宋体" w:hAnsi="宋体" w:eastAsia="宋体" w:cs="宋体"/>
          <w:color w:val="auto"/>
          <w:sz w:val="24"/>
          <w:szCs w:val="24"/>
          <w:lang w:eastAsia="zh-Hans"/>
        </w:rPr>
        <w:t xml:space="preserve">稳定的液体荧光素酶</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26.</w:t>
      </w:r>
      <w:r>
        <w:rPr>
          <w:rFonts w:hint="eastAsia" w:ascii="宋体" w:hAnsi="宋体" w:eastAsia="宋体" w:cs="宋体"/>
          <w:color w:val="auto"/>
          <w:sz w:val="24"/>
          <w:szCs w:val="24"/>
          <w:lang w:eastAsia="zh-Hans"/>
        </w:rPr>
        <w:t xml:space="preserve">润湿的一体化采集拭子</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 xml:space="preserve">27.</w:t>
      </w:r>
      <w:r>
        <w:rPr>
          <w:rFonts w:hint="eastAsia" w:ascii="宋体" w:hAnsi="宋体" w:eastAsia="宋体" w:cs="宋体"/>
          <w:color w:val="auto"/>
          <w:sz w:val="24"/>
          <w:szCs w:val="24"/>
          <w:lang w:eastAsia="zh-Hans"/>
        </w:rPr>
        <w:t xml:space="preserve">满足 JJF1828-2020 ATP 荧光检测仪校准规范</w:t>
      </w:r>
      <w:r/>
    </w:p>
    <w:p>
      <w:pPr>
        <w:ind w:left="0" w:firstLine="480"/>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28.</w:t>
      </w:r>
      <w:r>
        <w:rPr>
          <w:rFonts w:hint="eastAsia" w:ascii="宋体" w:hAnsi="宋体" w:eastAsia="宋体" w:cs="宋体"/>
          <w:color w:val="auto"/>
          <w:sz w:val="24"/>
          <w:szCs w:val="24"/>
          <w:lang w:eastAsia="zh-Hans"/>
        </w:rPr>
        <w:t xml:space="preserve">满足 WS/T 512-2016 医疗机构环境表面清洁与消毒管理规范，A.1.2.3 记录监测表面的相对光单位值(RLU) , 考核环境表面清洁工作质量</w:t>
      </w:r>
      <w:r>
        <w:rPr>
          <w:rFonts w:hint="eastAsia" w:ascii="宋体" w:hAnsi="宋体" w:eastAsia="宋体" w:cs="宋体"/>
          <w:color w:val="auto"/>
          <w:sz w:val="24"/>
          <w:szCs w:val="24"/>
          <w:lang w:eastAsia="zh-CN"/>
        </w:rPr>
        <w:t xml:space="preserve">。</w:t>
      </w:r>
      <w:r/>
    </w:p>
    <w:p>
      <w:pPr>
        <w:pStyle w:val="721"/>
        <w:ind w:left="0" w:firstLine="480"/>
        <w:keepLines w:val="0"/>
        <w:keepNext w:val="0"/>
        <w:pageBreakBefore w:val="0"/>
        <w:spacing w:beforeAutospacing="0" w:after="0" w:afterAutospacing="0" w:line="360" w:lineRule="auto"/>
        <w:widowControl w:val="off"/>
        <w:rPr>
          <w:rStyle w:val="745"/>
          <w:rFonts w:hint="eastAsia" w:ascii="宋体" w:hAnsi="宋体" w:eastAsia="宋体" w:cs="宋体"/>
          <w:color w:val="auto"/>
          <w:sz w:val="24"/>
          <w:szCs w:val="24"/>
          <w:lang w:val="en-US" w:eastAsia="zh-CN" w:bidi="ar"/>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bidi="ar"/>
        </w:rPr>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分项13：深井采样器（1台）</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主要用途：用于地下深水、深井、湖泊、海洋、河流等一系列深水取样。</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设备参数要求：</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泵体采用不锈钢材质精制而成，外径≤5cm；</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配置安全绳，有效防止洗井泵使用过程中脱落；</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3.流量：≥15L/min，基础参数为15L/min；</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4.扬程：≥35m，基础参数为35m；</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5.出口直径：大于等于40mm；</w:t>
      </w:r>
      <w:r/>
    </w:p>
    <w:p>
      <w:pPr>
        <w:pStyle w:val="733"/>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6.电压：220V。</w:t>
      </w:r>
      <w:r/>
    </w:p>
    <w:p>
      <w:pPr>
        <w:pStyle w:val="721"/>
        <w:ind w:left="0" w:firstLine="480"/>
        <w:keepLines w:val="0"/>
        <w:keepNext w:val="0"/>
        <w:pageBreakBefore w:val="0"/>
        <w:spacing w:beforeAutospacing="0" w:after="0" w:afterAutospacing="0" w:line="360" w:lineRule="auto"/>
        <w:widowControl w:val="off"/>
        <w:rPr>
          <w:rStyle w:val="745"/>
          <w:rFonts w:hint="eastAsia" w:ascii="宋体" w:hAnsi="宋体" w:eastAsia="宋体" w:cs="宋体"/>
          <w:color w:val="auto"/>
          <w:sz w:val="24"/>
          <w:szCs w:val="24"/>
          <w:lang w:val="en-US" w:eastAsia="zh-CN" w:bidi="ar"/>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bidi="ar"/>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i w:val="0"/>
          <w:iCs w:val="0"/>
          <w:color w:val="auto"/>
          <w:sz w:val="24"/>
          <w:szCs w:val="24"/>
          <w:u w:val="none"/>
          <w:lang w:val="en-US" w:eastAsia="zh-CN" w:bidi="ar"/>
        </w:rPr>
        <w:t xml:space="preserve">分项14：</w:t>
      </w:r>
      <w:r>
        <w:rPr>
          <w:rFonts w:hint="eastAsia" w:ascii="宋体" w:hAnsi="宋体" w:eastAsia="宋体" w:cs="宋体"/>
          <w:b/>
          <w:bCs/>
          <w:color w:val="auto"/>
          <w:spacing w:val="-1"/>
          <w:sz w:val="24"/>
          <w:szCs w:val="24"/>
          <w:lang w:val="en-US" w:eastAsia="zh-CN"/>
        </w:rPr>
        <w:t xml:space="preserve">空气采样器（6套）</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一、主要用途</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应用滤膜称重法捕集环境大气中的总悬浮微粒(TSP)、可吸入微粒(PM10)和细颗粒物(PM2.5)；用溶液吸收法采集环境大气、室内空气中各种污染性气体成份(SO2、NOx等)；也可应用于环境空气中VOCs的采样。可供环保部门用于颗粒物、气态物质和气溶胶的常规或应急监测。</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二、执行标准</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GB/T 18883-2022  室内空气质量标准</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GB/T 39193-2020  环境空气 颗粒物质量浓度测定 重量法</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GB 50325-2020    民用建筑工程室内环境污染控制标准</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HJ 93-2013        环境空气颗粒物(PM10和PM2.5)采样器技术要求及检测方法</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HJ/T 374-2007     总悬浮颗粒物采样器技术要求及检测方法</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HJ/T 375-2007     环境空气采样器技术要求及检测方法</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HJ 618-2011     环境空气 PM10和PM2.5的测定 重量法</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HJ644-2013     环境空气挥发性有机物的测定 吸附管采样-热脱附气相色谱法-质谱法</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HJ645-2013     环境空气 挥发性卤代烃的测定 活性炭吸附-二硫化碳解吸/气相色谱法</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HJ683-2014     环境空气 醛、酮类化合物的测定 高效液相色谱法</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HJ 1263-2022    环境空气 总悬浮颗粒物的测定 重量法</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三、技术指标</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1.具有5气路同时采样功能，每路采样流量分别设置并独自恒流控制。可同时作为四路环境空气采样器和TSP/PM10/PM2.5颗粒物采样；也可设置任意单路采样</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2.采样流量自动控制：采用高精度、耐腐蚀电子流量计，微电脑系统检测采样流量，自动补偿因为电压波动和阻力、温度变化引起的流量变化</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3.自动计算累计采样体积，并同时根据气压、温度换算参比采样体积（25℃、101.325kPa 参比状态的体积，出厂默认）或标况采样体积</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4.采样过程停电自动保存工作数据，来电后可恢复采样</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5.精密芯泵，耐腐蚀，超低噪音，连续运转免维护，适应各种工况，具有过载保护功能</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6.高效防倒吸干燥器设计，有效防止误操作导致的吸收液倒吸，增强仪器安全性</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7.可以实现即时采样、定时采样、间隔采样等多种采样模式</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8.内置锂电池和充电管理模块，具备交流、直流双供电功能</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9.内置蓝牙模块，可连接便携式蓝牙打印机轻松掌握实时数据</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10.提供USB接口，可将采样数据文件导出，同时支持升级仪器主板程序</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11.内置电子标签，可与仪器出入库管理平台软件配合实现仪器智能化管理</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12.主机技术指标</w:t>
      </w:r>
      <w:r/>
    </w:p>
    <w:tbl>
      <w:tblPr>
        <w:tblStyle w:val="7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5"/>
        <w:gridCol w:w="3824"/>
        <w:gridCol w:w="1583"/>
        <w:gridCol w:w="2620"/>
      </w:tblGrid>
      <w:tr>
        <w:trPr>
          <w:jc w:val="center"/>
          <w:trHeight w:val="397"/>
        </w:trPr>
        <w:tc>
          <w:tcPr>
            <w:shd w:val="clear" w:color="auto" w:fill="auto"/>
            <w:tcBorders>
              <w:right w:val="single" w:color="auto" w:sz="4" w:space="0"/>
            </w:tcBorders>
            <w:tcW w:w="967"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主要参数</w:t>
            </w:r>
            <w:r/>
          </w:p>
        </w:tc>
        <w:tc>
          <w:tcPr>
            <w:shd w:val="clear" w:color="auto" w:fill="auto"/>
            <w:tcBorders>
              <w:left w:val="single" w:color="auto" w:sz="4" w:space="0"/>
              <w:right w:val="single" w:color="auto" w:sz="4" w:space="0"/>
            </w:tcBorders>
            <w:tcW w:w="1921"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参数范围</w:t>
            </w:r>
            <w:r/>
          </w:p>
        </w:tc>
        <w:tc>
          <w:tcPr>
            <w:shd w:val="clear" w:color="auto" w:fill="auto"/>
            <w:tcBorders>
              <w:left w:val="single" w:color="auto" w:sz="4" w:space="0"/>
              <w:right w:val="single" w:color="auto" w:sz="4" w:space="0"/>
            </w:tcBorders>
            <w:tcW w:w="795"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分辨率</w:t>
            </w:r>
            <w:r/>
          </w:p>
        </w:tc>
        <w:tc>
          <w:tcPr>
            <w:shd w:val="clear" w:color="auto" w:fill="auto"/>
            <w:tcBorders>
              <w:left w:val="single" w:color="auto" w:sz="4" w:space="0"/>
              <w:right w:val="single" w:color="auto" w:sz="4" w:space="0"/>
            </w:tcBorders>
            <w:tcW w:w="1315"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准确度</w:t>
            </w:r>
            <w:r/>
          </w:p>
        </w:tc>
      </w:tr>
      <w:tr>
        <w:trPr>
          <w:jc w:val="center"/>
          <w:trHeight w:val="39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颗粒物采样流量</w:t>
            </w:r>
            <w:r/>
          </w:p>
        </w:tc>
        <w:tc>
          <w:tcPr>
            <w:tcBorders>
              <w:left w:val="single" w:color="auto" w:sz="4" w:space="0"/>
              <w:right w:val="single" w:color="auto" w:sz="4" w:space="0"/>
            </w:tcBorders>
            <w:tcW w:w="1921"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最大空载流量150L/min，工作点流量可定制</w:t>
            </w:r>
            <w:r/>
          </w:p>
        </w:tc>
        <w:tc>
          <w:tcPr>
            <w:shd w:val="clear" w:color="auto" w:fill="auto"/>
            <w:tcBorders>
              <w:left w:val="single" w:color="auto" w:sz="4" w:space="0"/>
              <w:right w:val="single" w:color="auto" w:sz="4" w:space="0"/>
            </w:tcBorders>
            <w:tcW w:w="79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0.1L/min</w:t>
            </w:r>
            <w:r/>
          </w:p>
        </w:tc>
        <w:tc>
          <w:tcPr>
            <w:tcBorders>
              <w:left w:val="single" w:color="auto" w:sz="4" w:space="0"/>
              <w:right w:val="single" w:color="auto" w:sz="4" w:space="0"/>
            </w:tcBorders>
            <w:tcW w:w="131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不超过±5% （其他误差可订制）</w:t>
            </w:r>
            <w:r/>
          </w:p>
        </w:tc>
      </w:tr>
      <w:tr>
        <w:trPr>
          <w:jc w:val="center"/>
          <w:trHeight w:val="201"/>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大气采样流量</w:t>
            </w:r>
            <w:r/>
          </w:p>
        </w:tc>
        <w:tc>
          <w:tcPr>
            <w:tcBorders>
              <w:left w:val="single" w:color="auto" w:sz="4" w:space="0"/>
              <w:right w:val="single" w:color="auto" w:sz="4" w:space="0"/>
            </w:tcBorders>
            <w:tcW w:w="1921"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标配(0～1.0）L/min</w:t>
            </w:r>
            <w:r/>
          </w:p>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C/D路可定制（10～200）mL/min</w:t>
            </w:r>
            <w:r/>
          </w:p>
        </w:tc>
        <w:tc>
          <w:tcPr>
            <w:shd w:val="clear" w:color="auto" w:fill="auto"/>
            <w:tcBorders>
              <w:left w:val="single" w:color="auto" w:sz="4" w:space="0"/>
              <w:right w:val="single" w:color="auto" w:sz="4" w:space="0"/>
            </w:tcBorders>
            <w:tcW w:w="79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0.01L/min</w:t>
            </w:r>
            <w:r/>
          </w:p>
        </w:tc>
        <w:tc>
          <w:tcPr>
            <w:tcBorders>
              <w:left w:val="single" w:color="auto" w:sz="4" w:space="0"/>
              <w:right w:val="single" w:color="auto" w:sz="4" w:space="0"/>
            </w:tcBorders>
            <w:tcW w:w="131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不超过±5% （其他误差可订制）</w:t>
            </w:r>
            <w:r/>
          </w:p>
        </w:tc>
      </w:tr>
      <w:tr>
        <w:trPr>
          <w:jc w:val="center"/>
          <w:trHeight w:val="39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采样时间</w:t>
            </w:r>
            <w:r/>
          </w:p>
        </w:tc>
        <w:tc>
          <w:tcPr>
            <w:tcBorders>
              <w:left w:val="single" w:color="auto" w:sz="4" w:space="0"/>
              <w:right w:val="single" w:color="auto" w:sz="4" w:space="0"/>
            </w:tcBorders>
            <w:tcW w:w="1921"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99h59min内任意设置</w:t>
            </w:r>
            <w:r/>
          </w:p>
        </w:tc>
        <w:tc>
          <w:tcPr>
            <w:shd w:val="clear" w:color="auto" w:fill="auto"/>
            <w:tcBorders>
              <w:left w:val="single" w:color="auto" w:sz="4" w:space="0"/>
              <w:right w:val="single" w:color="auto" w:sz="4" w:space="0"/>
            </w:tcBorders>
            <w:tcW w:w="79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1min</w:t>
            </w:r>
            <w:r/>
          </w:p>
        </w:tc>
        <w:tc>
          <w:tcPr>
            <w:tcBorders>
              <w:left w:val="single" w:color="auto" w:sz="4" w:space="0"/>
              <w:right w:val="single" w:color="auto" w:sz="4" w:space="0"/>
            </w:tcBorders>
            <w:tcW w:w="131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20min计时误差不超过±1s</w:t>
            </w:r>
            <w:r/>
          </w:p>
        </w:tc>
      </w:tr>
      <w:tr>
        <w:trPr>
          <w:jc w:val="center"/>
          <w:trHeight w:val="39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流量计前温度</w:t>
            </w:r>
            <w:r/>
          </w:p>
        </w:tc>
        <w:tc>
          <w:tcPr>
            <w:tcBorders>
              <w:left w:val="single" w:color="auto" w:sz="4" w:space="0"/>
              <w:right w:val="single" w:color="auto" w:sz="4" w:space="0"/>
            </w:tcBorders>
            <w:tcW w:w="1921"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（-30~99）℃</w:t>
            </w:r>
            <w:r/>
          </w:p>
        </w:tc>
        <w:tc>
          <w:tcPr>
            <w:shd w:val="clear" w:color="auto" w:fill="auto"/>
            <w:tcBorders>
              <w:left w:val="single" w:color="auto" w:sz="4" w:space="0"/>
              <w:right w:val="single" w:color="auto" w:sz="4" w:space="0"/>
            </w:tcBorders>
            <w:tcW w:w="79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0.1℃</w:t>
            </w:r>
            <w:r/>
          </w:p>
        </w:tc>
        <w:tc>
          <w:tcPr>
            <w:tcBorders>
              <w:left w:val="single" w:color="auto" w:sz="4" w:space="0"/>
              <w:right w:val="single" w:color="auto" w:sz="4" w:space="0"/>
            </w:tcBorders>
            <w:tcW w:w="131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不超过±2.5℃</w:t>
            </w:r>
            <w:r/>
          </w:p>
        </w:tc>
      </w:tr>
      <w:tr>
        <w:trPr>
          <w:jc w:val="center"/>
          <w:trHeight w:val="37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流量计前压力</w:t>
            </w:r>
            <w:r/>
          </w:p>
        </w:tc>
        <w:tc>
          <w:tcPr>
            <w:tcBorders>
              <w:left w:val="single" w:color="auto" w:sz="4" w:space="0"/>
              <w:right w:val="single" w:color="auto" w:sz="4" w:space="0"/>
            </w:tcBorders>
            <w:tcW w:w="1921"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（-45~0）kPa</w:t>
            </w:r>
            <w:r/>
          </w:p>
        </w:tc>
        <w:tc>
          <w:tcPr>
            <w:tcBorders>
              <w:left w:val="single" w:color="auto" w:sz="4" w:space="0"/>
              <w:right w:val="single" w:color="auto" w:sz="4" w:space="0"/>
            </w:tcBorders>
            <w:tcW w:w="79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0.01kPa</w:t>
            </w:r>
            <w:r/>
          </w:p>
        </w:tc>
        <w:tc>
          <w:tcPr>
            <w:tcBorders>
              <w:left w:val="single" w:color="auto" w:sz="4" w:space="0"/>
              <w:right w:val="single" w:color="auto" w:sz="4" w:space="0"/>
            </w:tcBorders>
            <w:tcW w:w="131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不超过±2.5%</w:t>
            </w:r>
            <w:r/>
          </w:p>
        </w:tc>
      </w:tr>
      <w:tr>
        <w:trPr>
          <w:jc w:val="center"/>
          <w:trHeight w:val="37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流量重复性</w:t>
            </w:r>
            <w:r/>
          </w:p>
        </w:tc>
        <w:tc>
          <w:tcPr>
            <w:tcBorders>
              <w:left w:val="single" w:color="auto" w:sz="4" w:space="0"/>
              <w:right w:val="single" w:color="auto" w:sz="4" w:space="0"/>
            </w:tcBorders>
            <w:tcW w:w="1921"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tc>
        <w:tc>
          <w:tcPr>
            <w:tcBorders>
              <w:left w:val="single" w:color="auto" w:sz="4" w:space="0"/>
              <w:right w:val="single" w:color="auto" w:sz="4" w:space="0"/>
            </w:tcBorders>
            <w:tcW w:w="79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tc>
        <w:tc>
          <w:tcPr>
            <w:tcBorders>
              <w:left w:val="single" w:color="auto" w:sz="4" w:space="0"/>
              <w:right w:val="single" w:color="auto" w:sz="4" w:space="0"/>
            </w:tcBorders>
            <w:tcW w:w="131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不超过2%</w:t>
            </w:r>
            <w:r/>
          </w:p>
        </w:tc>
      </w:tr>
      <w:tr>
        <w:trPr>
          <w:jc w:val="center"/>
          <w:trHeight w:val="37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流量稳定性</w:t>
            </w:r>
            <w:r/>
          </w:p>
        </w:tc>
        <w:tc>
          <w:tcPr>
            <w:tcBorders>
              <w:left w:val="single" w:color="auto" w:sz="4" w:space="0"/>
              <w:right w:val="single" w:color="auto" w:sz="4" w:space="0"/>
            </w:tcBorders>
            <w:tcW w:w="1921"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tc>
        <w:tc>
          <w:tcPr>
            <w:tcBorders>
              <w:left w:val="single" w:color="auto" w:sz="4" w:space="0"/>
              <w:right w:val="single" w:color="auto" w:sz="4" w:space="0"/>
            </w:tcBorders>
            <w:tcW w:w="79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tc>
        <w:tc>
          <w:tcPr>
            <w:tcBorders>
              <w:left w:val="single" w:color="auto" w:sz="4" w:space="0"/>
              <w:right w:val="single" w:color="auto" w:sz="4" w:space="0"/>
            </w:tcBorders>
            <w:tcW w:w="131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不超过5%</w:t>
            </w:r>
            <w:r/>
          </w:p>
        </w:tc>
      </w:tr>
      <w:tr>
        <w:trPr>
          <w:jc w:val="center"/>
          <w:trHeight w:val="37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恒温控制</w:t>
            </w:r>
            <w:r/>
          </w:p>
        </w:tc>
        <w:tc>
          <w:tcPr>
            <w:tcBorders>
              <w:left w:val="single" w:color="auto" w:sz="4" w:space="0"/>
              <w:right w:val="single" w:color="auto" w:sz="4" w:space="0"/>
            </w:tcBorders>
            <w:tcW w:w="1921"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（15~30）℃</w:t>
            </w:r>
            <w:r/>
          </w:p>
        </w:tc>
        <w:tc>
          <w:tcPr>
            <w:tcBorders>
              <w:left w:val="single" w:color="auto" w:sz="4" w:space="0"/>
              <w:right w:val="single" w:color="auto" w:sz="4" w:space="0"/>
            </w:tcBorders>
            <w:tcW w:w="79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0.1℃</w:t>
            </w:r>
            <w:r/>
          </w:p>
        </w:tc>
        <w:tc>
          <w:tcPr>
            <w:tcBorders>
              <w:left w:val="single" w:color="auto" w:sz="4" w:space="0"/>
              <w:right w:val="single" w:color="auto" w:sz="4" w:space="0"/>
            </w:tcBorders>
            <w:tcW w:w="131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不超过±2℃</w:t>
            </w:r>
            <w:r/>
          </w:p>
        </w:tc>
      </w:tr>
      <w:tr>
        <w:trPr>
          <w:jc w:val="center"/>
          <w:trHeight w:val="39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大气压</w:t>
            </w:r>
            <w:r/>
          </w:p>
        </w:tc>
        <w:tc>
          <w:tcPr>
            <w:tcBorders>
              <w:left w:val="single" w:color="auto" w:sz="4" w:space="0"/>
              <w:right w:val="single" w:color="auto" w:sz="4" w:space="0"/>
            </w:tcBorders>
            <w:tcW w:w="1921"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（50~130）kPa</w:t>
            </w:r>
            <w:r/>
          </w:p>
        </w:tc>
        <w:tc>
          <w:tcPr>
            <w:tcBorders>
              <w:left w:val="single" w:color="auto" w:sz="4" w:space="0"/>
              <w:right w:val="single" w:color="auto" w:sz="4" w:space="0"/>
            </w:tcBorders>
            <w:tcW w:w="79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0.01kPa</w:t>
            </w:r>
            <w:r/>
          </w:p>
        </w:tc>
        <w:tc>
          <w:tcPr>
            <w:tcBorders>
              <w:left w:val="single" w:color="auto" w:sz="4" w:space="0"/>
              <w:right w:val="single" w:color="auto" w:sz="4" w:space="0"/>
            </w:tcBorders>
            <w:tcW w:w="1315"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不超过±500Pa</w:t>
            </w:r>
            <w:r/>
          </w:p>
        </w:tc>
      </w:tr>
      <w:tr>
        <w:trPr>
          <w:jc w:val="center"/>
          <w:trHeight w:val="39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负载能力</w:t>
            </w:r>
            <w:r/>
          </w:p>
        </w:tc>
        <w:tc>
          <w:tcPr>
            <w:gridSpan w:val="3"/>
            <w:tcBorders>
              <w:left w:val="single" w:color="auto" w:sz="4" w:space="0"/>
              <w:right w:val="single" w:color="auto" w:sz="4" w:space="0"/>
            </w:tcBorders>
            <w:tcW w:w="4032"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100L/min流量时，可克服阻力6kPa</w:t>
            </w:r>
            <w:r/>
          </w:p>
        </w:tc>
      </w:tr>
      <w:tr>
        <w:trPr>
          <w:jc w:val="center"/>
          <w:trHeight w:val="39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数据存储</w:t>
            </w:r>
            <w:r/>
          </w:p>
        </w:tc>
        <w:tc>
          <w:tcPr>
            <w:gridSpan w:val="3"/>
            <w:tcBorders>
              <w:left w:val="single" w:color="auto" w:sz="4" w:space="0"/>
              <w:right w:val="single" w:color="auto" w:sz="4" w:space="0"/>
            </w:tcBorders>
            <w:tcW w:w="4032"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9999组</w:t>
            </w:r>
            <w:r/>
          </w:p>
        </w:tc>
      </w:tr>
      <w:tr>
        <w:trPr>
          <w:jc w:val="center"/>
          <w:trHeight w:val="341"/>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仪器噪音</w:t>
            </w:r>
            <w:r/>
          </w:p>
        </w:tc>
        <w:tc>
          <w:tcPr>
            <w:gridSpan w:val="3"/>
            <w:tcBorders>
              <w:left w:val="single" w:color="auto" w:sz="4" w:space="0"/>
              <w:right w:val="single" w:color="auto" w:sz="4" w:space="0"/>
            </w:tcBorders>
            <w:tcW w:w="4032"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≤62dB(A)</w:t>
            </w:r>
            <w:r/>
          </w:p>
        </w:tc>
      </w:tr>
      <w:tr>
        <w:trPr>
          <w:jc w:val="center"/>
          <w:trHeight w:val="39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主机重量</w:t>
            </w:r>
            <w:r/>
          </w:p>
        </w:tc>
        <w:tc>
          <w:tcPr>
            <w:gridSpan w:val="3"/>
            <w:tcBorders>
              <w:left w:val="single" w:color="auto" w:sz="4" w:space="0"/>
              <w:right w:val="single" w:color="auto" w:sz="4" w:space="0"/>
            </w:tcBorders>
            <w:tcW w:w="4032"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5.0kg左右 </w:t>
            </w:r>
            <w:r/>
          </w:p>
        </w:tc>
      </w:tr>
      <w:tr>
        <w:trPr>
          <w:jc w:val="center"/>
          <w:trHeight w:val="39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工作电源</w:t>
            </w:r>
            <w:r/>
          </w:p>
        </w:tc>
        <w:tc>
          <w:tcPr>
            <w:gridSpan w:val="3"/>
            <w:tcBorders>
              <w:left w:val="single" w:color="auto" w:sz="4" w:space="0"/>
              <w:right w:val="single" w:color="auto" w:sz="4" w:space="0"/>
            </w:tcBorders>
            <w:tcW w:w="4032"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内置锂电池或外接AC 220V 50Hz交流电源</w:t>
            </w:r>
            <w:r/>
          </w:p>
        </w:tc>
      </w:tr>
      <w:tr>
        <w:trPr>
          <w:jc w:val="center"/>
          <w:trHeight w:val="39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工作时间</w:t>
            </w:r>
            <w:r/>
          </w:p>
        </w:tc>
        <w:tc>
          <w:tcPr>
            <w:gridSpan w:val="3"/>
            <w:tcBorders>
              <w:left w:val="single" w:color="auto" w:sz="4" w:space="0"/>
              <w:right w:val="single" w:color="auto" w:sz="4" w:space="0"/>
            </w:tcBorders>
            <w:tcW w:w="4032"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不低于5小时（负载-2.5kPa 流量100L/min，未开恒温）</w:t>
            </w:r>
            <w:r/>
          </w:p>
        </w:tc>
      </w:tr>
      <w:tr>
        <w:trPr>
          <w:jc w:val="center"/>
          <w:trHeight w:val="397"/>
        </w:trPr>
        <w:tc>
          <w:tcPr>
            <w:tcBorders>
              <w:right w:val="single" w:color="auto" w:sz="4" w:space="0"/>
            </w:tcBorders>
            <w:tcW w:w="967"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功耗</w:t>
            </w:r>
            <w:r/>
          </w:p>
        </w:tc>
        <w:tc>
          <w:tcPr>
            <w:gridSpan w:val="3"/>
            <w:tcBorders>
              <w:left w:val="single" w:color="auto" w:sz="4" w:space="0"/>
              <w:right w:val="single" w:color="auto" w:sz="4" w:space="0"/>
            </w:tcBorders>
            <w:tcW w:w="4032"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＜120W</w:t>
            </w:r>
            <w:r/>
          </w:p>
        </w:tc>
      </w:tr>
    </w:tbl>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13.采样头技术指标</w:t>
      </w:r>
      <w:r/>
    </w:p>
    <w:tbl>
      <w:tblPr>
        <w:tblStyle w:val="7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35"/>
        <w:gridCol w:w="7519"/>
      </w:tblGrid>
      <w:tr>
        <w:trPr>
          <w:jc w:val="center"/>
          <w:trHeight w:val="397"/>
        </w:trPr>
        <w:tc>
          <w:tcPr>
            <w:shd w:val="clear" w:color="auto" w:fill="auto"/>
            <w:tcBorders>
              <w:right w:val="single" w:color="auto" w:sz="4" w:space="0"/>
            </w:tcBorders>
            <w:tcW w:w="1223"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主要参数</w:t>
            </w:r>
            <w:r/>
          </w:p>
        </w:tc>
        <w:tc>
          <w:tcPr>
            <w:shd w:val="clear" w:color="auto" w:fill="auto"/>
            <w:tcBorders>
              <w:left w:val="single" w:color="auto" w:sz="4" w:space="0"/>
              <w:right w:val="single" w:color="auto" w:sz="4" w:space="0"/>
            </w:tcBorders>
            <w:tcW w:w="3776"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参数范围</w:t>
            </w:r>
            <w:r/>
          </w:p>
        </w:tc>
      </w:tr>
      <w:tr>
        <w:trPr>
          <w:jc w:val="center"/>
          <w:trHeight w:val="397"/>
        </w:trPr>
        <w:tc>
          <w:tcPr>
            <w:tcBorders>
              <w:right w:val="single" w:color="auto" w:sz="4" w:space="0"/>
            </w:tcBorders>
            <w:tcW w:w="1223"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TSP采集粒度</w:t>
            </w:r>
            <w:r/>
          </w:p>
        </w:tc>
        <w:tc>
          <w:tcPr>
            <w:tcBorders>
              <w:left w:val="single" w:color="auto" w:sz="4" w:space="0"/>
              <w:right w:val="single" w:color="auto" w:sz="4" w:space="0"/>
            </w:tcBorders>
            <w:tcW w:w="3776"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＜100μm</w:t>
            </w:r>
            <w:r/>
          </w:p>
        </w:tc>
      </w:tr>
      <w:tr>
        <w:trPr>
          <w:jc w:val="center"/>
          <w:trHeight w:val="534"/>
        </w:trPr>
        <w:tc>
          <w:tcPr>
            <w:tcBorders>
              <w:right w:val="single" w:color="auto" w:sz="4" w:space="0"/>
            </w:tcBorders>
            <w:tcW w:w="1223"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PM2.5切割特性</w:t>
            </w:r>
            <w:r/>
          </w:p>
        </w:tc>
        <w:tc>
          <w:tcPr>
            <w:tcBorders>
              <w:left w:val="single" w:color="auto" w:sz="4" w:space="0"/>
              <w:right w:val="single" w:color="auto" w:sz="4" w:space="0"/>
            </w:tcBorders>
            <w:tcW w:w="3776"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Da50=(2.5±0.2)μm σg=1.2±0.1</w:t>
            </w:r>
            <w:r/>
          </w:p>
        </w:tc>
      </w:tr>
      <w:tr>
        <w:trPr>
          <w:jc w:val="center"/>
          <w:trHeight w:val="476"/>
        </w:trPr>
        <w:tc>
          <w:tcPr>
            <w:tcBorders>
              <w:right w:val="single" w:color="auto" w:sz="4" w:space="0"/>
            </w:tcBorders>
            <w:tcW w:w="1223"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PM10切割特性</w:t>
            </w:r>
            <w:r/>
          </w:p>
        </w:tc>
        <w:tc>
          <w:tcPr>
            <w:tcBorders>
              <w:left w:val="single" w:color="auto" w:sz="4" w:space="0"/>
              <w:right w:val="single" w:color="auto" w:sz="4" w:space="0"/>
            </w:tcBorders>
            <w:tcW w:w="3776"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Da50=( 10±0.5)μm σg=1.5±0.1 </w:t>
            </w:r>
            <w:r/>
          </w:p>
        </w:tc>
      </w:tr>
      <w:tr>
        <w:trPr>
          <w:jc w:val="center"/>
          <w:trHeight w:val="312"/>
        </w:trPr>
        <w:tc>
          <w:tcPr>
            <w:tcBorders>
              <w:right w:val="single" w:color="auto" w:sz="4" w:space="0"/>
            </w:tcBorders>
            <w:tcW w:w="1223"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入口速度</w:t>
            </w:r>
            <w:r/>
          </w:p>
        </w:tc>
        <w:tc>
          <w:tcPr>
            <w:tcBorders>
              <w:left w:val="single" w:color="auto" w:sz="4" w:space="0"/>
              <w:right w:val="single" w:color="auto" w:sz="4" w:space="0"/>
            </w:tcBorders>
            <w:tcW w:w="3776"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0.3m/s</w:t>
            </w:r>
            <w:r/>
          </w:p>
        </w:tc>
      </w:tr>
      <w:tr>
        <w:trPr>
          <w:jc w:val="center"/>
          <w:trHeight w:val="312"/>
        </w:trPr>
        <w:tc>
          <w:tcPr>
            <w:tcBorders>
              <w:right w:val="single" w:color="auto" w:sz="4" w:space="0"/>
            </w:tcBorders>
            <w:tcW w:w="1223"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进气口尺寸偏差</w:t>
            </w:r>
            <w:r/>
          </w:p>
        </w:tc>
        <w:tc>
          <w:tcPr>
            <w:tcBorders>
              <w:left w:val="single" w:color="auto" w:sz="4" w:space="0"/>
              <w:right w:val="single" w:color="auto" w:sz="4" w:space="0"/>
            </w:tcBorders>
            <w:tcW w:w="3776"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不超过±2.0%</w:t>
            </w:r>
            <w:r/>
          </w:p>
        </w:tc>
      </w:tr>
      <w:tr>
        <w:trPr>
          <w:jc w:val="center"/>
          <w:trHeight w:val="312"/>
        </w:trPr>
        <w:tc>
          <w:tcPr>
            <w:tcBorders>
              <w:right w:val="single" w:color="auto" w:sz="4" w:space="0"/>
            </w:tcBorders>
            <w:tcW w:w="1223"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有效滤膜直径</w:t>
            </w:r>
            <w:r/>
          </w:p>
        </w:tc>
        <w:tc>
          <w:tcPr>
            <w:tcBorders>
              <w:left w:val="single" w:color="auto" w:sz="4" w:space="0"/>
              <w:right w:val="single" w:color="auto" w:sz="4" w:space="0"/>
            </w:tcBorders>
            <w:tcW w:w="3776"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Φ80mm</w:t>
            </w:r>
            <w:r/>
          </w:p>
        </w:tc>
      </w:tr>
      <w:tr>
        <w:trPr>
          <w:jc w:val="center"/>
          <w:trHeight w:val="312"/>
        </w:trPr>
        <w:tc>
          <w:tcPr>
            <w:tcBorders>
              <w:right w:val="single" w:color="auto" w:sz="4" w:space="0"/>
            </w:tcBorders>
            <w:tcW w:w="1223"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连接头</w:t>
            </w:r>
            <w:r/>
          </w:p>
        </w:tc>
        <w:tc>
          <w:tcPr>
            <w:tcBorders>
              <w:left w:val="single" w:color="auto" w:sz="4" w:space="0"/>
              <w:right w:val="single" w:color="auto" w:sz="4" w:space="0"/>
            </w:tcBorders>
            <w:tcW w:w="3776" w:type="pct"/>
            <w:vAlign w:val="center"/>
            <w:textDirection w:val="lrTb"/>
            <w:noWrap w:val="false"/>
          </w:tcPr>
          <w:p>
            <w:pPr>
              <w:numPr>
                <w:ilvl w:val="0"/>
                <w:numId w:val="0"/>
              </w:num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M20×1.5</w:t>
            </w:r>
            <w:r/>
          </w:p>
        </w:tc>
      </w:tr>
    </w:tbl>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四、配置要求</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主机1台、TSP/PM10/PM2.5采样头 1套、三脚支架1套、防倒吸干燥筒2个、挂架1个、合格证1份、校准证书1份。</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五、数量要求：6套</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
          <w:bCs/>
          <w:color w:val="auto"/>
          <w:sz w:val="24"/>
          <w:szCs w:val="24"/>
          <w:lang w:val="en-US" w:eastAsia="zh-CN"/>
        </w:rPr>
      </w:r>
      <w:r/>
    </w:p>
    <w:p>
      <w:pPr>
        <w:pStyle w:val="715"/>
        <w:numPr>
          <w:ilvl w:val="0"/>
          <w:numId w:val="0"/>
        </w:numPr>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u w:val="none"/>
          <w:lang w:val="en-US" w:eastAsia="zh-CN" w:bidi="ar"/>
        </w:rPr>
        <w:t xml:space="preserve">分项15：</w:t>
      </w:r>
      <w:r>
        <w:rPr>
          <w:rFonts w:hint="eastAsia" w:ascii="宋体" w:hAnsi="宋体" w:eastAsia="宋体" w:cs="宋体"/>
          <w:b/>
          <w:bCs/>
          <w:color w:val="auto"/>
          <w:spacing w:val="-1"/>
          <w:sz w:val="24"/>
          <w:szCs w:val="24"/>
          <w:lang w:val="en-US" w:eastAsia="zh-CN" w:bidi="ar-SA"/>
        </w:rPr>
        <w:t xml:space="preserve">I型声级计（1台）</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一、设备用途</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应用于工业机器和产品噪声测量、环境噪声测量、工作场所噪声测量、机场噪声测量、厅堂声学特性测量等</w:t>
      </w:r>
      <w:r>
        <w:rPr>
          <w:rFonts w:hint="eastAsia" w:ascii="宋体" w:hAnsi="宋体" w:eastAsia="宋体" w:cs="宋体"/>
          <w:color w:val="auto"/>
          <w:sz w:val="24"/>
          <w:szCs w:val="24"/>
          <w:lang w:eastAsia="zh-CN"/>
        </w:rPr>
        <w:t xml:space="preserve">，主要用于测量</w:t>
      </w:r>
      <w:r>
        <w:rPr>
          <w:rFonts w:hint="eastAsia" w:ascii="宋体" w:hAnsi="宋体" w:eastAsia="宋体" w:cs="宋体"/>
          <w:color w:val="auto"/>
          <w:sz w:val="24"/>
          <w:szCs w:val="24"/>
          <w:lang w:val="en-US" w:eastAsia="zh-CN"/>
        </w:rPr>
        <w:t xml:space="preserve">35dB以下的噪声。</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w:t>
      </w:r>
      <w:r>
        <w:rPr>
          <w:rFonts w:hint="eastAsia" w:ascii="宋体" w:hAnsi="宋体" w:eastAsia="宋体" w:cs="宋体"/>
          <w:b/>
          <w:bCs/>
          <w:color w:val="auto"/>
          <w:sz w:val="24"/>
          <w:szCs w:val="24"/>
          <w:lang w:eastAsia="zh-CN"/>
        </w:rPr>
        <w:t xml:space="preserve">技术</w:t>
      </w:r>
      <w:r>
        <w:rPr>
          <w:rFonts w:hint="eastAsia" w:ascii="宋体" w:hAnsi="宋体" w:eastAsia="宋体" w:cs="宋体"/>
          <w:b/>
          <w:bCs/>
          <w:color w:val="auto"/>
          <w:sz w:val="24"/>
          <w:szCs w:val="24"/>
        </w:rPr>
        <w:t xml:space="preserve">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★频率范围：10 Hz～20 kHz；</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★测量范围：20 dB（A）～143 dB（A）；</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时间计权：并行（同时）F、S、I；</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频率计权：并行（同时）A、C、Z；</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★仪器类型：声级计符合GB/T 3785.1—2010 1级/IEC 61672-1：2013 Class 1；滤波器符合GB/T 3241—2010 1级/IEC 61260-1:2014 Class 1；</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显示器：电容型触摸屏，≥4.3英寸；</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外壳防护等级：IP65；</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主要测量指标：≥9个；</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数据存贮：≥16 GB；</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输出接口：支持USB接口、4G、WIFI、蓝牙等；</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测量时间：1 s~96 h；</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工作温度：-20 ℃～60 ℃；</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相对湿度：20 %～90 %；</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i w:val="0"/>
          <w:iCs w:val="0"/>
          <w:color w:val="auto"/>
          <w:sz w:val="24"/>
          <w:szCs w:val="24"/>
          <w:u w:val="none"/>
          <w:lang w:val="en-US" w:eastAsia="zh-CN" w:bidi="ar"/>
        </w:rPr>
        <w:t xml:space="preserve">分项16：</w:t>
      </w:r>
      <w:r>
        <w:rPr>
          <w:rFonts w:hint="eastAsia" w:ascii="宋体" w:hAnsi="宋体" w:eastAsia="宋体" w:cs="宋体"/>
          <w:b/>
          <w:bCs/>
          <w:color w:val="auto"/>
          <w:spacing w:val="-1"/>
          <w:sz w:val="24"/>
          <w:szCs w:val="24"/>
          <w:lang w:val="en-US" w:eastAsia="zh-CN"/>
        </w:rPr>
        <w:fldChar w:fldCharType="begin"/>
      </w:r>
      <w:r>
        <w:rPr>
          <w:rFonts w:hint="eastAsia" w:ascii="宋体" w:hAnsi="宋体" w:eastAsia="宋体" w:cs="宋体"/>
          <w:b/>
          <w:bCs/>
          <w:color w:val="auto"/>
          <w:spacing w:val="-1"/>
          <w:sz w:val="24"/>
          <w:szCs w:val="24"/>
          <w:lang w:val="en-US" w:eastAsia="zh-CN"/>
        </w:rPr>
        <w:instrText xml:space="preserve"> = 2 \* ROMAN \* MERGEFORMAT </w:instrText>
      </w:r>
      <w:r>
        <w:rPr>
          <w:rFonts w:hint="eastAsia" w:ascii="宋体" w:hAnsi="宋体" w:eastAsia="宋体" w:cs="宋体"/>
          <w:b/>
          <w:bCs/>
          <w:color w:val="auto"/>
          <w:spacing w:val="-1"/>
          <w:sz w:val="24"/>
          <w:szCs w:val="24"/>
          <w:lang w:val="en-US" w:eastAsia="zh-CN"/>
        </w:rPr>
        <w:fldChar w:fldCharType="separate"/>
      </w:r>
      <w:r>
        <w:rPr>
          <w:rFonts w:hint="eastAsia" w:ascii="宋体" w:hAnsi="宋体" w:eastAsia="宋体" w:cs="宋体"/>
          <w:b/>
          <w:bCs/>
          <w:color w:val="auto"/>
          <w:sz w:val="24"/>
          <w:szCs w:val="24"/>
        </w:rPr>
        <w:t xml:space="preserve">II</w:t>
      </w:r>
      <w:r>
        <w:rPr>
          <w:rFonts w:hint="eastAsia" w:ascii="宋体" w:hAnsi="宋体" w:eastAsia="宋体" w:cs="宋体"/>
          <w:b/>
          <w:bCs/>
          <w:color w:val="auto"/>
          <w:spacing w:val="-1"/>
          <w:sz w:val="24"/>
          <w:szCs w:val="24"/>
          <w:lang w:val="en-US" w:eastAsia="zh-CN"/>
        </w:rPr>
        <w:fldChar w:fldCharType="end"/>
      </w:r>
      <w:r>
        <w:rPr>
          <w:rFonts w:hint="eastAsia" w:ascii="宋体" w:hAnsi="宋体" w:eastAsia="宋体" w:cs="宋体"/>
          <w:b/>
          <w:bCs/>
          <w:color w:val="auto"/>
          <w:spacing w:val="-1"/>
          <w:sz w:val="24"/>
          <w:szCs w:val="24"/>
        </w:rPr>
        <w:t xml:space="preserve">型声级计</w:t>
      </w:r>
      <w:r>
        <w:rPr>
          <w:rFonts w:hint="eastAsia" w:ascii="宋体" w:hAnsi="宋体" w:eastAsia="宋体" w:cs="宋体"/>
          <w:b/>
          <w:bCs/>
          <w:color w:val="auto"/>
          <w:spacing w:val="-1"/>
          <w:sz w:val="24"/>
          <w:szCs w:val="24"/>
          <w:lang w:eastAsia="zh-CN"/>
        </w:rPr>
        <w:t xml:space="preserve">（</w:t>
      </w:r>
      <w:r>
        <w:rPr>
          <w:rFonts w:hint="eastAsia" w:ascii="宋体" w:hAnsi="宋体" w:eastAsia="宋体" w:cs="宋体"/>
          <w:b/>
          <w:bCs/>
          <w:color w:val="auto"/>
          <w:spacing w:val="-1"/>
          <w:sz w:val="24"/>
          <w:szCs w:val="24"/>
          <w:lang w:val="en-US" w:eastAsia="zh-CN"/>
        </w:rPr>
        <w:t xml:space="preserve">4台</w:t>
      </w:r>
      <w:r>
        <w:rPr>
          <w:rFonts w:hint="eastAsia" w:ascii="宋体" w:hAnsi="宋体" w:eastAsia="宋体" w:cs="宋体"/>
          <w:b/>
          <w:bCs/>
          <w:color w:val="auto"/>
          <w:spacing w:val="-1"/>
          <w:sz w:val="24"/>
          <w:szCs w:val="24"/>
          <w:lang w:eastAsia="zh-CN"/>
        </w:rPr>
        <w:t xml:space="preserve">）</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一、设备用途</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应用于工业机器和产品噪声测量、环境噪声测量、工作场所噪声测量、机场噪声测量、厅堂声学特性测量等。</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w:t>
      </w:r>
      <w:r>
        <w:rPr>
          <w:rFonts w:hint="eastAsia" w:ascii="宋体" w:hAnsi="宋体" w:eastAsia="宋体" w:cs="宋体"/>
          <w:b/>
          <w:bCs/>
          <w:color w:val="auto"/>
          <w:sz w:val="24"/>
          <w:szCs w:val="24"/>
          <w:lang w:eastAsia="zh-CN"/>
        </w:rPr>
        <w:t xml:space="preserve">技术</w:t>
      </w:r>
      <w:r>
        <w:rPr>
          <w:rFonts w:hint="eastAsia" w:ascii="宋体" w:hAnsi="宋体" w:eastAsia="宋体" w:cs="宋体"/>
          <w:b/>
          <w:bCs/>
          <w:color w:val="auto"/>
          <w:sz w:val="24"/>
          <w:szCs w:val="24"/>
        </w:rPr>
        <w:t xml:space="preserve">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★线性测量范围：28dBA～133dBA；33dBC～133dBC；40dBZ～133dBZ；</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★频率范围：20Hz～12.5kHz；</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时间计权：并行（同时）F﹑S﹑I；</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频率计权：并行（同时）A、C、Z；</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★执行标准：GB/T3785-2010 2型，IEC61672：2013 2级；</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显示器：彩屏显示，背光亮度可调节；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主要显示内容：可实时测量及显示多个测量指标、统计分布图、24小时列表值等。</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主要测量功能：统计分析功能，能够自动监测；</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主要测量指标：Lxyi、Lxyp、Lxeq、Lxmax、Lxmin、LxN、SD、SEL等；</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数据存贮：带分布图，单统计分析结果≥3300，双统计分析结果≥2600；</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输出接口：支持AC（交流）或DC（直流），RS-232C；</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电源：支持碱性电池或4.V5～6V的外接电源；</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统计分析功能：采样速率≤47次/秒，可以选频率计权及时间计权；</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测量时间：手动，1s到99小时任意设置或分档设置；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工作温度：-10℃～50℃；</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相对湿度：20%～90%。</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三、数量要求：4台</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i w:val="0"/>
          <w:iCs w:val="0"/>
          <w:color w:val="auto"/>
          <w:sz w:val="24"/>
          <w:szCs w:val="24"/>
          <w:u w:val="none"/>
          <w:lang w:val="en-US" w:eastAsia="zh-CN" w:bidi="ar"/>
        </w:rPr>
        <w:t xml:space="preserve">分项17：</w:t>
      </w:r>
      <w:r>
        <w:rPr>
          <w:rFonts w:hint="eastAsia" w:ascii="宋体" w:hAnsi="宋体" w:eastAsia="宋体" w:cs="宋体"/>
          <w:b/>
          <w:bCs/>
          <w:color w:val="auto"/>
          <w:sz w:val="24"/>
          <w:szCs w:val="24"/>
          <w:vertAlign w:val="baseline"/>
          <w:lang w:val="en-US" w:eastAsia="zh-CN"/>
        </w:rPr>
        <w:t xml:space="preserve">声级校准器（4台）</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一、基本要求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声校准器主要用于传声器、声级计和其它声学测量仪器的绝对声压校准，符合GB/T15173  1级。声压压缩型，稳定性好。电池工作，使用方便。</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二、技术要求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1.符合标准：GB/T 15173-2010  1级和IEC 60942:2017</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2.声压级： 114dB及94dB（以2×10-5Pa为参考）</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3.声压级精度：±0.25 dB（-10 ℃ ~ +50 ℃）</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4.频率准确度：</w:t>
      </w:r>
      <w:bookmarkStart w:id="192" w:name="OLE_LINK29"/>
      <w:r>
        <w:rPr>
          <w:rFonts w:hint="eastAsia" w:ascii="宋体" w:hAnsi="宋体" w:eastAsia="宋体" w:cs="宋体"/>
          <w:color w:val="auto"/>
          <w:sz w:val="24"/>
          <w:szCs w:val="24"/>
          <w:lang w:val="en-US" w:eastAsia="zh-CN"/>
        </w:rPr>
        <w:t xml:space="preserve">1000 Hz±1 %</w:t>
      </w:r>
      <w:bookmarkEnd w:id="192"/>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5.总失真：≤2.5 %</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6.电池：2×1.5V 碱性电池 LR6（5号），最长连续使用时间7小时</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7.稳定时间：小于15s</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8.使用环境：温度范围：-10 ℃ ~ +50 ℃</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三、数量要求：4台</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i w:val="0"/>
          <w:iCs w:val="0"/>
          <w:color w:val="auto"/>
          <w:sz w:val="24"/>
          <w:szCs w:val="24"/>
          <w:u w:val="none"/>
          <w:lang w:val="en-US" w:eastAsia="zh-CN" w:bidi="ar"/>
        </w:rPr>
        <w:t xml:space="preserve">分项18：</w:t>
      </w:r>
      <w:r>
        <w:rPr>
          <w:rFonts w:hint="eastAsia" w:ascii="宋体" w:hAnsi="宋体" w:eastAsia="宋体" w:cs="宋体"/>
          <w:b/>
          <w:bCs/>
          <w:color w:val="auto"/>
          <w:spacing w:val="-1"/>
          <w:sz w:val="24"/>
          <w:szCs w:val="24"/>
          <w:lang w:val="en-US" w:eastAsia="zh-CN"/>
        </w:rPr>
        <w:t xml:space="preserve">气袋采样系统（含采样箱、采样泵等）（1套）</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主要用途：</w:t>
      </w:r>
      <w:r>
        <w:rPr>
          <w:rFonts w:hint="eastAsia" w:ascii="宋体" w:hAnsi="宋体" w:eastAsia="宋体" w:cs="宋体"/>
          <w:b w:val="0"/>
          <w:bCs w:val="0"/>
          <w:color w:val="auto"/>
          <w:sz w:val="24"/>
          <w:szCs w:val="24"/>
          <w:lang w:eastAsia="zh-CN"/>
        </w:rPr>
        <w:t xml:space="preserve">采集有机废气。</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一、</w:t>
      </w:r>
      <w:r>
        <w:rPr>
          <w:rFonts w:hint="eastAsia" w:ascii="宋体" w:hAnsi="宋体" w:eastAsia="宋体" w:cs="宋体"/>
          <w:b/>
          <w:bCs/>
          <w:color w:val="auto"/>
          <w:sz w:val="24"/>
          <w:szCs w:val="24"/>
        </w:rPr>
        <w:t xml:space="preserve">仪器执行标准</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GB/T 16157-1996    固定污染源排气中颗粒物和气态污染物采样方法</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HJ/T 47-1997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烟气采样器技术条件</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HJ 732-2014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固定污染源废气 挥发性有机物的采样 气袋法</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HJ 38-2017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固定污染源废气 总烃、甲烷和非甲烷总烃的测定  气相色谱法</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HJ 1006-2018</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固定污染源废气挥发性卤代烃的测定气袋采样-  气相色谱法</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HJ1078-2019  固定污染源废气甲硫醇等8种含硫有机化合物的 测定气袋采样-预浓缩气相色谱-质谱法</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JJG 1169-2019  烟气采样器</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二、技术要求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取样管与主机一体化集成设计，操作简单，便携性好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取样管全程伴热，加热温度可调，特殊均匀加热设计，保证温度控制稳定准确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取样管前端采用内嵌式可拆卸钛合金过滤器，具备过滤器加热功能，避免过滤器结露堵塞气路</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具备样气露点测量显示功能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取样管可选配加长管，满足高温高湿工况(＞150℃)固定污染源废气VOCs的气袋法采样</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具备取样管内管更换、自动清洗及气袋自动清洗功能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具备洗脱液加注口，可对内部管路的冷凝水洗脱收集</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8.不小于</w:t>
      </w:r>
      <w:r>
        <w:rPr>
          <w:rFonts w:hint="eastAsia" w:ascii="宋体" w:hAnsi="宋体" w:eastAsia="宋体" w:cs="宋体"/>
          <w:color w:val="auto"/>
          <w:sz w:val="24"/>
          <w:szCs w:val="24"/>
        </w:rPr>
        <w:t xml:space="preserve">5.0寸彩色触摸显示屏，高亮显示，抗干扰性强，数据呈现直观，支持中文输入</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采用双泵双模式采样，持续采样模式流量(0.1~1)L/min，快速采样模式流量最大3L/min</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采用被动采样法，样气不经过采样泵，无过程污染</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具备采样管线和负压舱体的气密性检测功能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可适用于1L~10L多型号采样气袋</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采样结束后，真空箱内负压自动泄放，方便上盖开启及气袋更换</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加热隔离设计，内置隔离模块将取样管与控制系统分开，保障使用可靠性</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热电偶检测加热温度，加热时采用热电偶实时监测加热温度控温更精准</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内置电子标签，可与仪器出入库管理平台软件配合实现仪器智能化管理</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t xml:space="preserve">仪器技术指标</w:t>
      </w:r>
      <w:r/>
    </w:p>
    <w:tbl>
      <w:tblPr>
        <w:tblStyle w:val="719"/>
        <w:tblpPr w:horzAnchor="page" w:tblpXSpec="center" w:vertAnchor="text" w:tblpY="173"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2"/>
        <w:gridCol w:w="3781"/>
        <w:gridCol w:w="1981"/>
        <w:gridCol w:w="2198"/>
      </w:tblGrid>
      <w:tr>
        <w:trPr>
          <w:jc w:val="center"/>
          <w:trHeight w:val="397"/>
        </w:trPr>
        <w:tc>
          <w:tcPr>
            <w:tcBorders>
              <w:right w:val="single" w:color="auto" w:sz="4" w:space="0"/>
            </w:tcBorders>
            <w:tcW w:w="100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主要参数</w:t>
            </w:r>
            <w:r/>
          </w:p>
        </w:tc>
        <w:tc>
          <w:tcPr>
            <w:tcBorders>
              <w:left w:val="single" w:color="auto" w:sz="4" w:space="0"/>
              <w:right w:val="single" w:color="auto" w:sz="4" w:space="0"/>
            </w:tcBorders>
            <w:tcW w:w="189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参数范围</w:t>
            </w:r>
            <w:r/>
          </w:p>
        </w:tc>
        <w:tc>
          <w:tcPr>
            <w:tcBorders>
              <w:left w:val="single" w:color="auto" w:sz="4" w:space="0"/>
              <w:right w:val="single" w:color="auto" w:sz="4" w:space="0"/>
            </w:tcBorders>
            <w:tcW w:w="99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分辨率</w:t>
            </w:r>
            <w:r/>
          </w:p>
        </w:tc>
        <w:tc>
          <w:tcPr>
            <w:tcBorders>
              <w:left w:val="single" w:color="auto" w:sz="4" w:space="0"/>
              <w:right w:val="single" w:color="auto" w:sz="4" w:space="0"/>
            </w:tcBorders>
            <w:tcW w:w="1103"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准确度</w:t>
            </w:r>
            <w:r/>
          </w:p>
        </w:tc>
      </w:tr>
      <w:tr>
        <w:trPr>
          <w:jc w:val="center"/>
          <w:trHeight w:val="282"/>
        </w:trPr>
        <w:tc>
          <w:tcPr>
            <w:tcBorders>
              <w:right w:val="single" w:color="auto" w:sz="4" w:space="0"/>
            </w:tcBorders>
            <w:tcW w:w="1001"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采样流量</w:t>
            </w:r>
            <w:r/>
          </w:p>
        </w:tc>
        <w:tc>
          <w:tcPr>
            <w:tcBorders>
              <w:left w:val="single" w:color="auto" w:sz="4" w:space="0"/>
              <w:right w:val="single" w:color="auto" w:sz="4" w:space="0"/>
            </w:tcBorders>
            <w:tcW w:w="1899"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持续采样：(0.1～1)L/min快速采样：最大3.0L/min</w:t>
            </w:r>
            <w:r/>
          </w:p>
        </w:tc>
        <w:tc>
          <w:tcPr>
            <w:tcBorders>
              <w:left w:val="single" w:color="auto" w:sz="4" w:space="0"/>
              <w:right w:val="single" w:color="auto" w:sz="4" w:space="0"/>
            </w:tcBorders>
            <w:tcW w:w="99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0.1L/min</w:t>
            </w:r>
            <w:r/>
          </w:p>
        </w:tc>
        <w:tc>
          <w:tcPr>
            <w:tcBorders>
              <w:left w:val="single" w:color="auto" w:sz="4" w:space="0"/>
              <w:right w:val="single" w:color="auto" w:sz="4" w:space="0"/>
            </w:tcBorders>
            <w:tcW w:w="1103"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jc w:val="center"/>
          <w:trHeight w:val="391"/>
        </w:trPr>
        <w:tc>
          <w:tcPr>
            <w:tcBorders>
              <w:right w:val="single" w:color="auto" w:sz="4" w:space="0"/>
            </w:tcBorders>
            <w:tcW w:w="1001"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大气压</w:t>
            </w:r>
            <w:r/>
          </w:p>
        </w:tc>
        <w:tc>
          <w:tcPr>
            <w:tcBorders>
              <w:left w:val="single" w:color="auto" w:sz="4" w:space="0"/>
              <w:right w:val="single" w:color="auto" w:sz="4" w:space="0"/>
            </w:tcBorders>
            <w:tcW w:w="1899"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(50~130）kPa</w:t>
            </w:r>
            <w:r/>
          </w:p>
        </w:tc>
        <w:tc>
          <w:tcPr>
            <w:tcBorders>
              <w:left w:val="single" w:color="auto" w:sz="4" w:space="0"/>
              <w:right w:val="single" w:color="auto" w:sz="4" w:space="0"/>
            </w:tcBorders>
            <w:tcW w:w="99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0.01kPa</w:t>
            </w:r>
            <w:r/>
          </w:p>
        </w:tc>
        <w:tc>
          <w:tcPr>
            <w:tcBorders>
              <w:left w:val="single" w:color="auto" w:sz="4" w:space="0"/>
              <w:right w:val="single" w:color="auto" w:sz="4" w:space="0"/>
            </w:tcBorders>
            <w:tcW w:w="1103"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不超过±500Pa</w:t>
            </w:r>
            <w:r/>
          </w:p>
        </w:tc>
      </w:tr>
      <w:tr>
        <w:trPr>
          <w:jc w:val="center"/>
          <w:trHeight w:val="429"/>
        </w:trPr>
        <w:tc>
          <w:tcPr>
            <w:tcBorders>
              <w:right w:val="single" w:color="auto" w:sz="4" w:space="0"/>
            </w:tcBorders>
            <w:tcW w:w="1001"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取样管加热温度</w:t>
            </w:r>
            <w:r/>
          </w:p>
        </w:tc>
        <w:tc>
          <w:tcPr>
            <w:tcBorders>
              <w:left w:val="single" w:color="auto" w:sz="4" w:space="0"/>
              <w:right w:val="single" w:color="auto" w:sz="4" w:space="0"/>
            </w:tcBorders>
            <w:tcW w:w="1899"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(80~160）℃，默认120℃</w:t>
            </w:r>
            <w:r/>
          </w:p>
        </w:tc>
        <w:tc>
          <w:tcPr>
            <w:tcBorders>
              <w:left w:val="single" w:color="auto" w:sz="4" w:space="0"/>
              <w:right w:val="single" w:color="auto" w:sz="4" w:space="0"/>
            </w:tcBorders>
            <w:tcW w:w="99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left w:val="single" w:color="auto" w:sz="4" w:space="0"/>
              <w:right w:val="single" w:color="auto" w:sz="4" w:space="0"/>
            </w:tcBorders>
            <w:tcW w:w="1103"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不超过±10℃</w:t>
            </w:r>
            <w:r/>
          </w:p>
        </w:tc>
      </w:tr>
      <w:tr>
        <w:trPr>
          <w:jc w:val="center"/>
          <w:trHeight w:val="397"/>
        </w:trPr>
        <w:tc>
          <w:tcPr>
            <w:tcBorders>
              <w:right w:val="single" w:color="auto" w:sz="4" w:space="0"/>
            </w:tcBorders>
            <w:tcW w:w="1001"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制冷温度</w:t>
            </w:r>
            <w:r/>
          </w:p>
        </w:tc>
        <w:tc>
          <w:tcPr>
            <w:tcBorders>
              <w:left w:val="single" w:color="auto" w:sz="4" w:space="0"/>
              <w:right w:val="single" w:color="auto" w:sz="4" w:space="0"/>
            </w:tcBorders>
            <w:tcW w:w="1899"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（0～4）℃</w:t>
            </w:r>
            <w:r/>
          </w:p>
        </w:tc>
        <w:tc>
          <w:tcPr>
            <w:tcBorders>
              <w:left w:val="single" w:color="auto" w:sz="4" w:space="0"/>
              <w:right w:val="single" w:color="auto" w:sz="4" w:space="0"/>
            </w:tcBorders>
            <w:tcW w:w="995"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left w:val="single" w:color="auto" w:sz="4" w:space="0"/>
              <w:right w:val="single" w:color="auto" w:sz="4" w:space="0"/>
            </w:tcBorders>
            <w:tcW w:w="1103"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不超过±2℃</w:t>
            </w:r>
            <w:r/>
          </w:p>
        </w:tc>
      </w:tr>
      <w:tr>
        <w:trPr>
          <w:jc w:val="center"/>
          <w:trHeight w:val="433"/>
        </w:trPr>
        <w:tc>
          <w:tcPr>
            <w:tcBorders>
              <w:right w:val="single" w:color="auto" w:sz="4" w:space="0"/>
            </w:tcBorders>
            <w:tcW w:w="1001"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适用气袋体积</w:t>
            </w:r>
            <w:r/>
          </w:p>
        </w:tc>
        <w:tc>
          <w:tcPr>
            <w:gridSpan w:val="3"/>
            <w:tcBorders>
              <w:left w:val="single" w:color="auto" w:sz="4" w:space="0"/>
              <w:right w:val="single" w:color="auto" w:sz="4" w:space="0"/>
            </w:tcBorders>
            <w:tcW w:w="3998"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（1~10）L</w:t>
            </w:r>
            <w:r/>
          </w:p>
        </w:tc>
      </w:tr>
      <w:tr>
        <w:trPr>
          <w:jc w:val="center"/>
          <w:trHeight w:val="397"/>
        </w:trPr>
        <w:tc>
          <w:tcPr>
            <w:tcBorders>
              <w:right w:val="single" w:color="auto" w:sz="4" w:space="0"/>
            </w:tcBorders>
            <w:tcW w:w="1001"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负载能力</w:t>
            </w:r>
            <w:r/>
          </w:p>
        </w:tc>
        <w:tc>
          <w:tcPr>
            <w:gridSpan w:val="3"/>
            <w:tcBorders>
              <w:left w:val="single" w:color="auto" w:sz="4" w:space="0"/>
              <w:right w:val="single" w:color="auto" w:sz="4" w:space="0"/>
            </w:tcBorders>
            <w:tcW w:w="3998"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≤15kPa</w:t>
            </w:r>
            <w:r/>
          </w:p>
        </w:tc>
      </w:tr>
      <w:tr>
        <w:trPr>
          <w:jc w:val="center"/>
          <w:trHeight w:val="397"/>
        </w:trPr>
        <w:tc>
          <w:tcPr>
            <w:tcBorders>
              <w:right w:val="single" w:color="auto" w:sz="4" w:space="0"/>
            </w:tcBorders>
            <w:tcW w:w="1001"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数据存储</w:t>
            </w:r>
            <w:r/>
          </w:p>
        </w:tc>
        <w:tc>
          <w:tcPr>
            <w:gridSpan w:val="3"/>
            <w:tcBorders>
              <w:left w:val="single" w:color="auto" w:sz="4" w:space="0"/>
              <w:right w:val="single" w:color="auto" w:sz="4" w:space="0"/>
            </w:tcBorders>
            <w:tcW w:w="3998"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10000组</w:t>
            </w:r>
            <w:r/>
          </w:p>
        </w:tc>
      </w:tr>
      <w:tr>
        <w:trPr>
          <w:jc w:val="center"/>
          <w:trHeight w:val="397"/>
        </w:trPr>
        <w:tc>
          <w:tcPr>
            <w:tcBorders>
              <w:right w:val="single" w:color="auto" w:sz="4" w:space="0"/>
            </w:tcBorders>
            <w:tcW w:w="1001"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环境温度</w:t>
            </w:r>
            <w:r/>
          </w:p>
        </w:tc>
        <w:tc>
          <w:tcPr>
            <w:gridSpan w:val="3"/>
            <w:tcBorders>
              <w:left w:val="single" w:color="auto" w:sz="4" w:space="0"/>
              <w:right w:val="single" w:color="auto" w:sz="4" w:space="0"/>
            </w:tcBorders>
            <w:tcW w:w="3998"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（-20～50）℃</w:t>
            </w:r>
            <w:r/>
          </w:p>
        </w:tc>
      </w:tr>
      <w:tr>
        <w:trPr>
          <w:jc w:val="center"/>
          <w:trHeight w:val="397"/>
        </w:trPr>
        <w:tc>
          <w:tcPr>
            <w:tcBorders>
              <w:right w:val="single" w:color="auto" w:sz="4" w:space="0"/>
            </w:tcBorders>
            <w:tcW w:w="1001"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工作电源</w:t>
            </w:r>
            <w:r/>
          </w:p>
        </w:tc>
        <w:tc>
          <w:tcPr>
            <w:gridSpan w:val="3"/>
            <w:tcBorders>
              <w:left w:val="single" w:color="auto" w:sz="4" w:space="0"/>
              <w:right w:val="single" w:color="auto" w:sz="4" w:space="0"/>
            </w:tcBorders>
            <w:tcW w:w="3998"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外接24V/10A桌面电源适配器</w:t>
            </w:r>
            <w:r/>
          </w:p>
        </w:tc>
      </w:tr>
      <w:tr>
        <w:trPr>
          <w:jc w:val="center"/>
          <w:trHeight w:val="397"/>
        </w:trPr>
        <w:tc>
          <w:tcPr>
            <w:tcBorders>
              <w:right w:val="single" w:color="auto" w:sz="4" w:space="0"/>
            </w:tcBorders>
            <w:tcW w:w="1001"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总长度</w:t>
            </w:r>
            <w:r/>
          </w:p>
        </w:tc>
        <w:tc>
          <w:tcPr>
            <w:gridSpan w:val="3"/>
            <w:tcBorders>
              <w:left w:val="single" w:color="auto" w:sz="4" w:space="0"/>
              <w:right w:val="single" w:color="auto" w:sz="4" w:space="0"/>
            </w:tcBorders>
            <w:tcW w:w="3998" w:type="pct"/>
            <w:vAlign w:val="center"/>
            <w:textDirection w:val="lrTb"/>
            <w:noWrap w:val="false"/>
          </w:tcPr>
          <w:p>
            <w:pPr>
              <w:ind w:lef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标配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1.2m，可订制(最大有效长度0.8m)</w:t>
            </w:r>
            <w:r/>
          </w:p>
        </w:tc>
      </w:tr>
    </w:tbl>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三、</w:t>
      </w:r>
      <w:r>
        <w:rPr>
          <w:rFonts w:hint="eastAsia" w:ascii="宋体" w:hAnsi="宋体" w:eastAsia="宋体" w:cs="宋体"/>
          <w:b/>
          <w:bCs/>
          <w:color w:val="auto"/>
          <w:sz w:val="24"/>
          <w:szCs w:val="24"/>
        </w:rPr>
        <w:t xml:space="preserve">仪器配置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主机1套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真空箱组件1套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连接管1套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电源适配器1套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接地线1根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防护包1个</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棕色样品瓶1套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100个气袋</w:t>
      </w:r>
      <w:r/>
    </w:p>
    <w:p>
      <w:pPr>
        <w:pStyle w:val="721"/>
        <w:ind w:left="0"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分项19：土壤样品冷藏储存装置（1套）</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rPr>
      </w:pPr>
      <w:r>
        <w:rPr>
          <w:rFonts w:hint="eastAsia" w:ascii="宋体" w:hAnsi="宋体" w:eastAsia="宋体" w:cs="宋体"/>
          <w:b/>
          <w:bCs/>
          <w:color w:val="auto"/>
          <w:sz w:val="24"/>
          <w:szCs w:val="24"/>
          <w:lang w:eastAsia="zh-CN"/>
        </w:rPr>
        <w:t xml:space="preserve">一、主要用途</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lang w:val="en-US" w:eastAsia="zh-CN"/>
        </w:rPr>
        <w:t xml:space="preserve">用于</w:t>
      </w:r>
      <w:r>
        <w:rPr>
          <w:rFonts w:hint="eastAsia" w:ascii="宋体" w:hAnsi="宋体" w:eastAsia="宋体" w:cs="宋体"/>
          <w:color w:val="auto"/>
          <w:sz w:val="24"/>
          <w:szCs w:val="24"/>
        </w:rPr>
        <w:t xml:space="preserve">土壤样品冷藏储存</w:t>
      </w:r>
      <w:r>
        <w:rPr>
          <w:rFonts w:hint="eastAsia" w:ascii="宋体" w:hAnsi="宋体" w:eastAsia="宋体" w:cs="宋体"/>
          <w:color w:val="auto"/>
          <w:sz w:val="24"/>
          <w:szCs w:val="24"/>
          <w:lang w:val="en-US" w:eastAsia="zh-CN"/>
        </w:rPr>
        <w:t xml:space="preserve">和运输</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二、▲数量要求：土壤储存运输装置1台，冰箱4台。</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三、土壤储存运输装置</w:t>
      </w:r>
      <w:r>
        <w:rPr>
          <w:rFonts w:hint="eastAsia" w:ascii="宋体" w:hAnsi="宋体" w:eastAsia="宋体" w:cs="宋体"/>
          <w:b/>
          <w:bCs/>
          <w:color w:val="auto"/>
          <w:sz w:val="24"/>
          <w:szCs w:val="24"/>
        </w:rPr>
        <w:t xml:space="preserve">技术要求</w:t>
      </w:r>
      <w:r>
        <w:rPr>
          <w:rFonts w:hint="eastAsia" w:ascii="宋体" w:hAnsi="宋体" w:eastAsia="宋体" w:cs="宋体"/>
          <w:b/>
          <w:bCs/>
          <w:color w:val="auto"/>
          <w:sz w:val="24"/>
          <w:szCs w:val="24"/>
          <w:lang w:eastAsia="zh-CN"/>
        </w:rPr>
        <w:t xml:space="preserve">：</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采用的优良压缩机制冷，数字式触摸按钮控制温度,适时显示温度变化情况，并可以自由调节。无噪音、轻便，使用寿命长, 耗电少，结构简单，体积小巧，室内外均可使用。</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2.本冰箱为卧式单门冰箱，可根据需要调节温度，同时满足深冷速冻和保鲜需要;</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3.基本配置 可用于保存、生物材料、疫苗、药剂等； 适用于科研、血站、医院、及系统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4.优良的温度控制：采用原装微电脑优良温度控制器，箱内温度-10℃～-25℃自由设定；数码温度显示，随时掌握运行状态。</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5.的制冷系统：采用优良压缩机，制冷速度快；加厚保温层，保温效果好。</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6.开机延时、停机间隔等保护功能，确保运行可靠；快速冷冻功能。 </w:t>
      </w:r>
      <w:r/>
    </w:p>
    <w:p>
      <w:pPr>
        <w:pStyle w:val="721"/>
        <w:ind w:left="0"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车内使用：可放置于车内座位或车尾箱，直接连接车内点烟器的12V直流电源。室内使用:接室内220V交流电源。</w:t>
      </w:r>
      <w:r/>
    </w:p>
    <w:p>
      <w:pPr>
        <w:pStyle w:val="721"/>
        <w:ind w:left="0" w:firstLine="482"/>
        <w:keepLines w:val="0"/>
        <w:keepNext w:val="0"/>
        <w:pageBreakBefore w:val="0"/>
        <w:spacing w:beforeAutospacing="0" w:after="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四、冰箱技术要求</w:t>
      </w:r>
      <w:r/>
    </w:p>
    <w:tbl>
      <w:tblPr>
        <w:tblStyle w:val="719"/>
        <w:tblW w:w="4998" w:type="pct"/>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2407"/>
        <w:gridCol w:w="2430"/>
        <w:gridCol w:w="3130"/>
        <w:gridCol w:w="1889"/>
      </w:tblGrid>
      <w:tr>
        <w:trPr/>
        <w:tc>
          <w:tcPr>
            <w:shd w:val="clear" w:color="auto" w:fill="ffffff"/>
            <w:tcMar>
              <w:left w:w="60" w:type="dxa"/>
              <w:top w:w="60" w:type="dxa"/>
              <w:right w:w="60" w:type="dxa"/>
              <w:bottom w:w="60" w:type="dxa"/>
            </w:tcMar>
            <w:tcW w:w="122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总容量(L)</w:t>
            </w:r>
            <w:r/>
          </w:p>
        </w:tc>
        <w:tc>
          <w:tcPr>
            <w:shd w:val="clear" w:color="auto" w:fill="ffffff"/>
            <w:tcMar>
              <w:left w:w="60" w:type="dxa"/>
              <w:top w:w="60" w:type="dxa"/>
              <w:right w:w="60" w:type="dxa"/>
              <w:bottom w:w="60" w:type="dxa"/>
            </w:tcMar>
            <w:tcW w:w="123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30</w:t>
            </w:r>
            <w:r>
              <w:rPr>
                <w:rFonts w:hint="eastAsia" w:ascii="宋体" w:hAnsi="宋体" w:eastAsia="宋体" w:cs="宋体"/>
                <w:color w:val="auto"/>
                <w:sz w:val="24"/>
                <w:szCs w:val="24"/>
                <w:lang w:val="en-US" w:eastAsia="zh-CN"/>
              </w:rPr>
              <w:t xml:space="preserve">0</w:t>
            </w:r>
            <w:r/>
          </w:p>
        </w:tc>
        <w:tc>
          <w:tcPr>
            <w:shd w:val="clear" w:color="auto" w:fill="ffffff"/>
            <w:tcMar>
              <w:left w:w="60" w:type="dxa"/>
              <w:top w:w="60" w:type="dxa"/>
              <w:right w:w="60" w:type="dxa"/>
              <w:bottom w:w="60" w:type="dxa"/>
            </w:tcMar>
            <w:tcW w:w="158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冷冻能力(kg/12h)</w:t>
            </w:r>
            <w:r/>
          </w:p>
        </w:tc>
        <w:tc>
          <w:tcPr>
            <w:shd w:val="clear" w:color="auto" w:fill="ffffff"/>
            <w:tcMar>
              <w:left w:w="60" w:type="dxa"/>
              <w:top w:w="60" w:type="dxa"/>
              <w:right w:w="60" w:type="dxa"/>
              <w:bottom w:w="60" w:type="dxa"/>
            </w:tcMar>
            <w:tcW w:w="95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3</w:t>
            </w:r>
            <w:r/>
          </w:p>
        </w:tc>
      </w:tr>
      <w:tr>
        <w:trPr/>
        <w:tc>
          <w:tcPr>
            <w:shd w:val="clear" w:color="auto" w:fill="ffffff"/>
            <w:tcMar>
              <w:left w:w="60" w:type="dxa"/>
              <w:top w:w="60" w:type="dxa"/>
              <w:right w:w="60" w:type="dxa"/>
              <w:bottom w:w="60" w:type="dxa"/>
            </w:tcMar>
            <w:tcW w:w="122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冷冻室(L)</w:t>
            </w:r>
            <w:r/>
          </w:p>
        </w:tc>
        <w:tc>
          <w:tcPr>
            <w:shd w:val="clear" w:color="auto" w:fill="ffffff"/>
            <w:tcMar>
              <w:left w:w="60" w:type="dxa"/>
              <w:top w:w="60" w:type="dxa"/>
              <w:right w:w="60" w:type="dxa"/>
              <w:bottom w:w="60" w:type="dxa"/>
            </w:tcMar>
            <w:tcW w:w="123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0</w:t>
            </w:r>
            <w:r/>
          </w:p>
        </w:tc>
        <w:tc>
          <w:tcPr>
            <w:shd w:val="clear" w:color="auto" w:fill="ffffff"/>
            <w:tcMar>
              <w:left w:w="60" w:type="dxa"/>
              <w:top w:w="60" w:type="dxa"/>
              <w:right w:w="60" w:type="dxa"/>
              <w:bottom w:w="60" w:type="dxa"/>
            </w:tcMar>
            <w:tcW w:w="158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额定电压/频率</w:t>
            </w:r>
            <w:r/>
          </w:p>
        </w:tc>
        <w:tc>
          <w:tcPr>
            <w:shd w:val="clear" w:color="auto" w:fill="ffffff"/>
            <w:tcMar>
              <w:left w:w="60" w:type="dxa"/>
              <w:top w:w="60" w:type="dxa"/>
              <w:right w:w="60" w:type="dxa"/>
              <w:bottom w:w="60" w:type="dxa"/>
            </w:tcMar>
            <w:tcW w:w="95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220V/50Hz</w:t>
            </w:r>
            <w:r/>
          </w:p>
        </w:tc>
      </w:tr>
      <w:tr>
        <w:trPr/>
        <w:tc>
          <w:tcPr>
            <w:shd w:val="clear" w:color="auto" w:fill="ffffff"/>
            <w:tcMar>
              <w:left w:w="60" w:type="dxa"/>
              <w:top w:w="60" w:type="dxa"/>
              <w:right w:w="60" w:type="dxa"/>
              <w:bottom w:w="60" w:type="dxa"/>
            </w:tcMar>
            <w:tcW w:w="122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变温室(L)</w:t>
            </w:r>
            <w:r/>
          </w:p>
        </w:tc>
        <w:tc>
          <w:tcPr>
            <w:shd w:val="clear" w:color="auto" w:fill="ffffff"/>
            <w:tcMar>
              <w:left w:w="60" w:type="dxa"/>
              <w:top w:w="60" w:type="dxa"/>
              <w:right w:w="60" w:type="dxa"/>
              <w:bottom w:w="60" w:type="dxa"/>
            </w:tcMar>
            <w:tcW w:w="123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31</w:t>
            </w:r>
            <w:r/>
          </w:p>
        </w:tc>
        <w:tc>
          <w:tcPr>
            <w:shd w:val="clear" w:color="auto" w:fill="ffffff"/>
            <w:tcMar>
              <w:left w:w="60" w:type="dxa"/>
              <w:top w:w="60" w:type="dxa"/>
              <w:right w:w="60" w:type="dxa"/>
              <w:bottom w:w="60" w:type="dxa"/>
            </w:tcMar>
            <w:tcW w:w="158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综合耗电量(kW·h/24h)</w:t>
            </w:r>
            <w:r/>
          </w:p>
        </w:tc>
        <w:tc>
          <w:tcPr>
            <w:shd w:val="clear" w:color="auto" w:fill="ffffff"/>
            <w:tcMar>
              <w:left w:w="60" w:type="dxa"/>
              <w:top w:w="60" w:type="dxa"/>
              <w:right w:w="60" w:type="dxa"/>
              <w:bottom w:w="60" w:type="dxa"/>
            </w:tcMar>
            <w:tcW w:w="95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0.8</w:t>
            </w:r>
            <w:r/>
          </w:p>
        </w:tc>
      </w:tr>
      <w:tr>
        <w:trPr/>
        <w:tc>
          <w:tcPr>
            <w:shd w:val="clear" w:color="auto" w:fill="ffffff"/>
            <w:tcMar>
              <w:left w:w="60" w:type="dxa"/>
              <w:top w:w="60" w:type="dxa"/>
              <w:right w:w="60" w:type="dxa"/>
              <w:bottom w:w="60" w:type="dxa"/>
            </w:tcMar>
            <w:tcW w:w="122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冷藏室(L)</w:t>
            </w:r>
            <w:r/>
          </w:p>
        </w:tc>
        <w:tc>
          <w:tcPr>
            <w:shd w:val="clear" w:color="auto" w:fill="ffffff"/>
            <w:tcMar>
              <w:left w:w="60" w:type="dxa"/>
              <w:top w:w="60" w:type="dxa"/>
              <w:right w:w="60" w:type="dxa"/>
              <w:bottom w:w="60" w:type="dxa"/>
            </w:tcMar>
            <w:tcW w:w="123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0</w:t>
            </w:r>
            <w:r/>
          </w:p>
        </w:tc>
        <w:tc>
          <w:tcPr>
            <w:shd w:val="clear" w:color="auto" w:fill="ffffff"/>
            <w:tcMar>
              <w:left w:w="60" w:type="dxa"/>
              <w:top w:w="60" w:type="dxa"/>
              <w:right w:w="60" w:type="dxa"/>
              <w:bottom w:w="60" w:type="dxa"/>
            </w:tcMar>
            <w:tcW w:w="158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能效等级</w:t>
            </w:r>
            <w:r/>
          </w:p>
        </w:tc>
        <w:tc>
          <w:tcPr>
            <w:shd w:val="clear" w:color="auto" w:fill="ffffff"/>
            <w:tcMar>
              <w:left w:w="60" w:type="dxa"/>
              <w:top w:w="60" w:type="dxa"/>
              <w:right w:w="60" w:type="dxa"/>
              <w:bottom w:w="60" w:type="dxa"/>
            </w:tcMar>
            <w:tcW w:w="95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1级</w:t>
            </w:r>
            <w:r/>
          </w:p>
        </w:tc>
      </w:tr>
      <w:tr>
        <w:trPr/>
        <w:tc>
          <w:tcPr>
            <w:shd w:val="clear" w:color="auto" w:fill="ffffff"/>
            <w:tcMar>
              <w:left w:w="60" w:type="dxa"/>
              <w:top w:w="60" w:type="dxa"/>
              <w:right w:w="60" w:type="dxa"/>
              <w:bottom w:w="60" w:type="dxa"/>
            </w:tcMar>
            <w:tcW w:w="122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制冷方式</w:t>
            </w:r>
            <w:r/>
          </w:p>
        </w:tc>
        <w:tc>
          <w:tcPr>
            <w:shd w:val="clear" w:color="auto" w:fill="ffffff"/>
            <w:tcMar>
              <w:left w:w="60" w:type="dxa"/>
              <w:top w:w="60" w:type="dxa"/>
              <w:right w:w="60" w:type="dxa"/>
              <w:bottom w:w="60" w:type="dxa"/>
            </w:tcMar>
            <w:tcW w:w="123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风冷</w:t>
            </w:r>
            <w:r/>
          </w:p>
        </w:tc>
        <w:tc>
          <w:tcPr>
            <w:shd w:val="clear" w:color="auto" w:fill="ffffff"/>
            <w:tcMar>
              <w:left w:w="60" w:type="dxa"/>
              <w:top w:w="60" w:type="dxa"/>
              <w:right w:w="60" w:type="dxa"/>
              <w:bottom w:w="60" w:type="dxa"/>
            </w:tcMar>
            <w:tcW w:w="158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压缩机类型</w:t>
            </w:r>
            <w:r/>
          </w:p>
        </w:tc>
        <w:tc>
          <w:tcPr>
            <w:shd w:val="clear" w:color="auto" w:fill="ffffff"/>
            <w:tcMar>
              <w:left w:w="60" w:type="dxa"/>
              <w:top w:w="60" w:type="dxa"/>
              <w:right w:w="60" w:type="dxa"/>
              <w:bottom w:w="60" w:type="dxa"/>
            </w:tcMar>
            <w:tcW w:w="95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变频</w:t>
            </w:r>
            <w:r/>
          </w:p>
        </w:tc>
      </w:tr>
      <w:tr>
        <w:trPr/>
        <w:tc>
          <w:tcPr>
            <w:shd w:val="clear" w:color="auto" w:fill="ffffff"/>
            <w:tcMar>
              <w:left w:w="60" w:type="dxa"/>
              <w:top w:w="60" w:type="dxa"/>
              <w:right w:w="60" w:type="dxa"/>
              <w:bottom w:w="60" w:type="dxa"/>
            </w:tcMar>
            <w:tcW w:w="122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控制方式</w:t>
            </w:r>
            <w:r/>
          </w:p>
        </w:tc>
        <w:tc>
          <w:tcPr>
            <w:shd w:val="clear" w:color="auto" w:fill="ffffff"/>
            <w:tcMar>
              <w:left w:w="60" w:type="dxa"/>
              <w:top w:w="60" w:type="dxa"/>
              <w:right w:w="60" w:type="dxa"/>
              <w:bottom w:w="60" w:type="dxa"/>
            </w:tcMar>
            <w:tcW w:w="123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机械</w:t>
            </w:r>
            <w:r/>
          </w:p>
        </w:tc>
        <w:tc>
          <w:tcPr>
            <w:shd w:val="clear" w:color="auto" w:fill="ffffff"/>
            <w:tcMar>
              <w:left w:w="60" w:type="dxa"/>
              <w:top w:w="60" w:type="dxa"/>
              <w:right w:w="60" w:type="dxa"/>
              <w:bottom w:w="60" w:type="dxa"/>
            </w:tcMar>
            <w:tcW w:w="158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噪音值dB(A)</w:t>
            </w:r>
            <w:r/>
          </w:p>
        </w:tc>
        <w:tc>
          <w:tcPr>
            <w:shd w:val="clear" w:color="auto" w:fill="ffffff"/>
            <w:tcMar>
              <w:left w:w="60" w:type="dxa"/>
              <w:top w:w="60" w:type="dxa"/>
              <w:right w:w="60" w:type="dxa"/>
              <w:bottom w:w="60" w:type="dxa"/>
            </w:tcMar>
            <w:tcW w:w="95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38</w:t>
            </w:r>
            <w:r/>
          </w:p>
        </w:tc>
      </w:tr>
      <w:tr>
        <w:trPr/>
        <w:tc>
          <w:tcPr>
            <w:shd w:val="clear" w:color="auto" w:fill="ffffff"/>
            <w:tcMar>
              <w:left w:w="60" w:type="dxa"/>
              <w:top w:w="60" w:type="dxa"/>
              <w:right w:w="60" w:type="dxa"/>
              <w:bottom w:w="60" w:type="dxa"/>
            </w:tcMar>
            <w:tcW w:w="1221"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类别</w:t>
            </w:r>
            <w:r/>
          </w:p>
        </w:tc>
        <w:tc>
          <w:tcPr>
            <w:shd w:val="clear" w:color="auto" w:fill="ffffff"/>
            <w:tcMar>
              <w:left w:w="60" w:type="dxa"/>
              <w:top w:w="60" w:type="dxa"/>
              <w:right w:w="60" w:type="dxa"/>
              <w:bottom w:w="60" w:type="dxa"/>
            </w:tcMar>
            <w:tcW w:w="123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两门</w:t>
            </w:r>
            <w:r/>
          </w:p>
        </w:tc>
        <w:tc>
          <w:tcPr>
            <w:shd w:val="clear" w:color="auto" w:fill="ffffff"/>
            <w:tcMar>
              <w:left w:w="60" w:type="dxa"/>
              <w:top w:w="60" w:type="dxa"/>
              <w:right w:w="60" w:type="dxa"/>
              <w:bottom w:w="60" w:type="dxa"/>
            </w:tcMar>
            <w:tcW w:w="158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shd w:val="clear" w:color="auto" w:fill="ffffff"/>
            <w:tcMar>
              <w:left w:w="60" w:type="dxa"/>
              <w:top w:w="60" w:type="dxa"/>
              <w:right w:w="60" w:type="dxa"/>
              <w:bottom w:w="60" w:type="dxa"/>
            </w:tcMar>
            <w:tcW w:w="95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bl>
    <w:p>
      <w:pPr>
        <w:pStyle w:val="721"/>
        <w:ind w:left="0"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i w:val="0"/>
          <w:iCs w:val="0"/>
          <w:color w:val="auto"/>
          <w:sz w:val="24"/>
          <w:szCs w:val="24"/>
          <w:u w:val="none"/>
          <w:lang w:val="en-US" w:eastAsia="zh-CN" w:bidi="ar"/>
        </w:rPr>
        <w:t xml:space="preserve">分项20：</w:t>
      </w:r>
      <w:r>
        <w:rPr>
          <w:rFonts w:hint="eastAsia" w:ascii="宋体" w:hAnsi="宋体" w:eastAsia="宋体" w:cs="宋体"/>
          <w:b/>
          <w:bCs/>
          <w:color w:val="auto"/>
          <w:spacing w:val="-1"/>
          <w:sz w:val="24"/>
          <w:szCs w:val="24"/>
          <w:lang w:val="en-US" w:eastAsia="zh-CN"/>
        </w:rPr>
        <w:t xml:space="preserve">全球定位系统（2台）</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一、设备参数要求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1.显示屏尺寸：≥2.2英寸；</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2.屏幕分辨率：≥240x320；</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3.内存：≥8G；</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4.电池规格：2节5号（AA）电池；</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5.防水等级：IPX7；</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6.航电数量：2000；</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7.航线（条x点）：200x250；</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8.航迹记录（点）：9999；</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9.支持航线、等高线、DEM地图，支持坐标转换。</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▲10.仅用单北斗信号</w:t>
      </w:r>
      <w:r/>
    </w:p>
    <w:p>
      <w:p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二、数量要求：2台。</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721"/>
        <w:ind w:left="0"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i w:val="0"/>
          <w:iCs w:val="0"/>
          <w:color w:val="auto"/>
          <w:sz w:val="24"/>
          <w:szCs w:val="24"/>
          <w:u w:val="none"/>
          <w:lang w:val="en-US" w:eastAsia="zh-CN" w:bidi="ar"/>
        </w:rPr>
        <w:t xml:space="preserve">分项21：</w:t>
      </w:r>
      <w:r>
        <w:rPr>
          <w:rFonts w:hint="eastAsia" w:ascii="宋体" w:hAnsi="宋体" w:eastAsia="宋体" w:cs="宋体"/>
          <w:b/>
          <w:bCs/>
          <w:color w:val="auto"/>
          <w:spacing w:val="-1"/>
          <w:sz w:val="24"/>
          <w:szCs w:val="24"/>
        </w:rPr>
        <w:t xml:space="preserve">户外供电电源</w:t>
      </w:r>
      <w:r>
        <w:rPr>
          <w:rFonts w:hint="eastAsia" w:ascii="宋体" w:hAnsi="宋体" w:eastAsia="宋体" w:cs="宋体"/>
          <w:b/>
          <w:bCs/>
          <w:color w:val="auto"/>
          <w:spacing w:val="-1"/>
          <w:sz w:val="24"/>
          <w:szCs w:val="24"/>
          <w:lang w:eastAsia="zh-CN"/>
        </w:rPr>
        <w:t xml:space="preserve">（</w:t>
      </w:r>
      <w:r>
        <w:rPr>
          <w:rFonts w:hint="eastAsia" w:ascii="宋体" w:hAnsi="宋体" w:eastAsia="宋体" w:cs="宋体"/>
          <w:b/>
          <w:bCs/>
          <w:color w:val="auto"/>
          <w:spacing w:val="-1"/>
          <w:sz w:val="24"/>
          <w:szCs w:val="24"/>
          <w:lang w:val="en-US" w:eastAsia="zh-CN"/>
        </w:rPr>
        <w:t xml:space="preserve">6套</w:t>
      </w:r>
      <w:r>
        <w:rPr>
          <w:rFonts w:hint="eastAsia" w:ascii="宋体" w:hAnsi="宋体" w:eastAsia="宋体" w:cs="宋体"/>
          <w:b/>
          <w:bCs/>
          <w:color w:val="auto"/>
          <w:spacing w:val="-1"/>
          <w:sz w:val="24"/>
          <w:szCs w:val="24"/>
          <w:lang w:eastAsia="zh-CN"/>
        </w:rPr>
        <w:t xml:space="preserve">）</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▲主要用途：户外供电，满足便携式GC/MS、便携式非甲烷总烃测定仪、烟尘采样器等仪器的现场供电。</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一、配置要求</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1.搭载高性能18650电芯，稳定性高，使用寿命长</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2.可同时进行DC24V、USB、Type-C输出</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3.多功能电量显示屏，可切换当前电压/剩余电量百分比显示</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4.具有短路、过载保护功能，大大提高产品的安全性和稳定性</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5.体积小、重量轻、携带方便</w:t>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二、技术指标</w:t>
      </w:r>
      <w:r/>
    </w:p>
    <w:tbl>
      <w:tblPr>
        <w:tblStyle w:val="7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73"/>
        <w:gridCol w:w="6081"/>
      </w:tblGrid>
      <w:tr>
        <w:trPr>
          <w:jc w:val="center"/>
          <w:trHeight w:val="397"/>
        </w:trPr>
        <w:tc>
          <w:tcPr>
            <w:shd w:val="clear" w:color="auto" w:fill="auto"/>
            <w:tcBorders>
              <w:right w:val="single" w:color="auto" w:sz="4" w:space="0"/>
            </w:tcBorders>
            <w:tcW w:w="1945"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主要参数</w:t>
            </w:r>
            <w:r/>
          </w:p>
        </w:tc>
        <w:tc>
          <w:tcPr>
            <w:shd w:val="clear" w:color="auto" w:fill="auto"/>
            <w:tcBorders>
              <w:left w:val="single" w:color="auto" w:sz="4" w:space="0"/>
              <w:right w:val="single" w:color="auto" w:sz="4" w:space="0"/>
            </w:tcBorders>
            <w:tcW w:w="3054"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参数范围</w:t>
            </w:r>
            <w:r/>
          </w:p>
        </w:tc>
      </w:tr>
      <w:tr>
        <w:trPr>
          <w:jc w:val="center"/>
          <w:trHeight w:val="397"/>
        </w:trPr>
        <w:tc>
          <w:tcPr>
            <w:tcBorders>
              <w:right w:val="single" w:color="auto" w:sz="4" w:space="0"/>
            </w:tcBorders>
            <w:tcW w:w="1945"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电池类型</w:t>
            </w:r>
            <w:r/>
          </w:p>
        </w:tc>
        <w:tc>
          <w:tcPr>
            <w:tcBorders>
              <w:left w:val="single" w:color="auto" w:sz="4" w:space="0"/>
              <w:right w:val="single" w:color="auto" w:sz="4" w:space="0"/>
            </w:tcBorders>
            <w:tcW w:w="3054"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三元聚合物锂电池</w:t>
            </w:r>
            <w:r/>
          </w:p>
        </w:tc>
      </w:tr>
      <w:tr>
        <w:trPr>
          <w:jc w:val="center"/>
          <w:trHeight w:val="397"/>
        </w:trPr>
        <w:tc>
          <w:tcPr>
            <w:tcBorders>
              <w:right w:val="single" w:color="auto" w:sz="4" w:space="0"/>
            </w:tcBorders>
            <w:tcW w:w="1945"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电池电压</w:t>
            </w:r>
            <w:r/>
          </w:p>
        </w:tc>
        <w:tc>
          <w:tcPr>
            <w:tcBorders>
              <w:left w:val="single" w:color="auto" w:sz="4" w:space="0"/>
              <w:right w:val="single" w:color="auto" w:sz="4" w:space="0"/>
            </w:tcBorders>
            <w:tcW w:w="3054"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额定22.2V</w:t>
            </w:r>
            <w:r/>
          </w:p>
        </w:tc>
      </w:tr>
      <w:tr>
        <w:trPr>
          <w:jc w:val="center"/>
          <w:trHeight w:val="397"/>
        </w:trPr>
        <w:tc>
          <w:tcPr>
            <w:tcBorders>
              <w:right w:val="single" w:color="auto" w:sz="4" w:space="0"/>
            </w:tcBorders>
            <w:tcW w:w="1945"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电池容量</w:t>
            </w:r>
            <w:r/>
          </w:p>
        </w:tc>
        <w:tc>
          <w:tcPr>
            <w:tcBorders>
              <w:left w:val="single" w:color="auto" w:sz="4" w:space="0"/>
              <w:right w:val="single" w:color="auto" w:sz="4" w:space="0"/>
            </w:tcBorders>
            <w:tcW w:w="3054"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26Ah（可选配12Ah、16.5Ah）</w:t>
            </w:r>
            <w:r/>
          </w:p>
        </w:tc>
      </w:tr>
      <w:tr>
        <w:trPr>
          <w:jc w:val="center"/>
          <w:trHeight w:val="397"/>
        </w:trPr>
        <w:tc>
          <w:tcPr>
            <w:tcBorders>
              <w:right w:val="single" w:color="auto" w:sz="4" w:space="0"/>
            </w:tcBorders>
            <w:tcW w:w="1945"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放电电流</w:t>
            </w:r>
            <w:r/>
          </w:p>
        </w:tc>
        <w:tc>
          <w:tcPr>
            <w:tcBorders>
              <w:left w:val="single" w:color="auto" w:sz="4" w:space="0"/>
              <w:right w:val="single" w:color="auto" w:sz="4" w:space="0"/>
            </w:tcBorders>
            <w:tcW w:w="3054"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额定10A</w:t>
            </w:r>
            <w:r/>
          </w:p>
        </w:tc>
      </w:tr>
      <w:tr>
        <w:trPr>
          <w:jc w:val="center"/>
          <w:trHeight w:val="397"/>
        </w:trPr>
        <w:tc>
          <w:tcPr>
            <w:tcBorders>
              <w:right w:val="single" w:color="auto" w:sz="4" w:space="0"/>
            </w:tcBorders>
            <w:tcW w:w="1945"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充电电流</w:t>
            </w:r>
            <w:r/>
          </w:p>
        </w:tc>
        <w:tc>
          <w:tcPr>
            <w:tcBorders>
              <w:left w:val="single" w:color="auto" w:sz="4" w:space="0"/>
              <w:right w:val="single" w:color="auto" w:sz="4" w:space="0"/>
            </w:tcBorders>
            <w:tcW w:w="3054"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额定3A</w:t>
            </w:r>
            <w:r/>
          </w:p>
        </w:tc>
      </w:tr>
      <w:tr>
        <w:trPr>
          <w:jc w:val="center"/>
          <w:trHeight w:val="397"/>
        </w:trPr>
        <w:tc>
          <w:tcPr>
            <w:tcBorders>
              <w:right w:val="single" w:color="auto" w:sz="4" w:space="0"/>
            </w:tcBorders>
            <w:tcW w:w="1945"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充电时间</w:t>
            </w:r>
            <w:r/>
          </w:p>
        </w:tc>
        <w:tc>
          <w:tcPr>
            <w:tcBorders>
              <w:left w:val="single" w:color="auto" w:sz="4" w:space="0"/>
              <w:right w:val="single" w:color="auto" w:sz="4" w:space="0"/>
            </w:tcBorders>
            <w:tcW w:w="3054"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10小时（12Ah为5小时，16.5Ah为7小时）</w:t>
            </w:r>
            <w:r/>
          </w:p>
        </w:tc>
      </w:tr>
      <w:tr>
        <w:trPr>
          <w:jc w:val="center"/>
          <w:trHeight w:val="397"/>
        </w:trPr>
        <w:tc>
          <w:tcPr>
            <w:tcBorders>
              <w:right w:val="single" w:color="auto" w:sz="4" w:space="0"/>
            </w:tcBorders>
            <w:tcW w:w="1945"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循环使用寿命</w:t>
            </w:r>
            <w:r/>
          </w:p>
        </w:tc>
        <w:tc>
          <w:tcPr>
            <w:tcBorders>
              <w:left w:val="single" w:color="auto" w:sz="4" w:space="0"/>
              <w:right w:val="single" w:color="auto" w:sz="4" w:space="0"/>
            </w:tcBorders>
            <w:tcW w:w="3054" w:type="pct"/>
            <w:vAlign w:val="center"/>
            <w:textDirection w:val="lrTb"/>
            <w:noWrap w:val="false"/>
          </w:tcPr>
          <w:p>
            <w:pPr>
              <w:numPr>
                <w:ilvl w:val="0"/>
                <w:numId w:val="0"/>
              </w:num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不低于500次</w:t>
            </w:r>
            <w:r/>
          </w:p>
        </w:tc>
      </w:tr>
    </w:tbl>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b/>
          <w:bCs/>
          <w:color w:val="auto"/>
          <w:sz w:val="24"/>
          <w:szCs w:val="24"/>
          <w:lang w:val="en-US" w:eastAsia="zh-CN"/>
        </w:rPr>
        <w:t xml:space="preserve">三、数量要求：6套</w:t>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i w:val="0"/>
          <w:iCs w:val="0"/>
          <w:color w:val="auto"/>
          <w:sz w:val="24"/>
          <w:szCs w:val="24"/>
          <w:u w:val="none"/>
          <w:lang w:val="en-US" w:eastAsia="zh-CN" w:bidi="ar"/>
        </w:rPr>
        <w:t xml:space="preserve">分项22：</w:t>
      </w:r>
      <w:r>
        <w:rPr>
          <w:rFonts w:hint="eastAsia" w:ascii="宋体" w:hAnsi="宋体" w:eastAsia="宋体" w:cs="宋体"/>
          <w:b/>
          <w:bCs/>
          <w:color w:val="auto"/>
          <w:spacing w:val="-1"/>
          <w:sz w:val="24"/>
          <w:szCs w:val="24"/>
          <w:lang w:val="en-US" w:eastAsia="zh-CN"/>
        </w:rPr>
        <w:t xml:space="preserve">全自动红外测油仪增加测油烟的控制程序（1套）</w:t>
      </w:r>
      <w:r/>
    </w:p>
    <w:p>
      <w:pPr>
        <w:pStyle w:val="749"/>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一、基本参数要求</w:t>
      </w:r>
      <w:r/>
    </w:p>
    <w:p>
      <w:pPr>
        <w:pStyle w:val="749"/>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1.按国家“HJ637-2018”号标准为依据，用四氯乙烯萃取水中的油类物质，测定总萃取物，萃取液经硅酸镁吸附，脱除动植物油等极性物质后，测定石油类。按照国标要求分别在3030、2960、2930cm-1处进行测量。</w:t>
      </w:r>
      <w:r/>
    </w:p>
    <w:p>
      <w:pPr>
        <w:pStyle w:val="749"/>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2.软件有谱图扫描功能，无论同时做单个样品或多个样品，每一个样品都要有一个独立的谱图，不能集合在一个谱图中，方便随时查看。并且报告要以Excel和PDF的形式呈现，用户可选。</w:t>
      </w:r>
      <w:r/>
    </w:p>
    <w:p>
      <w:pPr>
        <w:pStyle w:val="749"/>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3.一套软件中需要有手动测量、试剂扫描、系数校准等功能。</w:t>
      </w:r>
      <w:r/>
    </w:p>
    <w:p>
      <w:pPr>
        <w:pStyle w:val="749"/>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4.软件可以配合设备升级成为全自动油烟油雾测定仪软件。</w:t>
      </w:r>
      <w:r/>
    </w:p>
    <w:p>
      <w:pPr>
        <w:pStyle w:val="749"/>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5.软件可以根据输入的参数，自动计算出质量浓度和排放浓度。</w:t>
      </w:r>
      <w:r/>
    </w:p>
    <w:p>
      <w:pPr>
        <w:pStyle w:val="749"/>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二、技术指标：</w:t>
      </w:r>
      <w:r/>
    </w:p>
    <w:p>
      <w:pPr>
        <w:pStyle w:val="749"/>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1.试剂兼容：四氯乙烯</w:t>
      </w:r>
      <w:r/>
    </w:p>
    <w:p>
      <w:pPr>
        <w:pStyle w:val="749"/>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2.测量范围：0-100mg/L </w:t>
      </w:r>
      <w:r/>
    </w:p>
    <w:p>
      <w:pPr>
        <w:pStyle w:val="749"/>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3.波数范围：2400-3400cm-1</w:t>
      </w:r>
      <w:r/>
    </w:p>
    <w:p>
      <w:pPr>
        <w:pStyle w:val="749"/>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三、配置清单</w:t>
      </w:r>
      <w:r/>
    </w:p>
    <w:p>
      <w:pPr>
        <w:ind w:left="0" w:firstLine="480"/>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rPr>
      </w:pPr>
      <w:r>
        <w:rPr>
          <w:rFonts w:hint="eastAsia" w:ascii="宋体" w:hAnsi="宋体" w:eastAsia="宋体" w:cs="宋体"/>
          <w:color w:val="auto"/>
          <w:sz w:val="24"/>
          <w:szCs w:val="24"/>
          <w:lang w:val="en-US" w:eastAsia="zh-CN" w:bidi="ar-SA"/>
        </w:rPr>
        <w:t xml:space="preserve">控制程序 1套</w:t>
      </w:r>
      <w:r/>
    </w:p>
    <w:p>
      <w:pPr>
        <w:pStyle w:val="721"/>
        <w:ind w:left="0"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lang w:val="en-US" w:eastAsia="zh-CN"/>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4"/>
          <w:szCs w:val="24"/>
          <w:lang w:val="en-US"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i w:val="0"/>
          <w:iCs w:val="0"/>
          <w:color w:val="auto"/>
          <w:sz w:val="24"/>
          <w:szCs w:val="24"/>
          <w:u w:val="none"/>
          <w:lang w:val="en-US" w:eastAsia="zh-CN" w:bidi="ar"/>
        </w:rPr>
        <w:t xml:space="preserve">分项23：</w:t>
      </w:r>
      <w:r>
        <w:rPr>
          <w:rFonts w:hint="eastAsia" w:ascii="宋体" w:hAnsi="宋体" w:eastAsia="宋体" w:cs="宋体"/>
          <w:b/>
          <w:bCs/>
          <w:color w:val="auto"/>
          <w:spacing w:val="-1"/>
          <w:sz w:val="24"/>
          <w:szCs w:val="24"/>
        </w:rPr>
        <w:t xml:space="preserve">水质试纸</w:t>
      </w:r>
      <w:r>
        <w:rPr>
          <w:rFonts w:hint="eastAsia" w:ascii="宋体" w:hAnsi="宋体" w:eastAsia="宋体" w:cs="宋体"/>
          <w:b/>
          <w:bCs/>
          <w:color w:val="auto"/>
          <w:spacing w:val="-1"/>
          <w:sz w:val="24"/>
          <w:szCs w:val="24"/>
          <w:lang w:val="en-US" w:eastAsia="zh-CN"/>
        </w:rPr>
        <w:t xml:space="preserve">20盒</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用途：用于水质六价铬、氨氮、汞、铅、铜、锌、硝酸盐、亚硝酸盐、总硬度、余氯等参数的现场定性。</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▲需按甲方需求进度，分批供应。</w:t>
      </w:r>
      <w:r/>
    </w:p>
    <w:p>
      <w:pPr>
        <w:pStyle w:val="721"/>
        <w:ind w:left="0" w:firstLine="480"/>
        <w:keepLines w:val="0"/>
        <w:keepNext w:val="0"/>
        <w:pageBreakBefore w:val="0"/>
        <w:spacing w:beforeAutospacing="0" w:after="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技术参数：</w:t>
      </w:r>
      <w:r/>
    </w:p>
    <w:tbl>
      <w:tblPr>
        <w:tblStyle w:val="7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5"/>
        <w:gridCol w:w="2489"/>
        <w:gridCol w:w="2489"/>
        <w:gridCol w:w="2489"/>
      </w:tblGrid>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名称</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量程</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次数</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数量</w:t>
            </w:r>
            <w:r/>
          </w:p>
        </w:tc>
      </w:tr>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六价铬检测试纸</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0.5-100</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100次/盒</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2盒</w:t>
            </w:r>
            <w:r/>
          </w:p>
        </w:tc>
      </w:tr>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氨氮检测试纸</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0-20</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100次/盒</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2盒</w:t>
            </w:r>
            <w:r/>
          </w:p>
        </w:tc>
      </w:tr>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汞检测试纸</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0-200</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100次/盒</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2盒</w:t>
            </w:r>
            <w:r/>
          </w:p>
        </w:tc>
      </w:tr>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铅检测试纸</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0-500</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100次/盒</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2盒</w:t>
            </w:r>
            <w:r/>
          </w:p>
        </w:tc>
      </w:tr>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铜检测试纸</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0-300</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100次/盒</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2盒</w:t>
            </w:r>
            <w:r/>
          </w:p>
        </w:tc>
      </w:tr>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锌检测试纸</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10-250</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100次/盒</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2盒</w:t>
            </w:r>
            <w:r/>
          </w:p>
        </w:tc>
      </w:tr>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硝酸盐检测试纸</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5-500</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100次/盒</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2盒</w:t>
            </w:r>
            <w:r/>
          </w:p>
        </w:tc>
      </w:tr>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亚硝酸盐检测试纸</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1-80</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100次/盒</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2盒</w:t>
            </w:r>
            <w:r/>
          </w:p>
        </w:tc>
      </w:tr>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总硬度检测试纸</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0-400</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100次/盒</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2盒</w:t>
            </w:r>
            <w:r/>
          </w:p>
        </w:tc>
      </w:tr>
      <w:tr>
        <w:trPr/>
        <w:tc>
          <w:tcPr>
            <w:tcW w:w="1248"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余氯检测试纸</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20-1500</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100次/盒</w:t>
            </w:r>
            <w:r/>
          </w:p>
        </w:tc>
        <w:tc>
          <w:tcPr>
            <w:tcW w:w="125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2盒</w:t>
            </w:r>
            <w:r/>
          </w:p>
        </w:tc>
      </w:tr>
    </w:tbl>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ind w:left="0" w:firstLine="478"/>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r>
      <w:r/>
    </w:p>
    <w:p>
      <w:pPr>
        <w:jc w:val="center"/>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r>
      <w:r/>
    </w:p>
    <w:p>
      <w:pPr>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i w:val="0"/>
          <w:iCs w:val="0"/>
          <w:color w:val="auto"/>
          <w:sz w:val="24"/>
          <w:szCs w:val="24"/>
          <w:u w:val="none"/>
          <w:lang w:val="en-US" w:eastAsia="zh-CN" w:bidi="ar"/>
        </w:rPr>
        <w:t xml:space="preserve">分项24：</w:t>
      </w:r>
      <w:r>
        <w:rPr>
          <w:rFonts w:hint="eastAsia" w:ascii="宋体" w:hAnsi="宋体" w:eastAsia="宋体" w:cs="宋体"/>
          <w:b/>
          <w:bCs/>
          <w:color w:val="auto"/>
          <w:spacing w:val="-1"/>
          <w:sz w:val="24"/>
          <w:szCs w:val="24"/>
        </w:rPr>
        <w:t xml:space="preserve">水质试剂盒</w:t>
      </w:r>
      <w:r>
        <w:rPr>
          <w:rFonts w:hint="eastAsia" w:ascii="宋体" w:hAnsi="宋体" w:eastAsia="宋体" w:cs="宋体"/>
          <w:b/>
          <w:bCs/>
          <w:color w:val="auto"/>
          <w:spacing w:val="-1"/>
          <w:sz w:val="24"/>
          <w:szCs w:val="24"/>
          <w:lang w:val="en-US" w:eastAsia="zh-CN"/>
        </w:rPr>
        <w:t xml:space="preserve">70盒</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用途：用于快速对COD、氨氮、总磷、总氮、总铜、总镍、总锌、总铬、六价铬、总铅、总镉、总汞、总砷、总铁、总锰、余氯、氯化物、氰化物、氟化物、硫化物、高锰酸盐指数、硬度、甲醛、挥发酚、硝酸盐氮等进行现场定性和半定量检测。</w:t>
      </w:r>
      <w:r/>
    </w:p>
    <w:p>
      <w:pPr>
        <w:pStyle w:val="729"/>
        <w:ind w:left="0" w:firstLine="480"/>
        <w:jc w:val="left"/>
        <w:keepLines w:val="0"/>
        <w:keepNext w:val="0"/>
        <w:pageBreakBefore w:val="0"/>
        <w:spacing w:beforeAutospacing="0" w:afterAutospacing="0" w:line="360" w:lineRule="auto"/>
        <w:widowControl w:val="off"/>
        <w:rPr>
          <w:rFonts w:hint="eastAsia" w:ascii="宋体" w:hAnsi="宋体" w:eastAsia="宋体" w:cs="宋体"/>
          <w:i/>
          <w:color w:val="auto"/>
          <w:sz w:val="24"/>
          <w:szCs w:val="24"/>
          <w:u w:val="single"/>
          <w:lang w:val="en-US" w:eastAsia="zh-CN"/>
        </w:rPr>
      </w:pPr>
      <w:r>
        <w:rPr>
          <w:rFonts w:hint="eastAsia" w:ascii="宋体" w:hAnsi="宋体" w:eastAsia="宋体" w:cs="宋体"/>
          <w:i/>
          <w:color w:val="auto"/>
          <w:sz w:val="24"/>
          <w:szCs w:val="24"/>
          <w:u w:val="single"/>
          <w:lang w:val="en-US" w:eastAsia="zh-CN"/>
        </w:rPr>
        <w:t xml:space="preserve">▲需按甲方需求进度，分批供应。</w:t>
      </w:r>
      <w:r/>
    </w:p>
    <w:p>
      <w:pPr>
        <w:numPr>
          <w:ilvl w:val="0"/>
          <w:numId w:val="0"/>
        </w:num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技术参数：</w:t>
      </w:r>
      <w:r/>
    </w:p>
    <w:tbl>
      <w:tblPr>
        <w:tblStyle w:val="7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1"/>
        <w:gridCol w:w="950"/>
        <w:gridCol w:w="1418"/>
        <w:gridCol w:w="1203"/>
        <w:gridCol w:w="3246"/>
        <w:gridCol w:w="974"/>
      </w:tblGrid>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名称</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量程</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测试时间</w:t>
            </w:r>
            <w:r/>
          </w:p>
        </w:tc>
        <w:tc>
          <w:tcPr>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次数</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eastAsia="zh-CN"/>
              </w:rPr>
              <w:t xml:space="preserve">测试分度值（</w:t>
            </w:r>
            <w:r>
              <w:rPr>
                <w:rFonts w:hint="eastAsia" w:ascii="宋体" w:hAnsi="宋体" w:eastAsia="宋体" w:cs="宋体"/>
                <w:color w:val="auto"/>
                <w:sz w:val="24"/>
                <w:szCs w:val="24"/>
                <w:vertAlign w:val="baseline"/>
                <w:lang w:val="en-US" w:eastAsia="zh-CN"/>
              </w:rPr>
              <w:t xml:space="preserve">mg/L</w:t>
            </w:r>
            <w:r>
              <w:rPr>
                <w:rFonts w:hint="eastAsia" w:ascii="宋体" w:hAnsi="宋体" w:eastAsia="宋体" w:cs="宋体"/>
                <w:color w:val="auto"/>
                <w:sz w:val="24"/>
                <w:szCs w:val="24"/>
                <w:vertAlign w:val="baseline"/>
                <w:lang w:eastAsia="zh-CN"/>
              </w:rPr>
              <w:t xml:space="preserve">）</w:t>
            </w:r>
            <w:r/>
          </w:p>
        </w:tc>
        <w:tc>
          <w:tcPr>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数量</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COD SL</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≤7min</w:t>
            </w:r>
            <w:r/>
          </w:p>
        </w:tc>
        <w:tc>
          <w:tcPr>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0 2 4 6 8 10</w:t>
            </w:r>
            <w:r/>
          </w:p>
        </w:tc>
        <w:tc>
          <w:tcPr>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COD L</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0-100</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≤6min</w:t>
            </w:r>
            <w:r/>
          </w:p>
        </w:tc>
        <w:tc>
          <w:tcPr>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0 5 10 15 30 60 100</w:t>
            </w:r>
            <w:r/>
          </w:p>
        </w:tc>
        <w:tc>
          <w:tcPr>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eastAsia="zh-CN"/>
              </w:rPr>
              <w:t xml:space="preserve">氨氮</w:t>
            </w:r>
            <w:r>
              <w:rPr>
                <w:rFonts w:hint="eastAsia" w:ascii="宋体" w:hAnsi="宋体" w:eastAsia="宋体" w:cs="宋体"/>
                <w:color w:val="auto"/>
                <w:sz w:val="24"/>
                <w:szCs w:val="24"/>
                <w:vertAlign w:val="baseline"/>
                <w:lang w:val="en-US" w:eastAsia="zh-CN"/>
              </w:rPr>
              <w:t xml:space="preserve">L</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6min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0 0.2 0.5 1 3 5 10</w:t>
            </w:r>
            <w:r/>
          </w:p>
        </w:tc>
        <w:tc>
          <w:tcPr>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rPr>
            </w:pPr>
            <w:r>
              <w:rPr>
                <w:rFonts w:hint="eastAsia" w:ascii="宋体" w:hAnsi="宋体" w:eastAsia="宋体" w:cs="宋体"/>
                <w:color w:val="auto"/>
                <w:sz w:val="24"/>
                <w:szCs w:val="24"/>
                <w:vertAlign w:val="baseline"/>
                <w:lang w:eastAsia="zh-CN"/>
              </w:rPr>
              <w:t xml:space="preserve">氨氮</w:t>
            </w:r>
            <w:r>
              <w:rPr>
                <w:rFonts w:hint="eastAsia" w:ascii="宋体" w:hAnsi="宋体" w:eastAsia="宋体" w:cs="宋体"/>
                <w:color w:val="auto"/>
                <w:sz w:val="24"/>
                <w:szCs w:val="24"/>
                <w:vertAlign w:val="baseline"/>
                <w:lang w:val="en-US" w:eastAsia="zh-CN"/>
              </w:rPr>
              <w:t xml:space="preserve">M</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0-20</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0 0.5 1 3 5 10 20</w:t>
            </w:r>
            <w:r/>
          </w:p>
        </w:tc>
        <w:tc>
          <w:tcPr>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TP L</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3min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0 0.05 0.1 0.2 0.5 1 2</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TP M</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0-5</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3min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0 0.1 0.2 0.5 1 2 5</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TP</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3min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0 0.2 0.5 1 2 5 10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TN L</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0-20</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10min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0 1 3 5 10 20 50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TN H</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0-100</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0 5 15 30 50 100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总铜L</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0 0.1 0.3 0.5 0.7 1</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eastAsia="zh-CN"/>
              </w:rPr>
              <w:t xml:space="preserve">总铜</w:t>
            </w:r>
            <w:r>
              <w:rPr>
                <w:rFonts w:hint="eastAsia" w:ascii="宋体" w:hAnsi="宋体" w:eastAsia="宋体" w:cs="宋体"/>
                <w:color w:val="auto"/>
                <w:sz w:val="24"/>
                <w:szCs w:val="24"/>
                <w:vertAlign w:val="baseline"/>
                <w:lang w:val="en-US" w:eastAsia="zh-CN"/>
              </w:rPr>
              <w:t xml:space="preserve">H</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0.5min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0 0.5 1 2 3 5 10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总镍</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0-5</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≤10min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0 1.2 0.5 1 2 5</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总锌</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0-5</w:t>
            </w:r>
            <w:r/>
          </w:p>
        </w:tc>
        <w:tc>
          <w:tcPr>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0.5min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0 0.5 1 2 5</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总铬</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1min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0 0.05 0.1 0.2 0.5 1 2</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六价铬</w:t>
            </w:r>
            <w:r/>
          </w:p>
        </w:tc>
        <w:tc>
          <w:tcPr>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1min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0 0.05 0.1 0.2 0.5 1 2</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总铅</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0-2</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1min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0 0.1 0.3 0.5 1 2</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总镉</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0-2</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1min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0 0.1 0.2 0.5 1 2</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总汞</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0-2</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0.5min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0 0.1 0.2 0.5 1 2</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总砷</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3min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0 0.2 0.5 1 2 5 10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总铁</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0.5min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0 0.2 0.5 1 2 3 5 10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总锰</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0.5min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0 0.5 1 2 5 10 20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eastAsia="zh-CN"/>
              </w:rPr>
              <w:t xml:space="preserve">余氯</w:t>
            </w:r>
            <w:r>
              <w:rPr>
                <w:rFonts w:hint="eastAsia" w:ascii="宋体" w:hAnsi="宋体" w:eastAsia="宋体" w:cs="宋体"/>
                <w:color w:val="auto"/>
                <w:sz w:val="24"/>
                <w:szCs w:val="24"/>
                <w:vertAlign w:val="baseline"/>
                <w:lang w:val="en-US" w:eastAsia="zh-CN"/>
              </w:rPr>
              <w:t xml:space="preserve">L</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0-5</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1min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0 0.2 0.5 1 2 5</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eastAsia="zh-CN"/>
              </w:rPr>
              <w:t xml:space="preserve">余氯</w:t>
            </w:r>
            <w:r>
              <w:rPr>
                <w:rFonts w:hint="eastAsia" w:ascii="宋体" w:hAnsi="宋体" w:eastAsia="宋体" w:cs="宋体"/>
                <w:color w:val="auto"/>
                <w:sz w:val="24"/>
                <w:szCs w:val="24"/>
                <w:vertAlign w:val="baseline"/>
                <w:lang w:val="en-US" w:eastAsia="zh-CN"/>
              </w:rPr>
              <w:t xml:space="preserve">H</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1min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0 0.5 1 2 5 10 20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氯化物</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0-50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0 2 5 10 20 50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氯化物</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0-5</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0 0.1 0.2 0.5 1 2 5</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硫化物</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1.5min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0 02 0.5 1 3 5 10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亚硝酸盐</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0 0.05 0.1 0.2 0.5 1 2</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eastAsia="zh-CN"/>
              </w:rPr>
              <w:t xml:space="preserve">高锰酸盐指数</w:t>
            </w:r>
            <w:r>
              <w:rPr>
                <w:rFonts w:hint="eastAsia" w:ascii="宋体" w:hAnsi="宋体" w:eastAsia="宋体" w:cs="宋体"/>
                <w:color w:val="auto"/>
                <w:sz w:val="24"/>
                <w:szCs w:val="24"/>
                <w:vertAlign w:val="baseline"/>
                <w:lang w:val="en-US" w:eastAsia="zh-CN"/>
              </w:rPr>
              <w:t xml:space="preserve">L</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0-30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6min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0 2 4 6 10 15 30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高锰酸盐指数</w:t>
            </w:r>
            <w:r>
              <w:rPr>
                <w:rFonts w:hint="eastAsia" w:ascii="宋体" w:hAnsi="宋体" w:eastAsia="宋体" w:cs="宋体"/>
                <w:color w:val="auto"/>
                <w:sz w:val="24"/>
                <w:szCs w:val="24"/>
                <w:vertAlign w:val="baseline"/>
                <w:lang w:val="en-US" w:eastAsia="zh-CN"/>
              </w:rPr>
              <w:t xml:space="preserve">M</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6min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0 5 10 15 30 60 100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硬度</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0-200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0.5min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0 10 20 50 100 200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甲醛</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0 0.2 0.5 1 2 5 10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挥发酚</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0.5min</w:t>
            </w:r>
            <w:r/>
          </w:p>
        </w:tc>
        <w:tc>
          <w:tcPr>
            <w:shd w:val="clear" w:color="auto" w:fill="auto"/>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0 0.5 1 2 5 10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硝酸盐氮</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0-10</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5min</w:t>
            </w:r>
            <w:r/>
          </w:p>
        </w:tc>
        <w:tc>
          <w:tcPr>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0 0.2 0.5 1 2 5 10</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氰化物</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0-2</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5min</w:t>
            </w:r>
            <w:r/>
          </w:p>
        </w:tc>
        <w:tc>
          <w:tcPr>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0 0.05 0.1 0.2 0.5 1 2</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r>
        <w:trPr>
          <w:jc w:val="center"/>
        </w:trPr>
        <w:tc>
          <w:tcPr>
            <w:tcW w:w="1085"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氟化物</w:t>
            </w:r>
            <w:r/>
          </w:p>
        </w:tc>
        <w:tc>
          <w:tcPr>
            <w:shd w:val="clear" w:color="auto" w:fill="auto"/>
            <w:tcW w:w="477"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0-2</w:t>
            </w:r>
            <w:r/>
          </w:p>
        </w:tc>
        <w:tc>
          <w:tcPr>
            <w:shd w:val="clear" w:color="auto" w:fill="auto"/>
            <w:tcW w:w="712"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5min</w:t>
            </w:r>
            <w:r/>
          </w:p>
        </w:tc>
        <w:tc>
          <w:tcPr>
            <w:tcW w:w="604"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50次/盒</w:t>
            </w:r>
            <w:r/>
          </w:p>
        </w:tc>
        <w:tc>
          <w:tcPr>
            <w:tcW w:w="1630"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0 0.05 0.1 0.3 0.5 1</w:t>
            </w:r>
            <w:r/>
          </w:p>
        </w:tc>
        <w:tc>
          <w:tcPr>
            <w:shd w:val="clear" w:color="auto" w:fill="auto"/>
            <w:tcW w:w="489" w:type="pct"/>
            <w:vAlign w:val="center"/>
            <w:textDirection w:val="lrTb"/>
            <w:noWrap w:val="false"/>
          </w:tcPr>
          <w:p>
            <w:pPr>
              <w:ind w:lef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w:t>
            </w:r>
            <w:r/>
          </w:p>
        </w:tc>
      </w:tr>
    </w:tbl>
    <w:p>
      <w:pPr>
        <w:pStyle w:val="733"/>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采购包2：</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（一）总体技术需求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应在充分考虑建设方已建和建设中的计算机应用系统基础上，充分保护原有软硬件设备投资的前提下，提供完整的系统解决方案。</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1）安全性。系统应当在技术和管理上确保系统的各项请求是合法的、安全的。软件系统应具有全面的安全机制，从用户登录、职责、角色、信息，到用户审计等全面安全。</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高效性。系统必须具备足够的交易吞吐量和较强的并发处理能力，对造成系统主要负担的业务，如大量的查询、统计、批量业务，在技术上有降低系统压力的优化措施。系统处理交易的能力，应能适应大量的操作访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3）规范性。解决方案中，智慧实验室信息管理云平台软件与其他各系统在通信协议、通讯格式、接口标准上应保持统一或相互兼容，并且实现参数化配置的要求，其他系统的接口标准由委托开发方提供。</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4）数据一致性。在任何异常和故障情况下，一个交易对数据库的所有更新或是全部完成，或是没有执行，不能有中间结果，保证交易的完整性。</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可扩展性和灵活性。系统的设计必须是开放的、标准的、适应性强的，随着业务量的扩展或开展的业务种类的增长，系统应该能够具有很强的扩展能力。软件设计应能支持硬件系统性能升级与数量扩充。应用扩展性方面，能够在应用的体系结构和软件模块划分两个方面支持整个应用的良好扩展性。</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6）系统灵活性高，可以通过灵活的参数配置实现绝大部分用户需求。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可靠性。系统在设计上要充分考虑提供安全可靠的技术和管理方式，保证系统的不间断运行。系统在通讯层、应用逻辑层、数据库层都实现高可靠性，避免单点故障。应用服务器具备负载均衡的能力。系统在长时间大容量高压力的情况下，能稳定运行。某一局部性的错误发生不影响整个系统的正常运行。</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可维护性。系统维护和管理的设计应遵循高效、安全、简单、便捷的原则。系统的设计应简单，即系统组织简单易懂、明晰，方便用户的使用。系统设计时要充分考虑到便于管理，系统的标准配置在正式上线后尽可能少改；系统日常运行操作尽可能简便，修改配置、系统备份等要考虑到操作的方便、安全；系统维护要能够充分考虑到安全性和稳定性。</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9）可恢复性。必须要有完整的系统备份方案和数据备份机制，充分考虑数据库、交易中间件等故障时的处理机制。</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（二）应用软件要求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1）系统具有环境检测行业专业、完善的检测方法库、原始记录库、环境质量评价标准库和各类质控措施，以降低实施风险和难度，保证项目质量。</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2）系统符合《实验室信息管理系统管理规范》（RB/T 028-2020）、《检测实验室信息管理系统建设指南》（RB/T 029-2020）、《检验检测机构管理和技术能力评价 生态环境监测要求》（RB/T 041-2020）以及《检验检测机构资质认定生态环境监测机构评审补充要求》（RB/T 214-2017）等标准及准则的要求。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3）应用系统基于开放式软件平台，充分考虑利用建设方现有的数据库、中间件、应用服务器软件、防火墙等产品。</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4）应用系统具备模块化、参数化和插件式特征。</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5）解决方案应满足浏览器方式前端系统的相关技术要求。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6）系统应提供必要的开发和测试工具，以方便用户进行客户化定制和维护。</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bookmarkStart w:id="193" w:name="_Hlk105883825"/>
      <w:r>
        <w:rPr>
          <w:rFonts w:hint="eastAsia" w:ascii="宋体" w:hAnsi="宋体" w:eastAsia="宋体" w:cs="宋体"/>
          <w:color w:val="auto"/>
          <w:sz w:val="24"/>
          <w:szCs w:val="24"/>
        </w:rPr>
        <w:t xml:space="preserve">（三）★人员要求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项目组派遣的项目经理</w:t>
      </w:r>
      <w:r>
        <w:rPr>
          <w:rFonts w:hint="eastAsia" w:ascii="宋体" w:hAnsi="宋体" w:eastAsia="宋体" w:cs="宋体"/>
          <w:color w:val="auto"/>
          <w:sz w:val="24"/>
          <w:szCs w:val="24"/>
          <w:highlight w:val="none"/>
          <w:lang w:val="en-US" w:eastAsia="zh-CN"/>
        </w:rPr>
        <w:t xml:space="preserve">具有五年以上工作经验</w:t>
      </w:r>
      <w:r>
        <w:rPr>
          <w:rFonts w:hint="eastAsia" w:ascii="宋体" w:hAnsi="宋体" w:eastAsia="宋体" w:cs="宋体"/>
          <w:b/>
          <w:bCs/>
          <w:color w:val="auto"/>
          <w:sz w:val="24"/>
          <w:szCs w:val="24"/>
          <w:highlight w:val="none"/>
          <w:lang w:val="en-US" w:eastAsia="zh-CN"/>
        </w:rPr>
        <w:t xml:space="preserve">（提供盖章的社保证明材料）；</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具</w:t>
      </w:r>
      <w:r>
        <w:rPr>
          <w:rFonts w:hint="eastAsia" w:ascii="宋体" w:hAnsi="宋体" w:eastAsia="宋体" w:cs="宋体"/>
          <w:color w:val="auto"/>
          <w:sz w:val="24"/>
          <w:szCs w:val="24"/>
        </w:rPr>
        <w:t xml:space="preserve">有至少两个环境实验室LIMS项目建设完整的项目管理经验。项目验收上线前未经建设方同意不得随意变动项目组人员。</w:t>
      </w:r>
      <w:bookmarkEnd w:id="193"/>
      <w:r>
        <w:rPr>
          <w:rFonts w:hint="eastAsia" w:ascii="宋体" w:hAnsi="宋体" w:eastAsia="宋体" w:cs="宋体"/>
          <w:color w:val="auto"/>
          <w:sz w:val="24"/>
          <w:szCs w:val="24"/>
          <w:lang w:eastAsia="zh-CN"/>
        </w:rPr>
        <w:t xml:space="preserve">自项目建成起，驻点协助本单位系统试运行</w:t>
      </w:r>
      <w:r>
        <w:rPr>
          <w:rFonts w:hint="eastAsia" w:ascii="宋体" w:hAnsi="宋体" w:eastAsia="宋体" w:cs="宋体"/>
          <w:color w:val="auto"/>
          <w:sz w:val="24"/>
          <w:szCs w:val="24"/>
          <w:lang w:val="en-US" w:eastAsia="zh-CN"/>
        </w:rPr>
        <w:t xml:space="preserve">1个月。</w:t>
      </w:r>
      <w:r/>
    </w:p>
    <w:p>
      <w:pPr>
        <w:pStyle w:val="715"/>
        <w:numPr>
          <w:ilvl w:val="0"/>
          <w:numId w:val="0"/>
        </w:numPr>
        <w:ind w:firstLine="482"/>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建设内容</w:t>
      </w:r>
      <w:r/>
    </w:p>
    <w:p>
      <w:pPr>
        <w:pStyle w:val="716"/>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Pr>
      <w:r/>
      <w:bookmarkStart w:id="194" w:name="_Toc105107783"/>
      <w:r>
        <w:rPr>
          <w:rFonts w:hint="eastAsia" w:ascii="宋体" w:hAnsi="宋体" w:eastAsia="宋体" w:cs="宋体"/>
          <w:b w:val="0"/>
          <w:bCs/>
          <w:color w:val="auto"/>
          <w:sz w:val="24"/>
          <w:szCs w:val="24"/>
        </w:rPr>
        <w:t xml:space="preserve">2.1 软件部分</w:t>
      </w:r>
      <w:bookmarkEnd w:id="194"/>
      <w:r/>
      <w:r/>
    </w:p>
    <w:p>
      <w:pPr>
        <w:pStyle w:val="717"/>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（一）综合门户管理子系统</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1）待办事项，支持待处理任务的提醒。</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2）通知公告，支持单位内部通知公告的发布、删除等操作。</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3）友情链接，支持创建快捷访问地址等。</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4）车辆管理，支持采样车辆管理及预约安排。</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5）预警信息，支持超期任务、异常任务及仪器设备校准、试剂耗材、标准物质等有效期、库存等提醒。</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6）数据统计图表，支持查看当前系统中待办任务分布、任务进度等数据统计图表。</w:t>
      </w:r>
      <w:r/>
    </w:p>
    <w:p>
      <w:pPr>
        <w:pStyle w:val="717"/>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（二）监测业务管理子系统</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业务按承接任务的来源可分为：计划性任务（包含环境质量监测、监督监测、比对监测等）、非计划性任务（环境执法监测、专项调查、应急监测等）、社会委托和验收（委托送样、委托监测、环评、企业年审、验收监测、社会服务性监测等）。</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任务登记，包括监测对象信息、监测要求、监测方案等，监测方案包括：采样点名称、检测周期频次、检测项目、检测方法、监测费用等；支持对方案信息进行录入和导入功能，支持监测方案涉及接收一种或多种样品的录入以及样品的检测手段、检测方法、评价标准的自动或手动选择、设定等；支持项目的委外和分包。系统可以为固定监测任务设定监测模板。</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2）采样安排，支持由相关业务负责人对任务登记环节的信息进行确认是否受理，若受理则对采样人员、采样时间、采样设备和车辆等信息进行安排。</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3）采样准备，系统支持自动生成采样规范，耗材清单，样品标签条码等信息，根据系统自动生成的内容，对现场采样做准备；条码打印接口，支持手持设备的条码打印。</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4）现场采样，支持自动生成采样瓶条形码标签，采样人员可打印任务单，条码标签，现场可在线填写采样记录单。</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5）现场记录审核，支持现场采样任务提交到现场记录复核、现场记录审核后进行三级审核，有问题可退回至现场采样环节；移动客户端现场采样业务需求。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6）样品管理，样品管理员可通过条码扫描器读取样品信息，进行样品交接；支持留样管理、样品处理记录等功能。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7）任务分配，样品接收后，科室主任可根据人员检测能力进行合理的任务分配管理，支持默认检测员；显示任务分配的下达时间及在检测有效时间内完成任务。</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8）数据录入，支持检测结果的普通录入和ELN（电子化原始记录单）录入模式；设置超期提示。支持质控结果的输入。包括现场采样后检测结果，根据不同标准自动选择进行公式换算以及标准曲线配置、应用。</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9）数据校验/复核，可对分析完成的数据复核和确认，并设置电子签名。</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10）数据汇总，检测分析部部门负责人对检测数据进行总复核和确认，并设置电子签名及电子签章；设置检测项目的数据关联性，如总氮＞氨氮，总磷＞磷酸盐等。</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报告生成，支持在线查阅相关数据；支持根据选择的模板自动生成电子报告，可生成多种格式报告；支持在线电子签名，支持自动或手动添加报告结论；包括现场空气和废气采样后检测结果，根据不同标准自动选择进行公式换算。支持采样点位图的导入等。</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12）报告审核/复核，支持在线查阅相关数据；支持在线审阅报告并进行电子签名/签章；支持下载报告；支持对不符合报告进行驳回，并批注驳回意见。</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13）报告签发，支持在线查阅相关数据；支持在线审阅报告并进行电子签名/签章；支持下载报告；支持对不符合报告进行驳回，并批注驳回意见。</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14）报告打印，支持报告分别打印，批量打印，自动生成发文登记表等；支持报告以PDF格式保存。</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15）报告发放，支持生成报告防伪标志；支持报告发放控制；支持记录报告发放历史。</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16）档案清单，支持对该任务的所有文件进行分类归档；支持检测报告编号和签发人员签发日期的按设定日期导出功能。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17）支持记录报告发放；可以按月等时间段查询报告发放的编号、委托单位和签发日期，并可以按EXCEL格式导出汇总表。</w:t>
      </w:r>
      <w:r/>
    </w:p>
    <w:p>
      <w:pPr>
        <w:pStyle w:val="717"/>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（三）实验室资源管理子系统</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人员管理，能对监测站人员的档案信息进行管理。包括姓名、部门、岗位、学历、毕业学校、用工形式、专业、从事技术岗位年限、入职时间等。实现实验室人员培训的全过程管理，包括培训计划、培训时间、培训内容、培训过程、培训结果，可对培训合格进行资格授权，可实现对所有培训进行有效的管理和统计，并支持培训信息导出。</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2）仪器管理，可以按检验科室对仪器设备进行管</w:t>
      </w:r>
      <w:r>
        <w:rPr>
          <w:rFonts w:hint="eastAsia" w:ascii="宋体" w:hAnsi="宋体" w:eastAsia="宋体" w:cs="宋体"/>
          <w:color w:val="auto"/>
          <w:sz w:val="24"/>
          <w:szCs w:val="24"/>
        </w:rPr>
        <w:t xml:space="preserve">理，支持能够对目前实验室所属相关设备进行固定资产管理，主要包含该设备的相关基本信息维护（设备编号、设备名称、规格型号、出厂编号、测量范围、准确度/不确定度、制造厂商、检定结论、使用部门、保管人、设备状态、放置地点、检定校准日期、溯源日期、期间核查日期等）；支持能够完善设备相关信息（仪器存放位置变更记录、检定/校准记录、设备检查情况、维修记录、保养记录、使用记录、校准记录、检定记录、溯源记录、核查记录等）的维护录入；支持能够形成相应的固定资产卡片输出，以及对各类设备基本信息形成相应的列表方便管理人员查询核对。</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★3）静态数据库：</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（1）包括：样品类别、评价标准、方法标准、检测项目的管理。</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（2）评价标准包括：标准基本信息及相关的检测项目、限值要求等相关的信息。</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（3）标准的有效性提醒功能。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能够实现标准资源库建设，具体包括：a）标准镜像库：标准是检测业务的基础，判定标准、方法标准或其它标准，均应可能在系统中被调用。方法标准可关联仪器库设备；评价标准可关联项目、方法和限值的关联维护。b）检测项目库：建立相应的检测项目库。通过检测项目库将样品类别、检测项目和对应标准三者之间建立关联，形成一体化的评价标准检测项目库，并在系统所需时被调用。</w:t>
      </w:r>
      <w:r>
        <w:rPr>
          <w:rFonts w:hint="eastAsia" w:ascii="宋体" w:hAnsi="宋体" w:eastAsia="宋体" w:cs="宋体"/>
          <w:b/>
          <w:bCs/>
          <w:color w:val="auto"/>
          <w:sz w:val="24"/>
          <w:szCs w:val="24"/>
          <w:lang w:eastAsia="zh-CN"/>
        </w:rPr>
        <w:t xml:space="preserve">（提供系统相关截图）</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4）供应商管理，可以按照检测仪器、标准品、试剂、玻璃仪器、服务商等对供应商进行分类管理，评审，建立供应商档案。</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仓库管理，支持试剂、耗材、危险品、标准物质等管理，对各类样品以及在样品检测过程中所使用的各类试剂耗材的分类和信息管理，主要涉及其名称、规格、数量、入库时间、领用出库时间、库存数量、留样时限、保存条件、保管人等；能生成各类报表以便可以追踪相关物资的出入库使用、库存、盘库等情况，从而建立合理的库存量，降低实验室成本费用。</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6）模板管理，支持对各类模板的自定义维护，包括合同模板、任务流转单、样品交接单、检测报告等。</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7）AB岗管理，支持对检测项目及检测方法对应上岗人员。</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8）现场采样单模板，支持现场采样单的表单及页面配置。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9）原始记录单模板，支持原始记录单的表单及页面配置。</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10）监测对象管理，包括环境监测点位和和污染源管理的功能模块，能够形成污染源档案信息库，包括污染源基本信息、监测点位信息等。</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11）检测套餐，支持常态监测任务设置固定监测点位、监测项目及监测方法的方案模板，以便其他环节调用。</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12）打印模板，针对样品标签及现场采样规范，自定义打印模板。</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环境管理，可维护实验室设施和环境条件，内容包括：设施或环境的名称、地点、管理要求、依据的文件、安全管理员、安全检查关键点等。支持按照设定的规则自动识别出现异常的设施和环境条件，如温度和(或)湿度超范围、停电等，并以适当方式预警。</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14）文件管理，实验室管理体系文件（手册、程序文件、作业指导书、标准、规范等）在线审批、发布、查阅，自动汇总文件台账，设定查新周期自动提醒，保留查新记录，文件版本管理，实现无纸化管理。</w:t>
      </w:r>
      <w:r/>
    </w:p>
    <w:p>
      <w:pPr>
        <w:pStyle w:val="717"/>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（四）统计分析管理子系统</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对各类数据的统计分析（如任务进度查询、仪器使用记录查询、监测报告统计、检测结果统计、人员工作量统计等）；可以按时间段、监测对象等关键词在系统中查询，并可以按EXCEL格式导出汇总表；能够通过采样日期、样品数据、检测数据等进行多纬度进行排序、分类、统计分析，得出各类相关报表和统计图表。</w:t>
      </w:r>
      <w:r/>
    </w:p>
    <w:p>
      <w:pPr>
        <w:pStyle w:val="717"/>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（五）系统管理子系统</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该模块主要应包括，但不局限于以下功能：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1）组织用户管理，支持组织下用户维护，部门调整；支持设置、重置用户密码，支持设置密码锁定次数。支持人员角色、权限建立及调整，支持账户的启用停用。</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2）角色管理，支持人员角色的建立、启用和停止操作。</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3）部门管理，支持单位组织架构建立及调整。</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4）数字字典，系统模块中通用数据的建立调整，可自行维护。</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5）系统日志，能够记录用户登录、操作日志，提供操作历史记录的查询功能。</w:t>
      </w:r>
      <w:r/>
    </w:p>
    <w:p>
      <w:pPr>
        <w:pStyle w:val="717"/>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电子化原始记录单平台（ELN）</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化原始记录单平台，能够实现原始记录的无纸化管理，实现非格式数据的电子化管理。支持数据的自动计算、自动修约、电子签名等功能。系统支持自动把原始记录单合成Word或PDF格式的文档，方便审核人员审阅。</w:t>
      </w:r>
      <w:r>
        <w:rPr>
          <w:rFonts w:hint="eastAsia" w:ascii="宋体" w:hAnsi="宋体" w:eastAsia="宋体" w:cs="宋体"/>
          <w:color w:val="auto"/>
          <w:sz w:val="24"/>
          <w:szCs w:val="24"/>
          <w:lang w:eastAsia="zh-CN"/>
        </w:rPr>
        <w:t xml:space="preserve">原始记录单可根据甲方需求，随时提供样式更改服务。</w:t>
      </w:r>
      <w:r>
        <w:rPr>
          <w:rFonts w:hint="eastAsia" w:ascii="宋体" w:hAnsi="宋体" w:eastAsia="宋体" w:cs="宋体"/>
          <w:b/>
          <w:bCs/>
          <w:color w:val="auto"/>
          <w:sz w:val="24"/>
          <w:szCs w:val="24"/>
          <w:lang w:eastAsia="zh-CN"/>
        </w:rPr>
        <w:t xml:space="preserve">（提供系统相关截图）</w:t>
      </w:r>
      <w:r/>
    </w:p>
    <w:p>
      <w:pPr>
        <w:pStyle w:val="717"/>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（七）分析仪器数据采集平台</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将目前实验室的主要仪器设备产生的数据（可以是数据库，也可以是仪器数据文件，包括PDF、excel、access、txt、word等格式）采集到实验室信息管理系统中，存储为原始记录并根据需要生成记录单，减少数据录入工作量和避免录入时产生的误差，提高工作效率。</w:t>
      </w:r>
      <w:r/>
    </w:p>
    <w:p>
      <w:pPr>
        <w:pStyle w:val="717"/>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（八）</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LIMS移动端平台</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移动端应能以现有的微信为入口，集成于微信工作台内，支持H5语言。移动端应覆盖电脑版相关功能，应包含但不限于以下功能：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任务管理：现场监测人员可在通过移动终端查看现场监测任务的相关样品信息，按采样安排和现场的实际情况，确认要采集的样品清单，支持现场点位、监测项目、监测方法、现场质控等方案信息变更调整，并可通过移动标签打印机现场打印样品标签。现场数据记录：支持通过PAD、智能手机等客户端进行现场采样数据填报及提交。支持多点位合并采样单填报、分批提交采样记录表单及监测点位定位管理。现场照片管理：支持采样现场拍照及上传，系统内可对照片进行管理，记录拍照人员、时间、支持照片下载。</w:t>
      </w:r>
      <w:r>
        <w:rPr>
          <w:rFonts w:hint="eastAsia" w:ascii="宋体" w:hAnsi="宋体" w:eastAsia="宋体" w:cs="宋体"/>
          <w:b/>
          <w:bCs/>
          <w:color w:val="auto"/>
          <w:sz w:val="24"/>
          <w:szCs w:val="24"/>
          <w:lang w:eastAsia="zh-CN"/>
        </w:rPr>
        <w:t xml:space="preserve">（提供系统相关截图）</w:t>
      </w:r>
      <w:r/>
    </w:p>
    <w:p>
      <w:pPr>
        <w:pStyle w:val="717"/>
        <w:ind w:lef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（九）其他功能</w:t>
      </w:r>
      <w:r/>
    </w:p>
    <w:p>
      <w:pPr>
        <w:ind w:left="0" w:firstLine="480"/>
        <w:keepLines w:val="0"/>
        <w:keepNext w:val="0"/>
        <w:pageBreakBefore w:val="0"/>
        <w:spacing w:beforeAutospacing="0" w:afterAutospacing="0" w:line="360"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1）★将</w:t>
      </w:r>
      <w:r>
        <w:rPr>
          <w:rFonts w:hint="eastAsia" w:ascii="宋体" w:hAnsi="宋体" w:eastAsia="宋体" w:cs="宋体"/>
          <w:color w:val="auto"/>
          <w:sz w:val="24"/>
          <w:szCs w:val="24"/>
          <w:lang w:val="en-US" w:eastAsia="zh-CN"/>
        </w:rPr>
        <w:t xml:space="preserve">原</w:t>
      </w:r>
      <w:r>
        <w:rPr>
          <w:rFonts w:hint="eastAsia" w:ascii="宋体" w:hAnsi="宋体" w:eastAsia="宋体" w:cs="宋体"/>
          <w:color w:val="auto"/>
          <w:sz w:val="24"/>
          <w:szCs w:val="24"/>
        </w:rPr>
        <w:t xml:space="preserve">系统检测数据和报告迁移至新系统，进行查询。以上工作，如需要原项目实施单位提供技术服务所产生的费用，由中标方承担</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val="en-US" w:eastAsia="zh-CN"/>
        </w:rPr>
        <w:t xml:space="preserve">(须提供投标人盖章的承诺函)</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2）可以按照不同的业务类型，对检测业务流程的不同环节设置时限。对于超出时限的情况，可以按照设定的提醒时间进行超期提醒。</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3）系统集成，预留与省、市环境监控数据平台等系统数据对接。</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4）性能要求，系统设计时必须考虑到性能问题，具体如下要求：</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（1）支持365×24的正常运作</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系统支持以365×24模式稳定运行，在满足备份要求的情况下，故障恢复的时间在1小时之内。</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（2）支持用户访问及用户群体</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业务用户数支持200个以上用户数，用户群体包括（但不限于）：</w:t>
      </w:r>
      <w:r/>
    </w:p>
    <w:p>
      <w:pPr>
        <w:numPr>
          <w:ilvl w:val="0"/>
          <w:numId w:val="0"/>
        </w:numPr>
        <w:ind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系统管理员</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站领导</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监测站各业务科室及工作人员</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外部用户</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（3）系统响应时间</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 数据录入操作响应≤1秒</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 打开新页面响应时间≤1秒</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 保存数据操作响应≤1秒</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 查询（精确匹配）响应时间≤3秒</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报表统计生成：一般日常报表≤5秒，复杂（全年数据）报表时间≤10秒。</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（4）千万级数据量支持</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系统支持月业务受理量为20万记录数、500GB字节的数据量以上；支持年报告量大于50万，平均每份报告检测项目数大于100个。</w:t>
      </w:r>
      <w:r/>
    </w:p>
    <w:p>
      <w:pPr>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硬件部分</w:t>
      </w:r>
      <w:r/>
    </w:p>
    <w:tbl>
      <w:tblPr>
        <w:tblStyle w:val="7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579"/>
        <w:gridCol w:w="980"/>
        <w:gridCol w:w="1101"/>
        <w:gridCol w:w="5313"/>
      </w:tblGrid>
      <w:tr>
        <w:trPr>
          <w:jc w:val="center"/>
          <w:trHeight w:val="567"/>
        </w:trPr>
        <w:tc>
          <w:tcPr>
            <w:tcW w:w="492" w:type="pct"/>
            <w:vAlign w:val="center"/>
            <w:textDirection w:val="lrTb"/>
            <w:noWrap w:val="false"/>
          </w:tcPr>
          <w:p>
            <w:pPr>
              <w:pStyle w:val="751"/>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序号</w:t>
            </w:r>
            <w:r/>
          </w:p>
        </w:tc>
        <w:tc>
          <w:tcPr>
            <w:tcW w:w="793" w:type="pct"/>
            <w:vAlign w:val="center"/>
            <w:textDirection w:val="lrTb"/>
            <w:noWrap w:val="false"/>
          </w:tcPr>
          <w:p>
            <w:pPr>
              <w:pStyle w:val="751"/>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软件或设备名称</w:t>
            </w:r>
            <w:r/>
          </w:p>
        </w:tc>
        <w:tc>
          <w:tcPr>
            <w:tcW w:w="492" w:type="pct"/>
            <w:vAlign w:val="center"/>
            <w:textDirection w:val="lrTb"/>
            <w:noWrap w:val="false"/>
          </w:tcPr>
          <w:p>
            <w:pPr>
              <w:pStyle w:val="751"/>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单位</w:t>
            </w:r>
            <w:r/>
          </w:p>
        </w:tc>
        <w:tc>
          <w:tcPr>
            <w:tcW w:w="553" w:type="pct"/>
            <w:vAlign w:val="center"/>
            <w:textDirection w:val="lrTb"/>
            <w:noWrap w:val="false"/>
          </w:tcPr>
          <w:p>
            <w:pPr>
              <w:pStyle w:val="751"/>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数量</w:t>
            </w:r>
            <w:r/>
          </w:p>
        </w:tc>
        <w:tc>
          <w:tcPr>
            <w:tcW w:w="2668" w:type="pct"/>
            <w:vAlign w:val="center"/>
            <w:textDirection w:val="lrTb"/>
            <w:noWrap w:val="false"/>
          </w:tcPr>
          <w:p>
            <w:pPr>
              <w:pStyle w:val="751"/>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 xml:space="preserve">技术参数</w:t>
            </w:r>
            <w:r/>
          </w:p>
        </w:tc>
      </w:tr>
      <w:tr>
        <w:trPr>
          <w:jc w:val="center"/>
          <w:trHeight w:val="567"/>
        </w:trPr>
        <w:tc>
          <w:tcPr>
            <w:tcW w:w="492" w:type="pct"/>
            <w:vAlign w:val="center"/>
            <w:textDirection w:val="lrTb"/>
            <w:noWrap w:val="false"/>
          </w:tcPr>
          <w:p>
            <w:pPr>
              <w:pStyle w:val="751"/>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color w:val="auto"/>
                <w:sz w:val="24"/>
                <w:szCs w:val="24"/>
              </w:rPr>
              <w:t xml:space="preserve">1</w:t>
            </w:r>
            <w:r/>
          </w:p>
        </w:tc>
        <w:tc>
          <w:tcPr>
            <w:tcW w:w="793"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云服务器</w:t>
            </w:r>
            <w:r/>
          </w:p>
        </w:tc>
        <w:tc>
          <w:tcPr>
            <w:tcW w:w="492"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年</w:t>
            </w:r>
            <w:r/>
          </w:p>
        </w:tc>
        <w:tc>
          <w:tcPr>
            <w:tcW w:w="553"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w:t>
            </w:r>
            <w:r/>
          </w:p>
        </w:tc>
        <w:tc>
          <w:tcPr>
            <w:tcW w:w="2668" w:type="pct"/>
            <w:vAlign w:val="center"/>
            <w:textDirection w:val="lrTb"/>
            <w:noWrap w:val="false"/>
          </w:tcPr>
          <w:p>
            <w:pPr>
              <w:ind w:firstLine="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 xml:space="preserve">16核，内存：</w:t>
            </w:r>
            <w:r>
              <w:rPr>
                <w:rFonts w:hint="eastAsia" w:asciiTheme="minorEastAsia" w:hAnsiTheme="minorEastAsia" w:eastAsiaTheme="minorEastAsia" w:cstheme="minorEastAsia"/>
                <w:color w:val="auto"/>
                <w:sz w:val="24"/>
                <w:szCs w:val="24"/>
                <w:lang w:val="en-US" w:eastAsia="zh-CN"/>
              </w:rPr>
              <w:t xml:space="preserve">32</w:t>
            </w:r>
            <w:r>
              <w:rPr>
                <w:rFonts w:hint="eastAsia" w:asciiTheme="minorEastAsia" w:hAnsiTheme="minorEastAsia" w:eastAsiaTheme="minorEastAsia" w:cstheme="minorEastAsia"/>
                <w:color w:val="auto"/>
                <w:sz w:val="24"/>
                <w:szCs w:val="24"/>
                <w:lang w:val="zh-CN"/>
              </w:rPr>
              <w:t xml:space="preserve">G；系统盘：40G，数据盘：500G；操作系统：WINDOWS SERVER 2019；带宽：</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lang w:val="zh-CN"/>
              </w:rPr>
              <w:t xml:space="preserve">M。</w:t>
            </w:r>
            <w:r/>
          </w:p>
        </w:tc>
      </w:tr>
      <w:tr>
        <w:trPr>
          <w:jc w:val="center"/>
          <w:trHeight w:val="567"/>
        </w:trPr>
        <w:tc>
          <w:tcPr>
            <w:tcW w:w="492"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tcW w:w="793"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Page Office</w:t>
            </w:r>
            <w:r/>
          </w:p>
        </w:tc>
        <w:tc>
          <w:tcPr>
            <w:tcW w:w="492"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项</w:t>
            </w:r>
            <w:r/>
          </w:p>
        </w:tc>
        <w:tc>
          <w:tcPr>
            <w:tcW w:w="553"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1</w:t>
            </w:r>
            <w:r/>
          </w:p>
        </w:tc>
        <w:tc>
          <w:tcPr>
            <w:tcW w:w="2668" w:type="pct"/>
            <w:vAlign w:val="center"/>
            <w:textDirection w:val="lrTb"/>
            <w:noWrap w:val="false"/>
          </w:tcPr>
          <w:p>
            <w:pPr>
              <w:ind w:firstLine="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zh-CN" w:eastAsia="zh-CN"/>
              </w:rPr>
            </w:pPr>
            <w:r>
              <w:rPr>
                <w:rFonts w:hint="eastAsia" w:asciiTheme="minorEastAsia" w:hAnsiTheme="minorEastAsia" w:eastAsiaTheme="minorEastAsia" w:cstheme="minorEastAsia"/>
                <w:color w:val="auto"/>
                <w:sz w:val="24"/>
                <w:szCs w:val="24"/>
              </w:rPr>
              <w:t xml:space="preserve">正版授权，支持Word、Excel、Powerpoint等Office文档。</w:t>
            </w:r>
            <w:r/>
          </w:p>
        </w:tc>
      </w:tr>
      <w:tr>
        <w:trPr>
          <w:jc w:val="center"/>
          <w:trHeight w:val="567"/>
        </w:trPr>
        <w:tc>
          <w:tcPr>
            <w:tcW w:w="492"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tcW w:w="793"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采样专用设备</w:t>
            </w:r>
            <w:r/>
          </w:p>
        </w:tc>
        <w:tc>
          <w:tcPr>
            <w:tcW w:w="492"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台</w:t>
            </w:r>
            <w:r/>
          </w:p>
        </w:tc>
        <w:tc>
          <w:tcPr>
            <w:tcW w:w="553"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10</w:t>
            </w:r>
            <w:r/>
          </w:p>
        </w:tc>
        <w:tc>
          <w:tcPr>
            <w:tcW w:w="2668" w:type="pct"/>
            <w:vAlign w:val="center"/>
            <w:textDirection w:val="lrTb"/>
            <w:noWrap w:val="false"/>
          </w:tcPr>
          <w:p>
            <w:pPr>
              <w:ind w:firstLine="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操作系统：Android 10以上或者鸿蒙系统；八核；8GB+256GB；＞10英寸；后置摄像头摄像分辨率：最大可支持3840×2160 像素。</w:t>
            </w:r>
            <w:r/>
          </w:p>
        </w:tc>
      </w:tr>
      <w:tr>
        <w:trPr>
          <w:jc w:val="center"/>
          <w:trHeight w:val="567"/>
        </w:trPr>
        <w:tc>
          <w:tcPr>
            <w:tcW w:w="492"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tcW w:w="793"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便携式标签打印机</w:t>
            </w:r>
            <w:r/>
          </w:p>
        </w:tc>
        <w:tc>
          <w:tcPr>
            <w:tcW w:w="492"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台</w:t>
            </w:r>
            <w:r/>
          </w:p>
        </w:tc>
        <w:tc>
          <w:tcPr>
            <w:tcW w:w="553"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10</w:t>
            </w:r>
            <w:r/>
          </w:p>
        </w:tc>
        <w:tc>
          <w:tcPr>
            <w:tcW w:w="2668" w:type="pct"/>
            <w:vAlign w:val="center"/>
            <w:textDirection w:val="lrTb"/>
            <w:noWrap w:val="false"/>
          </w:tcPr>
          <w:p>
            <w:pPr>
              <w:ind w:firstLine="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行式热敏打印，打印行宽≥72MM，纸张热敏纸，数据通讯接口串口RS232蓝牙，一次充电100-150M，切纸方式：手切纸。</w:t>
            </w:r>
            <w:r/>
          </w:p>
        </w:tc>
      </w:tr>
      <w:tr>
        <w:trPr>
          <w:jc w:val="center"/>
          <w:trHeight w:val="567"/>
        </w:trPr>
        <w:tc>
          <w:tcPr>
            <w:tcW w:w="492"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tcW w:w="793" w:type="pct"/>
            <w:vAlign w:val="center"/>
            <w:textDirection w:val="lrTb"/>
            <w:noWrap w:val="false"/>
          </w:tcPr>
          <w:p>
            <w:pPr>
              <w:pStyle w:val="751"/>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免洗标签纸</w:t>
            </w:r>
            <w:r/>
          </w:p>
        </w:tc>
        <w:tc>
          <w:tcPr>
            <w:tcW w:w="492"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卷</w:t>
            </w:r>
            <w:r/>
          </w:p>
        </w:tc>
        <w:tc>
          <w:tcPr>
            <w:tcW w:w="553" w:type="pct"/>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100</w:t>
            </w:r>
            <w:r/>
          </w:p>
        </w:tc>
        <w:tc>
          <w:tcPr>
            <w:tcW w:w="2668" w:type="pct"/>
            <w:vAlign w:val="center"/>
            <w:textDirection w:val="lrTb"/>
            <w:noWrap w:val="false"/>
          </w:tcPr>
          <w:p>
            <w:pPr>
              <w:ind w:firstLine="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免洗，6cm*8cm，95张/卷。</w:t>
            </w:r>
            <w:bookmarkEnd w:id="189"/>
            <w:r/>
          </w:p>
        </w:tc>
      </w:tr>
    </w:tbl>
    <w:p>
      <w:pPr>
        <w:pStyle w:val="733"/>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四、商务要求</w:t>
      </w:r>
      <w:r/>
    </w:p>
    <w:p>
      <w:pPr>
        <w:pStyle w:val="73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（一）</w:t>
      </w:r>
      <w:r>
        <w:rPr>
          <w:rFonts w:hint="eastAsia" w:asciiTheme="minorEastAsia" w:hAnsiTheme="minorEastAsia" w:eastAsiaTheme="minorEastAsia" w:cstheme="minorEastAsia"/>
          <w:color w:val="auto"/>
          <w:sz w:val="24"/>
          <w:szCs w:val="24"/>
          <w:highlight w:val="none"/>
          <w:lang w:val="en-US" w:eastAsia="zh-CN"/>
        </w:rPr>
        <w:t xml:space="preserve">供货期（合同履行期限）：采购包1为合同签订后30日历天完成所有产品的供货、安装、调试、并运行，免费质保期为4年（自交货验收合格之日起计）；采购包2为合同签订后30日历天内开发完成并上线试运行，免费运维期为2年（自验收合格之日起计）。</w:t>
      </w:r>
      <w:r/>
    </w:p>
    <w:p>
      <w:pPr>
        <w:pStyle w:val="73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val="zh-CN" w:eastAsia="zh-CN"/>
        </w:rPr>
        <w:t xml:space="preserve">）质量要求：未经使用的全新产品。</w:t>
      </w:r>
      <w:r/>
    </w:p>
    <w:p>
      <w:pPr>
        <w:pStyle w:val="73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val="zh-CN" w:eastAsia="zh-CN"/>
        </w:rPr>
        <w:t xml:space="preserve">）交货地点：采购人指定地点。货物运输到达后，乙方应安排人员协助甲方收货，并负责货物的装卸和搬运。</w:t>
      </w:r>
      <w:r/>
    </w:p>
    <w:p>
      <w:pPr>
        <w:pStyle w:val="73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zh-CN" w:eastAsia="zh-CN"/>
        </w:rPr>
        <w:t xml:space="preserve">）付款</w:t>
      </w:r>
      <w:r>
        <w:rPr>
          <w:rFonts w:hint="eastAsia" w:asciiTheme="minorEastAsia" w:hAnsiTheme="minorEastAsia" w:eastAsiaTheme="minorEastAsia" w:cstheme="minorEastAsia"/>
          <w:color w:val="auto"/>
          <w:sz w:val="24"/>
          <w:szCs w:val="24"/>
          <w:highlight w:val="none"/>
          <w:lang w:val="en-US" w:eastAsia="zh-CN"/>
        </w:rPr>
        <w:t xml:space="preserve">方式</w:t>
      </w:r>
      <w:r>
        <w:rPr>
          <w:rFonts w:hint="eastAsia" w:asciiTheme="minorEastAsia" w:hAnsiTheme="minorEastAsia" w:eastAsiaTheme="minorEastAsia" w:cstheme="minorEastAsia"/>
          <w:color w:val="auto"/>
          <w:sz w:val="24"/>
          <w:szCs w:val="24"/>
          <w:highlight w:val="none"/>
          <w:lang w:val="zh-CN" w:eastAsia="zh-CN"/>
        </w:rPr>
        <w:t xml:space="preserve">：</w:t>
      </w:r>
      <w:r/>
    </w:p>
    <w:p>
      <w:pPr>
        <w:pStyle w:val="73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（1）合同签订后10工作日内（自收到发票之日起），采购人支付供应商合同总价的30％作为预付款；</w:t>
      </w:r>
      <w:r/>
    </w:p>
    <w:p>
      <w:pPr>
        <w:pStyle w:val="73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（2）项目按合同履行结束，并经</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lang w:val="zh-CN" w:eastAsia="zh-CN"/>
        </w:rPr>
        <w:t xml:space="preserve">验收合格后10个工作日内（自收到发票之日起），采购人支付供应商应结算金额的100%（扣除项目已支付的金额）。</w:t>
      </w:r>
      <w:r/>
    </w:p>
    <w:p>
      <w:pPr>
        <w:pStyle w:val="73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 xml:space="preserve">每次付款前供应商需开具合法有效的增值税发票（开具付款金额）给采购人，以上付款均无银行利息，一律通过银行结转。</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zh-CN" w:eastAsia="zh-CN"/>
        </w:rPr>
        <w:t xml:space="preserve">）售后服务</w:t>
      </w:r>
      <w:r>
        <w:rPr>
          <w:rFonts w:hint="eastAsia" w:ascii="宋体" w:hAnsi="宋体" w:eastAsia="宋体" w:cs="宋体"/>
          <w:color w:val="auto"/>
          <w:sz w:val="24"/>
          <w:szCs w:val="24"/>
          <w:highlight w:val="none"/>
          <w:lang w:val="en-US" w:eastAsia="zh-CN"/>
        </w:rPr>
        <w:t xml:space="preserve">内容、要求和期限：</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1.采购包1：</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（1）乙方应按采购文件规定的货物性能、技术要求、质量标准向甲方提供未经使用的全新产品。</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（2）乙方提供的货物在质保期内因货物本身的质量问题发生故障，乙方应负责免费更换。对达不到技术要求者，根据实际情况，经双方协商，可按以下办法处理：</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⑴更换：由乙方承担所发生的全部费用。</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⑵贬值处理：由甲乙双方合议定价。</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⑶退货处理：乙方应退还甲方支付的合同款，同时应承担该货物的直接费用（运输、保险、检验、贷款利息及银行手续费等）。</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（3）如在使用过程中发生质量问题，乙方在接到甲方通知后在24小时（时间以供应商具体承诺为准）内到达甲方现场。</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（4）在质保期内，乙方应对货物出现的质量及安全问题负责处理解决并承担一切费用。</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免费质保期为4年（自交货验收合格之日起计，期限以供应商具体承诺为准），因人为因素出现的故障不在免费保修范围内。超过免费质量保修期的机器设备，终身维修（除采购人不再要求继续维修外），维修时只收部件成本费。</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2.采购包2：</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平台系统免费的运行维护时间为</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年，开始时间为验收通过之日起。所有软件质保</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年；质保期内，甲方有任何需求或问题可要求中标方</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小时内到达现场并于24小时内解决，在合理范围内为本项目软件平台提供免费升级服务。</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中标单位应配备技术维护人员负责相应的后台运营维护工作，确保业务的正常运营。针对日常运行维护需求，中标单位应提供足够的技术维护及调试人员。</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免费运维期内中标单位提供平台的维护、修复、免费升级服务。技术支持和售后服务的范围包括但不限于解决软件产品安装、调试、维护、使用、管理、配置、问题、故障根源分析与诊断以及提供修正性软件等。</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中标单位具有质量控制、风险控制、投诉等管理制度。承诺免费运维期内提供不少于1名专人负责售后支持维护服务，用于提供包括系统维护、更新等技术支撑的协调和故障处理。</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系统安装调试完成后，对采购方所有的系统使用者进行培训，对系统涉及到的各类使用人员开展分步式培训工作，无法确定培训对象的，需要在系统中通过帮助的形式提供快速入门和详细操作指导文件。培训内容包含系统日常维护、操作、流程等方面的培训，提供针对性的课时安排，确保采购方实际使用人员在一个月内熟练掌握系统运行操作。</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在免费运维期内，乙方所提供的运维服务不符合合同规定及招标文件规定标准的，甲方有权拒绝接受服务，并可单方面解除合同。</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zh-CN" w:eastAsia="zh-CN"/>
        </w:rPr>
        <w:t xml:space="preserve">）结算方式：</w:t>
      </w:r>
      <w:r/>
    </w:p>
    <w:p>
      <w:pPr>
        <w:pStyle w:val="733"/>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zh-CN" w:eastAsia="zh-CN"/>
        </w:rPr>
      </w:pPr>
      <w:r>
        <w:rPr>
          <w:rFonts w:hint="eastAsia" w:ascii="宋体" w:hAnsi="宋体" w:eastAsia="宋体" w:cs="宋体"/>
          <w:color w:val="auto"/>
          <w:sz w:val="24"/>
          <w:szCs w:val="24"/>
          <w:highlight w:val="none"/>
          <w:lang w:val="en-US" w:eastAsia="zh-CN"/>
        </w:rPr>
        <w:t xml:space="preserve">1.采购包1：</w:t>
      </w:r>
      <w:r>
        <w:rPr>
          <w:rFonts w:hint="eastAsia" w:ascii="宋体" w:hAnsi="宋体" w:eastAsia="宋体" w:cs="宋体"/>
          <w:color w:val="auto"/>
          <w:sz w:val="24"/>
          <w:szCs w:val="24"/>
          <w:highlight w:val="none"/>
          <w:lang w:val="zh-CN" w:eastAsia="zh-CN"/>
        </w:rPr>
        <w:t xml:space="preserve">采购人</w:t>
      </w:r>
      <w:r>
        <w:rPr>
          <w:rFonts w:hint="eastAsia" w:asciiTheme="minorEastAsia" w:hAnsiTheme="minorEastAsia" w:eastAsiaTheme="minorEastAsia" w:cstheme="minorEastAsia"/>
          <w:color w:val="auto"/>
          <w:highlight w:val="none"/>
          <w:lang w:val="zh-CN" w:eastAsia="zh-CN"/>
        </w:rPr>
        <w:t xml:space="preserve">应结算金额按中标供应商实际供货数量结算（实际结算金额为响应单价金额×实际供货数量）。</w:t>
      </w:r>
      <w:r/>
    </w:p>
    <w:p>
      <w:pPr>
        <w:pStyle w:val="73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2.采购包2：</w:t>
      </w:r>
      <w:r>
        <w:rPr>
          <w:rFonts w:hint="eastAsia" w:ascii="宋体" w:hAnsi="宋体" w:eastAsia="宋体" w:cs="宋体"/>
          <w:color w:val="auto"/>
          <w:sz w:val="24"/>
          <w:szCs w:val="24"/>
          <w:highlight w:val="none"/>
          <w:lang w:val="zh-CN" w:eastAsia="zh-CN"/>
        </w:rPr>
        <w:t xml:space="preserve">采购人应结算金额按中标供应商合同价结算。</w:t>
      </w:r>
      <w:r/>
    </w:p>
    <w:p>
      <w:pPr>
        <w:ind w:firstLine="480"/>
        <w:jc w:val="left"/>
        <w:keepLines w:val="0"/>
        <w:keepNext w:val="0"/>
        <w:spacing w:before="0"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lang w:val="zh-CN" w:eastAsia="zh-CN"/>
        </w:rPr>
        <w:t xml:space="preserve">）其他</w:t>
      </w:r>
      <w:r/>
    </w:p>
    <w:p>
      <w:pPr>
        <w:ind w:firstLine="480"/>
        <w:jc w:val="left"/>
        <w:keepLines w:val="0"/>
        <w:keepNext w:val="0"/>
        <w:spacing w:before="0" w:after="0"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1、保险：供应商的工作人员保险由供应商负责。</w:t>
      </w:r>
      <w:r/>
    </w:p>
    <w:p>
      <w:pPr>
        <w:ind w:firstLine="480"/>
        <w:jc w:val="left"/>
        <w:keepLines w:val="0"/>
        <w:keepNext w:val="0"/>
        <w:spacing w:before="0" w:after="0"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eastAsia="zh-CN"/>
        </w:rPr>
        <w:t xml:space="preserve">包装和运输：本项目所涉及的包装和运输均由供应商负责。</w:t>
      </w:r>
      <w:r/>
    </w:p>
    <w:p>
      <w:pPr>
        <w:ind w:firstLine="480"/>
        <w:jc w:val="left"/>
        <w:keepLines w:val="0"/>
        <w:keepNext w:val="0"/>
        <w:spacing w:before="0" w:after="0"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eastAsia="zh-CN"/>
        </w:rPr>
        <w:t xml:space="preserve">、验收标准：</w:t>
      </w:r>
      <w:r/>
    </w:p>
    <w:p>
      <w:pPr>
        <w:ind w:firstLine="480"/>
        <w:jc w:val="left"/>
        <w:keepLines w:val="0"/>
        <w:keepNext w:val="0"/>
        <w:spacing w:before="0" w:after="0"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1.采购包1：</w:t>
      </w:r>
      <w:r>
        <w:rPr>
          <w:rFonts w:hint="eastAsia" w:ascii="宋体" w:hAnsi="宋体" w:eastAsia="宋体" w:cs="宋体"/>
          <w:color w:val="auto"/>
          <w:sz w:val="24"/>
          <w:szCs w:val="24"/>
          <w:lang w:val="zh-CN" w:eastAsia="zh-CN"/>
        </w:rPr>
        <w:t xml:space="preserve">全部货物安装调试完毕后</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val="zh-CN" w:eastAsia="zh-CN"/>
        </w:rPr>
        <w:t xml:space="preserve">日内，由</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val="zh-CN" w:eastAsia="zh-CN"/>
        </w:rPr>
        <w:t xml:space="preserve">组织相关人员，按照</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lang w:val="zh-CN" w:eastAsia="zh-CN"/>
        </w:rPr>
        <w:t xml:space="preserve">文件的要求和现行技术标准、强制性标准对所供货物的技术性能、技术参数等进行验收，并形成验收意见。</w:t>
      </w:r>
      <w:r/>
    </w:p>
    <w:p>
      <w:pPr>
        <w:ind w:firstLine="480"/>
        <w:jc w:val="left"/>
        <w:keepLines w:val="0"/>
        <w:keepNext w:val="0"/>
        <w:spacing w:before="0" w:after="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2.采购包2：开发完成并上线试运行</w:t>
      </w:r>
      <w:r>
        <w:rPr>
          <w:rFonts w:hint="eastAsia" w:ascii="宋体" w:hAnsi="宋体" w:eastAsia="宋体" w:cs="宋体"/>
          <w:color w:val="auto"/>
          <w:sz w:val="24"/>
          <w:szCs w:val="24"/>
          <w:lang w:val="zh-CN" w:eastAsia="zh-CN"/>
        </w:rPr>
        <w:t xml:space="preserve">后</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val="zh-CN" w:eastAsia="zh-CN"/>
        </w:rPr>
        <w:t xml:space="preserve">日内，由</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val="zh-CN" w:eastAsia="zh-CN"/>
        </w:rPr>
        <w:t xml:space="preserve">组织相关人员，按照</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lang w:val="zh-CN" w:eastAsia="zh-CN"/>
        </w:rPr>
        <w:t xml:space="preserve">文件的要求和现行技术标准、强制性标准对所供货物的技术性能、技术参数等进行验收，并形成验收意见。</w:t>
      </w:r>
      <w:r/>
    </w:p>
    <w:p>
      <w:pPr>
        <w:pStyle w:val="733"/>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五、采购标的对应的中小企业划分标准所属行业一览表</w:t>
      </w:r>
      <w:r/>
    </w:p>
    <w:tbl>
      <w:tblPr>
        <w:tblStyle w:val="719"/>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74"/>
        <w:gridCol w:w="6135"/>
        <w:gridCol w:w="3167"/>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便携式傅里叶红外分析仪(无机气体监测)</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红外热成像气体检测仪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便携式气相分子吸收光谱仪</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便携式测油仪</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氨氮自动分析仪</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全自动总磷总氮分析仪</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便携式颗粒物检测仪</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便携水质自动分析仪</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固相微萃取装置(便携式GC-MS加配)</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 便携式电导率仪</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手持式叶绿素(蓝绿藻)测定仪</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细菌快速检测仪</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深井采样器</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空气采样器</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I型声级计</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fldChar w:fldCharType="begin"/>
            </w:r>
            <w:r>
              <w:rPr>
                <w:rFonts w:hint="eastAsia" w:asciiTheme="minorEastAsia" w:hAnsiTheme="minorEastAsia" w:eastAsiaTheme="minorEastAsia" w:cstheme="minorEastAsia"/>
                <w:i w:val="0"/>
                <w:iCs w:val="0"/>
                <w:color w:val="auto"/>
                <w:sz w:val="24"/>
                <w:szCs w:val="24"/>
                <w:highlight w:val="none"/>
                <w:u w:val="none"/>
                <w:lang w:val="en-US" w:eastAsia="zh-CN" w:bidi="ar"/>
              </w:rPr>
              <w:instrText xml:space="preserve"> = 2 \* ROMAN \* MERGEFORMAT </w:instrText>
            </w:r>
            <w:r>
              <w:rPr>
                <w:rFonts w:hint="eastAsia" w:asciiTheme="minorEastAsia" w:hAnsiTheme="minorEastAsia" w:eastAsiaTheme="minorEastAsia" w:cstheme="minorEastAsia"/>
                <w:i w:val="0"/>
                <w:iCs w:val="0"/>
                <w:color w:val="auto"/>
                <w:sz w:val="24"/>
                <w:szCs w:val="24"/>
                <w:highlight w:val="none"/>
                <w:u w:val="none"/>
                <w:lang w:val="en-US" w:eastAsia="zh-CN" w:bidi="ar"/>
              </w:rPr>
              <w:fldChar w:fldCharType="separate"/>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II</w:t>
            </w:r>
            <w:r>
              <w:rPr>
                <w:rFonts w:hint="eastAsia" w:asciiTheme="minorEastAsia" w:hAnsiTheme="minorEastAsia" w:eastAsiaTheme="minorEastAsia" w:cstheme="minorEastAsia"/>
                <w:i w:val="0"/>
                <w:iCs w:val="0"/>
                <w:color w:val="auto"/>
                <w:sz w:val="24"/>
                <w:szCs w:val="24"/>
                <w:highlight w:val="none"/>
                <w:u w:val="none"/>
                <w:lang w:val="en-US" w:eastAsia="zh-CN" w:bidi="ar"/>
              </w:rPr>
              <w:fldChar w:fldCharType="end"/>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型声级计</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声级校准器</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气袋采样系统（含采样箱、采样泵等）</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土壤样品冷藏储存装置（含冰箱）</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全球定位系统</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户外供电电源</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全自动红外测油仪增加测油烟的控制程序   </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水质试纸</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zh-CN"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水质试剂盒</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工业</w:t>
            </w:r>
            <w:r/>
          </w:p>
        </w:tc>
      </w:tr>
      <w:tr>
        <w:trPr>
          <w:jc w:val="center"/>
          <w:tblCellSpacing w:w="0" w:type="dxa"/>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29"/>
              <w:jc w:val="left"/>
              <w:keepLines w:val="0"/>
              <w:keepNext w:val="0"/>
              <w:pageBreakBefore w:val="0"/>
              <w:spacing w:beforeAutospacing="0" w:afterAutospacing="0" w:line="240" w:lineRule="auto"/>
              <w:rPr>
                <w:rFonts w:hint="eastAsia" w:asciiTheme="minorEastAsia" w:hAnsiTheme="minorEastAsia" w:cstheme="minorEastAsia"/>
                <w:color w:val="auto"/>
                <w:lang w:val="en-US" w:eastAsia="zh-CN"/>
              </w:rPr>
            </w:pPr>
            <w:r>
              <w:rPr>
                <w:rFonts w:hint="eastAsia" w:asciiTheme="minorEastAsia" w:hAnsiTheme="minorEastAsia" w:cstheme="minorEastAsia"/>
                <w:color w:val="auto"/>
                <w:lang w:val="en-US" w:eastAsia="zh-CN"/>
              </w:rPr>
              <w:t xml:space="preserve">注：上述货物制造商的相关信息应全部列入《小微企业声明函》，否则不享受中小企业扶持政策。</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729"/>
              <w:jc w:val="center"/>
              <w:keepLines w:val="0"/>
              <w:keepNext w:val="0"/>
              <w:pageBreakBefore w:val="0"/>
              <w:spacing w:beforeAutospacing="0" w:afterAutospacing="0" w:line="240" w:lineRule="auto"/>
              <w:rPr>
                <w:rFonts w:hint="default" w:asciiTheme="minorEastAsia" w:hAnsiTheme="minorEastAsia" w:eastAsiaTheme="minorEastAsia" w:cstheme="minorEastAsia"/>
                <w:color w:val="auto"/>
                <w:lang w:val="en-US" w:eastAsia="zh-CN"/>
              </w:rPr>
            </w:pPr>
            <w:r>
              <w:rPr>
                <w:rFonts w:hint="eastAsia" w:asciiTheme="minorEastAsia" w:hAnsiTheme="minorEastAsia" w:cstheme="minorEastAsia"/>
                <w:color w:val="auto"/>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729"/>
              <w:ind w:firstLine="0"/>
              <w:jc w:val="center"/>
              <w:keepLines w:val="0"/>
              <w:keepNext w:val="0"/>
              <w:pageBreakBefore w:val="0"/>
              <w:spacing w:beforeAutospacing="0" w:afterAutospacing="0" w:line="360" w:lineRule="auto"/>
              <w:widowControl w:val="off"/>
              <w:rPr>
                <w:rFonts w:hint="eastAsia" w:asciiTheme="minorEastAsia" w:hAnsiTheme="minorEastAsia" w:cstheme="minorEastAsia"/>
                <w:color w:val="auto"/>
                <w:lang w:eastAsia="zh-CN"/>
              </w:rPr>
            </w:pPr>
            <w:r>
              <w:rPr>
                <w:rFonts w:hint="eastAsia" w:asciiTheme="minorEastAsia" w:hAnsiTheme="minorEastAsia" w:eastAsiaTheme="minorEastAsia" w:cstheme="minorEastAsia"/>
                <w:color w:val="auto"/>
                <w:highlight w:val="none"/>
                <w:lang w:val="zh-CN" w:eastAsia="zh-CN"/>
              </w:rPr>
              <w:t xml:space="preserve">实验室信息管理系统升级改造</w:t>
            </w:r>
            <w:r>
              <w:rPr>
                <w:rFonts w:hint="eastAsia" w:asciiTheme="minorEastAsia" w:hAnsiTheme="minorEastAsia" w:cstheme="minorEastAsia"/>
                <w:color w:val="auto"/>
                <w:highlight w:val="none"/>
                <w:lang w:val="zh-CN" w:eastAsia="zh-CN"/>
              </w:rPr>
              <w:t xml:space="preserve">（单一产品采购项目）</w:t>
            </w:r>
            <w:r/>
          </w:p>
        </w:tc>
        <w:tc>
          <w:tcPr>
            <w:shd w:val="clear" w:color="auto" w:fill="auto"/>
            <w:tcBorders>
              <w:top w:val="single" w:color="000000" w:sz="4" w:space="0"/>
              <w:left w:val="single" w:color="000000" w:sz="4" w:space="0"/>
              <w:bottom w:val="single" w:color="000000" w:sz="4" w:space="0"/>
              <w:right w:val="single" w:color="000000" w:sz="4" w:space="0"/>
            </w:tcBorders>
            <w:tcW w:w="1585" w:type="pct"/>
            <w:vAlign w:val="center"/>
            <w:textDirection w:val="lrTb"/>
            <w:noWrap w:val="false"/>
          </w:tcPr>
          <w:p>
            <w:pPr>
              <w:pStyle w:val="729"/>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软件和信息技术服务业</w:t>
            </w:r>
            <w:r/>
          </w:p>
        </w:tc>
      </w:tr>
    </w:tbl>
    <w:p>
      <w:pPr>
        <w:rPr>
          <w:color w:val="auto"/>
        </w:rPr>
      </w:pPr>
      <w:r>
        <w:rPr>
          <w:color w:val="auto"/>
        </w:rPr>
      </w:r>
      <w:r/>
    </w:p>
    <w:p>
      <w:pPr>
        <w:rPr>
          <w:rFonts w:hint="eastAsia" w:ascii="黑体" w:hAnsi="黑体" w:eastAsia="黑体" w:cs="黑体"/>
          <w:color w:val="auto"/>
          <w:sz w:val="44"/>
          <w:szCs w:val="44"/>
          <w:lang w:val="en-US" w:eastAsia="zh-CN" w:bidi="ar-SA"/>
        </w:rPr>
      </w:pPr>
      <w:r/>
      <w:bookmarkStart w:id="195" w:name="_Toc120614281"/>
      <w:r>
        <w:rPr>
          <w:rFonts w:hint="eastAsia" w:ascii="黑体" w:hAnsi="黑体" w:eastAsia="黑体" w:cs="黑体"/>
          <w:color w:val="auto"/>
          <w:sz w:val="44"/>
          <w:szCs w:val="44"/>
          <w:lang w:val="en-US" w:eastAsia="zh-CN" w:bidi="ar-SA"/>
        </w:rPr>
        <w:br w:type="page" w:clear="all"/>
      </w:r>
      <w:r/>
    </w:p>
    <w:p>
      <w:pPr>
        <w:jc w:val="center"/>
        <w:rPr>
          <w:rFonts w:hint="eastAsia" w:ascii="黑体" w:hAnsi="黑体" w:eastAsia="黑体" w:cs="黑体"/>
          <w:color w:val="auto"/>
          <w:sz w:val="44"/>
          <w:szCs w:val="44"/>
          <w:lang w:val="en-US" w:eastAsia="zh-CN" w:bidi="ar-SA"/>
        </w:rPr>
      </w:pPr>
      <w:r>
        <w:rPr>
          <w:rFonts w:hint="eastAsia" w:ascii="黑体" w:hAnsi="黑体" w:eastAsia="黑体" w:cs="黑体"/>
          <w:color w:val="auto"/>
          <w:sz w:val="44"/>
          <w:szCs w:val="44"/>
          <w:lang w:val="en-US" w:eastAsia="zh-CN" w:bidi="ar-SA"/>
        </w:rPr>
        <w:t xml:space="preserve">第五章  评标方法与评标标准</w:t>
      </w:r>
      <w:r/>
    </w:p>
    <w:p>
      <w:pPr>
        <w:pStyle w:val="729"/>
        <w:jc w:val="both"/>
        <w:spacing w:beforeAutospacing="0" w:afterAutospacing="0"/>
        <w:rPr>
          <w:color w:val="auto"/>
        </w:rPr>
      </w:pPr>
      <w:r>
        <w:rPr>
          <w:color w:val="auto"/>
        </w:rPr>
        <w:t xml:space="preserve"> </w:t>
      </w:r>
      <w:r/>
    </w:p>
    <w:p>
      <w:pPr>
        <w:pStyle w:val="729"/>
        <w:ind w:left="0" w:firstLine="480"/>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highlight w:val="none"/>
        </w:rPr>
        <w:t xml:space="preserve">本项目</w:t>
      </w:r>
      <w:r>
        <w:rPr>
          <w:rFonts w:hint="eastAsia" w:ascii="宋体" w:hAnsi="宋体" w:eastAsia="宋体" w:cs="宋体"/>
          <w:color w:val="auto"/>
          <w:highlight w:val="none"/>
          <w:lang w:val="en-US" w:eastAsia="zh-CN"/>
        </w:rPr>
        <w:t xml:space="preserve">采购包1、采购包2均</w:t>
      </w:r>
      <w:r>
        <w:rPr>
          <w:rFonts w:hint="eastAsia" w:ascii="宋体" w:hAnsi="宋体" w:eastAsia="宋体" w:cs="宋体"/>
          <w:color w:val="auto"/>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r/>
    </w:p>
    <w:p>
      <w:pPr>
        <w:pStyle w:val="729"/>
        <w:ind w:left="0" w:firstLine="482"/>
        <w:keepLines w:val="0"/>
        <w:keepNext w:val="0"/>
        <w:pageBreakBefore w:val="0"/>
        <w:spacing w:beforeAutospacing="0" w:afterAutospacing="0"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注：同一供应商可同时参与上述2个采购包的投标，但兼投不兼中（在上一采购包评审中被确定为第一中标候选人的供应商，可继续参与下一采购包的评审，但不再被推荐为下一采购包的中标候选人），开、评定标顺序先采购包1→采购包2。</w:t>
      </w:r>
      <w:r/>
    </w:p>
    <w:p>
      <w:pPr>
        <w:pStyle w:val="729"/>
        <w:ind w:left="0" w:firstLine="482"/>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1、小微型企业价格扣除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（1）本项目若不专门面向中小企业采购，对</w:t>
      </w:r>
      <w:r>
        <w:rPr>
          <w:rFonts w:hint="eastAsia" w:ascii="宋体" w:hAnsi="宋体" w:eastAsia="宋体" w:cs="宋体"/>
          <w:color w:val="auto"/>
          <w:sz w:val="24"/>
          <w:highlight w:val="none"/>
          <w:lang w:val="en-US" w:eastAsia="zh-CN"/>
        </w:rPr>
        <w:t xml:space="preserve">符合规定的</w:t>
      </w:r>
      <w:r>
        <w:rPr>
          <w:rFonts w:hint="eastAsia" w:ascii="宋体" w:hAnsi="宋体" w:eastAsia="宋体" w:cs="宋体"/>
          <w:color w:val="auto"/>
          <w:sz w:val="24"/>
          <w:highlight w:val="none"/>
        </w:rPr>
        <w:t xml:space="preserve">小型和微型企业</w:t>
      </w:r>
      <w:r>
        <w:rPr>
          <w:rFonts w:hint="eastAsia" w:ascii="宋体" w:hAnsi="宋体" w:eastAsia="宋体" w:cs="宋体"/>
          <w:color w:val="auto"/>
          <w:sz w:val="24"/>
          <w:highlight w:val="none"/>
          <w:lang w:val="en-US" w:eastAsia="zh-CN"/>
        </w:rPr>
        <w:t xml:space="preserve">报价</w:t>
      </w:r>
      <w:r>
        <w:rPr>
          <w:rFonts w:hint="eastAsia" w:ascii="宋体" w:hAnsi="宋体" w:eastAsia="宋体" w:cs="宋体"/>
          <w:color w:val="auto"/>
          <w:sz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highlight w:val="none"/>
          <w:lang w:val="en-US" w:eastAsia="zh-CN"/>
        </w:rPr>
        <w:t xml:space="preserve">报价</w:t>
      </w:r>
      <w:r>
        <w:rPr>
          <w:rFonts w:hint="eastAsia" w:ascii="宋体" w:hAnsi="宋体" w:eastAsia="宋体" w:cs="宋体"/>
          <w:color w:val="auto"/>
          <w:sz w:val="24"/>
          <w:highlight w:val="none"/>
        </w:rPr>
        <w:t xml:space="preserve">给予价格扣除。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（2）供应商需按照采购文件的要求提供相应的《小微企业声明函》。</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（1）本项目对残疾人福利性单位视同小型、微型企业，给予</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的价格扣除</w:t>
      </w:r>
      <w:r>
        <w:rPr>
          <w:rFonts w:hint="eastAsia" w:ascii="宋体" w:hAnsi="宋体" w:eastAsia="宋体" w:cs="宋体"/>
          <w:color w:val="auto"/>
          <w:sz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（2）残疾人福利单位需按照采购文件的要求提供《残疾人福利性单位声明函》。</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3、监狱和戒毒企业价格扣除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（1）本项目对监狱和戒毒企业（简称监狱企业）视同小型、微型企业，给予</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的价格扣除</w:t>
      </w:r>
      <w:r>
        <w:rPr>
          <w:rFonts w:hint="eastAsia" w:ascii="宋体" w:hAnsi="宋体" w:eastAsia="宋体" w:cs="宋体"/>
          <w:color w:val="auto"/>
          <w:sz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6、联合体各方均为小型、微型企业（残疾人福利单位、监狱企业）的，联合体享受</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的价格扣除</w:t>
      </w:r>
      <w:r>
        <w:rPr>
          <w:rFonts w:hint="eastAsia" w:ascii="宋体" w:hAnsi="宋体" w:eastAsia="宋体" w:cs="宋体"/>
          <w:color w:val="auto"/>
          <w:sz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黑体" w:hAnsi="黑体" w:eastAsia="黑体" w:cs="黑体"/>
          <w:b/>
          <w:i/>
          <w:color w:val="auto"/>
          <w:sz w:val="24"/>
          <w:highlight w:val="none"/>
          <w:u w:val="single"/>
        </w:rPr>
        <w:t xml:space="preserve">如属政府强制采购产品未提供认证证书的或认证证书提供不全的将视为未实质性响应采购要求</w:t>
      </w:r>
      <w:r>
        <w:rPr>
          <w:rFonts w:hint="eastAsia" w:ascii="黑体" w:hAnsi="黑体" w:eastAsia="黑体" w:cs="黑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8、供应商对于投标产品的商品包装、快递包装应按照“财办库〔2020〕123号《关于印发《商品包装政府采购需求标准（试行）》、《快递包装政府采购需求标准（试行）》的通知》”执行。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9、本文件中若涉及到数据中心采购，应按照《&lt;绿色数据中心政府采购需求标准（试行）&gt;的通知》（财库〔2023〕7号）执行。</w:t>
      </w:r>
      <w:r/>
    </w:p>
    <w:p>
      <w:pPr>
        <w:pStyle w:val="729"/>
        <w:ind w:left="0" w:firstLine="480"/>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10、根据《江苏省政府采购信用管理暂行办法》的规定，供应商信用评价结果为三星的扣2分，评价结果为二星的扣3分，评价结果为一星的扣4分。</w:t>
      </w:r>
      <w:r/>
    </w:p>
    <w:p>
      <w:pPr>
        <w:pStyle w:val="729"/>
        <w:ind w:left="0" w:firstLine="480"/>
        <w:keepLines w:val="0"/>
        <w:keepNext w:val="0"/>
        <w:pageBreakBefore w:val="0"/>
        <w:spacing w:beforeAutospacing="0" w:afterAutospacing="0" w:line="36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11、节能环保（2分）</w:t>
      </w:r>
      <w:r/>
    </w:p>
    <w:p>
      <w:pPr>
        <w:pStyle w:val="729"/>
        <w:ind w:left="0" w:firstLine="480"/>
        <w:keepLines w:val="0"/>
        <w:keepNext w:val="0"/>
        <w:pageBreakBefore w:val="0"/>
        <w:spacing w:beforeAutospacing="0" w:afterAutospacing="0" w:line="36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729"/>
        <w:ind w:left="0" w:firstLine="480"/>
        <w:keepLines w:val="0"/>
        <w:keepNext w:val="0"/>
        <w:pageBreakBefore w:val="0"/>
        <w:spacing w:beforeAutospacing="0" w:afterAutospacing="0" w:line="360"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2.投标产品属于财政部、生态环境部公布的“环境标志产品品目清单”范围内的，投标人提供国家确定的认证机构出具的、处于有效期内的该环保产品认证证书复印件的，有1个得0.5分，最多得1分。</w:t>
      </w:r>
      <w:r/>
    </w:p>
    <w:p>
      <w:pPr>
        <w:pStyle w:val="729"/>
        <w:ind w:left="0" w:firstLine="482"/>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b/>
          <w:color w:val="auto"/>
          <w:lang w:val="en-US" w:eastAsia="zh-CN"/>
        </w:rPr>
        <w:t xml:space="preserve">采购包1的</w:t>
      </w:r>
      <w:r>
        <w:rPr>
          <w:rFonts w:hint="eastAsia" w:ascii="宋体" w:hAnsi="宋体" w:eastAsia="宋体" w:cs="宋体"/>
          <w:b/>
          <w:color w:val="auto"/>
        </w:rPr>
        <w:t xml:space="preserve">评标方法与评标标准</w:t>
      </w:r>
      <w:r/>
    </w:p>
    <w:p>
      <w:pPr>
        <w:pStyle w:val="729"/>
        <w:ind w:left="0" w:firstLine="480"/>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本项目评分总分值为100分。 </w:t>
      </w:r>
      <w:r/>
    </w:p>
    <w:tbl>
      <w:tblPr>
        <w:tblStyle w:val="7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441"/>
        <w:gridCol w:w="1441"/>
        <w:gridCol w:w="991"/>
        <w:gridCol w:w="5384"/>
      </w:tblGrid>
      <w:tr>
        <w:trPr>
          <w:jc w:val="center"/>
          <w:trHeight w:val="544"/>
          <w:tblHeader/>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序</w:t>
            </w:r>
            <w:r>
              <w:rPr>
                <w:rFonts w:hint="eastAsia" w:ascii="宋体" w:hAnsi="宋体" w:eastAsia="宋体" w:cs="宋体"/>
                <w:b w:val="0"/>
                <w:bCs w:val="0"/>
                <w:color w:val="auto"/>
                <w:sz w:val="24"/>
                <w:szCs w:val="24"/>
                <w:highlight w:val="none"/>
                <w:lang w:val="en-US" w:eastAsia="zh-CN"/>
              </w:rPr>
              <w:t xml:space="preserve">号</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分部内容</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2704" w:type="pct"/>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2704"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满足招标文件要求且投标价格最低的投标报价为基准价，其价格分为满分。报价得分=(评标基准价/投标报价)×50。</w:t>
            </w:r>
            <w:r/>
          </w:p>
        </w:tc>
      </w:tr>
      <w:tr>
        <w:trPr>
          <w:jc w:val="center"/>
          <w:trHeight w:val="659"/>
        </w:trPr>
        <w:tc>
          <w:tcPr>
            <w:tcBorders>
              <w:top w:val="single" w:color="auto" w:sz="4" w:space="0"/>
              <w:left w:val="single" w:color="auto" w:sz="4" w:space="0"/>
              <w:right w:val="single" w:color="auto" w:sz="4" w:space="0"/>
            </w:tcBorders>
            <w:tcW w:w="34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724"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技术</w:t>
            </w:r>
            <w:r>
              <w:rPr>
                <w:rFonts w:hint="eastAsia" w:ascii="宋体" w:hAnsi="宋体" w:eastAsia="宋体" w:cs="宋体"/>
                <w:b w:val="0"/>
                <w:bCs w:val="0"/>
                <w:color w:val="auto"/>
                <w:sz w:val="24"/>
                <w:szCs w:val="24"/>
                <w:highlight w:val="none"/>
              </w:rPr>
              <w:t xml:space="preserve">部分</w:t>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技术响应</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704"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1、由评标委员会根据投标人投标产品的技术要求响应情况进行打分，全部响应招标文件“技术要求”的，得满分30分；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2、“技术要求”中标“★”的条款每有 1 项不满足（负偏离）的扣2分，未标“★”的条款每有 1 项不满足（负偏离）的扣 1分，扣完为止。</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（①以上“技术要求”响应情况均须在投标文件《技术要求响应及偏离表》中表述清楚，如表述不清，则按不满足（负偏离）处理。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②“技术要求”中要求提供证明材料的条款，投标人需按采购文件的要求提供相关证明材料，如投标人的投标文件中未提供相关证明材料或材料模糊不清无法辨别的，按不满足（负偏离）处理。）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③《技术要求响应及偏离表》中的内容须是投标人投标产品的真实反映，投标人在投标时不得虚假响应和虚假承诺，否则将取消其投标资格；已中标的，将取消其中标资格。</w:t>
            </w:r>
            <w:r/>
          </w:p>
        </w:tc>
      </w:tr>
      <w:tr>
        <w:trPr>
          <w:jc w:val="center"/>
          <w:trHeight w:val="4259"/>
        </w:trPr>
        <w:tc>
          <w:tcPr>
            <w:tcBorders>
              <w:left w:val="single" w:color="auto" w:sz="4" w:space="0"/>
              <w:right w:val="single" w:color="auto" w:sz="4" w:space="0"/>
            </w:tcBorders>
            <w:tcW w:w="34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4"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实施方案</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704"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投标人根据项目特点针对所投产品须提供安装调试验收方案、售后服务方案和质保期外服务方案。</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售后服务方案和质保期外服务方案有完善的服务保障体系，服务承诺到位，响应时间迅速，产品维护措施切实可行，完全响应需求得3分；方案较为完整，基本响应需求得2分；方案不完整、未提供或无参考价值不得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2、安装调试验收方案有完善的实施体系，安装调试措施切实可行，完全响应需求得3分；方案较为完整，基本响应需求得2分；方案不完整、未提供或无参考价值不得分。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3、投标人提供合理可行的培训计划及承诺书。培训计划细致全面、合理，完全响应需求得2分；培训计划较为完整，基本响应需求得1分；培训计划不完整、响应度低不得分。</w:t>
            </w:r>
            <w:r/>
          </w:p>
        </w:tc>
      </w:tr>
      <w:tr>
        <w:trPr>
          <w:jc w:val="center"/>
          <w:trHeight w:val="1788"/>
        </w:trPr>
        <w:tc>
          <w:tcPr>
            <w:tcBorders>
              <w:left w:val="single" w:color="auto" w:sz="4" w:space="0"/>
              <w:right w:val="single" w:color="auto" w:sz="4" w:space="0"/>
            </w:tcBorders>
            <w:tcW w:w="34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履约能力</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免费质保</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704"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投标人须完全满足招标文件中质保服务要求，在此基础上承诺增加一年免费质保的得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分，增加二年免费质保的得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分，本项最多得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注：须提供承诺函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格式自拟）</w:t>
            </w:r>
            <w:r>
              <w:rPr>
                <w:rFonts w:hint="eastAsia" w:ascii="宋体" w:hAnsi="宋体" w:eastAsia="宋体" w:cs="宋体"/>
                <w:b w:val="0"/>
                <w:bCs w:val="0"/>
                <w:color w:val="auto"/>
                <w:sz w:val="24"/>
                <w:szCs w:val="24"/>
                <w:highlight w:val="none"/>
              </w:rPr>
              <w:t xml:space="preserve">并加盖投标人公章，否则不得分。</w:t>
            </w:r>
            <w:r/>
          </w:p>
        </w:tc>
      </w:tr>
      <w:tr>
        <w:trPr>
          <w:jc w:val="center"/>
          <w:trHeight w:val="533"/>
        </w:trPr>
        <w:tc>
          <w:tcPr>
            <w:tcBorders>
              <w:left w:val="single" w:color="auto" w:sz="4" w:space="0"/>
              <w:right w:val="single" w:color="auto" w:sz="4" w:space="0"/>
            </w:tcBorders>
            <w:tcW w:w="34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Borders>
              <w:left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其他</w:t>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业绩</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2704"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投标人自2021年12月1日起至今（以合同签订日期为准）承担过类似业绩的（需含有核心产品），每提供一份得1分，满分2分。</w:t>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（投标时提供中标</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val="en-US" w:eastAsia="zh-CN"/>
              </w:rPr>
              <w:t xml:space="preserve">通知书、合同、供货清单。未提供不得分）</w:t>
            </w:r>
            <w:r/>
          </w:p>
        </w:tc>
      </w:tr>
    </w:tbl>
    <w:p>
      <w:pPr>
        <w:rPr>
          <w:rFonts w:hint="eastAsia"/>
          <w:color w:val="auto"/>
          <w:lang w:val="en-US" w:eastAsia="zh-CN"/>
        </w:rPr>
      </w:pPr>
      <w:r>
        <w:rPr>
          <w:color w:val="auto"/>
        </w:rPr>
        <w:t xml:space="preserve"> </w:t>
      </w:r>
      <w:r>
        <w:rPr>
          <w:rFonts w:hint="eastAsia"/>
          <w:color w:val="auto"/>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rPr>
          <w:rFonts w:hint="eastAsia"/>
          <w:color w:val="auto"/>
          <w:lang w:val="en-US" w:eastAsia="zh-CN"/>
        </w:rPr>
      </w:pPr>
      <w:r>
        <w:rPr>
          <w:rFonts w:hint="eastAsia"/>
          <w:color w:val="auto"/>
          <w:lang w:val="en-US" w:eastAsia="zh-CN"/>
        </w:rPr>
        <w:br w:type="page" w:clear="all"/>
      </w:r>
      <w:r/>
    </w:p>
    <w:p>
      <w:pPr>
        <w:pStyle w:val="729"/>
        <w:ind w:left="0" w:firstLine="482"/>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b/>
          <w:color w:val="auto"/>
          <w:lang w:val="en-US" w:eastAsia="zh-CN"/>
        </w:rPr>
        <w:t xml:space="preserve">采购包2的</w:t>
      </w:r>
      <w:r>
        <w:rPr>
          <w:rFonts w:hint="eastAsia" w:ascii="宋体" w:hAnsi="宋体" w:eastAsia="宋体" w:cs="宋体"/>
          <w:b/>
          <w:color w:val="auto"/>
        </w:rPr>
        <w:t xml:space="preserve">评标方法与评标标准</w:t>
      </w:r>
      <w:r/>
    </w:p>
    <w:p>
      <w:pPr>
        <w:pStyle w:val="729"/>
        <w:ind w:left="0" w:firstLine="480"/>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本项目评分总分值为100分。 </w:t>
      </w:r>
      <w:r/>
    </w:p>
    <w:tbl>
      <w:tblPr>
        <w:tblStyle w:val="7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442"/>
        <w:gridCol w:w="1442"/>
        <w:gridCol w:w="992"/>
        <w:gridCol w:w="5382"/>
      </w:tblGrid>
      <w:tr>
        <w:trPr>
          <w:jc w:val="center"/>
          <w:trHeight w:val="567"/>
          <w:tblHeader/>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序</w:t>
            </w:r>
            <w:r>
              <w:rPr>
                <w:rFonts w:hint="eastAsia" w:ascii="宋体" w:hAnsi="宋体" w:eastAsia="宋体" w:cs="宋体"/>
                <w:b w:val="0"/>
                <w:bCs w:val="0"/>
                <w:color w:val="auto"/>
                <w:sz w:val="24"/>
                <w:szCs w:val="24"/>
                <w:highlight w:val="none"/>
                <w:lang w:val="en-US" w:eastAsia="zh-CN"/>
              </w:rPr>
              <w:t xml:space="preserve">号</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分部内容</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2703" w:type="pct"/>
            <w:vAlign w:val="center"/>
            <w:textDirection w:val="lrTb"/>
            <w:noWrap w:val="false"/>
          </w:tcPr>
          <w:p>
            <w:pPr>
              <w:ind w:firstLine="48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打分要求</w:t>
            </w:r>
            <w:r/>
          </w:p>
        </w:tc>
      </w:tr>
      <w:tr>
        <w:trPr>
          <w:jc w:val="center"/>
          <w:trHeight w:val="1259"/>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2703"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满足招标文件要求且投标价格最低的投标报价为基准价，其价格分为满分。报价得分=(评标基准价/投标报价)×30。</w:t>
            </w:r>
            <w:r/>
          </w:p>
        </w:tc>
      </w:tr>
      <w:tr>
        <w:trPr>
          <w:jc w:val="center"/>
          <w:trHeight w:val="567"/>
        </w:trPr>
        <w:tc>
          <w:tcPr>
            <w:tcBorders>
              <w:top w:val="single" w:color="auto" w:sz="4" w:space="0"/>
              <w:left w:val="single" w:color="auto" w:sz="4" w:space="0"/>
              <w:right w:val="single" w:color="auto" w:sz="4" w:space="0"/>
            </w:tcBorders>
            <w:tcW w:w="348"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724"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技术</w:t>
            </w:r>
            <w:r>
              <w:rPr>
                <w:rFonts w:hint="eastAsia" w:ascii="宋体" w:hAnsi="宋体" w:eastAsia="宋体" w:cs="宋体"/>
                <w:b w:val="0"/>
                <w:bCs w:val="0"/>
                <w:color w:val="auto"/>
                <w:sz w:val="24"/>
                <w:szCs w:val="24"/>
                <w:highlight w:val="none"/>
              </w:rPr>
              <w:t xml:space="preserve">部分</w:t>
            </w:r>
            <w:r/>
          </w:p>
        </w:tc>
        <w:tc>
          <w:tcPr>
            <w:tcBorders>
              <w:top w:val="single" w:color="auto" w:sz="4" w:space="0"/>
              <w:left w:val="single" w:color="auto" w:sz="4" w:space="0"/>
              <w:right w:val="single" w:color="auto" w:sz="4" w:space="0"/>
            </w:tcBorders>
            <w:tcW w:w="144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技术方案</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5382"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技术方案是否全面；功能设计、信息安全等方面能否满足当前环境监测业务的需求，能否有效规避风险；注重与相关技术标准的衔接与协调；利用已有经验积累和研究成果对项目建设进行优化的能力及优势。</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根据技术方案的全面性、科学性、可行性和可扩展性等综合评价，合理、全面响应需求得25分；整体设计较为完整，基本响应需求得22分；整体设计不完整、响应度低得19分；未提供不得分。</w:t>
            </w:r>
            <w:r/>
          </w:p>
        </w:tc>
      </w:tr>
      <w:tr>
        <w:trPr>
          <w:jc w:val="center"/>
          <w:trHeight w:val="567"/>
        </w:trPr>
        <w:tc>
          <w:tcPr>
            <w:tcBorders>
              <w:left w:val="single" w:color="auto" w:sz="4" w:space="0"/>
              <w:right w:val="single" w:color="auto" w:sz="4" w:space="0"/>
            </w:tcBorders>
            <w:tcW w:w="348"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4"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14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实施方案</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382"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项目实施方案（包括但不限于项目组织管理、项目进度计划、管理制度、质量控制等）进行评分。方案内容较完整，合理性、可行性强的得10分；方案内容完整性、合理性、可行性一般的得7分；方案内容完整性、合理性、可操作性较差的得4分；未提供实施方案不得分。</w:t>
            </w:r>
            <w:r/>
          </w:p>
        </w:tc>
      </w:tr>
      <w:tr>
        <w:trPr>
          <w:jc w:val="center"/>
          <w:trHeight w:val="567"/>
        </w:trPr>
        <w:tc>
          <w:tcPr>
            <w:tcBorders>
              <w:left w:val="single" w:color="auto" w:sz="4" w:space="0"/>
              <w:right w:val="single" w:color="auto" w:sz="4" w:space="0"/>
            </w:tcBorders>
            <w:tcW w:w="348"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4"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144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培训方案</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382"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项目培训方案（包括但不限于培训目标、培训计划、培训内容、保障措施等）进行综合打分。方案内容完整，科学合理性、可行性强的得5分；方案内容完整性、合理性、可操作性一般的得3分；方案内容完整性、合理性、可操作性较差的得1分；未提供培训方案不得分。</w:t>
            </w:r>
            <w:r/>
          </w:p>
        </w:tc>
      </w:tr>
      <w:tr>
        <w:trPr>
          <w:jc w:val="center"/>
          <w:trHeight w:val="567"/>
        </w:trPr>
        <w:tc>
          <w:tcPr>
            <w:tcBorders>
              <w:left w:val="single" w:color="auto" w:sz="4" w:space="0"/>
              <w:right w:val="single" w:color="auto" w:sz="4" w:space="0"/>
            </w:tcBorders>
            <w:tcW w:w="348"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4"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144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验收方案</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382"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项目验收方案（包括但不限于包括试运行、测试、验收计划等内容）进行综合打分。方案内容完整，科学合理性、可行性强的得5分；方案内容完整性、合理性、可操作性一般的得3分；方案内容完整性、合理性、可操作性较差的得1分；未提供验收方案不得分。</w:t>
            </w:r>
            <w:r/>
          </w:p>
        </w:tc>
      </w:tr>
      <w:tr>
        <w:trPr>
          <w:jc w:val="center"/>
          <w:trHeight w:val="567"/>
        </w:trPr>
        <w:tc>
          <w:tcPr>
            <w:tcBorders>
              <w:left w:val="single" w:color="auto" w:sz="4" w:space="0"/>
              <w:right w:val="single" w:color="auto" w:sz="4" w:space="0"/>
            </w:tcBorders>
            <w:tcW w:w="348"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left w:val="single" w:color="auto" w:sz="4" w:space="0"/>
              <w:right w:val="single" w:color="auto" w:sz="4" w:space="0"/>
            </w:tcBorders>
            <w:tcW w:w="724"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Borders>
              <w:top w:val="single" w:color="auto" w:sz="4" w:space="0"/>
              <w:left w:val="single" w:color="auto" w:sz="4" w:space="0"/>
              <w:right w:val="single" w:color="auto" w:sz="4" w:space="0"/>
            </w:tcBorders>
            <w:tcW w:w="144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售后服务方案</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382"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提供的售后服务方案（包括但不限于投标方或其分公司、子公司在项目实施周边的机构设置、服务流程、服务方式、响应时间、解决时间等）进行综合评分。服务方案全面完整、合理可行、清晰明确的得7分；服务方案完整性、合理性、可行性一般的得4分；方案内容完整性、合理性、可操作性较差的得1分；未提供售后服务方案不得分。</w:t>
            </w:r>
            <w:r/>
          </w:p>
        </w:tc>
      </w:tr>
      <w:tr>
        <w:trPr>
          <w:jc w:val="center"/>
          <w:trHeight w:val="567"/>
        </w:trPr>
        <w:tc>
          <w:tcPr>
            <w:tcBorders>
              <w:left w:val="single" w:color="auto" w:sz="4" w:space="0"/>
              <w:right w:val="single" w:color="auto" w:sz="4" w:space="0"/>
            </w:tcBorders>
            <w:tcW w:w="3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Borders>
              <w:left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履约能力</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企业</w:t>
            </w:r>
            <w:r/>
          </w:p>
        </w:tc>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2703" w:type="pct"/>
            <w:vAlign w:val="center"/>
            <w:textDirection w:val="lrTb"/>
            <w:noWrap w:val="false"/>
          </w:tcPr>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具有有效期内的信息技术服务管理体系认证证书、信息安全管理体系认证证书、环境管理体系认证证书、质量管理体系认证证书、职业健康安全管理体系认证证书，每提供一个得1分，本项最高得4分。（须提供证书，未提供不得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投标人具有实验室信息管理平台软件、电子化原始记录单平台软件、实验室安全管理平台软件、现场采样小程序软件、检验检测一张图客户端软件的软件著作权登记证书，每提供一个得2分，满分10分。（须提供证书，未提供不得分）</w:t>
            </w:r>
            <w:r/>
          </w:p>
        </w:tc>
      </w:tr>
      <w:tr>
        <w:trPr>
          <w:jc w:val="center"/>
          <w:trHeight w:val="567"/>
        </w:trPr>
        <w:tc>
          <w:tcPr>
            <w:tcBorders>
              <w:left w:val="single" w:color="auto" w:sz="4" w:space="0"/>
              <w:right w:val="single" w:color="auto" w:sz="4" w:space="0"/>
            </w:tcBorders>
            <w:tcW w:w="3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tcBorders>
              <w:left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其他</w:t>
            </w:r>
            <w:r/>
          </w:p>
        </w:tc>
        <w:tc>
          <w:tcPr>
            <w:tcBorders>
              <w:top w:val="single" w:color="auto" w:sz="4" w:space="0"/>
              <w:left w:val="single" w:color="auto" w:sz="4" w:space="0"/>
              <w:right w:val="single" w:color="auto" w:sz="4" w:space="0"/>
            </w:tcBorders>
            <w:tcW w:w="72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业绩</w:t>
            </w:r>
            <w:r/>
          </w:p>
        </w:tc>
        <w:tc>
          <w:tcPr>
            <w:tcBorders>
              <w:top w:val="single" w:color="auto" w:sz="4" w:space="0"/>
              <w:left w:val="single" w:color="auto" w:sz="4" w:space="0"/>
              <w:right w:val="single" w:color="auto" w:sz="4" w:space="0"/>
            </w:tcBorders>
            <w:tcW w:w="49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2703" w:type="pct"/>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投标人自2021年12月1日起至今（以合同签订日期为准）承担过环境信息化类似业绩的，每提供一份得2分，满分4分。</w:t>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（投标时提供中标</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val="en-US" w:eastAsia="zh-CN"/>
              </w:rPr>
              <w:t xml:space="preserve">通知书、合同。未提供不得分）</w:t>
            </w:r>
            <w:r/>
          </w:p>
        </w:tc>
      </w:tr>
    </w:tbl>
    <w:p>
      <w:pPr>
        <w:rPr>
          <w:rFonts w:hint="eastAsia"/>
          <w:color w:val="auto"/>
          <w:lang w:val="en-US" w:eastAsia="zh-CN"/>
        </w:rPr>
      </w:pPr>
      <w:r>
        <w:rPr>
          <w:color w:val="auto"/>
        </w:rPr>
        <w:t xml:space="preserve"> </w:t>
      </w:r>
      <w:r>
        <w:rPr>
          <w:rFonts w:hint="eastAsia"/>
          <w:color w:val="auto"/>
          <w:lang w:val="en-US" w:eastAsia="zh-CN"/>
        </w:rPr>
        <w:t xml:space="preserve">说明：（1）所有打分项均以投标人所提供的投标文件进行打分，投标文件中未提及的不予认可，投标文件提交截止时间后不得修改或补充投标文件。（2）投标人的最终得分为所有评委打分的平均值，计算结果保留至小数点后两位。</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br w:type="page" w:clear="all"/>
      </w:r>
      <w:r/>
    </w:p>
    <w:p>
      <w:pPr>
        <w:rPr>
          <w:rFonts w:hint="eastAsia"/>
          <w:color w:val="auto"/>
          <w:lang w:val="en-US" w:eastAsia="zh-CN"/>
        </w:rPr>
      </w:pPr>
      <w:r>
        <w:rPr>
          <w:rFonts w:hint="eastAsia"/>
          <w:color w:val="auto"/>
          <w:lang w:val="en-US" w:eastAsia="zh-CN"/>
        </w:rPr>
      </w:r>
      <w:r/>
    </w:p>
    <w:p>
      <w:pPr>
        <w:jc w:val="center"/>
        <w:rPr>
          <w:rFonts w:hint="eastAsia" w:ascii="黑体" w:hAnsi="黑体" w:eastAsia="黑体" w:cs="黑体"/>
          <w:color w:val="auto"/>
          <w:sz w:val="44"/>
          <w:szCs w:val="44"/>
          <w:lang w:val="en-US" w:eastAsia="zh-CN" w:bidi="ar-SA"/>
        </w:rPr>
      </w:pPr>
      <w:r>
        <w:rPr>
          <w:rFonts w:hint="eastAsia" w:ascii="黑体" w:hAnsi="黑体" w:eastAsia="黑体" w:cs="黑体"/>
          <w:color w:val="auto"/>
          <w:sz w:val="44"/>
          <w:szCs w:val="44"/>
          <w:lang w:val="en-US" w:eastAsia="zh-CN" w:bidi="ar-SA"/>
        </w:rPr>
        <w:t xml:space="preserve">第六章  投标文件格式 </w:t>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2"/>
      <w:bookmarkEnd w:id="195"/>
      <w:r/>
    </w:p>
    <w:p>
      <w:pPr>
        <w:pStyle w:val="729"/>
        <w:jc w:val="center"/>
        <w:keepNext/>
        <w:spacing w:beforeAutospacing="0" w:afterAutospacing="0"/>
        <w:rPr>
          <w:rFonts w:hint="eastAsia" w:ascii="黑体" w:hAnsi="宋体" w:eastAsia="黑体" w:cs="黑体"/>
          <w:color w:val="auto"/>
          <w:sz w:val="44"/>
          <w:szCs w:val="44"/>
        </w:rPr>
      </w:pPr>
      <w:r/>
      <w:bookmarkStart w:id="196" w:name="_Hlt26671244"/>
      <w:r/>
      <w:bookmarkEnd w:id="196"/>
      <w:r/>
      <w:bookmarkStart w:id="197" w:name="_Toc26554094"/>
      <w:r/>
      <w:bookmarkEnd w:id="197"/>
      <w:r/>
      <w:bookmarkStart w:id="198" w:name="_Hlt26955039"/>
      <w:r/>
      <w:bookmarkEnd w:id="198"/>
      <w:r/>
      <w:r/>
    </w:p>
    <w:p>
      <w:pPr>
        <w:pStyle w:val="729"/>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29"/>
        <w:jc w:val="center"/>
        <w:keepNext/>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29"/>
        <w:jc w:val="center"/>
        <w:keepNext/>
        <w:spacing w:beforeAutospacing="0" w:afterAutospacing="0"/>
        <w:rPr>
          <w:color w:val="auto"/>
        </w:rPr>
      </w:pPr>
      <w:r>
        <w:rPr>
          <w:rFonts w:hint="eastAsia" w:ascii="黑体" w:hAnsi="宋体" w:eastAsia="黑体" w:cs="黑体"/>
          <w:color w:val="auto"/>
          <w:sz w:val="44"/>
          <w:szCs w:val="44"/>
        </w:rPr>
        <w:t xml:space="preserve"> </w:t>
      </w:r>
      <w:r/>
    </w:p>
    <w:p>
      <w:pPr>
        <w:pStyle w:val="729"/>
        <w:jc w:val="center"/>
        <w:spacing w:beforeAutospacing="0" w:afterAutospacing="0"/>
        <w:rPr>
          <w:color w:val="auto"/>
        </w:rPr>
      </w:pPr>
      <w:r/>
      <w:bookmarkStart w:id="199" w:name="_Toc120614282"/>
      <w:r/>
      <w:bookmarkStart w:id="200" w:name="_Toc49090576"/>
      <w:r>
        <w:rPr>
          <w:rFonts w:hint="eastAsia" w:ascii="宋体" w:hAnsi="宋体" w:eastAsia="宋体" w:cs="宋体"/>
          <w:b/>
          <w:color w:val="auto"/>
          <w:sz w:val="72"/>
          <w:szCs w:val="72"/>
        </w:rPr>
        <w:t xml:space="preserve">投  标  文  件</w:t>
      </w:r>
      <w:r/>
    </w:p>
    <w:p>
      <w:pPr>
        <w:pStyle w:val="729"/>
        <w:jc w:val="center"/>
        <w:spacing w:beforeAutospacing="0" w:afterAutospacing="0"/>
        <w:rPr>
          <w:color w:val="auto"/>
        </w:rPr>
      </w:pPr>
      <w:r>
        <w:rPr>
          <w:color w:val="auto"/>
        </w:rPr>
        <w:t xml:space="preserve"> </w:t>
      </w:r>
      <w:r/>
    </w:p>
    <w:p>
      <w:pPr>
        <w:pStyle w:val="729"/>
        <w:jc w:val="center"/>
        <w:spacing w:beforeAutospacing="0" w:afterAutospacing="0"/>
        <w:rPr>
          <w:color w:val="auto"/>
        </w:rPr>
      </w:pPr>
      <w:r>
        <w:rPr>
          <w:color w:val="auto"/>
        </w:rPr>
        <w:t xml:space="preserve"> </w:t>
      </w:r>
      <w:r/>
    </w:p>
    <w:p>
      <w:pPr>
        <w:pStyle w:val="729"/>
        <w:jc w:val="center"/>
        <w:spacing w:beforeAutospacing="0" w:afterAutospacing="0"/>
        <w:rPr>
          <w:color w:val="auto"/>
        </w:rPr>
      </w:pPr>
      <w:r>
        <w:rPr>
          <w:color w:val="auto"/>
        </w:rPr>
        <w:t xml:space="preserve"> </w:t>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r>
      <w:r/>
    </w:p>
    <w:p>
      <w:pPr>
        <w:pStyle w:val="729"/>
        <w:jc w:val="center"/>
        <w:spacing w:beforeAutospacing="0" w:afterAutospacing="0"/>
        <w:rPr>
          <w:color w:val="auto"/>
        </w:rPr>
      </w:pPr>
      <w:r>
        <w:rPr>
          <w:color w:val="auto"/>
        </w:rPr>
        <w:t xml:space="preserve"> </w:t>
      </w:r>
      <w:r/>
    </w:p>
    <w:p>
      <w:pPr>
        <w:pStyle w:val="729"/>
        <w:jc w:val="center"/>
        <w:spacing w:beforeAutospacing="0" w:afterAutospacing="0"/>
        <w:rPr>
          <w:color w:val="auto"/>
        </w:rPr>
      </w:pPr>
      <w:r>
        <w:rPr>
          <w:color w:val="auto"/>
        </w:rPr>
        <w:t xml:space="preserve"> </w:t>
      </w:r>
      <w:r/>
    </w:p>
    <w:p>
      <w:pPr>
        <w:pStyle w:val="729"/>
        <w:ind w:firstLine="1084"/>
        <w:jc w:val="both"/>
        <w:spacing w:beforeAutospacing="0" w:afterAutospacing="0"/>
        <w:rPr>
          <w:color w:val="auto"/>
        </w:rPr>
      </w:pPr>
      <w:r>
        <w:rPr>
          <w:rFonts w:hint="eastAsia" w:ascii="宋体" w:hAnsi="宋体" w:eastAsia="宋体" w:cs="宋体"/>
          <w:b/>
          <w:color w:val="auto"/>
          <w:sz w:val="36"/>
          <w:szCs w:val="36"/>
        </w:rPr>
        <w:t xml:space="preserve">项目 名 称：</w:t>
      </w:r>
      <w:r>
        <w:rPr>
          <w:rFonts w:hint="eastAsia" w:ascii="宋体" w:hAnsi="宋体" w:eastAsia="宋体" w:cs="宋体"/>
          <w:b/>
          <w:color w:val="auto"/>
          <w:sz w:val="36"/>
          <w:szCs w:val="36"/>
          <w:u w:val="single"/>
        </w:rPr>
        <w:t xml:space="preserve">               </w:t>
      </w:r>
      <w:r/>
    </w:p>
    <w:p>
      <w:pPr>
        <w:pStyle w:val="729"/>
        <w:ind w:firstLine="1084"/>
        <w:jc w:val="both"/>
        <w:spacing w:beforeAutospacing="0" w:afterAutospacing="0"/>
        <w:rPr>
          <w:color w:val="auto"/>
        </w:rPr>
      </w:pPr>
      <w:r>
        <w:rPr>
          <w:rFonts w:hint="eastAsia" w:ascii="宋体" w:hAnsi="宋体" w:eastAsia="宋体" w:cs="宋体"/>
          <w:b/>
          <w:color w:val="auto"/>
          <w:sz w:val="36"/>
          <w:szCs w:val="36"/>
        </w:rPr>
        <w:t xml:space="preserve">项目 编 号：</w:t>
      </w:r>
      <w:r>
        <w:rPr>
          <w:rFonts w:hint="eastAsia" w:ascii="宋体" w:hAnsi="宋体" w:eastAsia="宋体" w:cs="宋体"/>
          <w:b/>
          <w:color w:val="auto"/>
          <w:sz w:val="36"/>
          <w:szCs w:val="36"/>
          <w:u w:val="single"/>
        </w:rPr>
        <w:t xml:space="preserve">               </w:t>
      </w:r>
      <w:r/>
    </w:p>
    <w:p>
      <w:pPr>
        <w:pStyle w:val="729"/>
        <w:jc w:val="both"/>
        <w:spacing w:beforeAutospacing="0" w:afterAutospacing="0"/>
        <w:rPr>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        </w:t>
      </w:r>
      <w:r/>
    </w:p>
    <w:p>
      <w:pPr>
        <w:pStyle w:val="729"/>
        <w:jc w:val="both"/>
        <w:spacing w:beforeAutospacing="0" w:afterAutospacing="0"/>
        <w:rPr>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729"/>
        <w:jc w:val="center"/>
        <w:spacing w:beforeAutospacing="0" w:afterAutospacing="0" w:line="0" w:lineRule="atLeast"/>
        <w:rPr>
          <w:color w:val="auto"/>
        </w:rPr>
      </w:pPr>
      <w:r>
        <w:rPr>
          <w:color w:val="auto"/>
        </w:rPr>
        <w:t xml:space="preserve"> </w:t>
      </w:r>
      <w:r/>
    </w:p>
    <w:p>
      <w:pPr>
        <w:pStyle w:val="729"/>
        <w:jc w:val="both"/>
        <w:spacing w:beforeAutospacing="0" w:afterAutospacing="0" w:line="0" w:lineRule="atLeast"/>
        <w:rPr>
          <w:color w:val="auto"/>
        </w:rPr>
      </w:pPr>
      <w:r>
        <w:rPr>
          <w:color w:val="auto"/>
        </w:rPr>
        <w:t xml:space="preserve"> </w:t>
      </w:r>
      <w:r/>
    </w:p>
    <w:p>
      <w:pPr>
        <w:ind w:firstLine="0"/>
        <w:jc w:val="center"/>
        <w:spacing w:line="240" w:lineRule="auto"/>
        <w:rPr>
          <w:rFonts w:hint="eastAsia" w:ascii="宋体" w:hAnsi="宋体"/>
          <w:b/>
          <w:bCs/>
          <w:color w:val="auto"/>
          <w:sz w:val="32"/>
          <w:szCs w:val="32"/>
        </w:rPr>
      </w:pPr>
      <w:r/>
      <w:bookmarkStart w:id="201" w:name="_Hlt26955066"/>
      <w:r/>
      <w:bookmarkStart w:id="202" w:name="_Hlt26671380"/>
      <w:r/>
      <w:bookmarkStart w:id="203" w:name="_Toc462564146"/>
      <w:r/>
      <w:bookmarkStart w:id="204" w:name="_格式2__法定代表人授权书"/>
      <w:r/>
      <w:bookmarkStart w:id="205" w:name="_Hlt26955054"/>
      <w:r/>
      <w:bookmarkStart w:id="206" w:name="_格式3__银行出具的资信证明"/>
      <w:r/>
      <w:bookmarkStart w:id="207" w:name="_Hlt26609389"/>
      <w:r/>
      <w:bookmarkStart w:id="208" w:name="_Hlt26955070"/>
      <w:r/>
      <w:bookmarkStart w:id="209" w:name="_Hlt26671374"/>
      <w:r>
        <w:rPr>
          <w:rFonts w:hint="eastAsia" w:ascii="宋体" w:hAnsi="宋体"/>
          <w:b/>
          <w:bCs/>
          <w:color w:val="auto"/>
          <w:sz w:val="32"/>
          <w:szCs w:val="32"/>
        </w:rPr>
        <w:t xml:space="preserve">投标文件目录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一、开标一览表（以系统固定格式为准）</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二、资格审查资料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（2）上一年度（或上上年度）经审计的财务报告（投标人成立不满一年无需提供）。</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（5）参加政府采购活动前 3 年内在经营活动中没有重大违法记录的书面声明。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（7）投标人为被授权人缴纳的社会养老保险证明。</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（8）与资格审查有关的其他资料（如有）。</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三、符合性资料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（1）投标报价明细表；</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（2）投标函；</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（3）技术要求响应及偏离表；</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（4）商务要求响应及偏离表；</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（5）投标人的服务承诺；</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（6）东台市政府采购事前信用承诺书。</w:t>
      </w:r>
      <w:r/>
    </w:p>
    <w:p>
      <w:pPr>
        <w:ind w:firstLine="480"/>
        <w:spacing w:line="440" w:lineRule="exact"/>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四、综合评审相关资料</w:t>
      </w:r>
      <w:r/>
    </w:p>
    <w:p>
      <w:pPr>
        <w:ind w:firstLine="480"/>
        <w:spacing w:line="440" w:lineRule="exac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五、价格折扣文件</w:t>
      </w:r>
      <w:r/>
    </w:p>
    <w:p>
      <w:pPr>
        <w:jc w:val="center"/>
        <w:rPr>
          <w:rFonts w:hint="eastAsia" w:ascii="黑体" w:eastAsia="黑体"/>
          <w:b/>
          <w:bCs/>
          <w:color w:val="auto"/>
          <w:sz w:val="32"/>
          <w:szCs w:val="32"/>
          <w:highlight w:val="none"/>
        </w:rPr>
      </w:pPr>
      <w:r>
        <w:rPr>
          <w:rFonts w:hint="eastAsia" w:ascii="黑体" w:hAnsi="黑体" w:eastAsia="黑体"/>
          <w:i/>
          <w:color w:val="auto"/>
          <w:sz w:val="32"/>
          <w:szCs w:val="32"/>
          <w:u w:val="single"/>
        </w:rPr>
        <w:br w:type="page" w:clear="all"/>
      </w:r>
      <w:bookmarkStart w:id="210" w:name="_Toc120614284"/>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rPr>
      </w:pPr>
      <w:r>
        <w:rPr>
          <w:rFonts w:hint="eastAsia" w:ascii="宋体" w:hAnsi="宋体" w:eastAsia="宋体" w:cs="宋体"/>
          <w:bCs/>
          <w:color w:val="auto"/>
          <w:sz w:val="24"/>
        </w:rPr>
      </w:r>
      <w:r/>
    </w:p>
    <w:p>
      <w:pPr>
        <w:spacing w:line="460" w:lineRule="exact"/>
        <w:rPr>
          <w:rFonts w:hint="eastAsia" w:ascii="宋体" w:hAnsi="宋体"/>
          <w:bCs/>
          <w:color w:val="auto"/>
          <w:sz w:val="24"/>
        </w:rPr>
      </w:pPr>
      <w:r>
        <w:rPr>
          <w:rFonts w:hint="eastAsia" w:ascii="宋体" w:hAnsi="宋体"/>
          <w:bCs/>
          <w:color w:val="auto"/>
          <w:sz w:val="24"/>
        </w:rPr>
        <w:t xml:space="preserve">                                     </w:t>
      </w:r>
      <w:r/>
    </w:p>
    <w:p>
      <w:pPr>
        <w:pStyle w:val="720"/>
        <w:ind w:firstLine="0"/>
        <w:rPr>
          <w:rFonts w:hint="eastAsia"/>
          <w:color w:val="auto"/>
        </w:rPr>
      </w:pPr>
      <w:r>
        <w:rPr>
          <w:rFonts w:hint="eastAsia"/>
          <w:color w:val="auto"/>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 w:eastAsia="仿宋"/>
          <w:color w:val="auto"/>
          <w:sz w:val="24"/>
          <w:highlight w:val="none"/>
        </w:rPr>
      </w:pPr>
      <w:r>
        <w:rPr>
          <w:rFonts w:hint="eastAsia" w:ascii="仿宋" w:eastAsia="仿宋"/>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rPr>
        <w:t xml:space="preserve">________________（被授权人的姓名）为</w:t>
      </w:r>
      <w:r>
        <w:rPr>
          <w:rFonts w:hint="eastAsia" w:ascii="宋体" w:hAnsi="宋体" w:eastAsia="宋体" w:cs="宋体"/>
          <w:color w:val="auto"/>
          <w:sz w:val="24"/>
          <w:szCs w:val="24"/>
          <w:lang w:val="en-US" w:eastAsia="zh-CN"/>
        </w:rPr>
        <w:t xml:space="preserve">我单位</w:t>
      </w:r>
      <w:r>
        <w:rPr>
          <w:rFonts w:hint="eastAsia" w:ascii="宋体" w:hAnsi="宋体" w:eastAsia="宋体" w:cs="宋体"/>
          <w:color w:val="auto"/>
          <w:sz w:val="24"/>
          <w:szCs w:val="24"/>
        </w:rPr>
        <w:t xml:space="preserve">就JSZC-</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号项目的</w:t>
      </w:r>
      <w:r>
        <w:rPr>
          <w:rFonts w:hint="eastAsia" w:ascii="宋体" w:hAnsi="宋体" w:eastAsia="宋体" w:cs="宋体"/>
          <w:color w:val="auto"/>
          <w:sz w:val="24"/>
          <w:szCs w:val="24"/>
          <w:lang w:eastAsia="zh-CN"/>
        </w:rPr>
        <w:t xml:space="preserve">投标文件</w:t>
      </w:r>
      <w:r>
        <w:rPr>
          <w:rFonts w:hint="eastAsia" w:ascii="宋体" w:hAnsi="宋体" w:eastAsia="宋体" w:cs="宋体"/>
          <w:color w:val="auto"/>
          <w:sz w:val="24"/>
          <w:szCs w:val="24"/>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rPr>
        <w:t xml:space="preserve">以本单位名义全权处理一切与该项目采购有关的事务。</w:t>
      </w:r>
      <w:r/>
    </w:p>
    <w:p>
      <w:pPr>
        <w:pStyle w:val="741"/>
        <w:ind w:firstLine="48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pStyle w:val="741"/>
        <w:ind w:firstLine="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rPr>
        <w:t xml:space="preserve">被授权人身份证号码：</w:t>
      </w:r>
      <w:r>
        <w:rPr>
          <w:rFonts w:hint="eastAsia" w:ascii="宋体" w:hAnsi="宋体" w:eastAsia="宋体" w:cs="宋体"/>
          <w:color w:val="auto"/>
          <w:sz w:val="24"/>
          <w:szCs w:val="24"/>
          <w:u w:val="single"/>
        </w:rPr>
        <w:t xml:space="preserve">                              </w:t>
      </w:r>
      <w:r/>
    </w:p>
    <w:p>
      <w:pPr>
        <w:pStyle w:val="741"/>
        <w:ind w:firstLine="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被授权人联系电话：（手机）</w:t>
      </w:r>
      <w:r>
        <w:rPr>
          <w:rFonts w:hint="eastAsia" w:ascii="宋体" w:hAnsi="宋体" w:eastAsia="宋体" w:cs="宋体"/>
          <w:color w:val="auto"/>
          <w:sz w:val="24"/>
          <w:szCs w:val="24"/>
          <w:u w:val="single"/>
        </w:rPr>
        <w:t xml:space="preserve">                          </w:t>
      </w:r>
      <w:r/>
    </w:p>
    <w:p>
      <w:pPr>
        <w:pStyle w:val="741"/>
        <w:ind w:firstLine="120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（加盖CA电子公章）</w:t>
      </w:r>
      <w:r/>
    </w:p>
    <w:p>
      <w:pPr>
        <w:pStyle w:val="741"/>
        <w:ind w:firstLine="480"/>
        <w:spacing w:line="48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单位地址：</w:t>
      </w:r>
      <w:r>
        <w:rPr>
          <w:rFonts w:hint="eastAsia" w:ascii="宋体" w:hAnsi="宋体" w:eastAsia="宋体" w:cs="宋体"/>
          <w:color w:val="auto"/>
          <w:sz w:val="24"/>
          <w:szCs w:val="24"/>
          <w:u w:val="single"/>
        </w:rPr>
        <w:t xml:space="preserve">                                         </w:t>
      </w:r>
      <w:r/>
    </w:p>
    <w:p>
      <w:pPr>
        <w:pStyle w:val="741"/>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u w:val="single"/>
        </w:rPr>
        <w:t xml:space="preserve">（加盖CA电子公章）</w:t>
      </w:r>
      <w:r/>
    </w:p>
    <w:p>
      <w:pPr>
        <w:pStyle w:val="741"/>
        <w:ind w:firstLine="120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720"/>
        <w:spacing w:line="480" w:lineRule="auto"/>
        <w:rPr>
          <w:rFonts w:hint="eastAsia" w:ascii="宋体" w:hAnsi="宋体" w:eastAsia="宋体" w:cs="宋体"/>
          <w:i/>
          <w:color w:val="auto"/>
          <w:sz w:val="24"/>
          <w:szCs w:val="24"/>
          <w:u w:val="single"/>
        </w:rPr>
      </w:pPr>
      <w:r>
        <w:rPr>
          <w:rFonts w:hint="eastAsia" w:ascii="宋体" w:hAnsi="宋体" w:eastAsia="宋体" w:cs="宋体"/>
          <w:i/>
          <w:color w:val="auto"/>
          <w:sz w:val="24"/>
          <w:szCs w:val="24"/>
          <w:u w:val="single"/>
        </w:rPr>
      </w:r>
      <w:r/>
    </w:p>
    <w:p>
      <w:pPr>
        <w:spacing w:line="48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spacing w:line="460" w:lineRule="exact"/>
        <w:rPr>
          <w:rFonts w:hint="eastAsia" w:ascii="宋体" w:hAnsi="宋体"/>
          <w:bCs/>
          <w:color w:val="auto"/>
          <w:sz w:val="24"/>
        </w:rPr>
      </w:pPr>
      <w:r>
        <w:rPr>
          <w:rFonts w:hint="eastAsia" w:ascii="宋体" w:hAnsi="宋体"/>
          <w:bCs/>
          <w:color w:val="auto"/>
          <w:sz w:val="24"/>
        </w:rPr>
      </w:r>
      <w:r/>
    </w:p>
    <w:p>
      <w:pPr>
        <w:pStyle w:val="729"/>
        <w:jc w:val="center"/>
        <w:spacing w:beforeAutospacing="0" w:afterAutospacing="0"/>
        <w:rPr>
          <w:rFonts w:hint="default"/>
          <w:color w:val="auto"/>
          <w:lang w:val="en-US"/>
        </w:rPr>
      </w:pPr>
      <w:r>
        <w:rPr>
          <w:rFonts w:ascii="宋体" w:hAnsi="宋体"/>
          <w:bCs/>
          <w:color w:val="auto"/>
          <w:sz w:val="24"/>
        </w:rPr>
        <w:br w:type="page" w:clear="all"/>
      </w:r>
      <w:r>
        <w:rPr>
          <w:rFonts w:hint="eastAsia" w:ascii="黑体" w:hAnsi="Times New Roman" w:eastAsia="黑体" w:cs="Times New Roman"/>
          <w:b/>
          <w:bCs/>
          <w:color w:val="auto"/>
          <w:sz w:val="32"/>
          <w:szCs w:val="32"/>
          <w:highlight w:val="none"/>
          <w:lang w:val="en-US" w:eastAsia="zh-CN" w:bidi="ar-SA"/>
        </w:rPr>
        <w:t xml:space="preserve">5.开标一览表（以系统固定格式为准）</w:t>
      </w:r>
      <w:r/>
    </w:p>
    <w:p>
      <w:pPr>
        <w:pStyle w:val="729"/>
        <w:ind w:firstLine="480"/>
        <w:jc w:val="both"/>
        <w:spacing w:beforeAutospacing="0" w:afterAutospacing="0"/>
        <w:rPr>
          <w:color w:val="auto"/>
        </w:rPr>
      </w:pPr>
      <w:r>
        <w:rPr>
          <w:rFonts w:hint="eastAsia" w:ascii="宋体" w:hAnsi="宋体" w:eastAsia="宋体" w:cs="宋体"/>
          <w:color w:val="auto"/>
        </w:rPr>
        <w:t xml:space="preserve">投标人全称（加盖CA电子签章）：</w:t>
      </w:r>
      <w:r/>
    </w:p>
    <w:p>
      <w:pPr>
        <w:pStyle w:val="729"/>
        <w:ind w:firstLine="480"/>
        <w:jc w:val="both"/>
        <w:spacing w:beforeAutospacing="0" w:afterAutospacing="0"/>
        <w:rPr>
          <w:color w:val="auto"/>
        </w:rPr>
      </w:pPr>
      <w:r>
        <w:rPr>
          <w:rFonts w:hint="eastAsia" w:ascii="宋体" w:hAnsi="宋体" w:eastAsia="宋体" w:cs="宋体"/>
          <w:color w:val="auto"/>
        </w:rPr>
        <w:t xml:space="preserve">项目名称：</w:t>
      </w:r>
      <w:r/>
    </w:p>
    <w:p>
      <w:pPr>
        <w:pStyle w:val="729"/>
        <w:ind w:firstLine="480"/>
        <w:jc w:val="left"/>
        <w:spacing w:beforeAutospacing="0" w:afterAutospacing="0"/>
        <w:rPr>
          <w:color w:val="auto"/>
        </w:rPr>
      </w:pPr>
      <w:r>
        <w:rPr>
          <w:rFonts w:hint="eastAsia" w:ascii="宋体" w:hAnsi="宋体" w:eastAsia="宋体" w:cs="宋体"/>
          <w:color w:val="auto"/>
        </w:rPr>
        <w:t xml:space="preserve">招标编号：                    分包号：</w:t>
      </w:r>
      <w:r/>
    </w:p>
    <w:tbl>
      <w:tblPr>
        <w:tblStyle w:val="719"/>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2783"/>
        <w:gridCol w:w="7193"/>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29"/>
              <w:jc w:val="both"/>
              <w:spacing w:beforeAutospacing="0" w:afterAutospacing="0"/>
              <w:rPr>
                <w:color w:val="auto"/>
              </w:rPr>
            </w:pPr>
            <w:r>
              <w:rPr>
                <w:rFonts w:hint="eastAsia" w:ascii="宋体" w:hAnsi="宋体" w:eastAsia="宋体" w:cs="宋体"/>
                <w:color w:val="auto"/>
              </w:rPr>
              <w:t xml:space="preserve">                      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29"/>
              <w:spacing w:beforeAutospacing="0" w:afterAutospacing="0" w:line="0" w:lineRule="atLeast"/>
              <w:rPr>
                <w:color w:val="auto"/>
              </w:rPr>
            </w:pPr>
            <w:r>
              <w:rPr>
                <w:rFonts w:hint="eastAsia" w:ascii="宋体" w:hAnsi="宋体" w:eastAsia="宋体" w:cs="宋体"/>
                <w:color w:val="auto"/>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pStyle w:val="729"/>
              <w:jc w:val="center"/>
              <w:spacing w:beforeAutospacing="0" w:afterAutospacing="0" w:line="300" w:lineRule="auto"/>
              <w:rPr>
                <w:color w:val="auto"/>
              </w:rPr>
            </w:pPr>
            <w:r>
              <w:rPr>
                <w:rFonts w:hint="eastAsia" w:ascii="宋体" w:hAnsi="宋体" w:eastAsia="宋体" w:cs="宋体"/>
                <w:color w:val="auto"/>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729"/>
              <w:spacing w:beforeAutospacing="0" w:afterAutospacing="0" w:line="0" w:lineRule="atLeast"/>
              <w:rPr>
                <w:color w:val="auto"/>
              </w:rPr>
            </w:pPr>
            <w:r>
              <w:rPr>
                <w:color w:val="auto"/>
              </w:rPr>
              <w:t xml:space="preserve"> </w:t>
            </w:r>
            <w:r/>
          </w:p>
        </w:tc>
      </w:tr>
    </w:tbl>
    <w:p>
      <w:pPr>
        <w:pStyle w:val="729"/>
        <w:jc w:val="both"/>
        <w:spacing w:beforeAutospacing="0" w:afterAutospacing="0"/>
        <w:rPr>
          <w:color w:val="auto"/>
        </w:rPr>
      </w:pPr>
      <w:r>
        <w:rPr>
          <w:color w:val="auto"/>
        </w:rPr>
        <w:t xml:space="preserve"> </w:t>
      </w:r>
      <w:r/>
    </w:p>
    <w:p>
      <w:pPr>
        <w:pStyle w:val="729"/>
        <w:ind w:firstLine="480"/>
        <w:jc w:val="right"/>
        <w:spacing w:beforeAutospacing="0" w:afterAutospacing="0"/>
        <w:rPr>
          <w:color w:val="auto"/>
        </w:rPr>
      </w:pPr>
      <w:r>
        <w:rPr>
          <w:rFonts w:hint="eastAsia" w:ascii="宋体" w:hAnsi="宋体" w:eastAsia="宋体" w:cs="宋体"/>
          <w:color w:val="auto"/>
        </w:rPr>
        <w:t xml:space="preserve">                                              日期：  </w:t>
      </w:r>
      <w:r>
        <w:rPr>
          <w:rFonts w:hint="eastAsia" w:ascii="宋体" w:hAnsi="宋体" w:eastAsia="宋体" w:cs="宋体"/>
          <w:color w:val="auto"/>
          <w:u w:val="single"/>
        </w:rPr>
        <w:t xml:space="preserve">     </w:t>
      </w:r>
      <w:r>
        <w:rPr>
          <w:rFonts w:hint="eastAsia" w:ascii="宋体" w:hAnsi="宋体" w:eastAsia="宋体" w:cs="宋体"/>
          <w:color w:val="auto"/>
        </w:rPr>
        <w:t xml:space="preserve">年</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日</w:t>
      </w:r>
      <w:r/>
    </w:p>
    <w:p>
      <w:pPr>
        <w:jc w:val="right"/>
        <w:rPr>
          <w:rFonts w:ascii="仿宋" w:eastAsia="仿宋"/>
          <w:color w:val="auto"/>
          <w:sz w:val="24"/>
          <w:highlight w:val="none"/>
        </w:rPr>
        <w:outlineLvl w:val="1"/>
      </w:pPr>
      <w:r>
        <w:rPr>
          <w:rFonts w:ascii="仿宋" w:eastAsia="仿宋"/>
          <w:color w:val="auto"/>
          <w:sz w:val="24"/>
          <w:highlight w:val="non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黑体" w:eastAsia="黑体"/>
          <w:i/>
          <w:color w:val="auto"/>
          <w:sz w:val="32"/>
          <w:szCs w:val="32"/>
          <w:u w:val="single"/>
        </w:rPr>
        <w:br w:type="page" w:clear="all"/>
      </w:r>
      <w:r>
        <w:rPr>
          <w:rFonts w:hint="eastAsia" w:ascii="黑体" w:hAnsi="Times New Roman" w:eastAsia="黑体" w:cs="Times New Roman"/>
          <w:b/>
          <w:bCs/>
          <w:color w:val="auto"/>
          <w:sz w:val="32"/>
          <w:szCs w:val="32"/>
          <w:highlight w:val="none"/>
          <w:lang w:val="en-US" w:eastAsia="zh-CN"/>
        </w:rPr>
        <w:t xml:space="preserve">6.投标报价明细表（分包号：**）</w:t>
      </w:r>
      <w:r/>
    </w:p>
    <w:tbl>
      <w:tblPr>
        <w:tblStyle w:val="7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652"/>
        <w:gridCol w:w="1913"/>
        <w:gridCol w:w="2381"/>
        <w:gridCol w:w="1609"/>
        <w:gridCol w:w="1619"/>
      </w:tblGrid>
      <w:tr>
        <w:trPr>
          <w:cantSplit/>
          <w:jc w:val="center"/>
        </w:trPr>
        <w:tc>
          <w:tcPr>
            <w:tcW w:w="391" w:type="pct"/>
            <w:vAlign w:val="center"/>
            <w:textDirection w:val="lrTb"/>
            <w:noWrap w:val="false"/>
          </w:tcPr>
          <w:p>
            <w:pPr>
              <w:jc w:val="center"/>
              <w:spacing w:line="560" w:lineRule="exact"/>
              <w:rPr>
                <w:rFonts w:hint="eastAsia" w:ascii="宋体" w:hAnsi="宋体"/>
                <w:color w:val="auto"/>
                <w:sz w:val="24"/>
                <w:szCs w:val="24"/>
              </w:rPr>
            </w:pPr>
            <w:r>
              <w:rPr>
                <w:rFonts w:hint="eastAsia" w:ascii="宋体" w:hAnsi="宋体"/>
                <w:color w:val="auto"/>
                <w:sz w:val="24"/>
                <w:szCs w:val="24"/>
              </w:rPr>
              <w:t xml:space="preserve">序号</w:t>
            </w:r>
            <w:r/>
          </w:p>
        </w:tc>
        <w:tc>
          <w:tcPr>
            <w:tcW w:w="830" w:type="pct"/>
            <w:vAlign w:val="center"/>
            <w:textDirection w:val="lrTb"/>
            <w:noWrap w:val="false"/>
          </w:tcPr>
          <w:p>
            <w:pPr>
              <w:jc w:val="center"/>
              <w:spacing w:line="560" w:lineRule="exact"/>
              <w:rPr>
                <w:rFonts w:hint="eastAsia" w:ascii="宋体" w:hAnsi="宋体"/>
                <w:color w:val="auto"/>
                <w:sz w:val="24"/>
                <w:szCs w:val="24"/>
              </w:rPr>
            </w:pPr>
            <w:r>
              <w:rPr>
                <w:rFonts w:hint="eastAsia" w:ascii="宋体" w:hAnsi="宋体"/>
                <w:color w:val="auto"/>
                <w:sz w:val="24"/>
                <w:szCs w:val="24"/>
              </w:rPr>
              <w:t xml:space="preserve">货物名称</w:t>
            </w:r>
            <w:r/>
          </w:p>
        </w:tc>
        <w:tc>
          <w:tcPr>
            <w:tcW w:w="961" w:type="pct"/>
            <w:vAlign w:val="center"/>
            <w:textDirection w:val="lrTb"/>
            <w:noWrap w:val="false"/>
          </w:tcPr>
          <w:p>
            <w:pPr>
              <w:jc w:val="center"/>
              <w:spacing w:line="560" w:lineRule="exact"/>
              <w:rPr>
                <w:rFonts w:hint="eastAsia" w:ascii="宋体" w:hAnsi="宋体"/>
                <w:color w:val="auto"/>
                <w:sz w:val="24"/>
                <w:szCs w:val="24"/>
              </w:rPr>
            </w:pPr>
            <w:r>
              <w:rPr>
                <w:rFonts w:hint="eastAsia" w:ascii="宋体" w:hAnsi="宋体"/>
                <w:iCs/>
                <w:color w:val="auto"/>
                <w:sz w:val="24"/>
                <w:szCs w:val="24"/>
              </w:rPr>
              <w:t xml:space="preserve">所投货物品牌</w:t>
            </w:r>
            <w:r>
              <w:rPr>
                <w:rFonts w:hint="eastAsia" w:ascii="宋体" w:hAnsi="宋体"/>
                <w:iCs/>
                <w:color w:val="auto"/>
                <w:sz w:val="24"/>
                <w:szCs w:val="24"/>
                <w:lang w:eastAsia="zh-CN"/>
              </w:rPr>
              <w:t xml:space="preserve">（</w:t>
            </w:r>
            <w:r>
              <w:rPr>
                <w:rFonts w:hint="eastAsia" w:ascii="宋体" w:hAnsi="宋体"/>
                <w:iCs/>
                <w:color w:val="auto"/>
                <w:sz w:val="24"/>
                <w:szCs w:val="24"/>
              </w:rPr>
              <w:t xml:space="preserve">或生产企业</w:t>
            </w:r>
            <w:r>
              <w:rPr>
                <w:rFonts w:hint="eastAsia" w:ascii="宋体" w:hAnsi="宋体"/>
                <w:iCs/>
                <w:color w:val="auto"/>
                <w:sz w:val="24"/>
                <w:szCs w:val="24"/>
                <w:lang w:eastAsia="zh-CN"/>
              </w:rPr>
              <w:t xml:space="preserve">）</w:t>
            </w:r>
            <w:r>
              <w:rPr>
                <w:rFonts w:hint="eastAsia" w:ascii="宋体" w:hAnsi="宋体"/>
                <w:iCs/>
                <w:color w:val="auto"/>
                <w:sz w:val="24"/>
                <w:szCs w:val="24"/>
              </w:rPr>
              <w:t xml:space="preserve">及型号</w:t>
            </w:r>
            <w:r/>
          </w:p>
        </w:tc>
        <w:tc>
          <w:tcPr>
            <w:tcW w:w="1196" w:type="pct"/>
            <w:vAlign w:val="center"/>
            <w:textDirection w:val="lrTb"/>
            <w:noWrap w:val="false"/>
          </w:tcPr>
          <w:p>
            <w:pPr>
              <w:jc w:val="center"/>
              <w:spacing w:line="560" w:lineRule="exact"/>
              <w:rPr>
                <w:rFonts w:hint="eastAsia" w:ascii="宋体" w:hAnsi="宋体"/>
                <w:color w:val="auto"/>
                <w:sz w:val="24"/>
                <w:szCs w:val="24"/>
              </w:rPr>
            </w:pPr>
            <w:r>
              <w:rPr>
                <w:rFonts w:hint="eastAsia" w:ascii="宋体" w:hAnsi="宋体"/>
                <w:color w:val="auto"/>
                <w:sz w:val="24"/>
                <w:szCs w:val="24"/>
              </w:rPr>
              <w:t xml:space="preserve">数量</w:t>
            </w:r>
            <w:r/>
          </w:p>
        </w:tc>
        <w:tc>
          <w:tcPr>
            <w:tcW w:w="806" w:type="pct"/>
            <w:vAlign w:val="center"/>
            <w:textDirection w:val="lrTb"/>
            <w:noWrap w:val="false"/>
          </w:tcPr>
          <w:p>
            <w:pPr>
              <w:jc w:val="center"/>
              <w:spacing w:line="560" w:lineRule="exact"/>
              <w:rPr>
                <w:rFonts w:ascii="宋体" w:hAnsi="宋体"/>
                <w:color w:val="auto"/>
                <w:sz w:val="24"/>
                <w:szCs w:val="24"/>
              </w:rPr>
            </w:pPr>
            <w:r>
              <w:rPr>
                <w:rFonts w:hint="eastAsia" w:ascii="宋体" w:hAnsi="宋体"/>
                <w:color w:val="auto"/>
                <w:sz w:val="24"/>
                <w:szCs w:val="24"/>
              </w:rPr>
              <w:t xml:space="preserve">单价/元</w:t>
            </w:r>
            <w:r/>
          </w:p>
        </w:tc>
        <w:tc>
          <w:tcPr>
            <w:tcW w:w="813" w:type="pct"/>
            <w:vAlign w:val="center"/>
            <w:textDirection w:val="lrTb"/>
            <w:noWrap w:val="false"/>
          </w:tcPr>
          <w:p>
            <w:pPr>
              <w:jc w:val="center"/>
              <w:spacing w:line="560" w:lineRule="exact"/>
              <w:rPr>
                <w:rFonts w:hint="eastAsia" w:ascii="宋体" w:hAnsi="宋体"/>
                <w:color w:val="auto"/>
                <w:sz w:val="24"/>
                <w:szCs w:val="24"/>
              </w:rPr>
            </w:pPr>
            <w:r>
              <w:rPr>
                <w:rFonts w:hint="eastAsia" w:ascii="宋体" w:hAnsi="宋体"/>
                <w:color w:val="auto"/>
                <w:sz w:val="24"/>
                <w:szCs w:val="24"/>
              </w:rPr>
              <w:t xml:space="preserve">合价/元</w:t>
            </w:r>
            <w:r/>
          </w:p>
        </w:tc>
      </w:tr>
      <w:tr>
        <w:trPr>
          <w:cantSplit/>
          <w:jc w:val="center"/>
          <w:trHeight w:val="980"/>
        </w:trPr>
        <w:tc>
          <w:tcPr>
            <w:tcW w:w="391"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830"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961"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1196"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806"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813"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980"/>
        </w:trPr>
        <w:tc>
          <w:tcPr>
            <w:tcW w:w="391"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830"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961"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1196"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806"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813"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980"/>
        </w:trPr>
        <w:tc>
          <w:tcPr>
            <w:tcW w:w="391"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830"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961"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1196"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806"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c>
          <w:tcPr>
            <w:tcW w:w="813"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r>
      <w:tr>
        <w:trPr>
          <w:cantSplit/>
          <w:jc w:val="center"/>
          <w:trHeight w:val="615"/>
        </w:trPr>
        <w:tc>
          <w:tcPr>
            <w:gridSpan w:val="5"/>
            <w:tcW w:w="4186" w:type="pct"/>
            <w:vAlign w:val="center"/>
            <w:textDirection w:val="lrTb"/>
            <w:noWrap w:val="false"/>
          </w:tcPr>
          <w:p>
            <w:pPr>
              <w:jc w:val="center"/>
              <w:spacing w:line="560" w:lineRule="exact"/>
              <w:rPr>
                <w:rFonts w:hint="eastAsia" w:ascii="宋体" w:hAnsi="宋体"/>
                <w:color w:val="auto"/>
                <w:sz w:val="24"/>
                <w:szCs w:val="24"/>
              </w:rPr>
            </w:pPr>
            <w:r>
              <w:rPr>
                <w:rFonts w:hint="eastAsia" w:ascii="宋体" w:hAnsi="宋体"/>
                <w:color w:val="auto"/>
                <w:sz w:val="24"/>
                <w:szCs w:val="24"/>
              </w:rPr>
              <w:t xml:space="preserve">总价/元</w:t>
            </w:r>
            <w:r/>
          </w:p>
        </w:tc>
        <w:tc>
          <w:tcPr>
            <w:tcW w:w="813" w:type="pct"/>
            <w:vAlign w:val="center"/>
            <w:textDirection w:val="lrTb"/>
            <w:noWrap w:val="false"/>
          </w:tcPr>
          <w:p>
            <w:pPr>
              <w:spacing w:line="560" w:lineRule="exact"/>
              <w:rPr>
                <w:rFonts w:hint="eastAsia" w:ascii="宋体" w:hAnsi="宋体"/>
                <w:color w:val="auto"/>
                <w:sz w:val="24"/>
                <w:szCs w:val="24"/>
              </w:rPr>
            </w:pPr>
            <w:r>
              <w:rPr>
                <w:rFonts w:hint="eastAsia" w:ascii="宋体" w:hAnsi="宋体"/>
                <w:color w:val="auto"/>
                <w:sz w:val="24"/>
                <w:szCs w:val="24"/>
              </w:rPr>
            </w:r>
            <w:r/>
          </w:p>
        </w:tc>
      </w:tr>
    </w:tbl>
    <w:p>
      <w:pPr>
        <w:ind w:firstLine="420"/>
        <w:spacing w:line="600" w:lineRule="exact"/>
        <w:rPr>
          <w:rFonts w:hint="eastAsia" w:ascii="宋体" w:hAnsi="宋体" w:eastAsia="宋体" w:cs="宋体"/>
          <w:color w:val="auto"/>
          <w:sz w:val="24"/>
          <w:lang w:val="en-US" w:eastAsia="zh-CN"/>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1.投标报价应是招标范围内全部工作内容的价格体现，投标报价明细表中的报价应包括全部工作内容的价格体现，以及为完成上述内容所必须的人工费、材料费、机械及仪器费、检测费、运输费、保险费、技术服务费、验收费、代理服务费、投标费用、管理费、税金、利润、各类风险费、不可预见费和文件规定的其他各项应有的全部费用（综合报价）。</w:t>
      </w:r>
      <w:r/>
    </w:p>
    <w:p>
      <w:pPr>
        <w:ind w:firstLine="420"/>
        <w:spacing w:line="60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此表可以根据需要自行增减行数。</w:t>
      </w:r>
      <w:r/>
    </w:p>
    <w:p>
      <w:pPr>
        <w:rPr>
          <w:rFonts w:hint="eastAsia" w:ascii="宋体" w:hAnsi="宋体" w:eastAsia="宋体" w:cs="宋体"/>
          <w:color w:val="auto"/>
          <w:sz w:val="24"/>
        </w:rPr>
      </w:pPr>
      <w:r>
        <w:rPr>
          <w:rFonts w:hint="eastAsia" w:ascii="宋体" w:hAnsi="宋体" w:eastAsia="宋体" w:cs="宋体"/>
          <w:color w:val="auto"/>
          <w:sz w:val="24"/>
        </w:rPr>
        <w:t xml:space="preserve"> </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w:t>
      </w:r>
      <w:r>
        <w:rPr>
          <w:rFonts w:hint="eastAsia" w:ascii="宋体" w:hAnsi="宋体" w:eastAsia="宋体" w:cs="宋体"/>
          <w:color w:val="auto"/>
          <w:sz w:val="24"/>
          <w:lang w:val="en-US" w:eastAsia="zh-CN"/>
        </w:rPr>
        <w:t xml:space="preserve">被授权人（</w:t>
      </w:r>
      <w:r>
        <w:rPr>
          <w:rFonts w:hint="eastAsia" w:ascii="宋体" w:hAnsi="宋体" w:eastAsia="宋体" w:cs="宋体"/>
          <w:color w:val="auto"/>
          <w:sz w:val="24"/>
        </w:rPr>
        <w:t xml:space="preserve">签字</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w:t>
      </w:r>
      <w:r/>
    </w:p>
    <w:p>
      <w:pPr>
        <w:ind w:firstLine="1680"/>
        <w:spacing w:line="6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3360"/>
        <w:spacing w:line="6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rPr>
        <w:t xml:space="preserve">：</w:t>
      </w:r>
      <w:r/>
    </w:p>
    <w:p>
      <w:pPr>
        <w:ind w:firstLine="1200"/>
        <w:spacing w:line="600" w:lineRule="exact"/>
        <w:rPr>
          <w:rFonts w:hint="eastAsia" w:ascii="宋体" w:hAnsi="宋体" w:eastAsia="宋体" w:cs="宋体"/>
          <w:color w:val="auto"/>
          <w:sz w:val="24"/>
        </w:rPr>
      </w:pPr>
      <w:r>
        <w:rPr>
          <w:rFonts w:hint="eastAsia" w:ascii="宋体" w:hAnsi="宋体" w:eastAsia="宋体" w:cs="宋体"/>
          <w:color w:val="auto"/>
          <w:sz w:val="24"/>
        </w:rPr>
        <w:t xml:space="preserve">      </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742"/>
        <w:ind w:firstLine="0"/>
        <w:spacing w:before="0" w:after="0" w:line="420" w:lineRule="exact"/>
        <w:rPr>
          <w:rFonts w:hint="default" w:ascii="宋体" w:hAnsi="宋体" w:eastAsia="宋体"/>
          <w:color w:val="auto"/>
          <w:szCs w:val="21"/>
          <w:u w:val="single"/>
          <w:lang w:val="en-US" w:eastAsia="zh-CN"/>
        </w:rPr>
      </w:pPr>
      <w:r>
        <w:rPr>
          <w:rFonts w:hint="eastAsia" w:ascii="宋体" w:hAnsi="宋体"/>
          <w:color w:val="auto"/>
          <w:szCs w:val="21"/>
        </w:rPr>
        <w:t xml:space="preserve">致：</w:t>
      </w:r>
      <w:r>
        <w:rPr>
          <w:rFonts w:hint="eastAsia" w:ascii="宋体" w:hAnsi="宋体"/>
          <w:color w:val="auto"/>
          <w:szCs w:val="21"/>
          <w:u w:val="single"/>
          <w:lang w:val="en-US" w:eastAsia="zh-CN"/>
        </w:rPr>
        <w:t xml:space="preserve">                </w:t>
      </w:r>
      <w:r/>
    </w:p>
    <w:p>
      <w:pPr>
        <w:pStyle w:val="742"/>
        <w:spacing w:before="0" w:after="0" w:line="420" w:lineRule="exact"/>
        <w:rPr>
          <w:rFonts w:hint="eastAsia" w:ascii="宋体" w:hAnsi="宋体"/>
          <w:color w:val="auto"/>
          <w:szCs w:val="21"/>
        </w:rPr>
      </w:pPr>
      <w:r>
        <w:rPr>
          <w:rFonts w:hint="eastAsia" w:ascii="宋体" w:hAnsi="宋体"/>
          <w:color w:val="auto"/>
          <w:szCs w:val="21"/>
        </w:rPr>
      </w:r>
      <w:r/>
    </w:p>
    <w:p>
      <w:pPr>
        <w:pStyle w:val="742"/>
        <w:spacing w:before="0" w:after="0" w:line="420" w:lineRule="exact"/>
        <w:rPr>
          <w:rFonts w:hint="eastAsia" w:ascii="宋体" w:hAnsi="宋体"/>
          <w:color w:val="auto"/>
          <w:szCs w:val="21"/>
        </w:rPr>
      </w:pPr>
      <w:r>
        <w:rPr>
          <w:rFonts w:hint="eastAsia" w:ascii="宋体" w:hAnsi="宋体"/>
          <w:color w:val="auto"/>
          <w:szCs w:val="21"/>
        </w:rPr>
        <w:t xml:space="preserve">根据贵方的JSZC-</w:t>
      </w:r>
      <w:r>
        <w:rPr>
          <w:rFonts w:ascii="宋体" w:hAnsi="宋体"/>
          <w:color w:val="auto"/>
          <w:szCs w:val="21"/>
        </w:rPr>
        <w:t xml:space="preserve">320000-***</w:t>
      </w:r>
      <w:r>
        <w:rPr>
          <w:rFonts w:hint="eastAsia" w:ascii="宋体" w:hAnsi="宋体"/>
          <w:color w:val="auto"/>
          <w:szCs w:val="21"/>
        </w:rPr>
        <w:t xml:space="preserve">号招标文件，正式授权下述签字人______(姓名)代表我方______________（投标人的名称），全权处理本次项目投标的有关事宜。</w:t>
      </w:r>
      <w:r/>
    </w:p>
    <w:p>
      <w:pPr>
        <w:pStyle w:val="742"/>
        <w:spacing w:before="0" w:after="0" w:line="420" w:lineRule="exact"/>
        <w:rPr>
          <w:rFonts w:hint="eastAsia" w:ascii="宋体" w:hAnsi="宋体"/>
          <w:color w:val="auto"/>
          <w:szCs w:val="21"/>
        </w:rPr>
      </w:pPr>
      <w:r>
        <w:rPr>
          <w:rFonts w:hint="eastAsia" w:ascii="宋体" w:hAnsi="宋体"/>
          <w:color w:val="auto"/>
          <w:szCs w:val="21"/>
        </w:rPr>
        <w:t xml:space="preserve">据此函，__________签字人兹宣布同意如下：</w:t>
      </w:r>
      <w:r/>
    </w:p>
    <w:p>
      <w:pPr>
        <w:pStyle w:val="742"/>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1.按招标文件规定的各项要求，向买方提供所需服务（包含与服务相关的货物）。</w:t>
      </w:r>
      <w:r/>
    </w:p>
    <w:p>
      <w:pPr>
        <w:pStyle w:val="742"/>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w:t>
      </w:r>
      <w:r>
        <w:rPr>
          <w:rFonts w:hint="eastAsia" w:ascii="宋体" w:hAnsi="宋体"/>
          <w:color w:val="auto"/>
          <w:szCs w:val="21"/>
          <w:lang w:val="en-US" w:eastAsia="zh-CN"/>
        </w:rPr>
        <w:t xml:space="preserve">货物</w:t>
      </w:r>
      <w:r>
        <w:rPr>
          <w:rFonts w:hint="eastAsia" w:ascii="宋体" w:hAnsi="宋体"/>
          <w:color w:val="auto"/>
          <w:szCs w:val="21"/>
        </w:rPr>
        <w:t xml:space="preserve">（包含与</w:t>
      </w:r>
      <w:r>
        <w:rPr>
          <w:rFonts w:hint="eastAsia" w:ascii="宋体" w:hAnsi="宋体"/>
          <w:color w:val="auto"/>
          <w:szCs w:val="21"/>
          <w:lang w:val="en-US" w:eastAsia="zh-CN"/>
        </w:rPr>
        <w:t xml:space="preserve">货物</w:t>
      </w:r>
      <w:r>
        <w:rPr>
          <w:rFonts w:hint="eastAsia" w:ascii="宋体" w:hAnsi="宋体"/>
          <w:color w:val="auto"/>
          <w:szCs w:val="21"/>
        </w:rPr>
        <w:t xml:space="preserve">相关的</w:t>
      </w:r>
      <w:r>
        <w:rPr>
          <w:rFonts w:hint="eastAsia" w:ascii="宋体" w:hAnsi="宋体"/>
          <w:color w:val="auto"/>
          <w:szCs w:val="21"/>
          <w:lang w:val="en-US" w:eastAsia="zh-CN"/>
        </w:rPr>
        <w:t xml:space="preserve">服务</w:t>
      </w:r>
      <w:r>
        <w:rPr>
          <w:rFonts w:hint="eastAsia" w:ascii="宋体" w:hAnsi="宋体"/>
          <w:color w:val="auto"/>
          <w:szCs w:val="21"/>
        </w:rPr>
        <w:t xml:space="preserve">）。</w:t>
      </w:r>
      <w:r/>
    </w:p>
    <w:p>
      <w:pPr>
        <w:pStyle w:val="742"/>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2.我们完全理解贵方不一定将合同授予最低报价的投标人。</w:t>
      </w:r>
      <w:r/>
    </w:p>
    <w:p>
      <w:pPr>
        <w:pStyle w:val="742"/>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3.我们已详细审核全部招标文件及其有效补充文件，我们知道必须放弃提出含糊不清或误解问题的权利。</w:t>
      </w:r>
      <w:r/>
    </w:p>
    <w:p>
      <w:pPr>
        <w:pStyle w:val="742"/>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4.我们同意从规定的开标日期起遵循本投标文件，并在规定的投标有效期期满之前均具有约束力。</w:t>
      </w:r>
      <w:r/>
    </w:p>
    <w:p>
      <w:pPr>
        <w:pStyle w:val="742"/>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5.同意向贵方提供贵方可能另外要求的与投标有关的任何证据或资料，并保证我方已提供和将要提供的文件是真实的、准确的。</w:t>
      </w:r>
      <w:r/>
    </w:p>
    <w:p>
      <w:pPr>
        <w:pStyle w:val="742"/>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6.一旦我方中标</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我方将根据招标文件的规定，严格履行合同的责任和义务</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并保证在招标文件规定的时间完成项目，交付买方验收、使用。</w:t>
      </w:r>
      <w:r/>
    </w:p>
    <w:p>
      <w:pPr>
        <w:pStyle w:val="742"/>
        <w:spacing w:before="0" w:after="0" w:line="420" w:lineRule="exact"/>
        <w:rPr>
          <w:rFonts w:hint="eastAsia" w:ascii="宋体" w:hAnsi="宋体" w:eastAsia="宋体" w:cs="宋体"/>
          <w:color w:val="auto"/>
          <w:szCs w:val="21"/>
        </w:rPr>
      </w:pPr>
      <w:r>
        <w:rPr>
          <w:rFonts w:hint="eastAsia" w:ascii="宋体" w:hAnsi="宋体" w:eastAsia="宋体" w:cs="宋体"/>
          <w:color w:val="auto"/>
          <w:szCs w:val="21"/>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80" w:lineRule="exact"/>
        <w:widowControl w:val="off"/>
        <w:rPr>
          <w:rFonts w:hint="eastAsia" w:ascii="仿宋" w:eastAsia="仿宋"/>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 w:eastAsia="仿宋"/>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8.技术要求响应及偏离表（分包号：**）</w:t>
      </w:r>
      <w:r/>
    </w:p>
    <w:tbl>
      <w:tblPr>
        <w:tblStyle w:val="719"/>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8"/>
        <w:gridCol w:w="3543"/>
        <w:gridCol w:w="3053"/>
        <w:gridCol w:w="1458"/>
        <w:gridCol w:w="129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证明</w:t>
            </w:r>
            <w:r/>
          </w:p>
          <w:p>
            <w:pPr>
              <w:pStyle w:val="729"/>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bl>
    <w:p>
      <w:pPr>
        <w:pStyle w:val="729"/>
        <w:jc w:val="both"/>
        <w:spacing w:beforeAutospacing="0" w:afterAutospacing="0"/>
        <w:rPr>
          <w:color w:val="auto"/>
        </w:rPr>
      </w:pPr>
      <w:r>
        <w:rPr>
          <w:rFonts w:hint="eastAsia" w:ascii="宋体" w:hAnsi="宋体" w:eastAsia="宋体" w:cs="宋体"/>
          <w:color w:val="auto"/>
        </w:rPr>
        <w:t xml:space="preserve">注： 行数不够，可自行添加。</w:t>
      </w:r>
      <w:r/>
    </w:p>
    <w:p>
      <w:pPr>
        <w:pStyle w:val="729"/>
        <w:jc w:val="center"/>
        <w:spacing w:beforeAutospacing="0" w:afterAutospacing="0"/>
        <w:rPr>
          <w:color w:val="auto"/>
        </w:rPr>
      </w:pPr>
      <w:r>
        <w:rPr>
          <w:color w:val="auto"/>
        </w:rPr>
        <w:t xml:space="preserve"> </w:t>
      </w:r>
      <w:r/>
    </w:p>
    <w:p>
      <w:pPr>
        <w:pStyle w:val="729"/>
        <w:jc w:val="center"/>
        <w:spacing w:beforeAutospacing="0" w:afterAutospacing="0"/>
        <w:rPr>
          <w:color w:val="auto"/>
        </w:rPr>
      </w:pPr>
      <w:r>
        <w:rPr>
          <w:color w:val="auto"/>
        </w:rPr>
        <w:t xml:space="preserve"> </w:t>
      </w:r>
      <w:r/>
    </w:p>
    <w:p>
      <w:pPr>
        <w:pStyle w:val="729"/>
        <w:jc w:val="center"/>
        <w:spacing w:beforeAutospacing="0" w:afterAutospacing="0"/>
        <w:rPr>
          <w:color w:val="auto"/>
        </w:rPr>
      </w:pPr>
      <w:r>
        <w:rPr>
          <w:color w:val="auto"/>
        </w:rPr>
        <w:t xml:space="preserve"> </w:t>
      </w:r>
      <w:r/>
    </w:p>
    <w:p>
      <w:pPr>
        <w:pStyle w:val="729"/>
        <w:jc w:val="center"/>
        <w:spacing w:beforeAutospacing="0" w:afterAutospacing="0"/>
        <w:rPr>
          <w:color w:val="auto"/>
        </w:rPr>
      </w:pPr>
      <w:r>
        <w:rPr>
          <w:color w:val="auto"/>
        </w:rPr>
        <w:t xml:space="preserve"> </w:t>
      </w:r>
      <w:r/>
    </w:p>
    <w:p>
      <w:pPr>
        <w:pStyle w:val="729"/>
        <w:jc w:val="both"/>
        <w:spacing w:beforeAutospacing="0" w:afterAutospacing="0"/>
        <w:rPr>
          <w:color w:val="auto"/>
        </w:rPr>
      </w:pPr>
      <w:r>
        <w:rPr>
          <w:color w:val="auto"/>
        </w:rPr>
        <w:t xml:space="preserve"> </w:t>
      </w:r>
      <w:r/>
    </w:p>
    <w:p>
      <w:pPr>
        <w:pStyle w:val="729"/>
        <w:jc w:val="both"/>
        <w:spacing w:beforeAutospacing="0" w:afterAutospacing="0"/>
        <w:rPr>
          <w:color w:val="auto"/>
        </w:rPr>
      </w:pPr>
      <w:r>
        <w:rPr>
          <w:color w:val="auto"/>
        </w:rPr>
        <w:t xml:space="preserve"> </w:t>
      </w:r>
      <w:r/>
    </w:p>
    <w:p>
      <w:pPr>
        <w:pStyle w:val="729"/>
        <w:jc w:val="both"/>
        <w:spacing w:beforeAutospacing="0" w:afterAutospacing="0"/>
        <w:rPr>
          <w:color w:val="auto"/>
        </w:rPr>
      </w:pPr>
      <w:r>
        <w:rPr>
          <w:color w:val="auto"/>
        </w:rPr>
        <w:t xml:space="preserve"> </w:t>
      </w:r>
      <w:r/>
    </w:p>
    <w:p>
      <w:pPr>
        <w:pStyle w:val="729"/>
        <w:jc w:val="both"/>
        <w:spacing w:beforeAutospacing="0" w:afterAutospacing="0"/>
        <w:rPr>
          <w:color w:val="auto"/>
        </w:rPr>
      </w:pPr>
      <w:r>
        <w:rPr>
          <w:color w:val="auto"/>
        </w:rPr>
        <w:t xml:space="preserve"> </w:t>
      </w:r>
      <w:r/>
    </w:p>
    <w:p>
      <w:pPr>
        <w:pStyle w:val="729"/>
        <w:jc w:val="both"/>
        <w:spacing w:beforeAutospacing="0" w:afterAutospacing="0"/>
        <w:rPr>
          <w:color w:val="auto"/>
        </w:rPr>
      </w:pPr>
      <w:r>
        <w:rPr>
          <w:color w:val="auto"/>
        </w:rPr>
        <w:t xml:space="preserve"> </w:t>
      </w:r>
      <w:r/>
    </w:p>
    <w:p>
      <w:pPr>
        <w:pStyle w:val="729"/>
        <w:jc w:val="both"/>
        <w:spacing w:beforeAutospacing="0" w:afterAutospacing="0"/>
        <w:rPr>
          <w:color w:val="auto"/>
        </w:rPr>
      </w:pPr>
      <w:r>
        <w:rPr>
          <w:color w:val="auto"/>
        </w:rPr>
      </w:r>
      <w:r/>
    </w:p>
    <w:p>
      <w:pPr>
        <w:pStyle w:val="729"/>
        <w:jc w:val="both"/>
        <w:spacing w:beforeAutospacing="0" w:afterAutospacing="0"/>
        <w:rPr>
          <w:color w:val="auto"/>
        </w:rPr>
      </w:pPr>
      <w:r>
        <w:rPr>
          <w:color w:val="auto"/>
        </w:rPr>
      </w:r>
      <w:r/>
    </w:p>
    <w:p>
      <w:pPr>
        <w:pStyle w:val="729"/>
        <w:jc w:val="both"/>
        <w:spacing w:beforeAutospacing="0" w:afterAutospacing="0"/>
        <w:rPr>
          <w:color w:val="auto"/>
        </w:rPr>
      </w:pPr>
      <w:r>
        <w:rPr>
          <w:color w:val="auto"/>
        </w:rPr>
      </w:r>
      <w:r/>
    </w:p>
    <w:p>
      <w:pPr>
        <w:pStyle w:val="729"/>
        <w:jc w:val="both"/>
        <w:spacing w:beforeAutospacing="0" w:afterAutospacing="0"/>
        <w:rPr>
          <w:color w:val="auto"/>
        </w:rPr>
      </w:pPr>
      <w:r>
        <w:rPr>
          <w:color w:val="auto"/>
        </w:rPr>
      </w:r>
      <w:r/>
    </w:p>
    <w:p>
      <w:pPr>
        <w:pStyle w:val="729"/>
        <w:jc w:val="both"/>
        <w:spacing w:beforeAutospacing="0" w:afterAutospacing="0"/>
        <w:rPr>
          <w:color w:val="auto"/>
        </w:rPr>
      </w:pPr>
      <w:r>
        <w:rPr>
          <w:color w:val="auto"/>
        </w:rPr>
      </w:r>
      <w:r/>
    </w:p>
    <w:p>
      <w:pPr>
        <w:pStyle w:val="729"/>
        <w:jc w:val="both"/>
        <w:spacing w:beforeAutospacing="0" w:afterAutospacing="0"/>
        <w:rPr>
          <w:color w:val="auto"/>
        </w:rPr>
      </w:pPr>
      <w:r>
        <w:rPr>
          <w:color w:val="auto"/>
        </w:rPr>
      </w:r>
      <w:r/>
    </w:p>
    <w:p>
      <w:pPr>
        <w:pStyle w:val="729"/>
        <w:jc w:val="both"/>
        <w:spacing w:beforeAutospacing="0" w:afterAutospacing="0"/>
        <w:rPr>
          <w:color w:val="auto"/>
        </w:rPr>
      </w:pPr>
      <w:r>
        <w:rPr>
          <w:color w:val="auto"/>
        </w:rPr>
      </w:r>
      <w:r/>
    </w:p>
    <w:p>
      <w:pPr>
        <w:pStyle w:val="729"/>
        <w:jc w:val="both"/>
        <w:spacing w:beforeAutospacing="0" w:afterAutospacing="0"/>
        <w:rPr>
          <w:color w:val="auto"/>
        </w:rPr>
      </w:pPr>
      <w:r>
        <w:rPr>
          <w:color w:val="auto"/>
        </w:rPr>
      </w:r>
      <w:r/>
    </w:p>
    <w:p>
      <w:pPr>
        <w:pStyle w:val="729"/>
        <w:jc w:val="both"/>
        <w:spacing w:beforeAutospacing="0" w:afterAutospacing="0"/>
        <w:rPr>
          <w:color w:val="auto"/>
        </w:rPr>
      </w:pPr>
      <w:r>
        <w:rPr>
          <w:color w:val="auto"/>
        </w:rPr>
      </w:r>
      <w:r/>
    </w:p>
    <w:p>
      <w:pPr>
        <w:pStyle w:val="729"/>
        <w:jc w:val="both"/>
        <w:spacing w:beforeAutospacing="0" w:afterAutospacing="0"/>
        <w:rPr>
          <w:color w:val="auto"/>
        </w:rPr>
      </w:pPr>
      <w:r>
        <w:rPr>
          <w:color w:val="auto"/>
        </w:rPr>
      </w:r>
      <w:r/>
    </w:p>
    <w:p>
      <w:pPr>
        <w:pStyle w:val="729"/>
        <w:jc w:val="both"/>
        <w:spacing w:beforeAutospacing="0" w:afterAutospacing="0"/>
        <w:rPr>
          <w:color w:val="auto"/>
        </w:rPr>
      </w:pPr>
      <w:r>
        <w:rPr>
          <w:color w:val="auto"/>
        </w:rPr>
        <w:t xml:space="preserve"> </w:t>
      </w:r>
      <w:r/>
    </w:p>
    <w:p>
      <w:pPr>
        <w:pStyle w:val="729"/>
        <w:jc w:val="both"/>
        <w:spacing w:beforeAutospacing="0" w:afterAutospacing="0"/>
        <w:rPr>
          <w:color w:val="auto"/>
        </w:rPr>
      </w:pPr>
      <w:r>
        <w:rPr>
          <w:color w:val="auto"/>
        </w:rPr>
        <w:t xml:space="preserve"> </w:t>
      </w:r>
      <w:r/>
    </w:p>
    <w:p>
      <w:pPr>
        <w:pStyle w:val="729"/>
        <w:jc w:val="both"/>
        <w:spacing w:beforeAutospacing="0" w:afterAutospacing="0"/>
        <w:rPr>
          <w:color w:val="auto"/>
        </w:rPr>
      </w:pPr>
      <w:r>
        <w:rPr>
          <w:color w:val="auto"/>
        </w:rPr>
        <w:t xml:space="preserve"> </w:t>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9.商务要求响应及偏离表（分包号：**）</w:t>
      </w:r>
      <w:r/>
    </w:p>
    <w:tbl>
      <w:tblPr>
        <w:tblStyle w:val="719"/>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8"/>
        <w:gridCol w:w="3543"/>
        <w:gridCol w:w="3053"/>
        <w:gridCol w:w="1458"/>
        <w:gridCol w:w="129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bookmarkStart w:id="211" w:name="_Hlt26782999"/>
            <w:r/>
            <w:bookmarkStart w:id="212" w:name="_Hlt24879081"/>
            <w:r/>
            <w:bookmarkStart w:id="213" w:name="_Hlt26955064"/>
            <w:r/>
            <w:bookmarkStart w:id="214" w:name="_Hlt26955056"/>
            <w:r/>
            <w:bookmarkStart w:id="215" w:name="_Hlt26671343"/>
            <w:r/>
            <w:bookmarkStart w:id="216" w:name="_Hlt26580838"/>
            <w:r/>
            <w:bookmarkStart w:id="217" w:name="_Hlt26671372"/>
            <w:r/>
            <w:bookmarkStart w:id="218" w:name="_Hlt26609391"/>
            <w:r>
              <w:rPr>
                <w:rFonts w:hint="eastAsia" w:ascii="宋体" w:hAnsi="宋体" w:eastAsia="宋体" w:cs="宋体"/>
                <w:color w:val="auto"/>
              </w:rPr>
              <w:t xml:space="preserve">序号</w:t>
            </w:r>
            <w:bookmarkEnd w:id="211"/>
            <w:bookmarkEnd w:id="212"/>
            <w:bookmarkEnd w:id="213"/>
            <w:bookmarkEnd w:id="214"/>
            <w:bookmarkEnd w:id="215"/>
            <w:bookmarkEnd w:id="216"/>
            <w:bookmarkEnd w:id="217"/>
            <w:bookmarkEnd w:id="218"/>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证明</w:t>
            </w:r>
            <w:r/>
          </w:p>
          <w:p>
            <w:pPr>
              <w:pStyle w:val="729"/>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29"/>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29"/>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pStyle w:val="729"/>
              <w:jc w:val="center"/>
              <w:spacing w:beforeAutospacing="0" w:afterAutospacing="0"/>
              <w:rPr>
                <w:color w:val="auto"/>
              </w:rPr>
            </w:pPr>
            <w:r>
              <w:rPr>
                <w:color w:val="auto"/>
              </w:rPr>
              <w:t xml:space="preserve"> </w:t>
            </w:r>
            <w:r/>
          </w:p>
        </w:tc>
      </w:tr>
    </w:tbl>
    <w:p>
      <w:pPr>
        <w:pStyle w:val="729"/>
        <w:jc w:val="both"/>
        <w:spacing w:beforeAutospacing="0" w:afterAutospacing="0"/>
        <w:rPr>
          <w:color w:val="auto"/>
        </w:rPr>
      </w:pPr>
      <w:r>
        <w:rPr>
          <w:rFonts w:hint="eastAsia" w:ascii="宋体" w:hAnsi="宋体" w:eastAsia="宋体" w:cs="宋体"/>
          <w:color w:val="auto"/>
        </w:rPr>
        <w:t xml:space="preserve">注： 行数不够，可自行添加。</w:t>
      </w:r>
      <w:r/>
    </w:p>
    <w:p>
      <w:pPr>
        <w:pStyle w:val="729"/>
        <w:jc w:val="both"/>
        <w:spacing w:beforeAutospacing="0" w:afterAutospacing="0" w:line="480" w:lineRule="auto"/>
        <w:rPr>
          <w:color w:val="auto"/>
        </w:rPr>
      </w:pPr>
      <w:r>
        <w:rPr>
          <w:color w:val="auto"/>
        </w:rPr>
        <w:t xml:space="preserve"> </w:t>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10.服  务  承  诺（分包号：**）</w:t>
      </w:r>
      <w:r/>
    </w:p>
    <w:p>
      <w:pPr>
        <w:rPr>
          <w:rFonts w:hint="eastAsia" w:ascii="仿宋" w:eastAsia="仿宋"/>
          <w:color w:val="auto"/>
          <w:sz w:val="24"/>
          <w:highlight w:val="none"/>
        </w:rPr>
      </w:pPr>
      <w:r>
        <w:rPr>
          <w:rFonts w:hint="eastAsia" w:ascii="仿宋" w:eastAsia="仿宋"/>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（1）按照招标文件的要求，我方将在合同履行期限</w:t>
      </w:r>
      <w:r>
        <w:rPr>
          <w:rFonts w:hint="eastAsia" w:asciiTheme="minorEastAsia" w:hAnsi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lang w:val="zh-CN" w:eastAsia="zh-CN"/>
        </w:rPr>
        <w:t xml:space="preserve">按照要求及时完成各阶段工作</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（2）若我方中标，我方将成立负责实施本项目的专项工作小组，明确专人负责本项目的实施；</w:t>
      </w:r>
      <w:r/>
    </w:p>
    <w:p>
      <w:pPr>
        <w:ind w:firstLine="460"/>
        <w:spacing w:line="46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lang w:eastAsia="zh-CN"/>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center"/>
        <w:spacing w:line="460" w:lineRule="exact"/>
        <w:rPr>
          <w:rFonts w:ascii="黑体" w:hAnsi="黑体" w:eastAsia="黑体"/>
          <w:b/>
          <w:color w:val="auto"/>
          <w:sz w:val="32"/>
          <w:szCs w:val="32"/>
        </w:rPr>
      </w:pPr>
      <w:r>
        <w:rPr>
          <w:rFonts w:ascii="黑体" w:hAnsi="黑体" w:eastAsia="黑体"/>
          <w:b/>
          <w:color w:val="auto"/>
          <w:sz w:val="32"/>
          <w:szCs w:val="32"/>
        </w:rPr>
      </w:r>
      <w:r/>
    </w:p>
    <w:p>
      <w:pPr>
        <w:pStyle w:val="729"/>
        <w:ind w:firstLine="321"/>
        <w:jc w:val="center"/>
        <w:spacing w:beforeAutospacing="0" w:afterAutospacing="0" w:line="0" w:lineRule="atLeast"/>
        <w:rPr>
          <w:color w:val="auto"/>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10.</w:t>
      </w:r>
      <w:r>
        <w:rPr>
          <w:rFonts w:hint="eastAsia" w:ascii="黑体" w:hAnsi="宋体" w:eastAsia="黑体" w:cs="黑体"/>
          <w:b/>
          <w:color w:val="auto"/>
          <w:sz w:val="32"/>
          <w:szCs w:val="32"/>
        </w:rPr>
        <w:t xml:space="preserve">小微企业声明函（货物）（分包号：**）</w:t>
      </w:r>
      <w:r/>
    </w:p>
    <w:p>
      <w:pPr>
        <w:pStyle w:val="729"/>
        <w:ind w:firstLine="360"/>
        <w:jc w:val="both"/>
        <w:spacing w:beforeAutospacing="0" w:afterAutospacing="0" w:line="0" w:lineRule="atLeast"/>
        <w:rPr>
          <w:color w:val="auto"/>
        </w:rPr>
      </w:pPr>
      <w:r>
        <w:rPr>
          <w:rFonts w:hint="eastAsia" w:ascii="宋体" w:hAnsi="宋体" w:eastAsia="宋体" w:cs="宋体"/>
          <w:color w:val="auto"/>
        </w:rPr>
        <w:t xml:space="preserve">本公司（联合体）郑重声明，根据《政府采购促进中小企业发展管理办法》(财库[2020]46号)的规定，本公司（联合体）参加</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组织的</w:t>
      </w:r>
      <w:r>
        <w:rPr>
          <w:rFonts w:hint="eastAsia" w:ascii="宋体" w:hAnsi="宋体" w:eastAsia="宋体" w:cs="宋体"/>
          <w:color w:val="auto"/>
          <w:u w:val="single"/>
        </w:rPr>
        <w:t xml:space="preserve">（单位名称）</w:t>
      </w:r>
      <w:r>
        <w:rPr>
          <w:rFonts w:hint="eastAsia" w:ascii="宋体" w:hAnsi="宋体" w:eastAsia="宋体" w:cs="宋体"/>
          <w:color w:val="auto"/>
        </w:rPr>
        <w:t xml:space="preserve">采购编号为</w:t>
      </w:r>
      <w:r>
        <w:rPr>
          <w:rFonts w:hint="eastAsia" w:ascii="宋体" w:hAnsi="宋体" w:eastAsia="宋体" w:cs="宋体"/>
          <w:color w:val="auto"/>
          <w:u w:val="single"/>
        </w:rPr>
        <w:t xml:space="preserve">***</w:t>
      </w:r>
      <w:r>
        <w:rPr>
          <w:rFonts w:hint="eastAsia" w:ascii="宋体" w:hAnsi="宋体" w:eastAsia="宋体" w:cs="宋体"/>
          <w:color w:val="auto"/>
        </w:rPr>
        <w:t xml:space="preserve">，</w:t>
      </w:r>
      <w:r>
        <w:rPr>
          <w:rFonts w:hint="eastAsia" w:ascii="宋体" w:hAnsi="宋体" w:eastAsia="宋体" w:cs="宋体"/>
          <w:color w:val="auto"/>
          <w:u w:val="single"/>
        </w:rPr>
        <w:t xml:space="preserve">（项目名称）（分包号：**）</w:t>
      </w:r>
      <w:r>
        <w:rPr>
          <w:rFonts w:hint="eastAsia" w:ascii="宋体" w:hAnsi="宋体" w:eastAsia="宋体" w:cs="宋体"/>
          <w:color w:val="auto"/>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9"/>
        <w:ind w:firstLine="360"/>
        <w:jc w:val="both"/>
        <w:spacing w:beforeAutospacing="0" w:afterAutospacing="0" w:line="0" w:lineRule="atLeast"/>
        <w:rPr>
          <w:color w:val="auto"/>
        </w:rPr>
      </w:pPr>
      <w:r>
        <w:rPr>
          <w:rFonts w:hint="eastAsia" w:ascii="宋体" w:hAnsi="宋体" w:eastAsia="宋体" w:cs="宋体"/>
          <w:color w:val="auto"/>
        </w:rPr>
        <w:t xml:space="preserve">1.</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       </w:t>
      </w:r>
      <w:r>
        <w:rPr>
          <w:rFonts w:hint="eastAsia" w:ascii="宋体" w:hAnsi="宋体" w:eastAsia="宋体" w:cs="宋体"/>
          <w:color w:val="auto"/>
        </w:rPr>
        <w:t xml:space="preserve">行业；制造商为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（小型企业、微型企业）；</w:t>
      </w:r>
      <w:r/>
    </w:p>
    <w:p>
      <w:pPr>
        <w:pStyle w:val="729"/>
        <w:ind w:firstLine="360"/>
        <w:jc w:val="both"/>
        <w:spacing w:beforeAutospacing="0" w:afterAutospacing="0" w:line="0" w:lineRule="atLeast"/>
        <w:rPr>
          <w:color w:val="auto"/>
        </w:rPr>
      </w:pPr>
      <w:r>
        <w:rPr>
          <w:rFonts w:hint="eastAsia" w:ascii="宋体" w:hAnsi="宋体" w:eastAsia="宋体" w:cs="宋体"/>
          <w:color w:val="auto"/>
        </w:rPr>
        <w:t xml:space="preserve">2.</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       </w:t>
      </w:r>
      <w:r>
        <w:rPr>
          <w:rFonts w:hint="eastAsia" w:ascii="宋体" w:hAnsi="宋体" w:eastAsia="宋体" w:cs="宋体"/>
          <w:color w:val="auto"/>
        </w:rPr>
        <w:t xml:space="preserve">行业；制造商为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（小型企业、微型企业）；</w:t>
      </w:r>
      <w:r/>
    </w:p>
    <w:p>
      <w:pPr>
        <w:pStyle w:val="729"/>
        <w:ind w:firstLine="360"/>
        <w:jc w:val="both"/>
        <w:spacing w:beforeAutospacing="0" w:afterAutospacing="0" w:line="0" w:lineRule="atLeast"/>
        <w:rPr>
          <w:color w:val="auto"/>
        </w:rPr>
      </w:pPr>
      <w:r>
        <w:rPr>
          <w:rFonts w:hint="eastAsia" w:ascii="宋体" w:hAnsi="宋体" w:eastAsia="宋体" w:cs="宋体"/>
          <w:color w:val="auto"/>
        </w:rPr>
        <w:t xml:space="preserve">……</w:t>
      </w:r>
      <w:r/>
    </w:p>
    <w:p>
      <w:pPr>
        <w:pStyle w:val="729"/>
        <w:ind w:firstLine="360"/>
        <w:jc w:val="both"/>
        <w:spacing w:beforeAutospacing="0" w:afterAutospacing="0" w:line="0" w:lineRule="atLeast"/>
        <w:rPr>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w:t>
      </w:r>
      <w:r/>
    </w:p>
    <w:p>
      <w:pPr>
        <w:pStyle w:val="729"/>
        <w:ind w:firstLine="360"/>
        <w:jc w:val="both"/>
        <w:spacing w:beforeAutospacing="0" w:afterAutospacing="0" w:line="0" w:lineRule="atLeast"/>
        <w:rPr>
          <w:color w:val="auto"/>
        </w:rPr>
      </w:pPr>
      <w:r>
        <w:rPr>
          <w:rFonts w:hint="eastAsia" w:ascii="宋体" w:hAnsi="宋体" w:eastAsia="宋体" w:cs="宋体"/>
          <w:color w:val="auto"/>
        </w:rPr>
        <w:t xml:space="preserve">本企业对上述声明内容的真实性负责。如有虚假，将依法承担相应责任</w:t>
      </w:r>
      <w:r/>
    </w:p>
    <w:p>
      <w:pPr>
        <w:pStyle w:val="729"/>
        <w:ind w:right="720"/>
        <w:jc w:val="both"/>
        <w:spacing w:beforeAutospacing="0" w:afterAutospacing="0" w:line="0" w:lineRule="atLeast"/>
        <w:rPr>
          <w:color w:val="auto"/>
        </w:rPr>
      </w:pPr>
      <w:r>
        <w:rPr>
          <w:color w:val="auto"/>
        </w:rPr>
        <w:t xml:space="preserve"> </w:t>
      </w:r>
      <w:r/>
    </w:p>
    <w:p>
      <w:pPr>
        <w:pStyle w:val="729"/>
        <w:ind w:right="180" w:firstLine="360"/>
        <w:jc w:val="right"/>
        <w:spacing w:beforeAutospacing="0" w:afterAutospacing="0" w:line="0" w:lineRule="atLeast"/>
        <w:rPr>
          <w:color w:val="auto"/>
        </w:rPr>
      </w:pPr>
      <w:r>
        <w:rPr>
          <w:rFonts w:hint="eastAsia" w:ascii="宋体" w:hAnsi="宋体" w:eastAsia="宋体" w:cs="宋体"/>
          <w:color w:val="auto"/>
        </w:rPr>
        <w:t xml:space="preserve">企业名称（加盖CA电子公章）：</w:t>
      </w:r>
      <w:r/>
    </w:p>
    <w:p>
      <w:pPr>
        <w:pStyle w:val="729"/>
        <w:ind w:right="480" w:firstLine="5400"/>
        <w:jc w:val="both"/>
        <w:spacing w:beforeAutospacing="0" w:afterAutospacing="0" w:line="0" w:lineRule="atLeast"/>
        <w:rPr>
          <w:color w:val="auto"/>
        </w:rPr>
      </w:pPr>
      <w:r>
        <w:rPr>
          <w:rFonts w:hint="eastAsia" w:ascii="宋体" w:hAnsi="宋体" w:eastAsia="宋体" w:cs="宋体"/>
          <w:color w:val="auto"/>
        </w:rPr>
        <w:t xml:space="preserve">日  期：</w:t>
      </w:r>
      <w:r/>
    </w:p>
    <w:p>
      <w:pPr>
        <w:pStyle w:val="729"/>
        <w:ind w:firstLine="360"/>
        <w:jc w:val="both"/>
        <w:spacing w:beforeAutospacing="0" w:afterAutospacing="0" w:line="0" w:lineRule="atLeast"/>
        <w:rPr>
          <w:color w:val="auto"/>
        </w:rPr>
      </w:pPr>
      <w:r>
        <w:rPr>
          <w:color w:val="auto"/>
        </w:rPr>
        <w:t xml:space="preserve"> </w:t>
      </w:r>
      <w:r/>
    </w:p>
    <w:p>
      <w:pPr>
        <w:pStyle w:val="729"/>
        <w:ind w:firstLine="480"/>
        <w:jc w:val="both"/>
        <w:spacing w:beforeAutospacing="0" w:afterAutospacing="0" w:line="0" w:lineRule="atLeast"/>
        <w:rPr>
          <w:color w:val="auto"/>
        </w:rPr>
      </w:pPr>
      <w:r>
        <w:rPr>
          <w:rFonts w:hint="eastAsia" w:ascii="宋体" w:hAnsi="宋体" w:eastAsia="宋体" w:cs="宋体"/>
          <w:color w:val="auto"/>
        </w:rPr>
        <w:t xml:space="preserve">备注1：从业人员、营业收入、资产总额填报上一年度数据，无上一年度数据的新成立企业可不填报。</w:t>
      </w:r>
      <w:r/>
    </w:p>
    <w:p>
      <w:pPr>
        <w:pStyle w:val="729"/>
        <w:ind w:firstLine="480"/>
        <w:jc w:val="both"/>
        <w:spacing w:beforeAutospacing="0" w:afterAutospacing="0" w:line="0" w:lineRule="atLeast"/>
        <w:rPr>
          <w:color w:val="auto"/>
        </w:rPr>
      </w:pPr>
      <w:r>
        <w:rPr>
          <w:rFonts w:hint="eastAsia" w:ascii="宋体" w:hAnsi="宋体" w:eastAsia="宋体" w:cs="宋体"/>
          <w:color w:val="auto"/>
        </w:rPr>
        <w:t xml:space="preserve">备注2：供应商如不提供此声明函，价格将不做相应扣除</w:t>
      </w:r>
      <w:r>
        <w:rPr>
          <w:rFonts w:hint="eastAsia" w:ascii="宋体" w:hAnsi="宋体" w:eastAsia="宋体" w:cs="宋体"/>
          <w:color w:val="auto"/>
          <w:lang w:eastAsia="zh-CN"/>
        </w:rPr>
        <w:t xml:space="preserve">（如项目全面面向中小企业，则资格审查不通过）</w:t>
      </w:r>
      <w:r>
        <w:rPr>
          <w:rFonts w:hint="eastAsia" w:ascii="宋体" w:hAnsi="宋体" w:eastAsia="宋体" w:cs="宋体"/>
          <w:color w:val="auto"/>
        </w:rPr>
        <w:t xml:space="preserve">。</w:t>
      </w:r>
      <w:r/>
    </w:p>
    <w:p>
      <w:pPr>
        <w:jc w:val="left"/>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9"/>
        <w:jc w:val="center"/>
        <w:spacing w:beforeAutospacing="0" w:afterAutospacing="0" w:line="0" w:lineRule="atLeast"/>
        <w:rPr>
          <w:color w:val="auto"/>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w:t>
      </w:r>
      <w:r>
        <w:rPr>
          <w:rFonts w:hint="eastAsia" w:ascii="黑体" w:hAnsi="宋体" w:eastAsia="黑体" w:cs="黑体"/>
          <w:b/>
          <w:color w:val="auto"/>
          <w:sz w:val="32"/>
          <w:szCs w:val="32"/>
        </w:rPr>
        <w:t xml:space="preserve">残疾人福利性单位声明函（分包号：**）</w:t>
      </w:r>
      <w:r/>
    </w:p>
    <w:p>
      <w:pPr>
        <w:pStyle w:val="729"/>
        <w:ind w:firstLine="480"/>
        <w:jc w:val="both"/>
        <w:spacing w:beforeAutospacing="0" w:afterAutospacing="0" w:line="0" w:lineRule="atLeast"/>
        <w:rPr>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u w:val="single"/>
        </w:rPr>
        <w:t xml:space="preserve">       </w:t>
      </w:r>
      <w:r>
        <w:rPr>
          <w:rFonts w:hint="eastAsia" w:ascii="宋体" w:hAnsi="宋体" w:eastAsia="宋体" w:cs="宋体"/>
          <w:color w:val="auto"/>
        </w:rPr>
        <w:t xml:space="preserve">项目（分包号：**）采购活动提供本单位制造的货物，或者提供其他残疾人福利性单位制造的货物（不包括使用非残疾人福利性单位注册商标的货物）。</w:t>
      </w:r>
      <w:r/>
    </w:p>
    <w:p>
      <w:pPr>
        <w:pStyle w:val="729"/>
        <w:ind w:firstLine="480"/>
        <w:jc w:val="both"/>
        <w:spacing w:beforeAutospacing="0" w:afterAutospacing="0" w:line="0" w:lineRule="atLeast"/>
        <w:rPr>
          <w:color w:val="auto"/>
        </w:rPr>
      </w:pPr>
      <w:r>
        <w:rPr>
          <w:rFonts w:hint="eastAsia" w:ascii="宋体" w:hAnsi="宋体" w:eastAsia="宋体" w:cs="宋体"/>
          <w:color w:val="auto"/>
        </w:rPr>
        <w:t xml:space="preserve">本单位对上述声明的真实性负责。如有虚假，将依法承担相应责任。</w:t>
      </w:r>
      <w:r/>
    </w:p>
    <w:p>
      <w:pPr>
        <w:pStyle w:val="729"/>
        <w:ind w:firstLine="480"/>
        <w:jc w:val="both"/>
        <w:spacing w:beforeAutospacing="0" w:afterAutospacing="0" w:line="0" w:lineRule="atLeast"/>
        <w:rPr>
          <w:color w:val="auto"/>
        </w:rPr>
      </w:pPr>
      <w:r>
        <w:rPr>
          <w:color w:val="auto"/>
        </w:rPr>
        <w:t xml:space="preserve"> </w:t>
      </w:r>
      <w:r/>
    </w:p>
    <w:p>
      <w:pPr>
        <w:pStyle w:val="729"/>
        <w:ind w:firstLine="480"/>
        <w:jc w:val="both"/>
        <w:spacing w:beforeAutospacing="0" w:afterAutospacing="0" w:line="0" w:lineRule="atLeast"/>
        <w:rPr>
          <w:color w:val="auto"/>
        </w:rPr>
      </w:pPr>
      <w:r>
        <w:rPr>
          <w:rFonts w:hint="eastAsia" w:ascii="宋体" w:hAnsi="宋体" w:eastAsia="宋体" w:cs="宋体"/>
          <w:color w:val="auto"/>
        </w:rPr>
        <w:t xml:space="preserve">备注：1、供应商如不提供此声明函，价格将不做相应扣除</w:t>
      </w:r>
      <w:r>
        <w:rPr>
          <w:rFonts w:hint="eastAsia" w:ascii="宋体" w:hAnsi="宋体" w:eastAsia="宋体" w:cs="宋体"/>
          <w:color w:val="auto"/>
          <w:lang w:eastAsia="zh-CN"/>
        </w:rPr>
        <w:t xml:space="preserve">（如项目全面面向中小企业，则资格审查不通过）</w:t>
      </w:r>
      <w:r>
        <w:rPr>
          <w:rFonts w:hint="eastAsia" w:ascii="宋体" w:hAnsi="宋体" w:eastAsia="宋体" w:cs="宋体"/>
          <w:color w:val="auto"/>
        </w:rPr>
        <w:t xml:space="preserve">。2、中标供应商为残疾人福利单位的，此声明函将随中标结果同时公告，接受社会监督</w:t>
      </w:r>
      <w:r/>
    </w:p>
    <w:p>
      <w:pPr>
        <w:pStyle w:val="729"/>
        <w:ind w:firstLine="624"/>
        <w:jc w:val="both"/>
        <w:spacing w:beforeAutospacing="0" w:afterAutospacing="0" w:line="0" w:lineRule="atLeast"/>
        <w:rPr>
          <w:color w:val="auto"/>
        </w:rPr>
      </w:pPr>
      <w:r>
        <w:rPr>
          <w:color w:val="auto"/>
        </w:rPr>
        <w:t xml:space="preserve"> </w:t>
      </w:r>
      <w:r/>
    </w:p>
    <w:p>
      <w:pPr>
        <w:pStyle w:val="729"/>
        <w:ind w:right="1560" w:firstLine="624"/>
        <w:jc w:val="center"/>
        <w:spacing w:beforeAutospacing="0" w:afterAutospacing="0" w:line="0" w:lineRule="atLeast"/>
        <w:tabs>
          <w:tab w:val="left" w:pos="4864" w:leader="none"/>
        </w:tabs>
        <w:rPr>
          <w:color w:val="auto"/>
        </w:rPr>
      </w:pPr>
      <w:r>
        <w:rPr>
          <w:rFonts w:ascii="宋体" w:eastAsia="宋体" w:cs="宋体"/>
          <w:color w:val="auto"/>
          <w:sz w:val="30"/>
          <w:szCs w:val="30"/>
        </w:rPr>
        <w:t xml:space="preserve">             </w:t>
      </w:r>
      <w:r>
        <w:rPr>
          <w:rFonts w:hint="eastAsia" w:ascii="宋体" w:hAnsi="宋体" w:eastAsia="宋体" w:cs="宋体"/>
          <w:color w:val="auto"/>
        </w:rPr>
        <w:t xml:space="preserve">          供应商全称（加盖CA电子公章）：</w:t>
      </w:r>
      <w:r/>
    </w:p>
    <w:p>
      <w:pPr>
        <w:pStyle w:val="729"/>
        <w:ind w:right="1560" w:firstLine="480"/>
        <w:jc w:val="center"/>
        <w:spacing w:beforeAutospacing="0" w:afterAutospacing="0" w:line="0" w:lineRule="atLeast"/>
        <w:tabs>
          <w:tab w:val="left" w:pos="4864" w:leader="none"/>
        </w:tabs>
        <w:rPr>
          <w:color w:val="auto"/>
        </w:rPr>
      </w:pPr>
      <w:r>
        <w:rPr>
          <w:rFonts w:hint="eastAsia" w:ascii="宋体" w:hAnsi="宋体" w:eastAsia="宋体" w:cs="宋体"/>
          <w:color w:val="auto"/>
        </w:rPr>
        <w:t xml:space="preserve">        日  期：</w:t>
      </w:r>
      <w:r/>
    </w:p>
    <w:p>
      <w:pPr>
        <w:jc w:val="both"/>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default" w:ascii="黑体" w:hAnsi="Times New Roman" w:eastAsia="黑体" w:cs="Times New Roman"/>
          <w:b/>
          <w:bCs/>
          <w:color w:val="auto"/>
          <w:sz w:val="32"/>
          <w:szCs w:val="32"/>
          <w:highlight w:val="none"/>
          <w:lang w:val="en-US" w:eastAsia="zh-CN"/>
        </w:rPr>
        <w:outlineLvl w:val="1"/>
      </w:pPr>
      <w:r>
        <w:rPr>
          <w:rFonts w:hint="eastAsia" w:ascii="黑体" w:hAnsi="Times New Roman" w:eastAsia="黑体" w:cs="Times New Roman"/>
          <w:b/>
          <w:bCs/>
          <w:color w:val="auto"/>
          <w:sz w:val="32"/>
          <w:szCs w:val="32"/>
          <w:highlight w:val="none"/>
          <w:lang w:val="en-US" w:eastAsia="zh-CN"/>
        </w:rPr>
        <w:t xml:space="preserve">12.</w:t>
      </w:r>
      <w:bookmarkEnd w:id="210"/>
      <w:r>
        <w:rPr>
          <w:rFonts w:hint="eastAsia" w:ascii="黑体" w:hAnsi="Times New Roman" w:eastAsia="黑体" w:cs="Times New Roman"/>
          <w:b/>
          <w:bCs/>
          <w:color w:val="auto"/>
          <w:sz w:val="32"/>
          <w:szCs w:val="32"/>
          <w:highlight w:val="none"/>
          <w:lang w:val="en-US" w:eastAsia="zh-CN"/>
        </w:rPr>
        <w:t xml:space="preserve">东台市政府采购事前信用承诺书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为营造我市公开、公平、公正、诚实守信的政府采购交易环境，树立诚信守法的投标人形象，本人代表本单位作出以下承诺：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（三）严格依照国家和省、市关于政府采购的法律、法规、规章、规范性文件，参加政府采购活动；积极履行社会责任，促进廉政建设； </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（四）严格遵守即时信息公示规定，及时维护和更新与本单位相关的信息；</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（六）自觉接受政府、行业组织、社会公众、新闻舆论的监督；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56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法定代表人签名：</w:t>
      </w:r>
      <w:r/>
    </w:p>
    <w:p>
      <w:pPr>
        <w:ind w:right="1560" w:firstLine="480"/>
        <w:jc w:val="center"/>
        <w:spacing w:line="588" w:lineRule="exact"/>
        <w:tabs>
          <w:tab w:val="left" w:pos="4860" w:leader="none"/>
        </w:tabs>
        <w:rPr>
          <w:rFonts w:ascii="宋体" w:hAnsi="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color w:val="auto"/>
          <w:sz w:val="24"/>
        </w:rPr>
        <w:t xml:space="preserve">供应商全称（加盖CA电子公章）：</w:t>
      </w:r>
      <w:r/>
    </w:p>
    <w:p>
      <w:pPr>
        <w:ind w:right="1560" w:firstLine="480"/>
        <w:jc w:val="center"/>
        <w:spacing w:line="588" w:lineRule="exact"/>
        <w:tabs>
          <w:tab w:val="left" w:pos="4860" w:leader="none"/>
        </w:tabs>
        <w:rPr>
          <w:rFonts w:ascii="宋体" w:hAnsi="宋体" w:eastAsia="宋体" w:cs="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日  期：</w:t>
      </w:r>
      <w:r/>
    </w:p>
    <w:p>
      <w:pPr>
        <w:pStyle w:val="729"/>
        <w:jc w:val="center"/>
        <w:spacing w:beforeAutospacing="0" w:afterAutospacing="0"/>
        <w:rPr>
          <w:color w:val="auto"/>
        </w:rPr>
      </w:pPr>
      <w:r>
        <w:rPr>
          <w:color w:val="auto"/>
        </w:rPr>
      </w:r>
      <w:bookmarkEnd w:id="199"/>
      <w:bookmarkEnd w:id="200"/>
      <w:bookmarkEnd w:id="201"/>
      <w:bookmarkEnd w:id="202"/>
      <w:bookmarkEnd w:id="203"/>
      <w:bookmarkEnd w:id="204"/>
      <w:bookmarkEnd w:id="205"/>
      <w:bookmarkEnd w:id="206"/>
      <w:bookmarkEnd w:id="207"/>
      <w:bookmarkEnd w:id="208"/>
      <w:bookmarkEnd w:id="209"/>
      <w:r/>
    </w:p>
    <w:p>
      <w:pPr>
        <w:rPr>
          <w:color w:val="auto"/>
        </w:rPr>
      </w:pPr>
      <w:r>
        <w:rPr>
          <w:color w:val="auto"/>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729"/>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729"/>
        <w:jc w:val="both"/>
        <w:spacing w:before="290" w:beforeAutospacing="0" w:afterAutospacing="0" w:line="360" w:lineRule="auto"/>
        <w:rPr>
          <w:rFonts w:ascii="宋体" w:hAnsi="宋体" w:eastAsia="宋体" w:cs="宋体"/>
          <w:color w:val="auto"/>
        </w:rPr>
      </w:pPr>
      <w:r>
        <w:rPr>
          <w:rFonts w:hint="eastAsia" w:ascii="宋体" w:hAnsi="宋体" w:eastAsia="宋体" w:cs="宋体"/>
          <w:color w:val="auto"/>
        </w:rPr>
        <w:t xml:space="preserve">一、质疑供应商基本信息</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二、质疑项目基本情况</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三、质疑事项具体内容</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729"/>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质疑事项2</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729"/>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729"/>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729"/>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质疑函制作说明：</w:t>
      </w:r>
      <w:r/>
    </w:p>
    <w:p>
      <w:pPr>
        <w:pStyle w:val="729"/>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729"/>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9"/>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729"/>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729"/>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729"/>
        <w:ind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729"/>
        <w:ind w:firstLine="42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rPr>
          <w:color w:val="auto"/>
        </w:rPr>
      </w:pPr>
      <w:r>
        <w:rPr>
          <w:color w:val="auto"/>
        </w:rPr>
      </w:r>
      <w:r/>
    </w:p>
    <w:sectPr>
      <w:headerReference w:type="default" r:id="rId10"/>
      <w:footerReference w:type="default" r:id="rId12"/>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仿宋">
    <w:panose1 w:val="02010609060101010101"/>
  </w:font>
  <w:font w:name="Courier New">
    <w:panose1 w:val="02070309020205020404"/>
  </w:font>
  <w:font w:name="Calibri">
    <w:panose1 w:val="020F0502020204030204"/>
  </w:font>
  <w:font w:name="Symbol">
    <w:panose1 w:val="05050102010706020507"/>
  </w:font>
  <w:font w:name="楷体">
    <w:panose1 w:val="02010609060101010101"/>
  </w:font>
  <w:font w:name="华文中宋">
    <w:panose1 w:val="0201060004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0" w:hanging="420"/>
      </w:pPr>
      <w:rPr>
        <w:rFonts w:hint="eastAsia"/>
      </w:rPr>
    </w:lvl>
    <w:lvl w:ilvl="1">
      <w:start w:val="1"/>
      <w:numFmt w:val="decimal"/>
      <w:isLgl w:val="false"/>
      <w:suff w:val="space"/>
      <w:lvlText w:val="%2)"/>
      <w:lvlJc w:val="left"/>
      <w:pPr>
        <w:ind w:left="397" w:hanging="397"/>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397" w:hanging="397"/>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397" w:hanging="397"/>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567" w:hanging="567"/>
      </w:pPr>
      <w:rPr>
        <w:rFonts w:hint="eastAsia"/>
        <w:b w:val="0"/>
        <w:sz w:val="24"/>
        <w:lang w:val="en-US"/>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2">
    <w:multiLevelType w:val="hybridMultilevel"/>
    <w:lvl w:ilvl="0">
      <w:start w:val="1"/>
      <w:numFmt w:val="decimal"/>
      <w:isLgl w:val="false"/>
      <w:suff w:val="space"/>
      <w:lvlText w:val="%1)"/>
      <w:lvlJc w:val="left"/>
      <w:pPr>
        <w:ind w:left="420" w:hanging="420"/>
      </w:pPr>
      <w:rPr>
        <w:rFonts w:hint="eastAsia"/>
        <w:b w:val="0"/>
      </w:rPr>
    </w:lvl>
    <w:lvl w:ilvl="1">
      <w:start w:val="1"/>
      <w:numFmt w:val="bullet"/>
      <w:isLgl w:val="false"/>
      <w:suff w:val="tab"/>
      <w:lvlText w:val="▲"/>
      <w:lvlJc w:val="left"/>
      <w:pPr>
        <w:ind w:left="780" w:hanging="360"/>
      </w:pPr>
      <w:rPr>
        <w:rFonts w:hint="default" w:ascii="Times New Roman" w:hAnsi="Times New Roman" w:eastAsia="宋体" w:cs="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1"/>
  </w:num>
  <w:num w:numId="3">
    <w:abstractNumId w:val="9"/>
  </w:num>
  <w:num w:numId="4">
    <w:abstractNumId w:val="3"/>
    <w:lvlOverride w:ilvl="0">
      <w:startOverride w:val="2"/>
    </w:lvlOverride>
  </w:num>
  <w:num w:numId="5">
    <w:abstractNumId w:val="2"/>
    <w:lvlOverride w:ilvl="0">
      <w:startOverride w:val="6"/>
    </w:lvlOverride>
  </w:num>
  <w:num w:numId="6">
    <w:abstractNumId w:val="0"/>
    <w:lvlOverride w:ilvl="0">
      <w:startOverride w:val="16"/>
    </w:lvlOverride>
  </w:num>
  <w:num w:numId="7">
    <w:abstractNumId w:val="4"/>
    <w:lvlOverride w:ilvl="0">
      <w:startOverride w:val="23"/>
    </w:lvlOverride>
  </w:num>
  <w:num w:numId="8">
    <w:abstractNumId w:val="7"/>
  </w:num>
  <w:num w:numId="9">
    <w:abstractNumId w:val="12"/>
  </w:num>
  <w:num w:numId="10">
    <w:abstractNumId w:val="6"/>
  </w:num>
  <w:num w:numId="11">
    <w:abstractNumId w:val="10"/>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4"/>
    <w:next w:val="7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18"/>
    <w:link w:val="12"/>
    <w:uiPriority w:val="9"/>
    <w:rPr>
      <w:rFonts w:ascii="Arial" w:hAnsi="Arial" w:eastAsia="Arial" w:cs="Arial"/>
      <w:sz w:val="40"/>
      <w:szCs w:val="40"/>
    </w:rPr>
  </w:style>
  <w:style w:type="character" w:styleId="15">
    <w:name w:val="Heading 2 Char"/>
    <w:basedOn w:val="718"/>
    <w:link w:val="715"/>
    <w:uiPriority w:val="9"/>
    <w:rPr>
      <w:rFonts w:ascii="Arial" w:hAnsi="Arial" w:eastAsia="Arial" w:cs="Arial"/>
      <w:sz w:val="34"/>
    </w:rPr>
  </w:style>
  <w:style w:type="character" w:styleId="17">
    <w:name w:val="Heading 3 Char"/>
    <w:basedOn w:val="718"/>
    <w:link w:val="716"/>
    <w:uiPriority w:val="9"/>
    <w:rPr>
      <w:rFonts w:ascii="Arial" w:hAnsi="Arial" w:eastAsia="Arial" w:cs="Arial"/>
      <w:sz w:val="30"/>
      <w:szCs w:val="30"/>
    </w:rPr>
  </w:style>
  <w:style w:type="character" w:styleId="19">
    <w:name w:val="Heading 4 Char"/>
    <w:basedOn w:val="718"/>
    <w:link w:val="717"/>
    <w:uiPriority w:val="9"/>
    <w:rPr>
      <w:rFonts w:ascii="Arial" w:hAnsi="Arial" w:eastAsia="Arial" w:cs="Arial"/>
      <w:b/>
      <w:bCs/>
      <w:sz w:val="26"/>
      <w:szCs w:val="26"/>
    </w:rPr>
  </w:style>
  <w:style w:type="paragraph" w:styleId="20">
    <w:name w:val="Heading 5"/>
    <w:basedOn w:val="714"/>
    <w:next w:val="7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8"/>
    <w:link w:val="20"/>
    <w:uiPriority w:val="9"/>
    <w:rPr>
      <w:rFonts w:ascii="Arial" w:hAnsi="Arial" w:eastAsia="Arial" w:cs="Arial"/>
      <w:b/>
      <w:bCs/>
      <w:sz w:val="24"/>
      <w:szCs w:val="24"/>
    </w:rPr>
  </w:style>
  <w:style w:type="paragraph" w:styleId="22">
    <w:name w:val="Heading 6"/>
    <w:basedOn w:val="714"/>
    <w:next w:val="7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8"/>
    <w:link w:val="22"/>
    <w:uiPriority w:val="9"/>
    <w:rPr>
      <w:rFonts w:ascii="Arial" w:hAnsi="Arial" w:eastAsia="Arial" w:cs="Arial"/>
      <w:b/>
      <w:bCs/>
      <w:sz w:val="22"/>
      <w:szCs w:val="22"/>
    </w:rPr>
  </w:style>
  <w:style w:type="paragraph" w:styleId="24">
    <w:name w:val="Heading 7"/>
    <w:basedOn w:val="714"/>
    <w:next w:val="7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8"/>
    <w:link w:val="24"/>
    <w:uiPriority w:val="9"/>
    <w:rPr>
      <w:rFonts w:ascii="Arial" w:hAnsi="Arial" w:eastAsia="Arial" w:cs="Arial"/>
      <w:b/>
      <w:bCs/>
      <w:i/>
      <w:iCs/>
      <w:sz w:val="22"/>
      <w:szCs w:val="22"/>
    </w:rPr>
  </w:style>
  <w:style w:type="paragraph" w:styleId="26">
    <w:name w:val="Heading 8"/>
    <w:basedOn w:val="714"/>
    <w:next w:val="7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8"/>
    <w:link w:val="26"/>
    <w:uiPriority w:val="9"/>
    <w:rPr>
      <w:rFonts w:ascii="Arial" w:hAnsi="Arial" w:eastAsia="Arial" w:cs="Arial"/>
      <w:i/>
      <w:iCs/>
      <w:sz w:val="22"/>
      <w:szCs w:val="22"/>
    </w:rPr>
  </w:style>
  <w:style w:type="paragraph" w:styleId="28">
    <w:name w:val="Heading 9"/>
    <w:basedOn w:val="714"/>
    <w:next w:val="7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4"/>
    <w:next w:val="714"/>
    <w:link w:val="34"/>
    <w:uiPriority w:val="10"/>
    <w:qFormat/>
    <w:pPr>
      <w:contextualSpacing/>
      <w:spacing w:before="300" w:after="200"/>
    </w:pPr>
    <w:rPr>
      <w:sz w:val="48"/>
      <w:szCs w:val="48"/>
    </w:rPr>
  </w:style>
  <w:style w:type="character" w:styleId="34">
    <w:name w:val="Title Char"/>
    <w:basedOn w:val="718"/>
    <w:link w:val="33"/>
    <w:uiPriority w:val="10"/>
    <w:rPr>
      <w:sz w:val="48"/>
      <w:szCs w:val="48"/>
    </w:rPr>
  </w:style>
  <w:style w:type="paragraph" w:styleId="35">
    <w:name w:val="Subtitle"/>
    <w:basedOn w:val="714"/>
    <w:next w:val="714"/>
    <w:link w:val="36"/>
    <w:uiPriority w:val="11"/>
    <w:qFormat/>
    <w:pPr>
      <w:spacing w:before="200" w:after="200"/>
    </w:pPr>
    <w:rPr>
      <w:sz w:val="24"/>
      <w:szCs w:val="24"/>
    </w:rPr>
  </w:style>
  <w:style w:type="character" w:styleId="36">
    <w:name w:val="Subtitle Char"/>
    <w:basedOn w:val="718"/>
    <w:link w:val="35"/>
    <w:uiPriority w:val="11"/>
    <w:rPr>
      <w:sz w:val="24"/>
      <w:szCs w:val="24"/>
    </w:rPr>
  </w:style>
  <w:style w:type="paragraph" w:styleId="37">
    <w:name w:val="Quote"/>
    <w:basedOn w:val="714"/>
    <w:next w:val="714"/>
    <w:link w:val="38"/>
    <w:uiPriority w:val="29"/>
    <w:qFormat/>
    <w:pPr>
      <w:ind w:left="720" w:right="720"/>
    </w:pPr>
    <w:rPr>
      <w:i/>
    </w:rPr>
  </w:style>
  <w:style w:type="character" w:styleId="38">
    <w:name w:val="Quote Char"/>
    <w:link w:val="37"/>
    <w:uiPriority w:val="29"/>
    <w:rPr>
      <w:i/>
    </w:rPr>
  </w:style>
  <w:style w:type="paragraph" w:styleId="39">
    <w:name w:val="Intense Quote"/>
    <w:basedOn w:val="714"/>
    <w:next w:val="7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8"/>
    <w:link w:val="727"/>
    <w:uiPriority w:val="99"/>
  </w:style>
  <w:style w:type="character" w:styleId="44">
    <w:name w:val="Footer Char"/>
    <w:basedOn w:val="718"/>
    <w:link w:val="726"/>
    <w:uiPriority w:val="99"/>
  </w:style>
  <w:style w:type="paragraph" w:styleId="45">
    <w:name w:val="Caption"/>
    <w:basedOn w:val="714"/>
    <w:next w:val="714"/>
    <w:uiPriority w:val="35"/>
    <w:semiHidden/>
    <w:unhideWhenUsed/>
    <w:qFormat/>
    <w:pPr>
      <w:spacing w:line="276" w:lineRule="auto"/>
    </w:pPr>
    <w:rPr>
      <w:b/>
      <w:bCs/>
      <w:color w:val="4f81bd" w:themeColor="accent1"/>
      <w:sz w:val="18"/>
      <w:szCs w:val="18"/>
    </w:rPr>
  </w:style>
  <w:style w:type="character" w:styleId="46">
    <w:name w:val="Caption Char"/>
    <w:basedOn w:val="45"/>
    <w:link w:val="726"/>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8"/>
    <w:uiPriority w:val="99"/>
    <w:unhideWhenUsed/>
    <w:rPr>
      <w:vertAlign w:val="superscript"/>
    </w:rPr>
  </w:style>
  <w:style w:type="paragraph" w:styleId="177">
    <w:name w:val="endnote text"/>
    <w:basedOn w:val="7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8"/>
    <w:uiPriority w:val="99"/>
    <w:semiHidden/>
    <w:unhideWhenUsed/>
    <w:rPr>
      <w:vertAlign w:val="superscript"/>
    </w:rPr>
  </w:style>
  <w:style w:type="paragraph" w:styleId="180">
    <w:name w:val="toc 1"/>
    <w:basedOn w:val="714"/>
    <w:next w:val="714"/>
    <w:uiPriority w:val="39"/>
    <w:unhideWhenUsed/>
    <w:pPr>
      <w:ind w:left="0" w:right="0" w:firstLine="0"/>
      <w:spacing w:after="57"/>
    </w:pPr>
  </w:style>
  <w:style w:type="paragraph" w:styleId="181">
    <w:name w:val="toc 2"/>
    <w:basedOn w:val="714"/>
    <w:next w:val="714"/>
    <w:uiPriority w:val="39"/>
    <w:unhideWhenUsed/>
    <w:pPr>
      <w:ind w:left="283" w:right="0" w:firstLine="0"/>
      <w:spacing w:after="57"/>
    </w:pPr>
  </w:style>
  <w:style w:type="paragraph" w:styleId="182">
    <w:name w:val="toc 3"/>
    <w:basedOn w:val="714"/>
    <w:next w:val="714"/>
    <w:uiPriority w:val="39"/>
    <w:unhideWhenUsed/>
    <w:pPr>
      <w:ind w:left="567" w:right="0" w:firstLine="0"/>
      <w:spacing w:after="57"/>
    </w:pPr>
  </w:style>
  <w:style w:type="paragraph" w:styleId="184">
    <w:name w:val="toc 5"/>
    <w:basedOn w:val="714"/>
    <w:next w:val="714"/>
    <w:uiPriority w:val="39"/>
    <w:unhideWhenUsed/>
    <w:pPr>
      <w:ind w:left="1134" w:right="0" w:firstLine="0"/>
      <w:spacing w:after="57"/>
    </w:pPr>
  </w:style>
  <w:style w:type="paragraph" w:styleId="185">
    <w:name w:val="toc 6"/>
    <w:basedOn w:val="714"/>
    <w:next w:val="714"/>
    <w:uiPriority w:val="39"/>
    <w:unhideWhenUsed/>
    <w:pPr>
      <w:ind w:left="1417" w:right="0" w:firstLine="0"/>
      <w:spacing w:after="57"/>
    </w:pPr>
  </w:style>
  <w:style w:type="paragraph" w:styleId="186">
    <w:name w:val="toc 7"/>
    <w:basedOn w:val="714"/>
    <w:next w:val="714"/>
    <w:uiPriority w:val="39"/>
    <w:unhideWhenUsed/>
    <w:pPr>
      <w:ind w:left="1701" w:right="0" w:firstLine="0"/>
      <w:spacing w:after="57"/>
    </w:pPr>
  </w:style>
  <w:style w:type="paragraph" w:styleId="187">
    <w:name w:val="toc 8"/>
    <w:basedOn w:val="714"/>
    <w:next w:val="714"/>
    <w:uiPriority w:val="39"/>
    <w:unhideWhenUsed/>
    <w:pPr>
      <w:ind w:left="1984" w:right="0" w:firstLine="0"/>
      <w:spacing w:after="57"/>
    </w:pPr>
  </w:style>
  <w:style w:type="paragraph" w:styleId="188">
    <w:name w:val="toc 9"/>
    <w:basedOn w:val="714"/>
    <w:next w:val="7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4"/>
    <w:next w:val="714"/>
    <w:uiPriority w:val="99"/>
    <w:unhideWhenUsed/>
    <w:pPr>
      <w:spacing w:after="0" w:afterAutospacing="0"/>
    </w:pPr>
  </w:style>
  <w:style w:type="paragraph" w:styleId="714" w:default="1">
    <w:name w:val="Normal"/>
    <w:link w:val="73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15">
    <w:name w:val="Heading 2"/>
    <w:basedOn w:val="714"/>
    <w:next w:val="71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16">
    <w:name w:val="Heading 3"/>
    <w:basedOn w:val="714"/>
    <w:next w:val="714"/>
    <w:uiPriority w:val="1"/>
    <w:qFormat/>
    <w:pPr>
      <w:ind w:left="120"/>
      <w:outlineLvl w:val="2"/>
    </w:pPr>
    <w:rPr>
      <w:rFonts w:hint="eastAsia" w:ascii="黑体" w:hAnsi="黑体" w:eastAsia="黑体"/>
      <w:b/>
      <w:sz w:val="32"/>
      <w:szCs w:val="24"/>
    </w:rPr>
  </w:style>
  <w:style w:type="paragraph" w:styleId="717">
    <w:name w:val="Heading 4"/>
    <w:basedOn w:val="714"/>
    <w:uiPriority w:val="1"/>
    <w:qFormat/>
    <w:pPr>
      <w:ind w:left="256"/>
      <w:outlineLvl w:val="3"/>
    </w:pPr>
    <w:rPr>
      <w:rFonts w:hint="eastAsia" w:ascii="黑体" w:hAnsi="黑体" w:eastAsia="黑体"/>
      <w:sz w:val="28"/>
      <w:szCs w:val="24"/>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Normal Indent"/>
    <w:basedOn w:val="714"/>
    <w:uiPriority w:val="0"/>
    <w:qFormat/>
    <w:pPr>
      <w:ind w:firstLine="420"/>
    </w:pPr>
  </w:style>
  <w:style w:type="paragraph" w:styleId="721">
    <w:name w:val="Body Text"/>
    <w:basedOn w:val="714"/>
    <w:next w:val="722"/>
    <w:uiPriority w:val="0"/>
    <w:qFormat/>
    <w:rPr>
      <w:rFonts w:ascii="楷体" w:hAnsi="Arial" w:eastAsia="楷体"/>
      <w:sz w:val="28"/>
      <w:szCs w:val="20"/>
    </w:rPr>
  </w:style>
  <w:style w:type="paragraph" w:styleId="722" w:customStyle="1">
    <w:name w:val="Body Text 21"/>
    <w:basedOn w:val="714"/>
    <w:uiPriority w:val="0"/>
    <w:qFormat/>
    <w:rPr>
      <w:rFonts w:ascii="Calibri" w:hAnsi="Calibri"/>
    </w:rPr>
  </w:style>
  <w:style w:type="paragraph" w:styleId="723">
    <w:name w:val="Body Text Indent"/>
    <w:basedOn w:val="714"/>
    <w:next w:val="724"/>
    <w:uiPriority w:val="0"/>
    <w:qFormat/>
    <w:pPr>
      <w:ind w:left="420"/>
      <w:spacing w:after="120"/>
    </w:pPr>
  </w:style>
  <w:style w:type="paragraph" w:styleId="724">
    <w:name w:val="envelope return"/>
    <w:basedOn w:val="714"/>
    <w:uiPriority w:val="0"/>
    <w:qFormat/>
    <w:rPr>
      <w:rFonts w:ascii="Arial" w:hAnsi="Arial"/>
    </w:rPr>
  </w:style>
  <w:style w:type="paragraph" w:styleId="725">
    <w:name w:val="Plain Text"/>
    <w:basedOn w:val="714"/>
    <w:uiPriority w:val="0"/>
    <w:unhideWhenUsed/>
    <w:qFormat/>
    <w:rPr>
      <w:rFonts w:ascii="宋体" w:hAnsi="Courier New" w:cs="Courier New"/>
      <w:szCs w:val="21"/>
    </w:rPr>
  </w:style>
  <w:style w:type="paragraph" w:styleId="726">
    <w:name w:val="Footer"/>
    <w:basedOn w:val="714"/>
    <w:link w:val="735"/>
    <w:uiPriority w:val="0"/>
    <w:qFormat/>
    <w:pPr>
      <w:jc w:val="left"/>
      <w:tabs>
        <w:tab w:val="center" w:pos="4153" w:leader="none"/>
        <w:tab w:val="right" w:pos="8306" w:leader="none"/>
      </w:tabs>
    </w:pPr>
    <w:rPr>
      <w:sz w:val="18"/>
      <w:szCs w:val="18"/>
    </w:rPr>
  </w:style>
  <w:style w:type="paragraph" w:styleId="727">
    <w:name w:val="Header"/>
    <w:basedOn w:val="714"/>
    <w:link w:val="734"/>
    <w:uiPriority w:val="0"/>
    <w:qFormat/>
    <w:pPr>
      <w:jc w:val="center"/>
      <w:tabs>
        <w:tab w:val="center" w:pos="4153" w:leader="none"/>
        <w:tab w:val="right" w:pos="8306" w:leader="none"/>
      </w:tabs>
      <w:pBdr>
        <w:bottom w:val="single" w:color="auto" w:sz="6" w:space="1"/>
      </w:pBdr>
    </w:pPr>
    <w:rPr>
      <w:sz w:val="18"/>
      <w:szCs w:val="18"/>
    </w:rPr>
  </w:style>
  <w:style w:type="paragraph" w:styleId="728">
    <w:name w:val="toc 4"/>
    <w:basedOn w:val="714"/>
    <w:next w:val="714"/>
    <w:uiPriority w:val="0"/>
    <w:qFormat/>
    <w:pPr>
      <w:ind w:left="1260"/>
    </w:pPr>
  </w:style>
  <w:style w:type="paragraph" w:styleId="729">
    <w:name w:val="Normal (Web)"/>
    <w:basedOn w:val="714"/>
    <w:uiPriority w:val="0"/>
    <w:qFormat/>
    <w:pPr>
      <w:jc w:val="left"/>
      <w:spacing w:beforeAutospacing="1" w:afterAutospacing="1"/>
    </w:pPr>
    <w:rPr>
      <w:rFonts w:cs="Times New Roman"/>
      <w:sz w:val="24"/>
    </w:rPr>
  </w:style>
  <w:style w:type="paragraph" w:styleId="730">
    <w:name w:val="Body Text First Indent"/>
    <w:basedOn w:val="721"/>
    <w:uiPriority w:val="0"/>
    <w:qFormat/>
    <w:pPr>
      <w:ind w:firstLine="420"/>
    </w:pPr>
  </w:style>
  <w:style w:type="paragraph" w:styleId="731">
    <w:name w:val="Body Text First Indent 2"/>
    <w:basedOn w:val="723"/>
    <w:next w:val="730"/>
    <w:uiPriority w:val="0"/>
    <w:qFormat/>
    <w:pPr>
      <w:ind w:left="420"/>
      <w:spacing w:before="50" w:after="120" w:line="240" w:lineRule="auto"/>
    </w:pPr>
    <w:rPr>
      <w:rFonts w:ascii="Times New Roman" w:eastAsia="宋体"/>
      <w:spacing w:val="0"/>
      <w:sz w:val="21"/>
      <w:szCs w:val="24"/>
    </w:rPr>
  </w:style>
  <w:style w:type="table" w:styleId="732">
    <w:name w:val="Table Grid"/>
    <w:basedOn w:val="719"/>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33" w:customStyle="1">
    <w:name w:val="Default"/>
    <w:uiPriority w:val="99"/>
    <w:unhideWhenUsed/>
    <w:qFormat/>
    <w:pPr>
      <w:widowControl w:val="off"/>
    </w:pPr>
    <w:rPr>
      <w:rFonts w:hint="eastAsia" w:ascii="仿宋" w:hAnsi="仿宋" w:eastAsia="仿宋" w:cs="Times New Roman"/>
      <w:color w:val="000000"/>
      <w:sz w:val="24"/>
      <w:lang w:val="en-US" w:eastAsia="zh-CN" w:bidi="ar-SA"/>
    </w:rPr>
  </w:style>
  <w:style w:type="character" w:styleId="734" w:customStyle="1">
    <w:name w:val="页眉 Char"/>
    <w:basedOn w:val="718"/>
    <w:link w:val="727"/>
    <w:uiPriority w:val="0"/>
    <w:qFormat/>
    <w:rPr>
      <w:rFonts w:asciiTheme="minorHAnsi" w:hAnsiTheme="minorHAnsi" w:eastAsiaTheme="minorEastAsia" w:cstheme="minorBidi"/>
      <w:sz w:val="18"/>
      <w:szCs w:val="18"/>
    </w:rPr>
  </w:style>
  <w:style w:type="character" w:styleId="735" w:customStyle="1">
    <w:name w:val="页脚 Char"/>
    <w:basedOn w:val="718"/>
    <w:link w:val="726"/>
    <w:uiPriority w:val="0"/>
    <w:qFormat/>
    <w:rPr>
      <w:rFonts w:asciiTheme="minorHAnsi" w:hAnsiTheme="minorHAnsi" w:eastAsiaTheme="minorEastAsia" w:cstheme="minorBidi"/>
      <w:sz w:val="18"/>
      <w:szCs w:val="18"/>
    </w:rPr>
  </w:style>
  <w:style w:type="character" w:styleId="736" w:customStyle="1">
    <w:name w:val="NormalCharacter"/>
    <w:link w:val="714"/>
    <w:uiPriority w:val="0"/>
    <w:qFormat/>
    <w:rPr>
      <w:rFonts w:asciiTheme="minorHAnsi" w:hAnsiTheme="minorHAnsi" w:eastAsiaTheme="minorEastAsia" w:cstheme="minorBidi"/>
      <w:sz w:val="21"/>
      <w:szCs w:val="24"/>
      <w:lang w:val="en-US" w:eastAsia="zh-CN" w:bidi="ar-SA"/>
    </w:rPr>
  </w:style>
  <w:style w:type="paragraph" w:styleId="737" w:customStyle="1">
    <w:name w:val="正文首行缩进 21"/>
    <w:basedOn w:val="738"/>
    <w:uiPriority w:val="0"/>
    <w:qFormat/>
    <w:pPr>
      <w:ind w:firstLine="200"/>
    </w:pPr>
    <w:rPr>
      <w:rFonts w:ascii="Times New Roman" w:hAnsi="Times New Roman" w:eastAsia="宋体" w:cs="Times New Roman"/>
    </w:rPr>
  </w:style>
  <w:style w:type="paragraph" w:styleId="738" w:customStyle="1">
    <w:name w:val="正文文本缩进 New"/>
    <w:basedOn w:val="739"/>
    <w:next w:val="740"/>
    <w:uiPriority w:val="0"/>
    <w:qFormat/>
    <w:pPr>
      <w:ind w:left="420"/>
      <w:spacing w:after="120"/>
    </w:pPr>
    <w:rPr>
      <w:rFonts w:ascii="Times New Roman" w:hAnsi="Times New Roman" w:eastAsia="宋体" w:cs="Times New Roman"/>
    </w:rPr>
  </w:style>
  <w:style w:type="paragraph" w:styleId="739" w:customStyle="1">
    <w:name w:val="正文 New"/>
    <w:next w:val="737"/>
    <w:uiPriority w:val="0"/>
    <w:qFormat/>
    <w:pPr>
      <w:jc w:val="both"/>
      <w:widowControl w:val="off"/>
    </w:pPr>
    <w:rPr>
      <w:rFonts w:ascii="Times New Roman" w:hAnsi="Times New Roman" w:eastAsia="宋体" w:cs="Times New Roman"/>
      <w:sz w:val="21"/>
      <w:szCs w:val="22"/>
      <w:lang w:val="en-US" w:eastAsia="zh-CN" w:bidi="ar-SA"/>
    </w:rPr>
  </w:style>
  <w:style w:type="paragraph" w:styleId="740" w:customStyle="1">
    <w:name w:val="寄信人地址 New"/>
    <w:basedOn w:val="739"/>
    <w:uiPriority w:val="0"/>
    <w:qFormat/>
    <w:rPr>
      <w:rFonts w:ascii="Arial" w:hAnsi="Arial" w:eastAsia="宋体" w:cs="Times New Roman"/>
    </w:rPr>
  </w:style>
  <w:style w:type="paragraph" w:styleId="741" w:customStyle="1">
    <w:name w:val="Char"/>
    <w:basedOn w:val="714"/>
    <w:uiPriority w:val="0"/>
    <w:qFormat/>
    <w:pPr>
      <w:ind w:firstLine="200"/>
      <w:tabs>
        <w:tab w:val="left" w:pos="360" w:leader="none"/>
      </w:tabs>
    </w:pPr>
    <w:rPr>
      <w:sz w:val="28"/>
      <w:szCs w:val="30"/>
    </w:rPr>
  </w:style>
  <w:style w:type="paragraph" w:styleId="742" w:customStyle="1">
    <w:name w:val="普通正文"/>
    <w:basedOn w:val="714"/>
    <w:uiPriority w:val="0"/>
    <w:qFormat/>
    <w:pPr>
      <w:ind w:firstLine="480"/>
      <w:jc w:val="left"/>
      <w:spacing w:before="120" w:after="120" w:line="360" w:lineRule="auto"/>
    </w:pPr>
    <w:rPr>
      <w:rFonts w:ascii="Arial" w:hAnsi="Arial"/>
      <w:sz w:val="24"/>
      <w:szCs w:val="24"/>
    </w:rPr>
  </w:style>
  <w:style w:type="character" w:styleId="743" w:customStyle="1">
    <w:name w:val="font31"/>
    <w:basedOn w:val="718"/>
    <w:uiPriority w:val="0"/>
    <w:qFormat/>
    <w:rPr>
      <w:rFonts w:hint="default" w:ascii="Times New Roman" w:hAnsi="Times New Roman" w:cs="Times New Roman"/>
      <w:color w:val="000000"/>
      <w:sz w:val="21"/>
      <w:szCs w:val="21"/>
      <w:u w:val="none"/>
    </w:rPr>
  </w:style>
  <w:style w:type="character" w:styleId="744" w:customStyle="1">
    <w:name w:val="font11"/>
    <w:basedOn w:val="718"/>
    <w:uiPriority w:val="0"/>
    <w:qFormat/>
    <w:rPr>
      <w:rFonts w:hint="eastAsia" w:ascii="宋体" w:hAnsi="宋体" w:eastAsia="宋体" w:cs="宋体"/>
      <w:color w:val="000000"/>
      <w:sz w:val="21"/>
      <w:szCs w:val="21"/>
      <w:u w:val="none"/>
    </w:rPr>
  </w:style>
  <w:style w:type="character" w:styleId="745" w:customStyle="1">
    <w:name w:val="font21"/>
    <w:basedOn w:val="718"/>
    <w:uiPriority w:val="0"/>
    <w:qFormat/>
    <w:rPr>
      <w:rFonts w:hint="eastAsia" w:ascii="宋体" w:hAnsi="宋体" w:eastAsia="宋体" w:cs="宋体"/>
      <w:color w:val="000000"/>
      <w:sz w:val="21"/>
      <w:szCs w:val="21"/>
      <w:u w:val="none"/>
    </w:rPr>
  </w:style>
  <w:style w:type="character" w:styleId="746" w:customStyle="1">
    <w:name w:val="font41"/>
    <w:basedOn w:val="718"/>
    <w:uiPriority w:val="0"/>
    <w:qFormat/>
    <w:rPr>
      <w:rFonts w:hint="default" w:ascii="Times New Roman" w:hAnsi="Times New Roman" w:cs="Times New Roman"/>
      <w:color w:val="000000"/>
      <w:sz w:val="21"/>
      <w:szCs w:val="21"/>
      <w:u w:val="none"/>
      <w:vertAlign w:val="subscript"/>
    </w:rPr>
  </w:style>
  <w:style w:type="paragraph" w:styleId="747" w:customStyle="1">
    <w:name w:val="列出段落1"/>
    <w:basedOn w:val="714"/>
    <w:uiPriority w:val="0"/>
    <w:qFormat/>
    <w:pPr>
      <w:ind w:firstLine="420"/>
    </w:pPr>
    <w:rPr>
      <w:rFonts w:ascii="Times New Roman" w:hAnsi="Times New Roman" w:eastAsia="宋体" w:cs="Times New Roman"/>
      <w:sz w:val="28"/>
      <w:szCs w:val="20"/>
    </w:rPr>
  </w:style>
  <w:style w:type="paragraph" w:styleId="748" w:customStyle="1">
    <w:name w:val="样式 宋体 左 行距: 1.5 倍行距"/>
    <w:basedOn w:val="714"/>
    <w:uiPriority w:val="0"/>
    <w:qFormat/>
    <w:pPr>
      <w:jc w:val="left"/>
      <w:spacing w:line="360" w:lineRule="auto"/>
    </w:pPr>
    <w:rPr>
      <w:rFonts w:ascii="宋体" w:hAnsi="宋体" w:eastAsia="宋体" w:cs="宋体"/>
      <w:szCs w:val="20"/>
    </w:rPr>
  </w:style>
  <w:style w:type="paragraph" w:styleId="749" w:customStyle="1">
    <w:name w:val="List Paragraph"/>
    <w:basedOn w:val="714"/>
    <w:uiPriority w:val="0"/>
    <w:qFormat/>
    <w:pPr>
      <w:ind w:firstLine="420"/>
    </w:pPr>
  </w:style>
  <w:style w:type="paragraph" w:styleId="750" w:customStyle="1">
    <w:name w:val="UserStyle_0"/>
    <w:basedOn w:val="714"/>
    <w:uiPriority w:val="0"/>
    <w:qFormat/>
    <w:pPr>
      <w:ind w:firstLine="420"/>
      <w:jc w:val="both"/>
    </w:pPr>
    <w:rPr>
      <w:rFonts w:ascii="Calibri" w:hAnsi="Calibri" w:eastAsia="宋体"/>
      <w:sz w:val="21"/>
      <w:szCs w:val="21"/>
      <w:lang w:val="en-US" w:eastAsia="zh-CN" w:bidi="ar-SA"/>
    </w:rPr>
  </w:style>
  <w:style w:type="paragraph" w:styleId="751" w:customStyle="1">
    <w:name w:val="99-标书-正文"/>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paragraph" w:styleId="7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23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273</cp:revision>
  <dcterms:created xsi:type="dcterms:W3CDTF">2014-10-29T12:08:00Z</dcterms:created>
  <dcterms:modified xsi:type="dcterms:W3CDTF">2024-12-09T09:28:19Z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37AA94B1EE204292952CC56B8BE8CE0D_13</vt:lpwstr>
  </property>
</Properties>
</file>