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2"/>
        <w:jc w:val="right"/>
        <w:rPr>
          <w:rFonts w:hint="eastAsia" w:ascii="宋体" w:hAnsi="宋体" w:eastAsia="宋体" w:cs="宋体"/>
          <w:b/>
          <w:bCs/>
          <w:color w:val="000000"/>
          <w:sz w:val="32"/>
          <w:szCs w:val="32"/>
          <w:lang w:eastAsia="zh-CN"/>
        </w:rPr>
        <w:outlineLvl w:val="0"/>
      </w:pPr>
      <w:r/>
      <w:bookmarkStart w:id="0" w:name="_Toc11384"/>
      <w:r>
        <w:rPr>
          <w:rFonts w:hint="eastAsia" w:ascii="宋体" w:hAnsi="宋体" w:eastAsia="宋体" w:cs="宋体"/>
          <w:b/>
          <w:bCs/>
          <w:color w:val="000000"/>
          <w:sz w:val="32"/>
          <w:szCs w:val="32"/>
          <w:lang w:eastAsia="zh-CN"/>
        </w:rPr>
      </w:r>
      <w:r/>
    </w:p>
    <w:p>
      <w:pPr>
        <w:pStyle w:val="1032"/>
        <w:jc w:val="right"/>
        <w:rPr>
          <w:rFonts w:hint="eastAsia" w:ascii="宋体" w:hAnsi="宋体" w:eastAsia="宋体" w:cs="宋体"/>
          <w:b/>
          <w:bCs/>
          <w:color w:val="000000"/>
          <w:sz w:val="32"/>
          <w:szCs w:val="32"/>
          <w:lang w:eastAsia="zh-CN"/>
        </w:rPr>
        <w:outlineLvl w:val="0"/>
      </w:pPr>
      <w:r>
        <w:rPr>
          <w:rFonts w:hint="eastAsia" w:ascii="宋体" w:hAnsi="宋体" w:eastAsia="宋体" w:cs="宋体"/>
          <w:b/>
          <w:bCs/>
          <w:color w:val="000000"/>
          <w:sz w:val="32"/>
          <w:szCs w:val="32"/>
          <w:lang w:eastAsia="zh-CN"/>
        </w:rPr>
        <w:t xml:space="preserve">项目编号：</w:t>
      </w:r>
      <w:bookmarkEnd w:id="0"/>
      <w:r>
        <w:rPr>
          <w:rFonts w:hint="eastAsia" w:ascii="宋体" w:hAnsi="宋体" w:eastAsia="宋体" w:cs="宋体"/>
          <w:b/>
          <w:bCs/>
          <w:color w:val="000000"/>
          <w:sz w:val="32"/>
          <w:szCs w:val="32"/>
          <w:lang w:eastAsia="zh-CN"/>
        </w:rPr>
        <w:t xml:space="preserve">JSZC-321003-YZZK-G2024-0009</w:t>
      </w:r>
      <w:r>
        <w:rPr>
          <w:rFonts w:hint="eastAsia" w:ascii="宋体" w:hAnsi="宋体" w:eastAsia="宋体" w:cs="宋体"/>
          <w:b/>
          <w:bCs/>
          <w:color w:val="000000"/>
          <w:sz w:val="32"/>
          <w:szCs w:val="32"/>
          <w:lang w:eastAsia="zh-CN"/>
        </w:rPr>
      </w:r>
      <w:r/>
    </w:p>
    <w:p>
      <w:pPr>
        <w:pStyle w:val="1032"/>
        <w:jc w:val="center"/>
        <w:rPr>
          <w:rFonts w:hint="eastAsia" w:ascii="宋体" w:hAnsi="宋体" w:eastAsia="宋体" w:cs="宋体"/>
          <w:b/>
          <w:bCs/>
          <w:color w:val="000000"/>
          <w:sz w:val="44"/>
          <w:szCs w:val="44"/>
          <w:lang w:eastAsia="zh-CN"/>
        </w:rPr>
        <w:outlineLvl w:val="0"/>
      </w:pPr>
      <w:r/>
      <w:bookmarkStart w:id="1" w:name="_Toc9865"/>
      <w:r>
        <w:rPr>
          <w:rFonts w:hint="eastAsia" w:ascii="宋体" w:hAnsi="宋体" w:eastAsia="宋体" w:cs="宋体"/>
          <w:b/>
          <w:bCs/>
          <w:color w:val="000000"/>
          <w:sz w:val="44"/>
          <w:szCs w:val="44"/>
          <w:lang w:eastAsia="zh-CN"/>
        </w:rPr>
      </w:r>
      <w:r/>
    </w:p>
    <w:p>
      <w:pPr>
        <w:pStyle w:val="1032"/>
        <w:jc w:val="center"/>
        <w:rPr>
          <w:rFonts w:ascii="宋体" w:hAnsi="宋体" w:eastAsia="宋体" w:cs="宋体"/>
          <w:b/>
          <w:bCs/>
          <w:color w:val="000000"/>
          <w:sz w:val="44"/>
          <w:szCs w:val="44"/>
          <w:lang w:val="en-US" w:eastAsia="zh-CN"/>
        </w:rPr>
        <w:outlineLvl w:val="0"/>
      </w:pPr>
      <w:r>
        <w:rPr>
          <w:rFonts w:hint="eastAsia" w:ascii="宋体" w:hAnsi="宋体" w:eastAsia="宋体" w:cs="宋体"/>
          <w:b/>
          <w:bCs/>
          <w:color w:val="000000"/>
          <w:sz w:val="44"/>
          <w:szCs w:val="44"/>
          <w:lang w:eastAsia="zh-CN"/>
        </w:rPr>
        <w:t xml:space="preserve">扬州市邗江生态环境局邗江区三座分布式水质净化站运维服务项目</w:t>
      </w:r>
      <w:bookmarkEnd w:id="1"/>
      <w:r>
        <w:rPr>
          <w:rFonts w:hint="eastAsia" w:ascii="宋体" w:hAnsi="宋体" w:eastAsia="宋体" w:cs="宋体"/>
          <w:b/>
          <w:bCs/>
          <w:color w:val="000000"/>
          <w:sz w:val="44"/>
          <w:szCs w:val="44"/>
          <w:lang w:val="en-US" w:eastAsia="zh-CN"/>
        </w:rPr>
        <w:t xml:space="preserve">公开招标</w:t>
      </w:r>
      <w:r>
        <w:rPr>
          <w:rFonts w:ascii="宋体" w:hAnsi="宋体" w:eastAsia="宋体" w:cs="宋体"/>
          <w:b/>
          <w:bCs/>
          <w:color w:val="000000"/>
          <w:sz w:val="44"/>
          <w:szCs w:val="44"/>
          <w:lang w:val="en-US" w:eastAsia="zh-CN"/>
        </w:rPr>
      </w:r>
      <w:r/>
    </w:p>
    <w:p>
      <w:pPr>
        <w:pStyle w:val="945"/>
        <w:ind w:firstLine="440"/>
        <w:rPr>
          <w:rFonts w:hint="eastAsia" w:ascii="宋体" w:hAnsi="宋体"/>
          <w:color w:val="000000"/>
        </w:rPr>
        <w:outlineLvl w:val="0"/>
      </w:pPr>
      <w:r>
        <w:rPr>
          <w:rFonts w:hint="eastAsia" w:ascii="宋体" w:hAnsi="宋体" w:eastAsia="宋体" w:cs="宋体"/>
          <w:color w:val="000000"/>
          <w:sz w:val="44"/>
          <w:szCs w:val="44"/>
        </w:rPr>
        <w:t xml:space="preserve">         </w:t>
      </w:r>
      <w:r>
        <w:rPr>
          <w:rFonts w:hint="eastAsia" w:ascii="宋体" w:hAnsi="宋体" w:eastAsia="宋体" w:cs="宋体"/>
          <w:b/>
          <w:color w:val="000000"/>
          <w:sz w:val="44"/>
          <w:szCs w:val="44"/>
        </w:rPr>
        <w:t xml:space="preserve">   </w:t>
      </w:r>
      <w:r>
        <w:rPr>
          <w:rFonts w:hint="eastAsia" w:ascii="宋体" w:hAnsi="宋体" w:eastAsia="宋体" w:cs="宋体"/>
          <w:color w:val="000000"/>
          <w:sz w:val="44"/>
          <w:szCs w:val="44"/>
        </w:rPr>
        <w:t xml:space="preserve"> </w:t>
      </w:r>
      <w:r>
        <w:rPr>
          <w:color w:val="000000"/>
        </w:rPr>
        <w:t xml:space="preserve"> </w:t>
      </w:r>
      <w:r>
        <w:rPr>
          <w:b/>
          <w:color w:val="000000"/>
          <w:sz w:val="30"/>
          <w:szCs w:val="30"/>
        </w:rPr>
        <w:t xml:space="preserve"> </w:t>
      </w:r>
      <w:r>
        <w:rPr>
          <w:rFonts w:hint="eastAsia" w:ascii="宋体" w:hAnsi="宋体"/>
          <w:color w:val="000000"/>
        </w:rPr>
      </w:r>
      <w:r/>
    </w:p>
    <w:p>
      <w:pPr>
        <w:pStyle w:val="1032"/>
        <w:ind w:firstLine="0"/>
        <w:spacing w:before="0" w:after="0"/>
        <w:rPr>
          <w:rFonts w:hint="eastAsia" w:ascii="宋体" w:hAnsi="宋体"/>
          <w:color w:val="000000"/>
        </w:rPr>
      </w:pPr>
      <w:r>
        <w:rPr>
          <w:rFonts w:hint="eastAsia" w:ascii="宋体" w:hAnsi="宋体"/>
          <w:color w:val="000000"/>
          <w:sz w:val="3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388620</wp:posOffset>
                </wp:positionH>
                <wp:positionV relativeFrom="paragraph">
                  <wp:posOffset>9525</wp:posOffset>
                </wp:positionV>
                <wp:extent cx="4723765" cy="271399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723765" cy="2713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0.6pt;mso-position-horizontal:absolute;mso-position-vertical-relative:text;margin-top:0.8pt;mso-position-vertical:absolute;width:371.9pt;height:213.7pt;mso-wrap-distance-left:9.0pt;mso-wrap-distance-top:0.0pt;mso-wrap-distance-right:9.0pt;mso-wrap-distance-bottom:0.0pt;" stroked="f">
                <v:path textboxrect="0,0,0,0"/>
                <v:imagedata r:id="rId14" o:title=""/>
              </v:shape>
            </w:pict>
          </mc:Fallback>
        </mc:AlternateContent>
      </w:r>
      <w:r>
        <w:rPr>
          <w:rFonts w:hint="eastAsia" w:ascii="宋体" w:hAnsi="宋体"/>
          <w:color w:val="000000"/>
        </w:rPr>
      </w:r>
      <w:r/>
    </w:p>
    <w:p>
      <w:pPr>
        <w:pStyle w:val="1032"/>
        <w:ind w:firstLine="0"/>
        <w:spacing w:before="0" w:after="0"/>
        <w:rPr>
          <w:rFonts w:hint="eastAsia" w:ascii="宋体" w:hAnsi="宋体"/>
          <w:color w:val="000000"/>
        </w:rPr>
      </w:pPr>
      <w:r>
        <w:rPr>
          <w:rFonts w:hint="eastAsia" w:ascii="宋体" w:hAnsi="宋体"/>
          <w:color w:val="000000"/>
        </w:rPr>
      </w:r>
      <w:r/>
    </w:p>
    <w:p>
      <w:pPr>
        <w:pStyle w:val="1032"/>
        <w:ind w:firstLine="0"/>
        <w:spacing w:before="0" w:after="0"/>
        <w:rPr>
          <w:rFonts w:hint="eastAsia" w:ascii="宋体" w:hAnsi="宋体"/>
          <w:color w:val="000000"/>
        </w:rPr>
      </w:pPr>
      <w:r>
        <w:rPr>
          <w:rFonts w:hint="eastAsia" w:ascii="宋体" w:hAnsi="宋体"/>
          <w:color w:val="000000"/>
        </w:rPr>
      </w:r>
      <w:r/>
    </w:p>
    <w:p>
      <w:pPr>
        <w:pStyle w:val="1032"/>
        <w:ind w:firstLine="0"/>
        <w:spacing w:before="0" w:after="0"/>
        <w:rPr>
          <w:rFonts w:hint="eastAsia" w:ascii="宋体" w:hAnsi="宋体"/>
          <w:color w:val="000000"/>
        </w:rPr>
      </w:pPr>
      <w:r>
        <w:rPr>
          <w:rFonts w:hint="eastAsia" w:ascii="宋体" w:hAnsi="宋体"/>
          <w:color w:val="000000"/>
        </w:rPr>
      </w:r>
      <w:r/>
    </w:p>
    <w:p>
      <w:pPr>
        <w:pStyle w:val="1032"/>
        <w:ind w:firstLine="0"/>
        <w:spacing w:before="0" w:after="0"/>
        <w:rPr>
          <w:rFonts w:hint="eastAsia" w:ascii="宋体" w:hAnsi="宋体"/>
          <w:color w:val="000000"/>
        </w:rPr>
      </w:pPr>
      <w:r>
        <w:rPr>
          <w:rFonts w:hint="eastAsia" w:ascii="宋体" w:hAnsi="宋体"/>
          <w:color w:val="000000"/>
        </w:rPr>
      </w:r>
      <w:r/>
    </w:p>
    <w:p>
      <w:pPr>
        <w:pStyle w:val="1032"/>
        <w:ind w:firstLine="0"/>
        <w:jc w:val="center"/>
        <w:rPr>
          <w:rFonts w:hint="eastAsia" w:eastAsia="宋体"/>
          <w:b/>
          <w:bCs/>
          <w:color w:val="000000"/>
          <w:sz w:val="32"/>
          <w:lang w:eastAsia="zh-CN"/>
        </w:rPr>
        <w:outlineLvl w:val="0"/>
      </w:pPr>
      <w:r/>
      <w:bookmarkStart w:id="2" w:name="_Toc18987"/>
      <w:r>
        <w:rPr>
          <w:rFonts w:hint="eastAsia"/>
          <w:b/>
          <w:bCs/>
          <w:color w:val="000000"/>
          <w:sz w:val="32"/>
          <w:lang w:eastAsia="zh-CN"/>
        </w:rPr>
        <w:t xml:space="preserve">扬州中科项目管理有限公司</w:t>
      </w:r>
      <w:bookmarkEnd w:id="2"/>
      <w:r>
        <w:rPr>
          <w:rFonts w:hint="eastAsia" w:eastAsia="宋体"/>
          <w:b/>
          <w:bCs/>
          <w:color w:val="000000"/>
          <w:sz w:val="32"/>
          <w:lang w:eastAsia="zh-CN"/>
        </w:rPr>
      </w:r>
      <w:r/>
    </w:p>
    <w:p>
      <w:pPr>
        <w:pStyle w:val="1032"/>
        <w:ind w:firstLine="0"/>
        <w:jc w:val="center"/>
        <w:rPr>
          <w:rFonts w:hint="eastAsia"/>
          <w:b/>
          <w:bCs/>
          <w:color w:val="000000"/>
          <w:sz w:val="32"/>
        </w:rPr>
      </w:pPr>
      <w:r>
        <w:rPr>
          <w:b/>
          <w:bCs/>
          <w:color w:val="000000"/>
          <w:sz w:val="32"/>
        </w:rPr>
        <w:t xml:space="preserve">____</w:t>
      </w:r>
      <w:r>
        <w:rPr>
          <w:rFonts w:hint="eastAsia"/>
          <w:b/>
          <w:bCs/>
          <w:color w:val="000000"/>
          <w:sz w:val="32"/>
        </w:rPr>
        <w:t xml:space="preserve">年</w:t>
      </w:r>
      <w:r>
        <w:rPr>
          <w:b/>
          <w:bCs/>
          <w:color w:val="000000"/>
          <w:sz w:val="32"/>
        </w:rPr>
        <w:t xml:space="preserve">___</w:t>
      </w:r>
      <w:r>
        <w:rPr>
          <w:rFonts w:hint="eastAsia"/>
          <w:b/>
          <w:bCs/>
          <w:color w:val="000000"/>
          <w:sz w:val="32"/>
        </w:rPr>
        <w:t xml:space="preserve">月</w:t>
      </w:r>
      <w:r>
        <w:rPr>
          <w:b/>
          <w:bCs/>
          <w:color w:val="000000"/>
          <w:sz w:val="32"/>
        </w:rPr>
        <w:t xml:space="preserve">___</w:t>
      </w:r>
      <w:r>
        <w:rPr>
          <w:rFonts w:hint="eastAsia"/>
          <w:b/>
          <w:bCs/>
          <w:color w:val="000000"/>
          <w:sz w:val="32"/>
        </w:rPr>
        <w:t xml:space="preserve">日</w:t>
      </w:r>
      <w:r>
        <w:rPr>
          <w:rFonts w:hint="eastAsia"/>
          <w:b/>
          <w:bCs/>
          <w:color w:val="000000"/>
          <w:sz w:val="32"/>
        </w:rPr>
      </w:r>
      <w:r/>
    </w:p>
    <w:p>
      <w:pPr>
        <w:pStyle w:val="1032"/>
        <w:ind w:firstLine="0"/>
        <w:rPr>
          <w:rFonts w:hint="eastAsia"/>
          <w:color w:val="000000"/>
          <w:u w:val="single"/>
        </w:rPr>
      </w:pPr>
      <w:r>
        <w:rPr>
          <w:rFonts w:hint="eastAsia"/>
          <w:color w:val="000000"/>
        </w:rPr>
        <w:t xml:space="preserve">                        </w:t>
      </w:r>
      <w:r>
        <w:rPr>
          <w:rFonts w:hint="eastAsia"/>
          <w:color w:val="000000"/>
          <w:u w:val="single"/>
        </w:rPr>
      </w:r>
      <w:r/>
    </w:p>
    <w:p>
      <w:pPr>
        <w:pStyle w:val="1032"/>
        <w:ind w:firstLine="0"/>
        <w:jc w:val="center"/>
        <w:rPr>
          <w:rFonts w:hint="eastAsia"/>
          <w:color w:val="000000"/>
        </w:rPr>
      </w:pPr>
      <w:r>
        <w:rPr>
          <w:rFonts w:hint="eastAsia"/>
          <w:color w:val="000000"/>
        </w:rPr>
      </w:r>
      <w:r/>
    </w:p>
    <w:p>
      <w:pPr>
        <w:pStyle w:val="945"/>
        <w:jc w:val="center"/>
        <w:rPr>
          <w:rFonts w:hint="eastAsia" w:ascii="宋体" w:hAnsi="宋体" w:eastAsia="宋体" w:cs="Times New Roman"/>
          <w:b/>
          <w:bCs/>
          <w:color w:val="000000"/>
          <w:sz w:val="36"/>
          <w:lang w:eastAsia="zh-CN"/>
        </w:rPr>
      </w:pPr>
      <w:r/>
      <w:bookmarkStart w:id="3" w:name="_Toc1429"/>
      <w:r>
        <w:rPr>
          <w:rFonts w:hint="eastAsia" w:ascii="宋体" w:hAnsi="宋体" w:eastAsia="宋体" w:cs="Times New Roman"/>
          <w:b/>
          <w:bCs/>
          <w:color w:val="000000"/>
          <w:sz w:val="36"/>
          <w:lang w:eastAsia="zh-CN"/>
        </w:rPr>
        <w:t xml:space="preserve">扬州中科项目管理有限公司</w:t>
      </w:r>
      <w:bookmarkEnd w:id="3"/>
      <w:r>
        <w:rPr>
          <w:rFonts w:hint="eastAsia" w:ascii="宋体" w:hAnsi="宋体" w:eastAsia="宋体" w:cs="Times New Roman"/>
          <w:b/>
          <w:bCs/>
          <w:color w:val="000000"/>
          <w:sz w:val="36"/>
          <w:lang w:eastAsia="zh-CN"/>
        </w:rPr>
      </w:r>
      <w:r/>
    </w:p>
    <w:p>
      <w:pPr>
        <w:pStyle w:val="945"/>
        <w:jc w:val="center"/>
        <w:rPr>
          <w:rFonts w:hint="eastAsia" w:ascii="宋体" w:hAnsi="宋体" w:eastAsia="宋体" w:cs="Times New Roman"/>
          <w:b/>
          <w:bCs/>
          <w:color w:val="000000"/>
          <w:sz w:val="36"/>
          <w:lang w:val="en-US" w:eastAsia="zh-CN"/>
        </w:rPr>
      </w:pPr>
      <w:r>
        <w:rPr>
          <w:rFonts w:hint="eastAsia" w:ascii="宋体" w:hAnsi="宋体" w:eastAsia="宋体" w:cs="Times New Roman"/>
          <w:b/>
          <w:bCs/>
          <w:color w:val="000000"/>
          <w:sz w:val="36"/>
          <w:lang w:val="en-US" w:eastAsia="zh-CN"/>
        </w:rPr>
      </w:r>
      <w:r/>
    </w:p>
    <w:p>
      <w:pPr>
        <w:pStyle w:val="945"/>
        <w:jc w:val="center"/>
        <w:rPr>
          <w:rFonts w:hint="eastAsia" w:ascii="宋体" w:hAnsi="宋体" w:eastAsia="宋体" w:cs="Times New Roman"/>
          <w:b/>
          <w:bCs/>
          <w:color w:val="000000"/>
          <w:sz w:val="36"/>
          <w:lang w:eastAsia="zh-CN"/>
        </w:rPr>
      </w:pPr>
      <w:r>
        <w:rPr>
          <w:rFonts w:hint="eastAsia" w:ascii="宋体" w:hAnsi="宋体" w:eastAsia="宋体" w:cs="Times New Roman"/>
          <w:b/>
          <w:bCs/>
          <w:color w:val="000000"/>
          <w:sz w:val="36"/>
          <w:lang w:val="en-US" w:eastAsia="zh-CN"/>
        </w:rPr>
        <w:t xml:space="preserve">2024</w:t>
      </w:r>
      <w:r>
        <w:rPr>
          <w:rFonts w:hint="eastAsia" w:ascii="宋体" w:hAnsi="宋体" w:eastAsia="宋体" w:cs="Times New Roman"/>
          <w:b/>
          <w:bCs/>
          <w:color w:val="000000"/>
          <w:sz w:val="36"/>
          <w:lang w:eastAsia="zh-CN"/>
        </w:rPr>
        <w:t xml:space="preserve">年</w:t>
      </w:r>
      <w:r>
        <w:rPr>
          <w:rFonts w:hint="eastAsia" w:ascii="宋体" w:hAnsi="宋体" w:eastAsia="宋体" w:cs="Times New Roman"/>
          <w:b/>
          <w:bCs/>
          <w:color w:val="000000"/>
          <w:sz w:val="36"/>
          <w:lang w:val="en-US" w:eastAsia="zh-CN"/>
        </w:rPr>
        <w:t xml:space="preserve">12</w:t>
      </w:r>
      <w:r>
        <w:rPr>
          <w:rFonts w:hint="eastAsia" w:ascii="宋体" w:hAnsi="宋体" w:eastAsia="宋体" w:cs="Times New Roman"/>
          <w:b/>
          <w:bCs/>
          <w:color w:val="000000"/>
          <w:sz w:val="36"/>
          <w:lang w:eastAsia="zh-CN"/>
        </w:rPr>
        <w:t xml:space="preserve">月</w:t>
      </w:r>
      <w:r>
        <w:rPr>
          <w:rFonts w:hint="eastAsia" w:ascii="宋体" w:hAnsi="宋体" w:eastAsia="宋体" w:cs="Times New Roman"/>
          <w:b/>
          <w:bCs/>
          <w:color w:val="000000"/>
          <w:sz w:val="36"/>
          <w:lang w:val="en-US" w:eastAsia="zh-CN"/>
        </w:rPr>
        <w:t xml:space="preserve">03</w:t>
      </w:r>
      <w:r>
        <w:rPr>
          <w:rFonts w:hint="eastAsia" w:ascii="宋体" w:hAnsi="宋体" w:eastAsia="宋体" w:cs="Times New Roman"/>
          <w:b/>
          <w:bCs/>
          <w:color w:val="000000"/>
          <w:sz w:val="36"/>
          <w:lang w:eastAsia="zh-CN"/>
        </w:rPr>
        <w:t xml:space="preserve">日</w:t>
      </w:r>
      <w:r>
        <w:rPr>
          <w:rFonts w:hint="eastAsia" w:ascii="宋体" w:hAnsi="宋体" w:eastAsia="宋体" w:cs="Times New Roman"/>
          <w:b/>
          <w:bCs/>
          <w:color w:val="000000"/>
          <w:sz w:val="36"/>
          <w:lang w:eastAsia="zh-CN"/>
        </w:rPr>
      </w:r>
      <w:r/>
    </w:p>
    <w:p>
      <w:pPr>
        <w:pStyle w:val="945"/>
        <w:rPr>
          <w:color w:val="000000"/>
        </w:rPr>
      </w:pPr>
      <w:r>
        <w:rPr>
          <w:color w:val="000000"/>
        </w:rPr>
        <w:br w:type="page" w:clear="all"/>
      </w:r>
      <w:bookmarkStart w:id="4" w:name="_Toc120614210"/>
      <w:r/>
      <w:bookmarkStart w:id="5" w:name="_Toc523127445"/>
      <w:r/>
      <w:bookmarkStart w:id="6" w:name="_Toc16938516"/>
      <w:r/>
      <w:bookmarkStart w:id="7" w:name="_Toc513029200"/>
      <w:r/>
      <w:bookmarkStart w:id="8" w:name="_Toc20823272"/>
      <w:r/>
      <w:bookmarkStart w:id="9" w:name="_Toc479757206"/>
      <w:r>
        <w:rPr>
          <w:color w:val="000000"/>
        </w:rPr>
      </w:r>
      <w:r/>
    </w:p>
    <w:p>
      <w:pPr>
        <w:pStyle w:val="945"/>
        <w:ind w:left="0" w:right="0" w:firstLine="0"/>
        <w:jc w:val="center"/>
        <w:spacing w:before="0" w:after="0" w:line="480" w:lineRule="auto"/>
        <w:rPr>
          <w:rFonts w:hint="eastAsia" w:ascii="宋体" w:hAnsi="宋体" w:eastAsia="宋体" w:cs="宋体"/>
          <w:color w:val="000000"/>
          <w:sz w:val="36"/>
          <w:szCs w:val="36"/>
        </w:rPr>
      </w:pPr>
      <w:r>
        <w:rPr>
          <w:rFonts w:hint="eastAsia" w:ascii="宋体" w:hAnsi="宋体" w:eastAsia="宋体" w:cs="宋体"/>
          <w:color w:val="000000"/>
          <w:sz w:val="36"/>
          <w:szCs w:val="36"/>
        </w:rPr>
        <w:t xml:space="preserve">目录</w:t>
      </w:r>
      <w:r>
        <w:rPr>
          <w:rFonts w:hint="eastAsia" w:ascii="宋体" w:hAnsi="宋体" w:eastAsia="宋体" w:cs="宋体"/>
          <w:color w:val="000000"/>
          <w:sz w:val="36"/>
          <w:szCs w:val="36"/>
        </w:rPr>
      </w:r>
      <w:r/>
    </w:p>
    <w:p>
      <w:pPr>
        <w:pStyle w:val="1067"/>
        <w:spacing w:line="480" w:lineRule="auto"/>
        <w:tabs>
          <w:tab w:val="right" w:pos="8504" w:leader="dot"/>
        </w:tabs>
        <w:rPr>
          <w:rFonts w:hint="eastAsia" w:ascii="宋体" w:hAnsi="宋体" w:eastAsia="宋体" w:cs="宋体"/>
          <w:color w:val="000000"/>
          <w:sz w:val="36"/>
          <w:szCs w:val="36"/>
        </w:rPr>
      </w:pPr>
      <w:r>
        <w:rPr>
          <w:rFonts w:hint="eastAsia" w:ascii="宋体" w:hAnsi="宋体" w:eastAsia="宋体" w:cs="宋体"/>
          <w:color w:val="000000"/>
          <w:sz w:val="36"/>
          <w:szCs w:val="36"/>
        </w:rPr>
        <w:fldChar w:fldCharType="begin"/>
      </w:r>
      <w:r>
        <w:rPr>
          <w:rFonts w:hint="eastAsia" w:ascii="宋体" w:hAnsi="宋体" w:eastAsia="宋体" w:cs="宋体"/>
          <w:color w:val="000000"/>
          <w:sz w:val="36"/>
          <w:szCs w:val="36"/>
        </w:rPr>
        <w:instrText xml:space="preserve">TOC \o "1-1" \h \u </w:instrText>
      </w:r>
      <w:r>
        <w:rPr>
          <w:rFonts w:hint="eastAsia" w:ascii="宋体" w:hAnsi="宋体" w:eastAsia="宋体" w:cs="宋体"/>
          <w:color w:val="000000"/>
          <w:sz w:val="36"/>
          <w:szCs w:val="36"/>
        </w:rPr>
        <w:fldChar w:fldCharType="separate"/>
      </w:r>
      <w:r>
        <w:rPr>
          <w:rFonts w:hint="eastAsia" w:ascii="宋体" w:hAnsi="宋体" w:eastAsia="宋体" w:cs="宋体"/>
          <w:color w:val="000000"/>
          <w:sz w:val="36"/>
          <w:szCs w:val="36"/>
        </w:rPr>
      </w:r>
      <w:r/>
    </w:p>
    <w:p>
      <w:pPr>
        <w:pStyle w:val="1067"/>
        <w:spacing w:line="480" w:lineRule="auto"/>
        <w:tabs>
          <w:tab w:val="right" w:pos="8504" w:leader="dot"/>
        </w:tabs>
        <w:rPr>
          <w:rFonts w:hint="eastAsia" w:ascii="宋体" w:hAnsi="宋体" w:eastAsia="宋体" w:cs="宋体"/>
          <w:color w:val="000000"/>
          <w:sz w:val="36"/>
          <w:szCs w:val="36"/>
        </w:rPr>
      </w:pPr>
      <w:r>
        <w:rPr>
          <w:rFonts w:hint="eastAsia" w:ascii="宋体" w:hAnsi="宋体" w:eastAsia="宋体" w:cs="宋体"/>
          <w:color w:val="000000"/>
          <w:sz w:val="36"/>
          <w:szCs w:val="36"/>
        </w:rPr>
        <w:fldChar w:fldCharType="begin"/>
      </w:r>
      <w:r>
        <w:rPr>
          <w:rFonts w:hint="eastAsia" w:ascii="宋体" w:hAnsi="宋体" w:eastAsia="宋体" w:cs="宋体"/>
          <w:color w:val="000000"/>
          <w:sz w:val="36"/>
          <w:szCs w:val="36"/>
        </w:rPr>
        <w:instrText xml:space="preserve"> HYPERLINK \l _Toc2497 </w:instrText>
      </w:r>
      <w:r>
        <w:rPr>
          <w:rFonts w:hint="eastAsia" w:ascii="宋体" w:hAnsi="宋体" w:eastAsia="宋体" w:cs="宋体"/>
          <w:color w:val="000000"/>
          <w:sz w:val="36"/>
          <w:szCs w:val="36"/>
        </w:rPr>
        <w:fldChar w:fldCharType="separate"/>
      </w:r>
      <w:r>
        <w:rPr>
          <w:rFonts w:hint="eastAsia" w:ascii="宋体" w:hAnsi="宋体" w:eastAsia="宋体" w:cs="宋体"/>
          <w:color w:val="000000"/>
          <w:sz w:val="36"/>
          <w:szCs w:val="36"/>
        </w:rPr>
        <w:t xml:space="preserve">第一章  投标邀请</w:t>
      </w:r>
      <w:r>
        <w:rPr>
          <w:rFonts w:hint="eastAsia" w:ascii="宋体" w:hAnsi="宋体" w:eastAsia="宋体" w:cs="宋体"/>
          <w:color w:val="000000"/>
          <w:sz w:val="36"/>
          <w:szCs w:val="36"/>
        </w:rPr>
        <w:tab/>
      </w:r>
      <w:r>
        <w:rPr>
          <w:rFonts w:hint="eastAsia" w:ascii="宋体" w:hAnsi="宋体" w:eastAsia="宋体" w:cs="宋体"/>
          <w:color w:val="000000"/>
          <w:sz w:val="36"/>
          <w:szCs w:val="36"/>
        </w:rPr>
        <w:fldChar w:fldCharType="begin"/>
      </w:r>
      <w:r>
        <w:rPr>
          <w:rFonts w:hint="eastAsia" w:ascii="宋体" w:hAnsi="宋体" w:eastAsia="宋体" w:cs="宋体"/>
          <w:color w:val="000000"/>
          <w:sz w:val="36"/>
          <w:szCs w:val="36"/>
        </w:rPr>
        <w:instrText xml:space="preserve"> PAGEREF _Toc2497 \h </w:instrText>
      </w:r>
      <w:r>
        <w:rPr>
          <w:rFonts w:hint="eastAsia" w:ascii="宋体" w:hAnsi="宋体" w:eastAsia="宋体" w:cs="宋体"/>
          <w:color w:val="000000"/>
          <w:sz w:val="36"/>
          <w:szCs w:val="36"/>
        </w:rPr>
        <w:fldChar w:fldCharType="separate"/>
      </w:r>
      <w:r>
        <w:rPr>
          <w:rFonts w:hint="eastAsia" w:ascii="宋体" w:hAnsi="宋体" w:eastAsia="宋体" w:cs="宋体"/>
          <w:color w:val="000000"/>
          <w:sz w:val="36"/>
          <w:szCs w:val="36"/>
        </w:rPr>
        <w:t xml:space="preserve">3</w:t>
      </w:r>
      <w:r>
        <w:rPr>
          <w:rFonts w:hint="eastAsia" w:ascii="宋体" w:hAnsi="宋体" w:eastAsia="宋体" w:cs="宋体"/>
          <w:color w:val="000000"/>
          <w:sz w:val="36"/>
          <w:szCs w:val="36"/>
        </w:rPr>
        <w:fldChar w:fldCharType="end"/>
      </w:r>
      <w:r>
        <w:rPr>
          <w:rFonts w:hint="eastAsia" w:ascii="宋体" w:hAnsi="宋体" w:eastAsia="宋体" w:cs="宋体"/>
          <w:color w:val="000000"/>
          <w:sz w:val="36"/>
          <w:szCs w:val="36"/>
        </w:rPr>
        <w:fldChar w:fldCharType="end"/>
      </w:r>
      <w:r>
        <w:rPr>
          <w:rFonts w:hint="eastAsia" w:ascii="宋体" w:hAnsi="宋体" w:eastAsia="宋体" w:cs="宋体"/>
          <w:color w:val="000000"/>
          <w:sz w:val="36"/>
          <w:szCs w:val="36"/>
        </w:rPr>
      </w:r>
      <w:r/>
    </w:p>
    <w:p>
      <w:pPr>
        <w:pStyle w:val="1067"/>
        <w:spacing w:line="480" w:lineRule="auto"/>
        <w:tabs>
          <w:tab w:val="right" w:pos="8504" w:leader="dot"/>
        </w:tabs>
        <w:rPr>
          <w:rFonts w:hint="eastAsia" w:ascii="宋体" w:hAnsi="宋体" w:eastAsia="宋体" w:cs="宋体"/>
          <w:color w:val="000000"/>
          <w:sz w:val="36"/>
          <w:szCs w:val="36"/>
        </w:rPr>
      </w:pPr>
      <w:r>
        <w:rPr>
          <w:rFonts w:hint="eastAsia" w:ascii="宋体" w:hAnsi="宋体" w:eastAsia="宋体" w:cs="宋体"/>
          <w:color w:val="000000"/>
          <w:sz w:val="36"/>
          <w:szCs w:val="36"/>
        </w:rPr>
        <w:fldChar w:fldCharType="begin"/>
      </w:r>
      <w:r>
        <w:rPr>
          <w:rFonts w:hint="eastAsia" w:ascii="宋体" w:hAnsi="宋体" w:eastAsia="宋体" w:cs="宋体"/>
          <w:color w:val="000000"/>
          <w:sz w:val="36"/>
          <w:szCs w:val="36"/>
        </w:rPr>
        <w:instrText xml:space="preserve"> HYPERLINK \l _Toc19296 </w:instrText>
      </w:r>
      <w:r>
        <w:rPr>
          <w:rFonts w:hint="eastAsia" w:ascii="宋体" w:hAnsi="宋体" w:eastAsia="宋体" w:cs="宋体"/>
          <w:color w:val="000000"/>
          <w:sz w:val="36"/>
          <w:szCs w:val="36"/>
        </w:rPr>
        <w:fldChar w:fldCharType="separate"/>
      </w:r>
      <w:r>
        <w:rPr>
          <w:rFonts w:hint="eastAsia" w:ascii="宋体" w:hAnsi="宋体" w:eastAsia="宋体" w:cs="宋体"/>
          <w:color w:val="000000"/>
          <w:sz w:val="36"/>
          <w:szCs w:val="36"/>
          <w:lang w:val="en-US" w:eastAsia="zh-CN" w:bidi="ar-SA"/>
        </w:rPr>
        <w:t xml:space="preserve">第二章  投标人须知</w:t>
      </w:r>
      <w:r>
        <w:rPr>
          <w:rFonts w:hint="eastAsia" w:ascii="宋体" w:hAnsi="宋体" w:eastAsia="宋体" w:cs="宋体"/>
          <w:color w:val="000000"/>
          <w:sz w:val="36"/>
          <w:szCs w:val="36"/>
        </w:rPr>
        <w:tab/>
      </w:r>
      <w:r>
        <w:rPr>
          <w:rFonts w:hint="eastAsia" w:ascii="宋体" w:hAnsi="宋体" w:eastAsia="宋体" w:cs="宋体"/>
          <w:color w:val="000000"/>
          <w:sz w:val="36"/>
          <w:szCs w:val="36"/>
        </w:rPr>
        <w:fldChar w:fldCharType="begin"/>
      </w:r>
      <w:r>
        <w:rPr>
          <w:rFonts w:hint="eastAsia" w:ascii="宋体" w:hAnsi="宋体" w:eastAsia="宋体" w:cs="宋体"/>
          <w:color w:val="000000"/>
          <w:sz w:val="36"/>
          <w:szCs w:val="36"/>
        </w:rPr>
        <w:instrText xml:space="preserve"> PAGEREF _Toc19296 \h </w:instrText>
      </w:r>
      <w:r>
        <w:rPr>
          <w:rFonts w:hint="eastAsia" w:ascii="宋体" w:hAnsi="宋体" w:eastAsia="宋体" w:cs="宋体"/>
          <w:color w:val="000000"/>
          <w:sz w:val="36"/>
          <w:szCs w:val="36"/>
        </w:rPr>
        <w:fldChar w:fldCharType="separate"/>
      </w:r>
      <w:r>
        <w:rPr>
          <w:rFonts w:hint="eastAsia" w:ascii="宋体" w:hAnsi="宋体" w:eastAsia="宋体" w:cs="宋体"/>
          <w:color w:val="000000"/>
          <w:sz w:val="36"/>
          <w:szCs w:val="36"/>
        </w:rPr>
        <w:t xml:space="preserve">7</w:t>
      </w:r>
      <w:r>
        <w:rPr>
          <w:rFonts w:hint="eastAsia" w:ascii="宋体" w:hAnsi="宋体" w:eastAsia="宋体" w:cs="宋体"/>
          <w:color w:val="000000"/>
          <w:sz w:val="36"/>
          <w:szCs w:val="36"/>
        </w:rPr>
        <w:fldChar w:fldCharType="end"/>
      </w:r>
      <w:r>
        <w:rPr>
          <w:rFonts w:hint="eastAsia" w:ascii="宋体" w:hAnsi="宋体" w:eastAsia="宋体" w:cs="宋体"/>
          <w:color w:val="000000"/>
          <w:sz w:val="36"/>
          <w:szCs w:val="36"/>
        </w:rPr>
        <w:fldChar w:fldCharType="end"/>
      </w:r>
      <w:r>
        <w:rPr>
          <w:rFonts w:hint="eastAsia" w:ascii="宋体" w:hAnsi="宋体" w:eastAsia="宋体" w:cs="宋体"/>
          <w:color w:val="000000"/>
          <w:sz w:val="36"/>
          <w:szCs w:val="36"/>
        </w:rPr>
      </w:r>
      <w:r/>
    </w:p>
    <w:p>
      <w:pPr>
        <w:pStyle w:val="1067"/>
        <w:spacing w:line="480" w:lineRule="auto"/>
        <w:tabs>
          <w:tab w:val="right" w:pos="8504" w:leader="dot"/>
        </w:tabs>
        <w:rPr>
          <w:rFonts w:hint="eastAsia" w:ascii="宋体" w:hAnsi="宋体" w:eastAsia="宋体" w:cs="宋体"/>
          <w:color w:val="000000"/>
          <w:sz w:val="36"/>
          <w:szCs w:val="36"/>
        </w:rPr>
      </w:pPr>
      <w:r>
        <w:rPr>
          <w:rFonts w:hint="eastAsia" w:ascii="宋体" w:hAnsi="宋体" w:eastAsia="宋体" w:cs="宋体"/>
          <w:color w:val="000000"/>
          <w:sz w:val="36"/>
          <w:szCs w:val="36"/>
        </w:rPr>
        <w:fldChar w:fldCharType="begin"/>
      </w:r>
      <w:r>
        <w:rPr>
          <w:rFonts w:hint="eastAsia" w:ascii="宋体" w:hAnsi="宋体" w:eastAsia="宋体" w:cs="宋体"/>
          <w:color w:val="000000"/>
          <w:sz w:val="36"/>
          <w:szCs w:val="36"/>
        </w:rPr>
        <w:instrText xml:space="preserve"> HYPERLINK \l _Toc26130 </w:instrText>
      </w:r>
      <w:r>
        <w:rPr>
          <w:rFonts w:hint="eastAsia" w:ascii="宋体" w:hAnsi="宋体" w:eastAsia="宋体" w:cs="宋体"/>
          <w:color w:val="000000"/>
          <w:sz w:val="36"/>
          <w:szCs w:val="36"/>
        </w:rPr>
        <w:fldChar w:fldCharType="separate"/>
      </w:r>
      <w:r>
        <w:rPr>
          <w:rFonts w:hint="eastAsia" w:ascii="宋体" w:hAnsi="宋体" w:eastAsia="宋体" w:cs="宋体"/>
          <w:bCs/>
          <w:color w:val="000000"/>
          <w:sz w:val="36"/>
          <w:szCs w:val="36"/>
        </w:rPr>
        <w:t xml:space="preserve">第三章  合同文本</w:t>
      </w:r>
      <w:r>
        <w:rPr>
          <w:rFonts w:hint="eastAsia" w:ascii="宋体" w:hAnsi="宋体" w:eastAsia="宋体" w:cs="宋体"/>
          <w:color w:val="000000"/>
          <w:sz w:val="36"/>
          <w:szCs w:val="36"/>
        </w:rPr>
        <w:tab/>
      </w:r>
      <w:r>
        <w:rPr>
          <w:rFonts w:hint="eastAsia" w:ascii="宋体" w:hAnsi="宋体" w:eastAsia="宋体" w:cs="宋体"/>
          <w:color w:val="000000"/>
          <w:sz w:val="36"/>
          <w:szCs w:val="36"/>
        </w:rPr>
        <w:fldChar w:fldCharType="begin"/>
      </w:r>
      <w:r>
        <w:rPr>
          <w:rFonts w:hint="eastAsia" w:ascii="宋体" w:hAnsi="宋体" w:eastAsia="宋体" w:cs="宋体"/>
          <w:color w:val="000000"/>
          <w:sz w:val="36"/>
          <w:szCs w:val="36"/>
        </w:rPr>
        <w:instrText xml:space="preserve"> PAGEREF _Toc26130 \h </w:instrText>
      </w:r>
      <w:r>
        <w:rPr>
          <w:rFonts w:hint="eastAsia" w:ascii="宋体" w:hAnsi="宋体" w:eastAsia="宋体" w:cs="宋体"/>
          <w:color w:val="000000"/>
          <w:sz w:val="36"/>
          <w:szCs w:val="36"/>
        </w:rPr>
        <w:fldChar w:fldCharType="separate"/>
      </w:r>
      <w:r>
        <w:rPr>
          <w:rFonts w:hint="eastAsia" w:ascii="宋体" w:hAnsi="宋体" w:eastAsia="宋体" w:cs="宋体"/>
          <w:color w:val="000000"/>
          <w:sz w:val="36"/>
          <w:szCs w:val="36"/>
        </w:rPr>
        <w:t xml:space="preserve">18</w:t>
      </w:r>
      <w:r>
        <w:rPr>
          <w:rFonts w:hint="eastAsia" w:ascii="宋体" w:hAnsi="宋体" w:eastAsia="宋体" w:cs="宋体"/>
          <w:color w:val="000000"/>
          <w:sz w:val="36"/>
          <w:szCs w:val="36"/>
        </w:rPr>
        <w:fldChar w:fldCharType="end"/>
      </w:r>
      <w:r>
        <w:rPr>
          <w:rFonts w:hint="eastAsia" w:ascii="宋体" w:hAnsi="宋体" w:eastAsia="宋体" w:cs="宋体"/>
          <w:color w:val="000000"/>
          <w:sz w:val="36"/>
          <w:szCs w:val="36"/>
        </w:rPr>
        <w:fldChar w:fldCharType="end"/>
      </w:r>
      <w:r>
        <w:rPr>
          <w:rFonts w:hint="eastAsia" w:ascii="宋体" w:hAnsi="宋体" w:eastAsia="宋体" w:cs="宋体"/>
          <w:color w:val="000000"/>
          <w:sz w:val="36"/>
          <w:szCs w:val="36"/>
        </w:rPr>
      </w:r>
      <w:r/>
    </w:p>
    <w:p>
      <w:pPr>
        <w:pStyle w:val="1067"/>
        <w:spacing w:line="480" w:lineRule="auto"/>
        <w:tabs>
          <w:tab w:val="right" w:pos="8504" w:leader="dot"/>
        </w:tabs>
        <w:rPr>
          <w:rFonts w:hint="eastAsia" w:ascii="宋体" w:hAnsi="宋体" w:eastAsia="宋体" w:cs="宋体"/>
          <w:color w:val="000000"/>
          <w:sz w:val="36"/>
          <w:szCs w:val="36"/>
        </w:rPr>
      </w:pPr>
      <w:r>
        <w:rPr>
          <w:rFonts w:hint="eastAsia" w:ascii="宋体" w:hAnsi="宋体" w:eastAsia="宋体" w:cs="宋体"/>
          <w:color w:val="000000"/>
          <w:sz w:val="36"/>
          <w:szCs w:val="36"/>
        </w:rPr>
        <w:fldChar w:fldCharType="begin"/>
      </w:r>
      <w:r>
        <w:rPr>
          <w:rFonts w:hint="eastAsia" w:ascii="宋体" w:hAnsi="宋体" w:eastAsia="宋体" w:cs="宋体"/>
          <w:color w:val="000000"/>
          <w:sz w:val="36"/>
          <w:szCs w:val="36"/>
        </w:rPr>
        <w:instrText xml:space="preserve"> HYPERLINK \l _Toc28702 </w:instrText>
      </w:r>
      <w:r>
        <w:rPr>
          <w:rFonts w:hint="eastAsia" w:ascii="宋体" w:hAnsi="宋体" w:eastAsia="宋体" w:cs="宋体"/>
          <w:color w:val="000000"/>
          <w:sz w:val="36"/>
          <w:szCs w:val="36"/>
        </w:rPr>
        <w:fldChar w:fldCharType="separate"/>
      </w:r>
      <w:r>
        <w:rPr>
          <w:rFonts w:hint="eastAsia" w:ascii="宋体" w:hAnsi="宋体" w:eastAsia="宋体" w:cs="宋体"/>
          <w:bCs/>
          <w:color w:val="000000"/>
          <w:sz w:val="36"/>
          <w:szCs w:val="36"/>
        </w:rPr>
        <w:t xml:space="preserve">第五章  评标方法与评标标准</w:t>
      </w:r>
      <w:r>
        <w:rPr>
          <w:rFonts w:hint="eastAsia" w:ascii="宋体" w:hAnsi="宋体" w:eastAsia="宋体" w:cs="宋体"/>
          <w:color w:val="000000"/>
          <w:sz w:val="36"/>
          <w:szCs w:val="36"/>
        </w:rPr>
        <w:tab/>
      </w:r>
      <w:r>
        <w:rPr>
          <w:rFonts w:hint="eastAsia" w:ascii="宋体" w:hAnsi="宋体" w:eastAsia="宋体" w:cs="宋体"/>
          <w:color w:val="000000"/>
          <w:sz w:val="36"/>
          <w:szCs w:val="36"/>
        </w:rPr>
        <w:fldChar w:fldCharType="begin"/>
      </w:r>
      <w:r>
        <w:rPr>
          <w:rFonts w:hint="eastAsia" w:ascii="宋体" w:hAnsi="宋体" w:eastAsia="宋体" w:cs="宋体"/>
          <w:color w:val="000000"/>
          <w:sz w:val="36"/>
          <w:szCs w:val="36"/>
        </w:rPr>
        <w:instrText xml:space="preserve"> PAGEREF _Toc28702 \h </w:instrText>
      </w:r>
      <w:r>
        <w:rPr>
          <w:rFonts w:hint="eastAsia" w:ascii="宋体" w:hAnsi="宋体" w:eastAsia="宋体" w:cs="宋体"/>
          <w:color w:val="000000"/>
          <w:sz w:val="36"/>
          <w:szCs w:val="36"/>
        </w:rPr>
        <w:fldChar w:fldCharType="separate"/>
      </w:r>
      <w:r>
        <w:rPr>
          <w:rFonts w:hint="eastAsia" w:ascii="宋体" w:hAnsi="宋体" w:eastAsia="宋体" w:cs="宋体"/>
          <w:color w:val="000000"/>
          <w:sz w:val="36"/>
          <w:szCs w:val="36"/>
        </w:rPr>
        <w:t xml:space="preserve">29</w:t>
      </w:r>
      <w:r>
        <w:rPr>
          <w:rFonts w:hint="eastAsia" w:ascii="宋体" w:hAnsi="宋体" w:eastAsia="宋体" w:cs="宋体"/>
          <w:color w:val="000000"/>
          <w:sz w:val="36"/>
          <w:szCs w:val="36"/>
        </w:rPr>
        <w:fldChar w:fldCharType="end"/>
      </w:r>
      <w:r>
        <w:rPr>
          <w:rFonts w:hint="eastAsia" w:ascii="宋体" w:hAnsi="宋体" w:eastAsia="宋体" w:cs="宋体"/>
          <w:color w:val="000000"/>
          <w:sz w:val="36"/>
          <w:szCs w:val="36"/>
        </w:rPr>
        <w:fldChar w:fldCharType="end"/>
      </w:r>
      <w:r>
        <w:rPr>
          <w:rFonts w:hint="eastAsia" w:ascii="宋体" w:hAnsi="宋体" w:eastAsia="宋体" w:cs="宋体"/>
          <w:color w:val="000000"/>
          <w:sz w:val="36"/>
          <w:szCs w:val="36"/>
        </w:rPr>
      </w:r>
      <w:r/>
    </w:p>
    <w:p>
      <w:pPr>
        <w:pStyle w:val="1067"/>
        <w:spacing w:line="480" w:lineRule="auto"/>
        <w:tabs>
          <w:tab w:val="right" w:pos="8504" w:leader="dot"/>
        </w:tabs>
        <w:rPr>
          <w:rFonts w:hint="eastAsia" w:ascii="宋体" w:hAnsi="宋体" w:eastAsia="宋体" w:cs="宋体"/>
          <w:color w:val="000000"/>
          <w:sz w:val="36"/>
          <w:szCs w:val="36"/>
        </w:rPr>
      </w:pPr>
      <w:r>
        <w:rPr>
          <w:rFonts w:hint="eastAsia" w:ascii="宋体" w:hAnsi="宋体" w:eastAsia="宋体" w:cs="宋体"/>
          <w:color w:val="000000"/>
          <w:sz w:val="36"/>
          <w:szCs w:val="36"/>
        </w:rPr>
        <w:fldChar w:fldCharType="begin"/>
      </w:r>
      <w:r>
        <w:rPr>
          <w:rFonts w:hint="eastAsia" w:ascii="宋体" w:hAnsi="宋体" w:eastAsia="宋体" w:cs="宋体"/>
          <w:color w:val="000000"/>
          <w:sz w:val="36"/>
          <w:szCs w:val="36"/>
        </w:rPr>
        <w:instrText xml:space="preserve"> HYPERLINK \l _Toc13249 </w:instrText>
      </w:r>
      <w:r>
        <w:rPr>
          <w:rFonts w:hint="eastAsia" w:ascii="宋体" w:hAnsi="宋体" w:eastAsia="宋体" w:cs="宋体"/>
          <w:color w:val="000000"/>
          <w:sz w:val="36"/>
          <w:szCs w:val="36"/>
        </w:rPr>
        <w:fldChar w:fldCharType="separate"/>
      </w:r>
      <w:r>
        <w:rPr>
          <w:rFonts w:hint="eastAsia" w:ascii="宋体" w:hAnsi="宋体" w:eastAsia="宋体" w:cs="宋体"/>
          <w:bCs/>
          <w:color w:val="000000"/>
          <w:sz w:val="36"/>
          <w:szCs w:val="36"/>
        </w:rPr>
        <w:t xml:space="preserve">第六章  投标文件格式</w:t>
      </w:r>
      <w:r>
        <w:rPr>
          <w:rFonts w:hint="eastAsia" w:ascii="宋体" w:hAnsi="宋体" w:eastAsia="宋体" w:cs="宋体"/>
          <w:color w:val="000000"/>
          <w:sz w:val="36"/>
          <w:szCs w:val="36"/>
        </w:rPr>
        <w:tab/>
      </w:r>
      <w:r>
        <w:rPr>
          <w:rFonts w:hint="eastAsia" w:ascii="宋体" w:hAnsi="宋体" w:eastAsia="宋体" w:cs="宋体"/>
          <w:color w:val="000000"/>
          <w:sz w:val="36"/>
          <w:szCs w:val="36"/>
        </w:rPr>
        <w:fldChar w:fldCharType="begin"/>
      </w:r>
      <w:r>
        <w:rPr>
          <w:rFonts w:hint="eastAsia" w:ascii="宋体" w:hAnsi="宋体" w:eastAsia="宋体" w:cs="宋体"/>
          <w:color w:val="000000"/>
          <w:sz w:val="36"/>
          <w:szCs w:val="36"/>
        </w:rPr>
        <w:instrText xml:space="preserve"> PAGEREF _Toc13249 \h </w:instrText>
      </w:r>
      <w:r>
        <w:rPr>
          <w:rFonts w:hint="eastAsia" w:ascii="宋体" w:hAnsi="宋体" w:eastAsia="宋体" w:cs="宋体"/>
          <w:color w:val="000000"/>
          <w:sz w:val="36"/>
          <w:szCs w:val="36"/>
        </w:rPr>
        <w:fldChar w:fldCharType="separate"/>
      </w:r>
      <w:r>
        <w:rPr>
          <w:rFonts w:hint="eastAsia" w:ascii="宋体" w:hAnsi="宋体" w:eastAsia="宋体" w:cs="宋体"/>
          <w:color w:val="000000"/>
          <w:sz w:val="36"/>
          <w:szCs w:val="36"/>
        </w:rPr>
        <w:t xml:space="preserve">32</w:t>
      </w:r>
      <w:r>
        <w:rPr>
          <w:rFonts w:hint="eastAsia" w:ascii="宋体" w:hAnsi="宋体" w:eastAsia="宋体" w:cs="宋体"/>
          <w:color w:val="000000"/>
          <w:sz w:val="36"/>
          <w:szCs w:val="36"/>
        </w:rPr>
        <w:fldChar w:fldCharType="end"/>
      </w:r>
      <w:r>
        <w:rPr>
          <w:rFonts w:hint="eastAsia" w:ascii="宋体" w:hAnsi="宋体" w:eastAsia="宋体" w:cs="宋体"/>
          <w:color w:val="000000"/>
          <w:sz w:val="36"/>
          <w:szCs w:val="36"/>
        </w:rPr>
        <w:fldChar w:fldCharType="end"/>
      </w:r>
      <w:r>
        <w:rPr>
          <w:rFonts w:hint="eastAsia" w:ascii="宋体" w:hAnsi="宋体" w:eastAsia="宋体" w:cs="宋体"/>
          <w:color w:val="000000"/>
          <w:sz w:val="36"/>
          <w:szCs w:val="36"/>
        </w:rPr>
      </w:r>
      <w:r/>
    </w:p>
    <w:p>
      <w:pPr>
        <w:pStyle w:val="948"/>
        <w:spacing w:line="480" w:lineRule="auto"/>
        <w:rPr>
          <w:rFonts w:hint="eastAsia"/>
          <w:color w:val="000000"/>
        </w:rPr>
      </w:pPr>
      <w:r>
        <w:rPr>
          <w:rFonts w:hint="eastAsia" w:ascii="宋体" w:hAnsi="宋体" w:eastAsia="宋体" w:cs="宋体"/>
          <w:color w:val="000000"/>
          <w:sz w:val="36"/>
          <w:szCs w:val="36"/>
        </w:rPr>
        <w:fldChar w:fldCharType="end"/>
      </w:r>
      <w:r>
        <w:rPr>
          <w:rFonts w:hint="eastAsia"/>
          <w:color w:val="000000"/>
        </w:rPr>
      </w:r>
      <w:r/>
    </w:p>
    <w:p>
      <w:pPr>
        <w:pStyle w:val="945"/>
        <w:rPr>
          <w:rFonts w:hint="eastAsia"/>
          <w:color w:val="000000"/>
        </w:rPr>
      </w:pPr>
      <w:r>
        <w:rPr>
          <w:rFonts w:hint="eastAsia"/>
          <w:color w:val="000000"/>
        </w:rPr>
      </w:r>
      <w:r/>
    </w:p>
    <w:p>
      <w:pPr>
        <w:pStyle w:val="945"/>
        <w:rPr>
          <w:rFonts w:hint="eastAsia"/>
          <w:color w:val="000000"/>
        </w:rPr>
      </w:pPr>
      <w:r>
        <w:rPr>
          <w:rFonts w:hint="eastAsia"/>
          <w:color w:val="000000"/>
        </w:rPr>
      </w:r>
      <w:r/>
    </w:p>
    <w:p>
      <w:pPr>
        <w:pStyle w:val="945"/>
        <w:rPr>
          <w:rFonts w:hint="eastAsia"/>
          <w:color w:val="000000"/>
        </w:rPr>
      </w:pPr>
      <w:r>
        <w:rPr>
          <w:rFonts w:hint="eastAsia"/>
          <w:color w:val="000000"/>
        </w:rPr>
      </w:r>
      <w:r/>
    </w:p>
    <w:p>
      <w:pPr>
        <w:pStyle w:val="948"/>
        <w:rPr>
          <w:rFonts w:hint="eastAsia"/>
          <w:color w:val="000000"/>
        </w:rPr>
      </w:pPr>
      <w:r>
        <w:rPr>
          <w:rFonts w:hint="eastAsia"/>
          <w:color w:val="000000"/>
        </w:rPr>
      </w:r>
      <w:r/>
    </w:p>
    <w:p>
      <w:pPr>
        <w:pStyle w:val="945"/>
        <w:rPr>
          <w:rFonts w:hint="eastAsia"/>
          <w:color w:val="000000"/>
        </w:rPr>
      </w:pPr>
      <w:r>
        <w:rPr>
          <w:rFonts w:hint="eastAsia"/>
          <w:color w:val="000000"/>
        </w:rPr>
      </w:r>
      <w:r/>
    </w:p>
    <w:p>
      <w:pPr>
        <w:pStyle w:val="948"/>
        <w:rPr>
          <w:rFonts w:hint="eastAsia"/>
          <w:color w:val="000000"/>
        </w:rPr>
      </w:pPr>
      <w:r>
        <w:rPr>
          <w:rFonts w:hint="eastAsia"/>
          <w:color w:val="000000"/>
        </w:rPr>
      </w:r>
      <w:r/>
    </w:p>
    <w:p>
      <w:pPr>
        <w:pStyle w:val="945"/>
        <w:rPr>
          <w:rFonts w:hint="eastAsia"/>
          <w:color w:val="000000"/>
        </w:rPr>
      </w:pPr>
      <w:r>
        <w:rPr>
          <w:rFonts w:hint="eastAsia"/>
          <w:color w:val="000000"/>
        </w:rPr>
      </w:r>
      <w:r/>
    </w:p>
    <w:p>
      <w:pPr>
        <w:pStyle w:val="948"/>
        <w:rPr>
          <w:rFonts w:hint="eastAsia"/>
          <w:color w:val="000000"/>
        </w:rPr>
      </w:pPr>
      <w:r>
        <w:rPr>
          <w:rFonts w:hint="eastAsia"/>
          <w:color w:val="000000"/>
        </w:rPr>
      </w:r>
      <w:r/>
    </w:p>
    <w:p>
      <w:pPr>
        <w:pStyle w:val="945"/>
        <w:rPr>
          <w:rFonts w:hint="eastAsia"/>
          <w:color w:val="000000"/>
        </w:rPr>
      </w:pPr>
      <w:r>
        <w:rPr>
          <w:rFonts w:hint="eastAsia"/>
          <w:color w:val="000000"/>
        </w:rPr>
      </w:r>
      <w:r/>
    </w:p>
    <w:p>
      <w:pPr>
        <w:pStyle w:val="945"/>
        <w:rPr>
          <w:rFonts w:hint="eastAsia"/>
          <w:color w:val="000000"/>
        </w:rPr>
      </w:pPr>
      <w:r>
        <w:rPr>
          <w:rFonts w:hint="eastAsia"/>
          <w:color w:val="000000"/>
        </w:rPr>
      </w:r>
      <w:r/>
    </w:p>
    <w:p>
      <w:pPr>
        <w:pStyle w:val="946"/>
        <w:rPr>
          <w:rFonts w:hint="eastAsia" w:ascii="黑体" w:eastAsia="黑体"/>
          <w:bCs/>
          <w:color w:val="000000"/>
          <w:sz w:val="44"/>
          <w:szCs w:val="44"/>
        </w:rPr>
      </w:pPr>
      <w:r/>
      <w:bookmarkStart w:id="10" w:name="_Toc2497"/>
      <w:r>
        <w:rPr>
          <w:rFonts w:hint="eastAsia" w:ascii="黑体" w:eastAsia="黑体"/>
          <w:color w:val="000000"/>
          <w:sz w:val="44"/>
          <w:szCs w:val="44"/>
        </w:rPr>
        <w:t xml:space="preserve">第一章  </w:t>
      </w:r>
      <w:bookmarkEnd w:id="4"/>
      <w:r>
        <w:rPr>
          <w:rFonts w:hint="eastAsia" w:ascii="黑体" w:eastAsia="黑体"/>
          <w:color w:val="000000"/>
          <w:sz w:val="44"/>
          <w:szCs w:val="44"/>
        </w:rPr>
        <w:t xml:space="preserve">投标邀请</w:t>
      </w:r>
      <w:bookmarkEnd w:id="10"/>
      <w:r>
        <w:rPr>
          <w:rFonts w:hint="eastAsia" w:ascii="黑体" w:eastAsia="黑体"/>
          <w:bCs/>
          <w:color w:val="000000"/>
          <w:sz w:val="44"/>
          <w:szCs w:val="44"/>
        </w:rPr>
      </w:r>
      <w:r/>
    </w:p>
    <w:p>
      <w:pPr>
        <w:pStyle w:val="945"/>
        <w:ind w:firstLine="480"/>
        <w:jc w:val="left"/>
        <w:keepLines w:val="0"/>
        <w:keepNext w:val="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扬州市邗江生态环境局</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扬州中科项目管理有限公司</w:t>
      </w:r>
      <w:r>
        <w:rPr>
          <w:rFonts w:hint="eastAsia" w:ascii="宋体" w:hAnsi="宋体"/>
          <w:color w:val="000000"/>
          <w:sz w:val="24"/>
          <w:szCs w:val="24"/>
        </w:rPr>
        <w:t xml:space="preserve">就</w:t>
      </w:r>
      <w:r>
        <w:rPr>
          <w:rFonts w:hint="eastAsia" w:ascii="宋体" w:hAnsi="宋体"/>
          <w:color w:val="000000"/>
          <w:sz w:val="24"/>
          <w:szCs w:val="24"/>
          <w:lang w:eastAsia="zh-CN"/>
        </w:rPr>
        <w:t xml:space="preserve">扬州市邗江生态环境局邗江区三座分布式水质净化站运维服务项目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JSZC-321003-YZZK-G2024-0009</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945"/>
        <w:ind w:firstLine="480"/>
        <w:jc w:val="left"/>
        <w:pageBreakBefore w:val="0"/>
        <w:spacing w:line="360" w:lineRule="auto"/>
        <w:widowControl w:val="off"/>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45"/>
        <w:ind w:firstLine="480"/>
        <w:jc w:val="left"/>
        <w:pageBreakBefore w:val="0"/>
        <w:spacing w:line="360" w:lineRule="auto"/>
        <w:widowControl w:val="off"/>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扬州市邗江生态环境局邗江区三座分布式水质净化站运维服务项目</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lang w:eastAsia="zh-CN"/>
        </w:rPr>
        <w:t xml:space="preserve">“江苏政府采购网”“</w:t>
      </w:r>
      <w:r>
        <w:rPr>
          <w:rFonts w:hint="eastAsia" w:ascii="宋体" w:hAnsi="宋体"/>
          <w:color w:val="000000"/>
          <w:sz w:val="24"/>
          <w:szCs w:val="24"/>
          <w:u w:val="single"/>
          <w:lang w:val="en-US" w:eastAsia="zh-CN"/>
        </w:rPr>
        <w:t xml:space="preserve">中国</w:t>
      </w:r>
      <w:r>
        <w:rPr>
          <w:rFonts w:hint="eastAsia" w:ascii="宋体" w:hAnsi="宋体"/>
          <w:color w:val="000000"/>
          <w:sz w:val="24"/>
          <w:szCs w:val="24"/>
          <w:u w:val="single"/>
          <w:lang w:eastAsia="zh-CN"/>
        </w:rPr>
        <w:t xml:space="preserve">政府采购网”“扬州市政府采购网”“扬州市邗江区政府采购网”</w:t>
      </w:r>
      <w:r>
        <w:rPr>
          <w:rFonts w:hint="eastAsia" w:ascii="宋体" w:hAnsi="宋体"/>
          <w:color w:val="000000"/>
          <w:sz w:val="24"/>
          <w:szCs w:val="24"/>
          <w:u w:val="singl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2024</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12</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24</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09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48"/>
        <w:ind w:firstLine="498"/>
        <w:jc w:val="left"/>
        <w:pageBreakBefore w:val="0"/>
        <w:spacing w:before="145" w:after="145" w:line="240" w:lineRule="auto"/>
        <w:widowControl w:val="off"/>
        <w:rPr>
          <w:color w:val="000000"/>
        </w:rPr>
      </w:pPr>
      <w:r/>
      <w:bookmarkStart w:id="11" w:name="_Toc38985263"/>
      <w:r/>
      <w:bookmarkStart w:id="12" w:name="_Toc35393621"/>
      <w:r/>
      <w:bookmarkStart w:id="13" w:name="_Toc35393790"/>
      <w:r/>
      <w:bookmarkStart w:id="14" w:name="_Toc28359079"/>
      <w:r/>
      <w:bookmarkStart w:id="15" w:name="_Toc28359002"/>
      <w:r/>
      <w:bookmarkStart w:id="16" w:name="_Hlk24379207"/>
      <w:r>
        <w:rPr>
          <w:rFonts w:hint="eastAsia"/>
          <w:color w:val="000000"/>
        </w:rPr>
        <w:t xml:space="preserve">一、项目基本情况</w:t>
      </w:r>
      <w:bookmarkEnd w:id="11"/>
      <w:r/>
      <w:bookmarkEnd w:id="12"/>
      <w:r/>
      <w:bookmarkEnd w:id="13"/>
      <w:r/>
      <w:bookmarkEnd w:id="14"/>
      <w:r/>
      <w:bookmarkEnd w:id="15"/>
      <w:r>
        <w:rPr>
          <w:color w:val="000000"/>
        </w:rPr>
      </w:r>
      <w:r/>
    </w:p>
    <w:p>
      <w:pPr>
        <w:pStyle w:val="945"/>
        <w:ind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JSZC-321003-YZZK-G2024-0009</w:t>
      </w:r>
      <w:r>
        <w:rPr>
          <w:rFonts w:ascii="宋体" w:hAnsi="宋体"/>
          <w:color w:val="000000"/>
          <w:sz w:val="24"/>
          <w:szCs w:val="24"/>
        </w:rPr>
      </w:r>
      <w:r/>
    </w:p>
    <w:p>
      <w:pPr>
        <w:pStyle w:val="945"/>
        <w:ind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扬州市邗江生态环境局邗江区三座分布式水质净化站运维服务项目</w:t>
      </w:r>
      <w:r>
        <w:rPr>
          <w:rFonts w:ascii="宋体" w:hAnsi="宋体"/>
          <w:color w:val="000000"/>
          <w:sz w:val="24"/>
          <w:szCs w:val="24"/>
        </w:rPr>
      </w:r>
      <w:r/>
    </w:p>
    <w:p>
      <w:pPr>
        <w:pStyle w:val="945"/>
        <w:ind w:firstLine="480"/>
        <w:jc w:val="left"/>
        <w:pageBreakBefore w:val="0"/>
        <w:spacing w:line="360" w:lineRule="auto"/>
        <w:widowControl w:val="off"/>
        <w:rPr>
          <w:rFonts w:ascii="宋体" w:hAnsi="宋体" w:eastAsia="宋体"/>
          <w:color w:val="000000"/>
          <w:sz w:val="24"/>
          <w:szCs w:val="24"/>
          <w:lang w:val="en-US" w:eastAsia="zh-CN"/>
        </w:rPr>
      </w:pPr>
      <w:r/>
      <w:bookmarkEnd w:id="16"/>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992.8万元/两年</w:t>
      </w:r>
      <w:r>
        <w:rPr>
          <w:rFonts w:ascii="宋体" w:hAnsi="宋体" w:eastAsia="宋体"/>
          <w:color w:val="000000"/>
          <w:sz w:val="24"/>
          <w:szCs w:val="24"/>
          <w:lang w:val="en-US" w:eastAsia="zh-CN"/>
        </w:rPr>
      </w:r>
      <w:r/>
    </w:p>
    <w:p>
      <w:pPr>
        <w:pStyle w:val="945"/>
        <w:ind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4.本项目设定最高限价</w:t>
      </w:r>
      <w:r>
        <w:rPr>
          <w:rFonts w:hint="eastAsia" w:ascii="宋体" w:hAnsi="宋体"/>
          <w:color w:val="000000"/>
          <w:sz w:val="24"/>
          <w:szCs w:val="24"/>
          <w:lang w:eastAsia="zh-CN"/>
        </w:rPr>
        <w:t xml:space="preserve">：人民币</w:t>
      </w:r>
      <w:r>
        <w:rPr>
          <w:rFonts w:hint="eastAsia" w:ascii="宋体" w:hAnsi="宋体"/>
          <w:color w:val="000000"/>
          <w:sz w:val="24"/>
          <w:szCs w:val="24"/>
          <w:lang w:val="en-US" w:eastAsia="zh-CN"/>
        </w:rPr>
        <w:t xml:space="preserve">2</w:t>
      </w:r>
      <w:r>
        <w:rPr>
          <w:rFonts w:hint="eastAsia" w:ascii="宋体" w:hAnsi="宋体"/>
          <w:color w:val="000000"/>
          <w:sz w:val="24"/>
          <w:szCs w:val="24"/>
          <w:lang w:eastAsia="zh-CN"/>
        </w:rPr>
        <w:t xml:space="preserve">元/</w:t>
      </w:r>
      <w:r>
        <w:rPr>
          <w:rFonts w:hint="eastAsia" w:ascii="宋体" w:hAnsi="宋体"/>
          <w:color w:val="000000"/>
          <w:sz w:val="24"/>
          <w:szCs w:val="24"/>
          <w:lang w:val="en-US" w:eastAsia="zh-CN"/>
        </w:rPr>
        <w:t xml:space="preserve">吨。</w:t>
      </w:r>
      <w:r>
        <w:rPr>
          <w:rFonts w:hint="eastAsia" w:ascii="宋体" w:hAnsi="宋体"/>
          <w:color w:val="000000"/>
          <w:sz w:val="24"/>
          <w:szCs w:val="24"/>
          <w:lang w:eastAsia="zh-CN"/>
        </w:rPr>
        <w:t xml:space="preserve"> (含服务费、管理费、</w:t>
      </w:r>
      <w:r>
        <w:rPr>
          <w:rFonts w:hint="eastAsia" w:ascii="宋体" w:hAnsi="宋体"/>
          <w:color w:val="000000"/>
          <w:sz w:val="24"/>
          <w:szCs w:val="24"/>
          <w:lang w:val="en-US" w:eastAsia="zh-CN"/>
        </w:rPr>
        <w:t xml:space="preserve">设备维修费、</w:t>
      </w:r>
      <w:r>
        <w:rPr>
          <w:rFonts w:hint="eastAsia" w:ascii="宋体" w:hAnsi="宋体"/>
          <w:color w:val="000000"/>
          <w:sz w:val="24"/>
          <w:szCs w:val="24"/>
          <w:lang w:eastAsia="zh-CN"/>
        </w:rPr>
        <w:t xml:space="preserve">服务人员交通费及通讯费等) ，最后报价超过最高限价的为无效报价，按照无效响应处理。</w:t>
      </w:r>
      <w:r>
        <w:rPr>
          <w:rFonts w:ascii="宋体" w:hAnsi="宋体"/>
          <w:color w:val="000000"/>
          <w:sz w:val="24"/>
          <w:szCs w:val="24"/>
        </w:rPr>
      </w:r>
      <w:r/>
    </w:p>
    <w:p>
      <w:pPr>
        <w:pStyle w:val="945"/>
        <w:ind w:firstLine="480"/>
        <w:jc w:val="left"/>
        <w:pageBreakBefore w:val="0"/>
        <w:spacing w:line="36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45"/>
        <w:ind w:firstLine="480"/>
        <w:jc w:val="left"/>
        <w:pageBreakBefore w:val="0"/>
        <w:spacing w:line="360" w:lineRule="auto"/>
        <w:widowControl w:val="off"/>
        <w:rPr>
          <w:rFonts w:hint="eastAsia" w:ascii="宋体" w:hAnsi="宋体" w:eastAsia="宋体"/>
          <w:color w:val="000000"/>
          <w:sz w:val="24"/>
          <w:szCs w:val="24"/>
          <w:u w:val="single"/>
          <w:lang w:eastAsia="zh-CN"/>
        </w:rPr>
      </w:pPr>
      <w:r>
        <w:rPr>
          <w:rFonts w:hint="eastAsia" w:ascii="宋体" w:hAnsi="宋体"/>
          <w:color w:val="000000"/>
          <w:sz w:val="24"/>
          <w:szCs w:val="24"/>
        </w:rPr>
        <w:t xml:space="preserve">6.合同履行期限：自合同签订之日起</w:t>
      </w:r>
      <w:r>
        <w:rPr>
          <w:rFonts w:hint="eastAsia" w:ascii="宋体" w:hAnsi="宋体"/>
          <w:color w:val="000000"/>
          <w:sz w:val="24"/>
          <w:szCs w:val="24"/>
          <w:lang w:val="en-US" w:eastAsia="zh-CN"/>
        </w:rPr>
        <w:t xml:space="preserve">运维服务两</w:t>
      </w:r>
      <w:r>
        <w:rPr>
          <w:rFonts w:hint="eastAsia" w:ascii="宋体" w:hAnsi="宋体"/>
          <w:color w:val="000000"/>
          <w:sz w:val="24"/>
          <w:szCs w:val="24"/>
        </w:rPr>
        <w:t xml:space="preserve">年</w:t>
      </w:r>
      <w:r>
        <w:rPr>
          <w:rFonts w:hint="eastAsia" w:ascii="宋体" w:hAnsi="宋体"/>
          <w:color w:val="000000"/>
          <w:sz w:val="24"/>
          <w:szCs w:val="24"/>
          <w:lang w:eastAsia="zh-CN"/>
        </w:rPr>
        <w:t xml:space="preserve">。</w:t>
      </w:r>
      <w:r>
        <w:rPr>
          <w:rFonts w:hint="eastAsia" w:ascii="宋体" w:hAnsi="宋体" w:eastAsia="宋体"/>
          <w:color w:val="000000"/>
          <w:sz w:val="24"/>
          <w:szCs w:val="24"/>
          <w:u w:val="single"/>
          <w:lang w:eastAsia="zh-CN"/>
        </w:rPr>
      </w:r>
      <w:r/>
    </w:p>
    <w:p>
      <w:pPr>
        <w:pStyle w:val="948"/>
        <w:ind w:firstLine="498"/>
        <w:jc w:val="left"/>
        <w:pageBreakBefore w:val="0"/>
        <w:spacing w:before="145" w:after="145" w:line="240" w:lineRule="auto"/>
        <w:widowControl w:val="off"/>
        <w:rPr>
          <w:color w:val="000000"/>
        </w:rPr>
      </w:pPr>
      <w:r/>
      <w:bookmarkStart w:id="17" w:name="_Toc35393622"/>
      <w:r/>
      <w:bookmarkStart w:id="18" w:name="_Toc38985264"/>
      <w:r/>
      <w:bookmarkStart w:id="19" w:name="_Toc35393791"/>
      <w:r/>
      <w:bookmarkStart w:id="20" w:name="_Toc28359080"/>
      <w:r/>
      <w:bookmarkStart w:id="21" w:name="_Toc28359003"/>
      <w:r>
        <w:rPr>
          <w:rFonts w:hint="eastAsia"/>
          <w:color w:val="000000"/>
        </w:rPr>
        <w:t xml:space="preserve">二、申请人的资格要求：</w:t>
      </w:r>
      <w:bookmarkEnd w:id="17"/>
      <w:r/>
      <w:bookmarkEnd w:id="18"/>
      <w:r/>
      <w:bookmarkEnd w:id="19"/>
      <w:r/>
      <w:bookmarkEnd w:id="20"/>
      <w:r/>
      <w:bookmarkEnd w:id="21"/>
      <w:r>
        <w:rPr>
          <w:color w:val="000000"/>
        </w:rPr>
      </w:r>
      <w:r/>
    </w:p>
    <w:p>
      <w:pPr>
        <w:pStyle w:val="945"/>
        <w:ind w:firstLine="480"/>
        <w:jc w:val="left"/>
        <w:pageBreakBefore w:val="0"/>
        <w:spacing w:line="360" w:lineRule="auto"/>
        <w:widowControl w:val="off"/>
        <w:rPr>
          <w:rFonts w:hint="eastAsia" w:ascii="宋体" w:hAnsi="宋体"/>
          <w:color w:val="000000"/>
          <w:sz w:val="24"/>
          <w:szCs w:val="24"/>
        </w:rPr>
      </w:pPr>
      <w:r/>
      <w:bookmarkStart w:id="22" w:name="_Toc28359004"/>
      <w:r/>
      <w:bookmarkStart w:id="23" w:name="_Toc28359081"/>
      <w:r/>
      <w:bookmarkStart w:id="24" w:name="_Toc35393792"/>
      <w:r/>
      <w:bookmarkStart w:id="25" w:name="_Toc35393623"/>
      <w:r/>
      <w:bookmarkStart w:id="26"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45"/>
        <w:ind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45"/>
        <w:ind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45"/>
        <w:ind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945"/>
        <w:ind w:firstLine="480"/>
        <w:jc w:val="left"/>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45"/>
        <w:ind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45"/>
        <w:ind w:firstLine="480"/>
        <w:jc w:val="left"/>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45"/>
        <w:ind w:firstLine="480"/>
        <w:jc w:val="left"/>
        <w:pageBreakBefore w:val="0"/>
        <w:spacing w:line="360" w:lineRule="auto"/>
        <w:widowControl w:val="off"/>
        <w:rPr>
          <w:rFonts w:hint="eastAsia"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rPr>
      </w:r>
      <w:r/>
    </w:p>
    <w:p>
      <w:pPr>
        <w:pStyle w:val="945"/>
        <w:ind w:firstLine="480"/>
        <w:jc w:val="left"/>
        <w:pageBreakBefore w:val="0"/>
        <w:spacing w:line="360" w:lineRule="auto"/>
        <w:widowControl w:val="off"/>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r>
        <w:rPr>
          <w:rFonts w:hint="eastAsia" w:ascii="宋体" w:hAnsi="宋体" w:eastAsia="宋体" w:cs="宋体"/>
          <w:i/>
          <w:iCs/>
          <w:color w:val="000000"/>
          <w:sz w:val="24"/>
          <w:szCs w:val="24"/>
          <w:u w:val="single"/>
        </w:rPr>
        <w:t xml:space="preserve">根据《政府采购促进中小企业发展管理办法》的规定，本项目专门面向中小企业采购，投标人投标时须提供《中小企业申明函》，《中小企业申明函》不符合要求或未提供的，投标文件无效。</w:t>
      </w:r>
      <w:r>
        <w:rPr>
          <w:rFonts w:ascii="宋体" w:hAnsi="宋体" w:cs="宋体"/>
          <w:color w:val="000000"/>
          <w:sz w:val="24"/>
          <w:szCs w:val="24"/>
        </w:rPr>
      </w:r>
      <w:r/>
    </w:p>
    <w:p>
      <w:pPr>
        <w:pStyle w:val="945"/>
        <w:ind w:firstLine="480"/>
        <w:jc w:val="left"/>
        <w:pageBreakBefore w:val="0"/>
        <w:spacing w:line="360" w:lineRule="auto"/>
        <w:widowControl w:val="off"/>
        <w:rPr>
          <w:rFonts w:ascii="宋体" w:hAnsi="宋体" w:cs="宋体"/>
          <w:color w:val="000000"/>
          <w:sz w:val="24"/>
          <w:szCs w:val="24"/>
        </w:rPr>
      </w:pPr>
      <w:r>
        <w:rPr>
          <w:rFonts w:hint="eastAsia" w:ascii="宋体" w:hAnsi="宋体"/>
          <w:color w:val="000000"/>
          <w:sz w:val="24"/>
          <w:szCs w:val="24"/>
        </w:rPr>
        <w:t xml:space="preserve">4.本项目</w:t>
      </w:r>
      <w:r>
        <w:rPr>
          <w:rFonts w:hint="eastAsia" w:ascii="宋体" w:hAnsi="宋体"/>
          <w:color w:val="000000"/>
          <w:sz w:val="24"/>
          <w:szCs w:val="24"/>
          <w:u w:val="single"/>
        </w:rPr>
        <w:t xml:space="preserve">不接受</w:t>
      </w:r>
      <w:r>
        <w:rPr>
          <w:rFonts w:hint="eastAsia" w:ascii="宋体" w:hAnsi="宋体"/>
          <w:color w:val="000000"/>
          <w:sz w:val="24"/>
          <w:szCs w:val="24"/>
        </w:rPr>
        <w:t xml:space="preserve">联合体投标</w:t>
      </w:r>
      <w:r>
        <w:rPr>
          <w:rFonts w:ascii="宋体" w:hAnsi="宋体" w:cs="宋体"/>
          <w:color w:val="000000"/>
          <w:sz w:val="24"/>
          <w:szCs w:val="24"/>
        </w:rPr>
      </w:r>
      <w:r/>
    </w:p>
    <w:p>
      <w:pPr>
        <w:pStyle w:val="945"/>
        <w:ind w:firstLine="480"/>
        <w:jc w:val="left"/>
        <w:pageBreakBefore w:val="0"/>
        <w:spacing w:line="360" w:lineRule="auto"/>
        <w:widowControl w:val="off"/>
        <w:rPr>
          <w:rFonts w:ascii="宋体" w:hAnsi="宋体" w:eastAsia="宋体"/>
          <w:color w:val="000000"/>
          <w:sz w:val="24"/>
          <w:szCs w:val="24"/>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宋体"/>
          <w:i/>
          <w:iCs/>
          <w:color w:val="000000"/>
          <w:sz w:val="24"/>
          <w:szCs w:val="24"/>
          <w:u w:val="single"/>
          <w:lang w:eastAsia="zh-CN"/>
        </w:rPr>
        <w:t xml:space="preserve">投标人具备有效期内的环保工程专业承包叁级及以上资质（提供证书</w:t>
      </w:r>
      <w:r>
        <w:rPr>
          <w:rFonts w:hint="eastAsia" w:ascii="宋体" w:hAnsi="宋体" w:eastAsia="宋体" w:cs="宋体"/>
          <w:i/>
          <w:iCs/>
          <w:color w:val="000000"/>
          <w:sz w:val="24"/>
          <w:szCs w:val="24"/>
          <w:u w:val="single"/>
          <w:lang w:val="en-US" w:eastAsia="zh-CN"/>
        </w:rPr>
        <w:t xml:space="preserve">扫描件上传系统</w:t>
      </w:r>
      <w:r>
        <w:rPr>
          <w:rFonts w:hint="eastAsia" w:ascii="宋体" w:hAnsi="宋体" w:eastAsia="宋体" w:cs="宋体"/>
          <w:i/>
          <w:iCs/>
          <w:color w:val="000000"/>
          <w:sz w:val="24"/>
          <w:szCs w:val="24"/>
          <w:u w:val="single"/>
          <w:lang w:eastAsia="zh-CN"/>
        </w:rPr>
        <w:t xml:space="preserve">）</w:t>
      </w:r>
      <w:r>
        <w:rPr>
          <w:rFonts w:ascii="宋体" w:hAnsi="宋体" w:eastAsia="宋体"/>
          <w:color w:val="000000"/>
          <w:sz w:val="24"/>
          <w:szCs w:val="24"/>
          <w:lang w:val="en-US" w:eastAsia="zh-CN"/>
        </w:rPr>
      </w:r>
      <w:r/>
    </w:p>
    <w:p>
      <w:pPr>
        <w:pStyle w:val="948"/>
        <w:ind w:firstLine="498"/>
        <w:jc w:val="left"/>
        <w:pageBreakBefore w:val="0"/>
        <w:spacing w:before="145" w:after="145" w:line="240" w:lineRule="auto"/>
        <w:widowControl w:val="off"/>
        <w:rPr>
          <w:color w:val="000000"/>
        </w:rPr>
      </w:pPr>
      <w:r>
        <w:rPr>
          <w:rFonts w:hint="eastAsia"/>
          <w:color w:val="000000"/>
        </w:rPr>
        <w:t xml:space="preserve">三、获取招标文件</w:t>
      </w:r>
      <w:bookmarkEnd w:id="22"/>
      <w:r/>
      <w:bookmarkEnd w:id="23"/>
      <w:r/>
      <w:bookmarkEnd w:id="24"/>
      <w:r/>
      <w:bookmarkEnd w:id="25"/>
      <w:r/>
      <w:bookmarkEnd w:id="26"/>
      <w:r>
        <w:rPr>
          <w:color w:val="000000"/>
        </w:rPr>
      </w:r>
      <w:r/>
    </w:p>
    <w:p>
      <w:pPr>
        <w:pStyle w:val="945"/>
        <w:ind w:firstLine="540"/>
        <w:jc w:val="left"/>
        <w:spacing w:line="360" w:lineRule="auto"/>
        <w:rPr>
          <w:rFonts w:hint="eastAsia" w:ascii="宋体" w:hAnsi="宋体" w:eastAsia="宋体" w:cs="宋体"/>
        </w:rPr>
      </w:pPr>
      <w:r/>
      <w:bookmarkStart w:id="27" w:name="_Toc28359082"/>
      <w:r/>
      <w:bookmarkStart w:id="28" w:name="_Toc28359005"/>
      <w:r/>
      <w:bookmarkStart w:id="29" w:name="_Toc38985266"/>
      <w:r/>
      <w:bookmarkStart w:id="30" w:name="_Toc35393793"/>
      <w:r/>
      <w:bookmarkStart w:id="31" w:name="_Toc35393624"/>
      <w:r>
        <w:rPr>
          <w:rFonts w:hint="eastAsia" w:ascii="宋体" w:hAnsi="宋体" w:eastAsia="宋体" w:cs="宋体"/>
        </w:rPr>
        <w:t xml:space="preserve">1.时间：自招标文件公告发布之日起5个工作日。5个工作日后仍可下载招标文件，但不作为供应商权益受到损害的证明材料和依据。</w:t>
      </w:r>
      <w:r>
        <w:rPr>
          <w:rFonts w:hint="eastAsia" w:ascii="宋体" w:hAnsi="宋体" w:eastAsia="宋体" w:cs="宋体"/>
        </w:rPr>
      </w:r>
      <w:r/>
    </w:p>
    <w:p>
      <w:pPr>
        <w:pStyle w:val="945"/>
        <w:ind w:firstLine="540"/>
        <w:jc w:val="left"/>
        <w:spacing w:line="360" w:lineRule="auto"/>
        <w:rPr>
          <w:rFonts w:hint="eastAsia" w:ascii="宋体" w:hAnsi="宋体" w:eastAsia="宋体" w:cs="宋体"/>
        </w:rPr>
      </w:pPr>
      <w:r>
        <w:rPr>
          <w:rFonts w:hint="eastAsia" w:ascii="宋体" w:hAnsi="宋体" w:eastAsia="宋体" w:cs="宋体"/>
        </w:rPr>
        <w:t xml:space="preserve">2.获取方式：本项目采用网上注册登记方式。</w:t>
      </w:r>
      <w:r>
        <w:rPr>
          <w:rFonts w:hint="eastAsia" w:ascii="宋体" w:hAnsi="宋体" w:eastAsia="宋体" w:cs="宋体"/>
        </w:rPr>
      </w:r>
      <w:r/>
    </w:p>
    <w:p>
      <w:pPr>
        <w:pStyle w:val="945"/>
        <w:ind w:firstLine="540"/>
        <w:jc w:val="left"/>
        <w:spacing w:line="360" w:lineRule="auto"/>
        <w:rPr>
          <w:rFonts w:hint="eastAsia" w:ascii="宋体" w:hAnsi="宋体" w:eastAsia="宋体" w:cs="宋体"/>
        </w:rPr>
      </w:pPr>
      <w:r>
        <w:rPr>
          <w:rFonts w:hint="eastAsia" w:ascii="宋体" w:hAnsi="宋体" w:eastAsia="宋体" w:cs="宋体"/>
        </w:rPr>
        <w:t xml:space="preserve">3.潜在供应商访问政府采购管理交易系统（苏采云）的网络地址和方法：</w:t>
      </w:r>
      <w:r>
        <w:rPr>
          <w:rFonts w:hint="eastAsia" w:ascii="宋体" w:hAnsi="宋体" w:eastAsia="宋体" w:cs="宋体"/>
        </w:rPr>
      </w:r>
      <w:r/>
    </w:p>
    <w:p>
      <w:pPr>
        <w:pStyle w:val="945"/>
        <w:ind w:firstLine="540"/>
        <w:jc w:val="left"/>
        <w:spacing w:line="360" w:lineRule="auto"/>
        <w:rPr>
          <w:rFonts w:hint="eastAsia" w:ascii="宋体" w:hAnsi="宋体" w:eastAsia="宋体" w:cs="宋体"/>
        </w:rPr>
      </w:pPr>
      <w:r>
        <w:rPr>
          <w:rFonts w:hint="eastAsia" w:ascii="宋体" w:hAnsi="宋体" w:eastAsia="宋体" w:cs="宋体"/>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rPr>
      </w:r>
      <w:r/>
    </w:p>
    <w:p>
      <w:pPr>
        <w:pStyle w:val="945"/>
        <w:ind w:firstLine="540"/>
        <w:jc w:val="left"/>
        <w:spacing w:line="360" w:lineRule="auto"/>
        <w:rPr>
          <w:rFonts w:hint="eastAsia" w:ascii="宋体" w:hAnsi="宋体" w:eastAsia="宋体" w:cs="宋体"/>
        </w:rPr>
      </w:pPr>
      <w:r>
        <w:rPr>
          <w:rFonts w:hint="eastAsia" w:ascii="宋体" w:hAnsi="宋体" w:eastAsia="宋体" w:cs="宋体"/>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rPr>
      </w:r>
      <w:r/>
    </w:p>
    <w:p>
      <w:pPr>
        <w:pStyle w:val="945"/>
        <w:ind w:firstLine="540"/>
        <w:jc w:val="left"/>
        <w:spacing w:line="360" w:lineRule="auto"/>
        <w:rPr>
          <w:rFonts w:hint="eastAsia" w:ascii="宋体" w:hAnsi="宋体" w:eastAsia="宋体" w:cs="宋体"/>
        </w:rPr>
      </w:pPr>
      <w:r>
        <w:rPr>
          <w:rFonts w:hint="eastAsia" w:ascii="宋体" w:hAnsi="宋体" w:eastAsia="宋体" w:cs="宋体"/>
        </w:rPr>
        <w:t xml:space="preserve">（3）“CA数字证书”的办理材料以及供应商操作手册详见：</w:t>
      </w:r>
      <w:r>
        <w:rPr>
          <w:rFonts w:hint="eastAsia" w:ascii="宋体" w:hAnsi="宋体" w:eastAsia="宋体" w:cs="宋体"/>
        </w:rPr>
      </w:r>
      <w:r/>
    </w:p>
    <w:p>
      <w:pPr>
        <w:pStyle w:val="945"/>
        <w:ind w:firstLine="540"/>
        <w:jc w:val="left"/>
        <w:spacing w:line="360" w:lineRule="auto"/>
        <w:rPr>
          <w:rFonts w:hint="eastAsia" w:ascii="宋体" w:hAnsi="宋体" w:eastAsia="宋体" w:cs="宋体"/>
        </w:rPr>
      </w:pPr>
      <w:r>
        <w:rPr>
          <w:rFonts w:hint="eastAsia" w:ascii="宋体" w:hAnsi="宋体" w:eastAsia="宋体" w:cs="宋体"/>
        </w:rPr>
        <w:t xml:space="preserve">http://zfcg.yangzhou.gov.cn/xzzx/art/2023/art_4d7de1f7865f4a2894fc22bc452f94d8.html</w:t>
      </w:r>
      <w:r>
        <w:rPr>
          <w:rFonts w:hint="eastAsia" w:ascii="宋体" w:hAnsi="宋体" w:eastAsia="宋体" w:cs="宋体"/>
        </w:rPr>
      </w:r>
      <w:r/>
    </w:p>
    <w:p>
      <w:pPr>
        <w:pStyle w:val="945"/>
        <w:ind w:firstLine="540"/>
        <w:jc w:val="left"/>
        <w:spacing w:line="360" w:lineRule="auto"/>
        <w:rPr>
          <w:rFonts w:hint="eastAsia" w:ascii="宋体" w:hAnsi="宋体" w:eastAsia="宋体" w:cs="宋体"/>
        </w:rPr>
      </w:pPr>
      <w:r>
        <w:rPr>
          <w:rFonts w:hint="eastAsia" w:ascii="宋体" w:hAnsi="宋体" w:eastAsia="宋体" w:cs="宋体"/>
        </w:rPr>
        <w:t xml:space="preserve">（4）潜在供应商访问“苏采云”系统的网络地址和方法：“苏采云”系统的网址：http://jszfcg.jsczt.cn/。</w:t>
      </w:r>
      <w:r>
        <w:rPr>
          <w:rFonts w:hint="eastAsia" w:ascii="宋体" w:hAnsi="宋体" w:eastAsia="宋体" w:cs="宋体"/>
        </w:rPr>
      </w:r>
      <w:r/>
    </w:p>
    <w:p>
      <w:pPr>
        <w:pStyle w:val="945"/>
        <w:ind w:firstLine="540"/>
        <w:jc w:val="left"/>
        <w:spacing w:line="360" w:lineRule="auto"/>
        <w:rPr>
          <w:rFonts w:hint="eastAsia" w:ascii="宋体" w:hAnsi="宋体" w:eastAsia="宋体" w:cs="宋体"/>
        </w:rPr>
      </w:pPr>
      <w:r>
        <w:rPr>
          <w:rFonts w:hint="eastAsia" w:ascii="宋体" w:hAnsi="宋体" w:eastAsia="宋体" w:cs="宋体"/>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rPr>
      </w:r>
      <w:r/>
    </w:p>
    <w:p>
      <w:pPr>
        <w:pStyle w:val="945"/>
        <w:ind w:firstLine="540"/>
        <w:jc w:val="left"/>
        <w:spacing w:line="360" w:lineRule="auto"/>
        <w:rPr>
          <w:rFonts w:hint="eastAsia" w:ascii="宋体" w:hAnsi="宋体" w:eastAsia="宋体" w:cs="宋体"/>
        </w:rPr>
      </w:pPr>
      <w:r>
        <w:rPr>
          <w:rFonts w:hint="eastAsia" w:ascii="宋体" w:hAnsi="宋体" w:eastAsia="宋体" w:cs="宋体"/>
        </w:rPr>
        <w:t xml:space="preserve">（6）招标代理机构（采购代理机构）将数据电文形式的采购文件加载至“苏采云”系统，供潜在供应商下载或者查阅。     </w:t>
      </w:r>
      <w:r>
        <w:rPr>
          <w:rFonts w:hint="eastAsia" w:ascii="宋体" w:hAnsi="宋体" w:eastAsia="宋体" w:cs="宋体"/>
        </w:rPr>
      </w:r>
      <w:r/>
    </w:p>
    <w:p>
      <w:pPr>
        <w:pStyle w:val="945"/>
        <w:ind w:firstLine="540"/>
        <w:jc w:val="left"/>
        <w:spacing w:line="360" w:lineRule="auto"/>
        <w:rPr>
          <w:rFonts w:hint="eastAsia" w:ascii="宋体" w:hAnsi="宋体" w:eastAsia="宋体" w:cs="宋体"/>
        </w:rPr>
      </w:pPr>
      <w:r>
        <w:rPr>
          <w:rFonts w:hint="eastAsia" w:ascii="宋体" w:hAnsi="宋体" w:eastAsia="宋体" w:cs="宋体"/>
        </w:rPr>
        <w:t xml:space="preserve">（7）苏采云系统使用谷歌浏览器参与不见面开标。</w:t>
      </w:r>
      <w:r>
        <w:rPr>
          <w:rFonts w:hint="eastAsia" w:ascii="宋体" w:hAnsi="宋体" w:eastAsia="宋体" w:cs="宋体"/>
        </w:rPr>
      </w:r>
      <w:r/>
    </w:p>
    <w:p>
      <w:pPr>
        <w:pStyle w:val="948"/>
        <w:ind w:firstLine="498"/>
        <w:jc w:val="left"/>
        <w:pageBreakBefore w:val="0"/>
        <w:spacing w:before="145" w:after="145" w:line="240" w:lineRule="auto"/>
        <w:widowControl w:val="off"/>
        <w:rPr>
          <w:color w:val="000000"/>
        </w:rPr>
      </w:pPr>
      <w:r>
        <w:rPr>
          <w:rFonts w:hint="eastAsia"/>
          <w:color w:val="000000"/>
        </w:rPr>
        <w:t xml:space="preserve">四、提交投标文件</w:t>
      </w:r>
      <w:bookmarkEnd w:id="27"/>
      <w:r/>
      <w:bookmarkEnd w:id="28"/>
      <w:r>
        <w:rPr>
          <w:rFonts w:hint="eastAsia"/>
          <w:color w:val="000000"/>
        </w:rPr>
        <w:t xml:space="preserve">截止时间、开标时间和地点</w:t>
      </w:r>
      <w:bookmarkEnd w:id="29"/>
      <w:r/>
      <w:bookmarkEnd w:id="30"/>
      <w:r/>
      <w:bookmarkEnd w:id="31"/>
      <w:r>
        <w:rPr>
          <w:color w:val="000000"/>
        </w:rPr>
      </w:r>
      <w:r/>
    </w:p>
    <w:p>
      <w:pPr>
        <w:pStyle w:val="945"/>
        <w:ind w:firstLine="480"/>
        <w:jc w:val="left"/>
        <w:pageBreakBefore w:val="0"/>
        <w:spacing w:line="360" w:lineRule="auto"/>
        <w:widowControl w:val="off"/>
        <w:rPr>
          <w:rFonts w:hint="eastAsia" w:ascii="宋体" w:hAnsi="宋体" w:eastAsia="宋体" w:cs="Times New Roman"/>
          <w:bCs/>
          <w:color w:val="000000"/>
          <w:sz w:val="24"/>
          <w:szCs w:val="24"/>
          <w:u w:val="single"/>
        </w:rPr>
      </w:pPr>
      <w:r>
        <w:rPr>
          <w:rFonts w:hint="eastAsia" w:ascii="宋体" w:hAnsi="宋体" w:eastAsia="宋体" w:cs="Times New Roman"/>
          <w:bCs/>
          <w:color w:val="000000"/>
          <w:sz w:val="24"/>
          <w:szCs w:val="24"/>
          <w:u w:val="single"/>
        </w:rPr>
        <w:t xml:space="preserve">1.</w:t>
      </w:r>
      <w:r>
        <w:rPr>
          <w:rFonts w:hint="eastAsia" w:ascii="宋体" w:hAnsi="宋体" w:eastAsia="宋体" w:cs="Times New Roman"/>
          <w:bCs/>
          <w:color w:val="000000"/>
          <w:sz w:val="24"/>
          <w:szCs w:val="24"/>
          <w:u w:val="single"/>
          <w:lang w:val="en-US" w:eastAsia="zh-CN"/>
        </w:rPr>
        <w:t xml:space="preserve">2024</w:t>
      </w:r>
      <w:r>
        <w:rPr>
          <w:rFonts w:hint="eastAsia" w:ascii="宋体" w:hAnsi="宋体" w:eastAsia="宋体" w:cs="Times New Roman"/>
          <w:bCs/>
          <w:color w:val="000000"/>
          <w:sz w:val="24"/>
          <w:szCs w:val="24"/>
          <w:u w:val="single"/>
        </w:rPr>
        <w:t xml:space="preserve">年</w:t>
      </w:r>
      <w:r>
        <w:rPr>
          <w:rFonts w:hint="eastAsia" w:ascii="宋体" w:hAnsi="宋体" w:eastAsia="宋体" w:cs="Times New Roman"/>
          <w:bCs/>
          <w:color w:val="000000"/>
          <w:sz w:val="24"/>
          <w:szCs w:val="24"/>
          <w:u w:val="single"/>
          <w:lang w:val="en-US" w:eastAsia="zh-CN"/>
        </w:rPr>
        <w:t xml:space="preserve">12</w:t>
      </w:r>
      <w:r>
        <w:rPr>
          <w:rFonts w:hint="eastAsia" w:ascii="宋体" w:hAnsi="宋体" w:eastAsia="宋体" w:cs="Times New Roman"/>
          <w:bCs/>
          <w:color w:val="000000"/>
          <w:sz w:val="24"/>
          <w:szCs w:val="24"/>
          <w:u w:val="single"/>
        </w:rPr>
        <w:t xml:space="preserve">月</w:t>
      </w:r>
      <w:r>
        <w:rPr>
          <w:rFonts w:hint="eastAsia" w:ascii="宋体" w:hAnsi="宋体" w:eastAsia="宋体" w:cs="Times New Roman"/>
          <w:bCs/>
          <w:color w:val="000000"/>
          <w:sz w:val="24"/>
          <w:szCs w:val="24"/>
          <w:u w:val="single"/>
          <w:lang w:val="en-US" w:eastAsia="zh-CN"/>
        </w:rPr>
        <w:t xml:space="preserve">24</w:t>
      </w:r>
      <w:r>
        <w:rPr>
          <w:rFonts w:hint="eastAsia" w:ascii="宋体" w:hAnsi="宋体" w:eastAsia="宋体" w:cs="Times New Roman"/>
          <w:bCs/>
          <w:color w:val="000000"/>
          <w:sz w:val="24"/>
          <w:szCs w:val="24"/>
          <w:u w:val="single"/>
        </w:rPr>
        <w:t xml:space="preserve">日</w:t>
      </w:r>
      <w:r>
        <w:rPr>
          <w:rFonts w:hint="eastAsia" w:ascii="宋体" w:hAnsi="宋体" w:eastAsia="宋体" w:cs="Times New Roman"/>
          <w:bCs/>
          <w:color w:val="000000"/>
          <w:sz w:val="24"/>
          <w:szCs w:val="24"/>
          <w:u w:val="single"/>
          <w:lang w:val="en-US" w:eastAsia="zh-CN"/>
        </w:rPr>
        <w:t xml:space="preserve">09</w:t>
      </w:r>
      <w:r>
        <w:rPr>
          <w:rFonts w:hint="eastAsia" w:ascii="宋体" w:hAnsi="宋体" w:eastAsia="宋体" w:cs="Times New Roman"/>
          <w:bCs/>
          <w:color w:val="000000"/>
          <w:sz w:val="24"/>
          <w:szCs w:val="24"/>
          <w:u w:val="single"/>
        </w:rPr>
        <w:t xml:space="preserve">点</w:t>
      </w:r>
      <w:r>
        <w:rPr>
          <w:rFonts w:hint="eastAsia" w:ascii="宋体" w:hAnsi="宋体" w:eastAsia="宋体" w:cs="Times New Roman"/>
          <w:bCs/>
          <w:color w:val="000000"/>
          <w:sz w:val="24"/>
          <w:szCs w:val="24"/>
          <w:u w:val="single"/>
          <w:lang w:val="en-US" w:eastAsia="zh-CN"/>
        </w:rPr>
        <w:t xml:space="preserve">30</w:t>
      </w:r>
      <w:r>
        <w:rPr>
          <w:rFonts w:hint="eastAsia" w:ascii="宋体" w:hAnsi="宋体" w:eastAsia="宋体" w:cs="Times New Roman"/>
          <w:bCs/>
          <w:color w:val="000000"/>
          <w:sz w:val="24"/>
          <w:szCs w:val="24"/>
          <w:u w:val="single"/>
        </w:rPr>
        <w:t xml:space="preserve">分（北京时间）</w:t>
      </w:r>
      <w:r>
        <w:rPr>
          <w:rFonts w:hint="eastAsia" w:ascii="宋体" w:hAnsi="宋体" w:eastAsia="宋体" w:cs="Times New Roman"/>
          <w:bCs/>
          <w:color w:val="000000"/>
          <w:sz w:val="24"/>
          <w:szCs w:val="24"/>
          <w:u w:val="single"/>
        </w:rPr>
      </w:r>
      <w:r/>
    </w:p>
    <w:p>
      <w:pPr>
        <w:pStyle w:val="945"/>
        <w:ind w:firstLine="480"/>
        <w:jc w:val="left"/>
        <w:pageBreakBefore w:val="0"/>
        <w:spacing w:line="360" w:lineRule="auto"/>
        <w:widowControl w:val="off"/>
        <w:rPr>
          <w:rFonts w:hint="eastAsia" w:ascii="宋体" w:hAnsi="宋体" w:eastAsia="宋体" w:cs="Times New Roman"/>
          <w:bCs/>
          <w:color w:val="000000"/>
          <w:sz w:val="24"/>
          <w:szCs w:val="24"/>
          <w:u w:val="none"/>
        </w:rPr>
      </w:pPr>
      <w:r>
        <w:rPr>
          <w:rFonts w:hint="eastAsia" w:ascii="宋体" w:hAnsi="宋体" w:eastAsia="宋体" w:cs="Times New Roman"/>
          <w:bCs/>
          <w:color w:val="000000"/>
          <w:sz w:val="24"/>
          <w:szCs w:val="24"/>
          <w:u w:val="none"/>
        </w:rPr>
        <w:t xml:space="preserve">2.地点：“苏采云”政府采购交易系统网上开标大厅。</w:t>
      </w:r>
      <w:r>
        <w:rPr>
          <w:rFonts w:hint="eastAsia" w:ascii="宋体" w:hAnsi="宋体" w:eastAsia="宋体" w:cs="Times New Roman"/>
          <w:bCs/>
          <w:color w:val="000000"/>
          <w:sz w:val="24"/>
          <w:szCs w:val="24"/>
          <w:u w:val="none"/>
        </w:rPr>
      </w:r>
      <w:r/>
    </w:p>
    <w:p>
      <w:pPr>
        <w:pStyle w:val="948"/>
        <w:ind w:firstLine="498"/>
        <w:jc w:val="left"/>
        <w:pageBreakBefore w:val="0"/>
        <w:spacing w:before="145" w:after="145" w:line="240" w:lineRule="auto"/>
        <w:widowControl w:val="off"/>
        <w:rPr>
          <w:color w:val="000000"/>
        </w:rPr>
      </w:pPr>
      <w:r/>
      <w:bookmarkStart w:id="32" w:name="_Toc35393794"/>
      <w:r/>
      <w:bookmarkStart w:id="33" w:name="_Toc28359084"/>
      <w:r/>
      <w:bookmarkStart w:id="34" w:name="_Toc28359007"/>
      <w:r/>
      <w:bookmarkStart w:id="35" w:name="_Toc35393625"/>
      <w:r/>
      <w:bookmarkStart w:id="36" w:name="_Toc38985267"/>
      <w:r>
        <w:rPr>
          <w:rFonts w:hint="eastAsia"/>
          <w:color w:val="000000"/>
        </w:rPr>
        <w:t xml:space="preserve">五、公告期限</w:t>
      </w:r>
      <w:bookmarkEnd w:id="32"/>
      <w:r/>
      <w:bookmarkEnd w:id="33"/>
      <w:r/>
      <w:bookmarkEnd w:id="34"/>
      <w:r/>
      <w:bookmarkEnd w:id="35"/>
      <w:r/>
      <w:bookmarkEnd w:id="36"/>
      <w:r>
        <w:rPr>
          <w:color w:val="000000"/>
        </w:rPr>
      </w:r>
      <w:r/>
    </w:p>
    <w:p>
      <w:pPr>
        <w:pStyle w:val="945"/>
        <w:ind w:firstLine="480"/>
        <w:jc w:val="left"/>
        <w:pageBreakBefore w:val="0"/>
        <w:spacing w:line="360" w:lineRule="auto"/>
        <w:widowControl w:val="off"/>
        <w:rPr>
          <w:rFonts w:ascii="宋体" w:hAnsi="宋体" w:cs="宋体"/>
          <w:color w:val="000000"/>
          <w:sz w:val="24"/>
          <w:szCs w:val="24"/>
        </w:rPr>
      </w:pPr>
      <w:r/>
      <w:bookmarkStart w:id="37" w:name="_Toc38985268"/>
      <w:r/>
      <w:bookmarkStart w:id="38" w:name="_Toc35393626"/>
      <w:r/>
      <w:bookmarkStart w:id="39" w:name="_Toc35393795"/>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948"/>
        <w:ind w:firstLine="498"/>
        <w:jc w:val="left"/>
        <w:pageBreakBefore w:val="0"/>
        <w:spacing w:before="145" w:after="145" w:line="240" w:lineRule="auto"/>
        <w:widowControl w:val="off"/>
        <w:rPr>
          <w:color w:val="000000"/>
        </w:rPr>
      </w:pPr>
      <w:r>
        <w:rPr>
          <w:rFonts w:hint="eastAsia"/>
          <w:color w:val="000000"/>
        </w:rPr>
        <w:t xml:space="preserve">六、其他补充事宜</w:t>
      </w:r>
      <w:bookmarkEnd w:id="37"/>
      <w:r/>
      <w:bookmarkEnd w:id="38"/>
      <w:r/>
      <w:bookmarkEnd w:id="39"/>
      <w:r>
        <w:rPr>
          <w:color w:val="000000"/>
        </w:rPr>
      </w:r>
      <w:r/>
    </w:p>
    <w:p>
      <w:pPr>
        <w:pStyle w:val="945"/>
        <w:ind w:firstLine="422"/>
        <w:spacing w:line="360" w:lineRule="auto"/>
        <w:rPr>
          <w:rFonts w:ascii="宋体" w:hAnsi="宋体" w:cs="宋体"/>
          <w:b/>
          <w:bCs/>
          <w:color w:val="000000"/>
          <w:szCs w:val="21"/>
        </w:rPr>
      </w:pPr>
      <w:r/>
      <w:bookmarkStart w:id="40" w:name="_Toc35393627"/>
      <w:r/>
      <w:bookmarkStart w:id="41" w:name="_Toc28359008"/>
      <w:r/>
      <w:bookmarkStart w:id="42" w:name="_Toc35393796"/>
      <w:r/>
      <w:bookmarkStart w:id="43" w:name="_Toc28359085"/>
      <w:r/>
      <w:bookmarkStart w:id="44" w:name="_Toc38985269"/>
      <w:r>
        <w:rPr>
          <w:rFonts w:hint="eastAsia" w:ascii="宋体" w:hAnsi="宋体" w:cs="宋体"/>
          <w:b/>
          <w:bCs/>
          <w:color w:val="000000"/>
          <w:szCs w:val="21"/>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rPr>
          <w:rFonts w:ascii="宋体" w:hAnsi="宋体" w:cs="宋体"/>
          <w:b/>
          <w:bCs/>
          <w:color w:val="000000"/>
          <w:szCs w:val="21"/>
        </w:rPr>
      </w:r>
      <w:r/>
    </w:p>
    <w:p>
      <w:pPr>
        <w:pStyle w:val="945"/>
        <w:ind w:firstLine="422"/>
        <w:spacing w:line="360" w:lineRule="auto"/>
        <w:rPr>
          <w:rFonts w:ascii="宋体" w:hAnsi="宋体" w:cs="宋体"/>
          <w:b/>
          <w:bCs/>
          <w:color w:val="000000"/>
          <w:szCs w:val="21"/>
        </w:rPr>
      </w:pPr>
      <w:r>
        <w:rPr>
          <w:rFonts w:hint="eastAsia" w:ascii="宋体" w:hAnsi="宋体" w:cs="宋体"/>
          <w:b/>
          <w:bCs/>
          <w:color w:val="000000"/>
          <w:szCs w:val="21"/>
        </w:rPr>
        <w:t xml:space="preserve">2.供应商如确定参加</w:t>
      </w:r>
      <w:r>
        <w:rPr>
          <w:rFonts w:hint="eastAsia" w:ascii="宋体" w:hAnsi="宋体" w:cs="宋体"/>
          <w:b/>
          <w:bCs/>
          <w:color w:val="000000"/>
          <w:szCs w:val="21"/>
          <w:lang w:val="en-US" w:eastAsia="zh-CN"/>
        </w:rPr>
        <w:t xml:space="preserve">投标</w:t>
      </w:r>
      <w:r>
        <w:rPr>
          <w:rFonts w:hint="eastAsia" w:ascii="宋体" w:hAnsi="宋体" w:cs="宋体"/>
          <w:b/>
          <w:bCs/>
          <w:color w:val="000000"/>
          <w:szCs w:val="21"/>
        </w:rPr>
        <w:t xml:space="preserve">，可自行下载采购文件及有关资料，按照《操作手册》进行注册，领取CA和办理电子签章，并按《操作手册》要求制作、上传电子投标文件，技术支持联系方式：13813140731。</w:t>
      </w:r>
      <w:r>
        <w:rPr>
          <w:rFonts w:ascii="宋体" w:hAnsi="宋体" w:cs="宋体"/>
          <w:b/>
          <w:bCs/>
          <w:color w:val="000000"/>
          <w:szCs w:val="21"/>
        </w:rPr>
      </w:r>
      <w:r/>
    </w:p>
    <w:p>
      <w:pPr>
        <w:pStyle w:val="945"/>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cs="宋体"/>
          <w:b/>
          <w:color w:val="000000"/>
          <w:szCs w:val="21"/>
        </w:rPr>
      </w:r>
      <w:r/>
    </w:p>
    <w:p>
      <w:pPr>
        <w:pStyle w:val="945"/>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4.严格执行政府采购关于支持节能</w:t>
      </w:r>
      <w:r>
        <w:rPr>
          <w:rFonts w:hint="eastAsia" w:ascii="宋体" w:hAnsi="宋体" w:cs="宋体"/>
          <w:b/>
          <w:color w:val="000000"/>
          <w:szCs w:val="21"/>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rPr>
          <w:rFonts w:ascii="宋体" w:hAnsi="宋体" w:cs="宋体"/>
          <w:b/>
          <w:color w:val="000000"/>
          <w:szCs w:val="21"/>
        </w:rPr>
      </w:r>
      <w:r/>
    </w:p>
    <w:p>
      <w:pPr>
        <w:pStyle w:val="945"/>
        <w:ind w:firstLine="422"/>
        <w:jc w:val="left"/>
        <w:spacing w:line="360" w:lineRule="auto"/>
        <w:widowControl/>
        <w:rPr>
          <w:color w:val="000000"/>
        </w:rPr>
      </w:pPr>
      <w:r>
        <w:rPr>
          <w:rFonts w:hint="eastAsia" w:ascii="宋体" w:hAnsi="宋体" w:cs="宋体"/>
          <w:b/>
          <w:color w:val="000000"/>
          <w:szCs w:val="21"/>
        </w:rPr>
        <w:t xml:space="preserve">5.供应商对于投标产品的包装应按照“财办库[2020]123号《关于印发《商品包装政府采购需求标准（试行）》、《快递包装政府采购需求标准（试行）的通知》”执行。</w:t>
      </w:r>
      <w:r>
        <w:rPr>
          <w:color w:val="000000"/>
        </w:rPr>
      </w:r>
      <w:r/>
    </w:p>
    <w:p>
      <w:pPr>
        <w:pStyle w:val="945"/>
        <w:ind w:firstLine="422"/>
        <w:jc w:val="left"/>
        <w:spacing w:line="360" w:lineRule="auto"/>
        <w:widowControl/>
        <w:rPr>
          <w:rFonts w:ascii="宋体" w:hAnsi="宋体" w:cs="宋体"/>
          <w:b/>
          <w:color w:val="000000"/>
          <w:szCs w:val="21"/>
        </w:rPr>
      </w:pPr>
      <w:r>
        <w:rPr>
          <w:rFonts w:hint="eastAsia" w:ascii="宋体" w:hAnsi="宋体" w:cs="宋体"/>
          <w:b/>
          <w:color w:val="000000"/>
          <w:szCs w:val="21"/>
        </w:rPr>
        <w:t xml:space="preserve">6.潜在供应商对采购文件项目需求部分的询问、质疑请向采购人提出，由采购人负责答复。</w:t>
      </w:r>
      <w:r>
        <w:rPr>
          <w:rFonts w:ascii="宋体" w:hAnsi="宋体" w:cs="宋体"/>
          <w:b/>
          <w:color w:val="000000"/>
          <w:szCs w:val="21"/>
        </w:rPr>
      </w:r>
      <w:r/>
    </w:p>
    <w:p>
      <w:pPr>
        <w:pStyle w:val="945"/>
        <w:ind w:firstLine="420"/>
        <w:spacing w:line="360" w:lineRule="auto"/>
        <w:rPr>
          <w:rFonts w:ascii="宋体" w:hAnsi="宋体" w:cs="宋体"/>
          <w:bCs/>
          <w:color w:val="000000"/>
          <w:szCs w:val="21"/>
        </w:rPr>
      </w:pPr>
      <w:r>
        <w:rPr>
          <w:rFonts w:hint="eastAsia" w:ascii="宋体" w:hAnsi="宋体" w:cs="宋体"/>
          <w:bCs/>
          <w:color w:val="000000"/>
          <w:szCs w:val="21"/>
        </w:rPr>
        <w:t xml:space="preserve">7.</w:t>
      </w:r>
      <w:r>
        <w:rPr>
          <w:rFonts w:hint="eastAsia" w:ascii="宋体" w:hAnsi="宋体" w:cs="宋体"/>
          <w:color w:val="000000"/>
          <w:szCs w:val="21"/>
        </w:rPr>
        <w:t xml:space="preserve">本次采购不收取保证金。</w:t>
      </w:r>
      <w:r>
        <w:rPr>
          <w:rFonts w:ascii="宋体" w:hAnsi="宋体" w:cs="宋体"/>
          <w:bCs/>
          <w:color w:val="000000"/>
          <w:szCs w:val="21"/>
        </w:rPr>
      </w:r>
      <w:r/>
    </w:p>
    <w:p>
      <w:pPr>
        <w:pStyle w:val="945"/>
        <w:ind w:firstLine="420"/>
        <w:spacing w:line="360" w:lineRule="auto"/>
        <w:rPr>
          <w:rFonts w:ascii="宋体" w:hAnsi="宋体" w:cs="宋体"/>
          <w:bCs/>
          <w:color w:val="000000"/>
          <w:szCs w:val="21"/>
        </w:rPr>
      </w:pPr>
      <w:r>
        <w:rPr>
          <w:rFonts w:hint="eastAsia" w:ascii="宋体" w:hAnsi="宋体" w:cs="宋体"/>
          <w:color w:val="000000"/>
          <w:szCs w:val="21"/>
        </w:rPr>
        <w:t xml:space="preserve">8.</w:t>
      </w:r>
      <w:r>
        <w:rPr>
          <w:rFonts w:hint="eastAsia" w:ascii="宋体" w:hAnsi="宋体" w:cs="宋体"/>
          <w:bCs/>
          <w:color w:val="000000"/>
          <w:szCs w:val="21"/>
        </w:rPr>
        <w:t xml:space="preserve">有关本次采购的事项若存在变动或修改，敬请及时关注“扬州市邗江区政府采购网”、“扬州市政府采购网”、“江苏省政府采购网”、“中国政府采购网”发布的信息。</w:t>
      </w:r>
      <w:r>
        <w:rPr>
          <w:rFonts w:ascii="宋体" w:hAnsi="宋体" w:cs="宋体"/>
          <w:bCs/>
          <w:color w:val="000000"/>
          <w:szCs w:val="21"/>
        </w:rPr>
      </w:r>
      <w:r/>
    </w:p>
    <w:p>
      <w:pPr>
        <w:pStyle w:val="945"/>
        <w:ind w:firstLine="422"/>
        <w:spacing w:line="360" w:lineRule="auto"/>
        <w:rPr>
          <w:rFonts w:ascii="宋体" w:hAnsi="宋体" w:cs="宋体"/>
          <w:b/>
          <w:i/>
          <w:iCs/>
          <w:color w:val="000000"/>
          <w:szCs w:val="21"/>
          <w:u w:val="single"/>
        </w:rPr>
      </w:pPr>
      <w:r>
        <w:rPr>
          <w:rFonts w:hint="eastAsia" w:ascii="宋体" w:hAnsi="宋体" w:cs="宋体"/>
          <w:b/>
          <w:i/>
          <w:iCs/>
          <w:color w:val="000000"/>
          <w:szCs w:val="21"/>
          <w:u w:val="single"/>
        </w:rPr>
        <w:t xml:space="preserve">9.本项目采购文件中所有斜体下划线部分为实质性条款，如不满足，则为无效响应。</w:t>
      </w:r>
      <w:r>
        <w:rPr>
          <w:rFonts w:ascii="宋体" w:hAnsi="宋体" w:cs="宋体"/>
          <w:b/>
          <w:i/>
          <w:iCs/>
          <w:color w:val="000000"/>
          <w:szCs w:val="21"/>
          <w:u w:val="single"/>
        </w:rPr>
      </w:r>
      <w:r/>
    </w:p>
    <w:p>
      <w:pPr>
        <w:pStyle w:val="945"/>
        <w:ind w:firstLine="422"/>
        <w:spacing w:line="360" w:lineRule="auto"/>
        <w:rPr>
          <w:rFonts w:ascii="宋体" w:hAnsi="宋体" w:eastAsia="宋体" w:cs="宋体"/>
          <w:b/>
          <w:bCs/>
          <w:color w:val="000000"/>
          <w:szCs w:val="21"/>
          <w:lang w:val="en-US" w:eastAsia="zh-CN"/>
        </w:rPr>
      </w:pPr>
      <w:r>
        <w:rPr>
          <w:rFonts w:hint="eastAsia" w:ascii="宋体" w:hAnsi="宋体" w:eastAsia="宋体" w:cs="宋体"/>
          <w:b/>
          <w:bCs/>
          <w:color w:val="000000"/>
          <w:szCs w:val="21"/>
          <w:lang w:val="en-US" w:eastAsia="zh-CN"/>
        </w:rPr>
        <w:t xml:space="preserve">10.</w:t>
      </w:r>
      <w:r>
        <w:rPr>
          <w:rFonts w:hint="eastAsia" w:ascii="宋体" w:hAnsi="宋体" w:eastAsia="宋体" w:cs="宋体"/>
          <w:b/>
          <w:bCs/>
          <w:color w:val="000000"/>
          <w:szCs w:val="21"/>
        </w:rPr>
        <w:t xml:space="preserve">为提升政府采购供应商的融资可得性，解决中小企业融资难问题，中国人民银行、市财政局、市公共资源代理机构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eastAsia="宋体" w:cs="宋体"/>
          <w:b/>
          <w:bCs/>
          <w:color w:val="000000"/>
          <w:szCs w:val="21"/>
          <w:lang w:val="en-US" w:eastAsia="zh-CN"/>
        </w:rPr>
      </w:r>
      <w:r/>
    </w:p>
    <w:p>
      <w:pPr>
        <w:pStyle w:val="948"/>
        <w:ind w:firstLine="498"/>
        <w:jc w:val="left"/>
        <w:pageBreakBefore w:val="0"/>
        <w:spacing w:before="145" w:after="145" w:line="240" w:lineRule="auto"/>
        <w:widowControl w:val="off"/>
        <w:rPr>
          <w:color w:val="000000"/>
        </w:rPr>
      </w:pPr>
      <w:r>
        <w:rPr>
          <w:rFonts w:hint="eastAsia"/>
          <w:color w:val="000000"/>
        </w:rPr>
        <w:t xml:space="preserve">七、本次招标联系方式</w:t>
      </w:r>
      <w:bookmarkEnd w:id="40"/>
      <w:r/>
      <w:bookmarkEnd w:id="41"/>
      <w:r/>
      <w:bookmarkEnd w:id="42"/>
      <w:r/>
      <w:bookmarkEnd w:id="43"/>
      <w:r/>
      <w:bookmarkEnd w:id="44"/>
      <w:r>
        <w:rPr>
          <w:color w:val="000000"/>
        </w:rPr>
      </w:r>
      <w:r/>
    </w:p>
    <w:p>
      <w:pPr>
        <w:pStyle w:val="945"/>
        <w:ind w:firstLine="720"/>
        <w:jc w:val="left"/>
        <w:pageBreakBefore w:val="0"/>
        <w:spacing w:line="360" w:lineRule="auto"/>
        <w:widowControl w:val="off"/>
        <w:rPr>
          <w:rFonts w:hint="eastAsia" w:ascii="宋体" w:hAnsi="宋体" w:eastAsia="宋体" w:cs="Times New Roman"/>
          <w:color w:val="000000"/>
          <w:sz w:val="24"/>
          <w:szCs w:val="24"/>
          <w:u w:val="none"/>
        </w:rPr>
      </w:pPr>
      <w:r>
        <w:rPr>
          <w:rFonts w:hint="eastAsia" w:ascii="宋体" w:hAnsi="宋体" w:eastAsia="宋体" w:cs="Times New Roman"/>
          <w:color w:val="000000"/>
          <w:sz w:val="24"/>
          <w:szCs w:val="24"/>
          <w:u w:val="none"/>
        </w:rPr>
        <w:t xml:space="preserve">1.采购人信息</w:t>
      </w:r>
      <w:r>
        <w:rPr>
          <w:rFonts w:hint="eastAsia" w:ascii="宋体" w:hAnsi="宋体" w:eastAsia="宋体" w:cs="Times New Roman"/>
          <w:color w:val="000000"/>
          <w:sz w:val="24"/>
          <w:szCs w:val="24"/>
          <w:u w:val="none"/>
        </w:rPr>
      </w:r>
      <w:r/>
    </w:p>
    <w:p>
      <w:pPr>
        <w:pStyle w:val="945"/>
        <w:ind w:firstLine="720"/>
        <w:jc w:val="left"/>
        <w:pageBreakBefore w:val="0"/>
        <w:spacing w:line="360" w:lineRule="auto"/>
        <w:widowControl w:val="off"/>
        <w:rPr>
          <w:rFonts w:hint="eastAsia" w:ascii="宋体" w:hAnsi="宋体" w:eastAsia="宋体" w:cs="Times New Roman"/>
          <w:color w:val="000000"/>
          <w:sz w:val="24"/>
          <w:szCs w:val="24"/>
          <w:u w:val="none"/>
        </w:rPr>
      </w:pPr>
      <w:r/>
      <w:bookmarkStart w:id="45" w:name="_Toc28359086"/>
      <w:r/>
      <w:bookmarkStart w:id="46" w:name="_Toc28359009"/>
      <w:r>
        <w:rPr>
          <w:rFonts w:hint="eastAsia" w:ascii="宋体" w:hAnsi="宋体" w:eastAsia="宋体" w:cs="Times New Roman"/>
          <w:color w:val="000000"/>
          <w:sz w:val="24"/>
          <w:szCs w:val="24"/>
          <w:u w:val="none"/>
        </w:rPr>
        <w:t xml:space="preserve">名 称：扬州市邗江生态环境局</w:t>
      </w:r>
      <w:r>
        <w:rPr>
          <w:rFonts w:hint="eastAsia" w:ascii="宋体" w:hAnsi="宋体" w:eastAsia="宋体" w:cs="Times New Roman"/>
          <w:color w:val="000000"/>
          <w:sz w:val="24"/>
          <w:szCs w:val="24"/>
          <w:u w:val="none"/>
        </w:rPr>
      </w:r>
      <w:r/>
    </w:p>
    <w:p>
      <w:pPr>
        <w:pStyle w:val="945"/>
        <w:ind w:firstLine="720"/>
        <w:jc w:val="left"/>
        <w:pageBreakBefore w:val="0"/>
        <w:spacing w:line="360" w:lineRule="auto"/>
        <w:widowControl w:val="off"/>
        <w:rPr>
          <w:rFonts w:hint="eastAsia" w:ascii="宋体" w:hAnsi="宋体" w:eastAsia="宋体" w:cs="Times New Roman"/>
          <w:color w:val="000000"/>
          <w:sz w:val="24"/>
          <w:szCs w:val="24"/>
          <w:u w:val="none"/>
        </w:rPr>
      </w:pPr>
      <w:r>
        <w:rPr>
          <w:rFonts w:hint="eastAsia" w:ascii="宋体" w:hAnsi="宋体" w:eastAsia="宋体" w:cs="Times New Roman"/>
          <w:color w:val="000000"/>
          <w:sz w:val="24"/>
          <w:szCs w:val="24"/>
          <w:u w:val="none"/>
        </w:rPr>
        <w:t xml:space="preserve">地 址：扬州市邗江区兴城西路205号</w:t>
      </w:r>
      <w:r>
        <w:rPr>
          <w:rFonts w:hint="eastAsia" w:ascii="宋体" w:hAnsi="宋体" w:eastAsia="宋体" w:cs="Times New Roman"/>
          <w:color w:val="000000"/>
          <w:sz w:val="24"/>
          <w:szCs w:val="24"/>
          <w:u w:val="none"/>
        </w:rPr>
      </w:r>
      <w:r/>
    </w:p>
    <w:p>
      <w:pPr>
        <w:pStyle w:val="945"/>
        <w:ind w:firstLine="720"/>
        <w:jc w:val="left"/>
        <w:pageBreakBefore w:val="0"/>
        <w:spacing w:line="360" w:lineRule="auto"/>
        <w:widowControl w:val="off"/>
        <w:rPr>
          <w:rFonts w:hint="eastAsia" w:ascii="宋体" w:hAnsi="宋体" w:eastAsia="宋体" w:cs="Times New Roman"/>
          <w:color w:val="000000"/>
          <w:sz w:val="24"/>
          <w:szCs w:val="24"/>
          <w:u w:val="none"/>
        </w:rPr>
      </w:pPr>
      <w:r>
        <w:rPr>
          <w:rFonts w:hint="eastAsia" w:ascii="宋体" w:hAnsi="宋体" w:eastAsia="宋体" w:cs="Times New Roman"/>
          <w:color w:val="000000"/>
          <w:sz w:val="24"/>
          <w:szCs w:val="24"/>
          <w:u w:val="none"/>
        </w:rPr>
        <w:t xml:space="preserve">联系人：王航</w:t>
      </w:r>
      <w:r>
        <w:rPr>
          <w:rFonts w:hint="eastAsia" w:ascii="宋体" w:hAnsi="宋体" w:eastAsia="宋体" w:cs="Times New Roman"/>
          <w:color w:val="000000"/>
          <w:sz w:val="24"/>
          <w:szCs w:val="24"/>
          <w:u w:val="none"/>
        </w:rPr>
      </w:r>
      <w:r/>
    </w:p>
    <w:p>
      <w:pPr>
        <w:pStyle w:val="945"/>
        <w:ind w:firstLine="720"/>
        <w:jc w:val="left"/>
        <w:pageBreakBefore w:val="0"/>
        <w:spacing w:line="360" w:lineRule="auto"/>
        <w:widowControl w:val="off"/>
        <w:rPr>
          <w:rFonts w:hint="eastAsia" w:ascii="宋体" w:hAnsi="宋体" w:eastAsia="宋体" w:cs="Times New Roman"/>
          <w:color w:val="000000"/>
          <w:sz w:val="24"/>
          <w:szCs w:val="24"/>
          <w:u w:val="none"/>
        </w:rPr>
      </w:pPr>
      <w:r>
        <w:rPr>
          <w:rFonts w:hint="eastAsia" w:ascii="宋体" w:hAnsi="宋体" w:eastAsia="宋体" w:cs="Times New Roman"/>
          <w:color w:val="000000"/>
          <w:sz w:val="24"/>
          <w:szCs w:val="24"/>
          <w:u w:val="none"/>
        </w:rPr>
        <w:t xml:space="preserve">联系方式：0514-80996036</w:t>
      </w:r>
      <w:r>
        <w:rPr>
          <w:rFonts w:hint="eastAsia" w:ascii="宋体" w:hAnsi="宋体" w:eastAsia="宋体" w:cs="Times New Roman"/>
          <w:color w:val="000000"/>
          <w:sz w:val="24"/>
          <w:szCs w:val="24"/>
          <w:u w:val="none"/>
        </w:rPr>
      </w:r>
      <w:r/>
    </w:p>
    <w:p>
      <w:pPr>
        <w:pStyle w:val="945"/>
        <w:ind w:firstLine="720"/>
        <w:jc w:val="left"/>
        <w:pageBreakBefore w:val="0"/>
        <w:spacing w:line="360" w:lineRule="auto"/>
        <w:widowControl w:val="off"/>
        <w:rPr>
          <w:rFonts w:hint="eastAsia" w:ascii="宋体" w:hAnsi="宋体" w:eastAsia="宋体" w:cs="Times New Roman"/>
          <w:color w:val="000000"/>
          <w:sz w:val="24"/>
          <w:szCs w:val="24"/>
          <w:u w:val="none"/>
        </w:rPr>
      </w:pPr>
      <w:r>
        <w:rPr>
          <w:rFonts w:hint="eastAsia" w:ascii="宋体" w:hAnsi="宋体" w:eastAsia="宋体" w:cs="Times New Roman"/>
          <w:color w:val="000000"/>
          <w:sz w:val="24"/>
          <w:szCs w:val="24"/>
          <w:u w:val="none"/>
        </w:rPr>
        <w:t xml:space="preserve">2.</w:t>
      </w:r>
      <w:r>
        <w:rPr>
          <w:rFonts w:hint="eastAsia" w:ascii="宋体" w:hAnsi="宋体" w:eastAsia="宋体" w:cs="Times New Roman"/>
          <w:color w:val="000000"/>
          <w:sz w:val="24"/>
          <w:szCs w:val="24"/>
          <w:u w:val="none"/>
          <w:lang w:val="en-US" w:eastAsia="zh-CN"/>
        </w:rPr>
        <w:t xml:space="preserve">采购代理机构</w:t>
      </w:r>
      <w:r>
        <w:rPr>
          <w:rFonts w:hint="eastAsia" w:ascii="宋体" w:hAnsi="宋体" w:eastAsia="宋体" w:cs="Times New Roman"/>
          <w:color w:val="000000"/>
          <w:sz w:val="24"/>
          <w:szCs w:val="24"/>
          <w:u w:val="none"/>
        </w:rPr>
        <w:t xml:space="preserve">信息</w:t>
      </w:r>
      <w:bookmarkEnd w:id="45"/>
      <w:r/>
      <w:bookmarkEnd w:id="46"/>
      <w:r>
        <w:rPr>
          <w:rFonts w:hint="eastAsia" w:ascii="宋体" w:hAnsi="宋体" w:eastAsia="宋体" w:cs="Times New Roman"/>
          <w:color w:val="000000"/>
          <w:sz w:val="24"/>
          <w:szCs w:val="24"/>
          <w:u w:val="none"/>
        </w:rPr>
      </w:r>
      <w:r/>
    </w:p>
    <w:p>
      <w:pPr>
        <w:pStyle w:val="945"/>
        <w:ind w:firstLine="720"/>
        <w:jc w:val="left"/>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名称：扬州中科项目管理有限公司</w:t>
      </w:r>
      <w:r>
        <w:rPr>
          <w:rFonts w:hint="eastAsia" w:ascii="宋体" w:hAnsi="宋体" w:eastAsia="宋体" w:cs="Times New Roman"/>
          <w:color w:val="000000"/>
          <w:sz w:val="24"/>
          <w:szCs w:val="24"/>
          <w:u w:val="none"/>
          <w:lang w:val="en-US" w:eastAsia="zh-CN"/>
        </w:rPr>
      </w:r>
      <w:r/>
    </w:p>
    <w:p>
      <w:pPr>
        <w:pStyle w:val="945"/>
        <w:ind w:firstLine="720"/>
        <w:jc w:val="left"/>
        <w:pageBreakBefore w:val="0"/>
        <w:spacing w:line="360" w:lineRule="auto"/>
        <w:widowControl w:val="off"/>
        <w:rPr>
          <w:rFonts w:hint="eastAsia" w:ascii="宋体" w:hAnsi="宋体" w:eastAsia="宋体" w:cs="Times New Roman"/>
          <w:color w:val="000000"/>
          <w:sz w:val="24"/>
          <w:szCs w:val="24"/>
          <w:u w:val="none"/>
        </w:rPr>
      </w:pPr>
      <w:r>
        <w:rPr>
          <w:rFonts w:hint="eastAsia" w:ascii="宋体" w:hAnsi="宋体" w:eastAsia="宋体" w:cs="Times New Roman"/>
          <w:color w:val="000000"/>
          <w:sz w:val="24"/>
          <w:szCs w:val="24"/>
          <w:u w:val="none"/>
        </w:rPr>
        <w:t xml:space="preserve">地　址：扬州市邗江区邗江中路553号(邗江文化中心六楼南)</w:t>
      </w:r>
      <w:r>
        <w:rPr>
          <w:rFonts w:hint="eastAsia" w:ascii="宋体" w:hAnsi="宋体" w:eastAsia="宋体" w:cs="Times New Roman"/>
          <w:color w:val="000000"/>
          <w:sz w:val="24"/>
          <w:szCs w:val="24"/>
          <w:u w:val="none"/>
        </w:rPr>
      </w:r>
      <w:r/>
    </w:p>
    <w:p>
      <w:pPr>
        <w:pStyle w:val="945"/>
        <w:ind w:firstLine="720"/>
        <w:jc w:val="left"/>
        <w:pageBreakBefore w:val="0"/>
        <w:spacing w:line="360" w:lineRule="auto"/>
        <w:widowControl w:val="off"/>
        <w:rPr>
          <w:rFonts w:hint="eastAsia" w:ascii="宋体" w:hAnsi="宋体" w:eastAsia="宋体" w:cs="Times New Roman"/>
          <w:color w:val="000000"/>
          <w:sz w:val="24"/>
          <w:szCs w:val="24"/>
          <w:u w:val="none"/>
          <w:lang w:eastAsia="zh-CN"/>
        </w:rPr>
      </w:pPr>
      <w:r>
        <w:rPr>
          <w:rFonts w:hint="eastAsia" w:ascii="宋体" w:hAnsi="宋体" w:eastAsia="宋体" w:cs="Times New Roman"/>
          <w:color w:val="000000"/>
          <w:sz w:val="24"/>
          <w:szCs w:val="24"/>
          <w:u w:val="none"/>
        </w:rPr>
        <w:t xml:space="preserve">联系人：</w:t>
      </w:r>
      <w:r>
        <w:rPr>
          <w:rFonts w:hint="eastAsia" w:ascii="宋体" w:hAnsi="宋体" w:eastAsia="宋体" w:cs="Times New Roman"/>
          <w:color w:val="000000"/>
          <w:sz w:val="24"/>
          <w:szCs w:val="24"/>
          <w:u w:val="none"/>
          <w:lang w:val="en-US" w:eastAsia="zh-CN"/>
        </w:rPr>
        <w:t xml:space="preserve">王涛</w:t>
      </w:r>
      <w:r>
        <w:rPr>
          <w:rFonts w:hint="eastAsia" w:ascii="宋体" w:hAnsi="宋体" w:eastAsia="宋体" w:cs="Times New Roman"/>
          <w:color w:val="000000"/>
          <w:sz w:val="24"/>
          <w:szCs w:val="24"/>
          <w:u w:val="none"/>
          <w:lang w:eastAsia="zh-CN"/>
        </w:rPr>
      </w:r>
      <w:r/>
    </w:p>
    <w:p>
      <w:pPr>
        <w:pStyle w:val="945"/>
        <w:ind w:firstLine="720"/>
        <w:jc w:val="left"/>
        <w:pageBreakBefore w:val="0"/>
        <w:spacing w:line="360"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rPr>
        <w:t xml:space="preserve">联系方式：</w:t>
      </w:r>
      <w:bookmarkStart w:id="47" w:name="_Toc28359010"/>
      <w:r/>
      <w:bookmarkStart w:id="48" w:name="_Toc28359087"/>
      <w:r>
        <w:rPr>
          <w:rFonts w:hint="eastAsia" w:ascii="宋体" w:hAnsi="宋体" w:eastAsia="宋体" w:cs="Times New Roman"/>
          <w:color w:val="000000"/>
          <w:sz w:val="24"/>
          <w:szCs w:val="24"/>
          <w:u w:val="none"/>
          <w:lang w:val="en-US" w:eastAsia="zh-CN"/>
        </w:rPr>
        <w:t xml:space="preserve">18252755855</w:t>
      </w:r>
      <w:r>
        <w:rPr>
          <w:rFonts w:ascii="宋体" w:hAnsi="宋体" w:eastAsia="宋体" w:cs="Times New Roman"/>
          <w:color w:val="000000"/>
          <w:sz w:val="24"/>
          <w:szCs w:val="24"/>
          <w:u w:val="none"/>
          <w:lang w:val="en-US" w:eastAsia="zh-CN"/>
        </w:rPr>
      </w:r>
      <w:r/>
    </w:p>
    <w:p>
      <w:pPr>
        <w:pStyle w:val="945"/>
        <w:ind w:right="840"/>
        <w:jc w:val="center"/>
        <w:rPr>
          <w:rFonts w:hint="eastAsia" w:ascii="黑体" w:hAnsi="Times New Roman" w:eastAsia="黑体" w:cs="Times New Roman"/>
          <w:color w:val="000000"/>
          <w:sz w:val="44"/>
          <w:szCs w:val="44"/>
          <w:lang w:val="en-US" w:eastAsia="zh-CN" w:bidi="ar-SA"/>
        </w:rPr>
        <w:outlineLvl w:val="0"/>
      </w:pPr>
      <w:r/>
      <w:bookmarkEnd w:id="47"/>
      <w:r/>
      <w:bookmarkEnd w:id="48"/>
      <w:r>
        <w:rPr>
          <w:rFonts w:ascii="宋体" w:hAnsi="宋体"/>
          <w:color w:val="000000"/>
          <w:sz w:val="24"/>
          <w:szCs w:val="24"/>
        </w:rPr>
        <w:br w:type="page" w:clear="all"/>
      </w:r>
      <w:bookmarkStart w:id="49" w:name="_Toc120614211"/>
      <w:r/>
      <w:bookmarkStart w:id="50" w:name="_Toc19296"/>
      <w:r>
        <w:rPr>
          <w:rFonts w:hint="eastAsia" w:ascii="黑体" w:hAnsi="Times New Roman" w:eastAsia="黑体" w:cs="Times New Roman"/>
          <w:color w:val="000000"/>
          <w:sz w:val="44"/>
          <w:szCs w:val="44"/>
          <w:lang w:val="en-US" w:eastAsia="zh-CN" w:bidi="ar-SA"/>
        </w:rPr>
        <w:t xml:space="preserve">第二章  </w:t>
      </w:r>
      <w:bookmarkEnd w:id="5"/>
      <w:r/>
      <w:bookmarkEnd w:id="6"/>
      <w:r/>
      <w:bookmarkEnd w:id="7"/>
      <w:r/>
      <w:bookmarkEnd w:id="8"/>
      <w:r/>
      <w:bookmarkEnd w:id="9"/>
      <w:r/>
      <w:bookmarkEnd w:id="49"/>
      <w:r/>
      <w:bookmarkStart w:id="51" w:name="_Toc120614213"/>
      <w:r/>
      <w:bookmarkStart w:id="52" w:name="_Toc20823274"/>
      <w:r/>
      <w:bookmarkStart w:id="53" w:name="_Toc513029202"/>
      <w:r/>
      <w:bookmarkStart w:id="54" w:name="_Toc16938518"/>
      <w:r>
        <w:rPr>
          <w:rFonts w:hint="eastAsia" w:ascii="黑体" w:hAnsi="Times New Roman" w:eastAsia="黑体" w:cs="Times New Roman"/>
          <w:color w:val="000000"/>
          <w:sz w:val="44"/>
          <w:szCs w:val="44"/>
          <w:lang w:val="en-US" w:eastAsia="zh-CN" w:bidi="ar-SA"/>
        </w:rPr>
        <w:t xml:space="preserve">投标人须知</w:t>
      </w:r>
      <w:bookmarkEnd w:id="50"/>
      <w:r/>
      <w:bookmarkEnd w:id="51"/>
      <w:r/>
      <w:bookmarkEnd w:id="52"/>
      <w:r/>
      <w:bookmarkEnd w:id="53"/>
      <w:r/>
      <w:bookmarkEnd w:id="54"/>
      <w:r>
        <w:rPr>
          <w:rFonts w:hint="eastAsia" w:ascii="黑体" w:hAnsi="Times New Roman" w:eastAsia="黑体" w:cs="Times New Roman"/>
          <w:color w:val="000000"/>
          <w:sz w:val="44"/>
          <w:szCs w:val="44"/>
          <w:lang w:val="en-US" w:eastAsia="zh-CN" w:bidi="ar-SA"/>
        </w:rPr>
      </w:r>
      <w:r/>
    </w:p>
    <w:p>
      <w:pPr>
        <w:pStyle w:val="948"/>
        <w:ind w:firstLine="482"/>
        <w:jc w:val="left"/>
        <w:pageBreakBefore w:val="0"/>
        <w:spacing w:before="145" w:after="145" w:line="360" w:lineRule="auto"/>
        <w:widowControl w:val="off"/>
        <w:rPr>
          <w:rFonts w:hint="eastAsia" w:ascii="宋体" w:hAnsi="宋体" w:eastAsia="宋体" w:cs="宋体"/>
          <w:color w:val="000000"/>
          <w:sz w:val="24"/>
          <w:szCs w:val="24"/>
        </w:rPr>
      </w:pPr>
      <w:r/>
      <w:bookmarkStart w:id="55" w:name="_Toc20823275"/>
      <w:r/>
      <w:bookmarkStart w:id="56" w:name="_Toc120614214"/>
      <w:r/>
      <w:bookmarkStart w:id="57" w:name="_Toc16938519"/>
      <w:r/>
      <w:bookmarkStart w:id="58" w:name="_Toc513029203"/>
      <w:r>
        <w:rPr>
          <w:rFonts w:hint="eastAsia" w:ascii="宋体" w:hAnsi="宋体" w:eastAsia="宋体" w:cs="宋体"/>
          <w:color w:val="000000"/>
          <w:sz w:val="24"/>
          <w:szCs w:val="24"/>
        </w:rPr>
        <w:t xml:space="preserve">一、总则</w:t>
      </w:r>
      <w:bookmarkEnd w:id="55"/>
      <w:r/>
      <w:bookmarkEnd w:id="56"/>
      <w:r/>
      <w:bookmarkEnd w:id="57"/>
      <w:r/>
      <w:bookmarkEnd w:id="58"/>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59" w:name="_Hlt16619475"/>
      <w:r/>
      <w:bookmarkEnd w:id="59"/>
      <w:r/>
      <w:bookmarkStart w:id="60" w:name="_Toc458694821"/>
      <w:r/>
      <w:bookmarkStart w:id="61" w:name="_Toc20823276"/>
      <w:r/>
      <w:bookmarkStart w:id="62" w:name="_Toc16938520"/>
      <w:r/>
      <w:bookmarkStart w:id="63" w:name="_Toc513029204"/>
      <w:r>
        <w:rPr>
          <w:rFonts w:hint="eastAsia" w:ascii="宋体" w:hAnsi="宋体" w:eastAsia="宋体" w:cs="宋体"/>
          <w:b w:val="0"/>
          <w:bCs w:val="0"/>
          <w:color w:val="000000"/>
          <w:sz w:val="24"/>
          <w:szCs w:val="24"/>
        </w:rPr>
        <w:t xml:space="preserve">1</w:t>
      </w:r>
      <w:bookmarkEnd w:id="60"/>
      <w:r>
        <w:rPr>
          <w:rFonts w:hint="eastAsia" w:ascii="宋体" w:hAnsi="宋体" w:eastAsia="宋体" w:cs="宋体"/>
          <w:b w:val="0"/>
          <w:bCs w:val="0"/>
          <w:color w:val="000000"/>
          <w:sz w:val="24"/>
          <w:szCs w:val="24"/>
        </w:rPr>
        <w:t xml:space="preserve">、招标方式</w:t>
      </w:r>
      <w:bookmarkEnd w:id="61"/>
      <w:r/>
      <w:bookmarkEnd w:id="62"/>
      <w:r/>
      <w:bookmarkEnd w:id="63"/>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64" w:name="_Toc16938521"/>
      <w:r/>
      <w:bookmarkStart w:id="65" w:name="_Toc513029205"/>
      <w:r/>
      <w:bookmarkStart w:id="66" w:name="_Toc20823277"/>
      <w:r>
        <w:rPr>
          <w:rFonts w:hint="eastAsia" w:ascii="宋体" w:hAnsi="宋体" w:eastAsia="宋体" w:cs="宋体"/>
          <w:b w:val="0"/>
          <w:bCs w:val="0"/>
          <w:color w:val="000000"/>
          <w:sz w:val="24"/>
          <w:szCs w:val="24"/>
        </w:rPr>
        <w:t xml:space="preserve">2、合格的投标人</w:t>
      </w:r>
      <w:bookmarkEnd w:id="64"/>
      <w:r/>
      <w:bookmarkEnd w:id="65"/>
      <w:r/>
      <w:bookmarkEnd w:id="66"/>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2.1满足招标公告中供应商的资格要求的规定。</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满足本文件实质性要求和条件的规定。</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67" w:name="_Toc16938522"/>
      <w:r/>
      <w:bookmarkStart w:id="68" w:name="_Toc513029206"/>
      <w:r/>
      <w:bookmarkStart w:id="69" w:name="_Toc20823278"/>
      <w:r>
        <w:rPr>
          <w:rFonts w:hint="eastAsia" w:ascii="宋体" w:hAnsi="宋体" w:eastAsia="宋体" w:cs="宋体"/>
          <w:b w:val="0"/>
          <w:bCs w:val="0"/>
          <w:color w:val="000000"/>
          <w:sz w:val="24"/>
          <w:szCs w:val="24"/>
        </w:rPr>
        <w:t xml:space="preserve">3、适用法律</w:t>
      </w:r>
      <w:bookmarkEnd w:id="67"/>
      <w:r/>
      <w:bookmarkEnd w:id="68"/>
      <w:r/>
      <w:bookmarkEnd w:id="69"/>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70" w:name="_Toc20823279"/>
      <w:r/>
      <w:bookmarkStart w:id="71" w:name="_Toc513029207"/>
      <w:r/>
      <w:bookmarkStart w:id="72" w:name="_Toc16938523"/>
      <w:r/>
      <w:bookmarkStart w:id="73" w:name="_Toc462564067"/>
      <w:r>
        <w:rPr>
          <w:rFonts w:hint="eastAsia" w:ascii="宋体" w:hAnsi="宋体" w:eastAsia="宋体" w:cs="宋体"/>
          <w:b w:val="0"/>
          <w:bCs w:val="0"/>
          <w:color w:val="000000"/>
          <w:sz w:val="24"/>
          <w:szCs w:val="24"/>
        </w:rPr>
        <w:t xml:space="preserve">4、投标费用</w:t>
      </w:r>
      <w:bookmarkEnd w:id="70"/>
      <w:r/>
      <w:bookmarkEnd w:id="71"/>
      <w:r/>
      <w:bookmarkEnd w:id="72"/>
      <w:r/>
      <w:bookmarkEnd w:id="73"/>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投标人应自行承担所有与参加投标有关的费用，无论投标过程中的做法和结果如何，代理机构在任何情况下均无义务和责任承担这些费用。 </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4.2本次采购由中标人在领取中标通知书前按照发改价格【2011】534号文件标准的一次性支付给招标代理机构服务费。</w:t>
      </w:r>
      <w:r>
        <w:rPr>
          <w:rFonts w:hint="eastAsia" w:ascii="宋体" w:hAnsi="宋体" w:eastAsia="宋体" w:cs="宋体"/>
          <w:color w:val="000000"/>
          <w:sz w:val="24"/>
          <w:szCs w:val="24"/>
        </w:rPr>
      </w:r>
      <w:r/>
    </w:p>
    <w:p>
      <w:pPr>
        <w:pStyle w:val="945"/>
        <w:numPr>
          <w:ilvl w:val="0"/>
          <w:numId w:val="4"/>
        </w:numPr>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代理服务费以人民币支付；</w:t>
      </w:r>
      <w:r>
        <w:rPr>
          <w:rFonts w:hint="eastAsia" w:ascii="宋体" w:hAnsi="宋体" w:eastAsia="宋体" w:cs="宋体"/>
          <w:color w:val="000000"/>
          <w:sz w:val="24"/>
          <w:szCs w:val="24"/>
        </w:rPr>
      </w:r>
      <w:r/>
    </w:p>
    <w:p>
      <w:pPr>
        <w:pStyle w:val="945"/>
        <w:numPr>
          <w:ilvl w:val="0"/>
          <w:numId w:val="4"/>
        </w:numPr>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t xml:space="preserve">代理服务费计算方式：单价*年预估处理量*2年*收费标准；</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）代理服务费一次性以电汇、转账等非现金形式支付；</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）招标代理服务费不在投标报价中单列，包含在投标总价中，由中标单位支付给代理机构。</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4.3专家评审费按《扬州市财政局关于进一步规范扬州市政府采购专家评审费标准的通知》（扬财购〔2020〕40号）执行。</w:t>
      </w:r>
      <w:r>
        <w:rPr>
          <w:rFonts w:hint="eastAsia" w:ascii="宋体" w:hAnsi="宋体" w:eastAsia="宋体" w:cs="宋体"/>
          <w:color w:val="000000"/>
          <w:sz w:val="24"/>
          <w:szCs w:val="24"/>
        </w:rPr>
      </w:r>
      <w:r/>
    </w:p>
    <w:p>
      <w:pPr>
        <w:pStyle w:val="949"/>
        <w:ind w:firstLine="482"/>
        <w:jc w:val="left"/>
        <w:pageBreakBefore w:val="0"/>
        <w:spacing w:before="0" w:after="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b w:val="0"/>
          <w:bCs w:val="0"/>
          <w:color w:val="000000"/>
          <w:sz w:val="24"/>
          <w:szCs w:val="24"/>
        </w:rPr>
        <w:t xml:space="preserve">招标文件的约束力</w:t>
      </w:r>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 投标人一旦参加本项目采购活动，即被认为接受了本招标文件的规定和约束。</w:t>
      </w:r>
      <w:r>
        <w:rPr>
          <w:rFonts w:hint="eastAsia" w:ascii="宋体" w:hAnsi="宋体" w:eastAsia="宋体" w:cs="宋体"/>
          <w:color w:val="000000"/>
          <w:sz w:val="24"/>
          <w:szCs w:val="24"/>
        </w:rPr>
      </w:r>
      <w:r/>
    </w:p>
    <w:p>
      <w:pPr>
        <w:pStyle w:val="948"/>
        <w:ind w:firstLine="482"/>
        <w:jc w:val="left"/>
        <w:pageBreakBefore w:val="0"/>
        <w:spacing w:before="145" w:after="145" w:line="360" w:lineRule="auto"/>
        <w:widowControl w:val="off"/>
        <w:rPr>
          <w:rFonts w:hint="eastAsia" w:ascii="宋体" w:hAnsi="宋体" w:eastAsia="宋体" w:cs="宋体"/>
          <w:color w:val="000000"/>
          <w:sz w:val="24"/>
          <w:szCs w:val="24"/>
        </w:rPr>
      </w:pPr>
      <w:r/>
      <w:bookmarkStart w:id="74" w:name="_Toc16938525"/>
      <w:r/>
      <w:bookmarkStart w:id="75" w:name="_Toc120614215"/>
      <w:r/>
      <w:bookmarkStart w:id="76" w:name="_Toc20823281"/>
      <w:r/>
      <w:bookmarkStart w:id="77" w:name="_Toc513029209"/>
      <w:r>
        <w:rPr>
          <w:rFonts w:hint="eastAsia" w:ascii="宋体" w:hAnsi="宋体" w:eastAsia="宋体" w:cs="宋体"/>
          <w:color w:val="000000"/>
          <w:sz w:val="24"/>
          <w:szCs w:val="24"/>
        </w:rPr>
        <w:t xml:space="preserve">二、招标文件</w:t>
      </w:r>
      <w:bookmarkEnd w:id="74"/>
      <w:r/>
      <w:bookmarkEnd w:id="75"/>
      <w:r/>
      <w:bookmarkEnd w:id="76"/>
      <w:r/>
      <w:bookmarkEnd w:id="77"/>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78" w:name="_Toc20823282"/>
      <w:r/>
      <w:bookmarkStart w:id="79" w:name="_Toc16938526"/>
      <w:r/>
      <w:bookmarkStart w:id="80" w:name="_Toc513029210"/>
      <w:r>
        <w:rPr>
          <w:rFonts w:hint="eastAsia" w:ascii="宋体" w:hAnsi="宋体" w:eastAsia="宋体" w:cs="宋体"/>
          <w:b w:val="0"/>
          <w:bCs w:val="0"/>
          <w:color w:val="000000"/>
          <w:sz w:val="24"/>
          <w:szCs w:val="24"/>
        </w:rPr>
        <w:t xml:space="preserve">6、招标文件构成</w:t>
      </w:r>
      <w:bookmarkEnd w:id="78"/>
      <w:r/>
      <w:bookmarkEnd w:id="79"/>
      <w:r/>
      <w:bookmarkEnd w:id="80"/>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联系解决。</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81" w:name="_Toc462564070"/>
      <w:r/>
      <w:bookmarkStart w:id="82" w:name="_Toc20823283"/>
      <w:r/>
      <w:bookmarkStart w:id="83" w:name="_Toc513029211"/>
      <w:r/>
      <w:bookmarkStart w:id="84" w:name="_Toc16938527"/>
      <w:r>
        <w:rPr>
          <w:rFonts w:hint="eastAsia" w:ascii="宋体" w:hAnsi="宋体" w:eastAsia="宋体" w:cs="宋体"/>
          <w:b w:val="0"/>
          <w:bCs w:val="0"/>
          <w:color w:val="000000"/>
          <w:sz w:val="24"/>
          <w:szCs w:val="24"/>
        </w:rPr>
        <w:t xml:space="preserve">7、招标文件的澄清</w:t>
      </w:r>
      <w:bookmarkEnd w:id="81"/>
      <w:r/>
      <w:bookmarkEnd w:id="82"/>
      <w:r/>
      <w:bookmarkEnd w:id="83"/>
      <w:r/>
      <w:bookmarkEnd w:id="84"/>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任何要求对招标文件进行澄清的投标人，应在投标截止期</w:t>
      </w:r>
      <w:r>
        <w:rPr>
          <w:rFonts w:hint="eastAsia" w:ascii="宋体" w:hAnsi="宋体" w:eastAsia="宋体" w:cs="宋体"/>
          <w:b/>
          <w:color w:val="000000"/>
          <w:sz w:val="24"/>
          <w:szCs w:val="24"/>
        </w:rPr>
        <w:t xml:space="preserve">十日</w:t>
      </w:r>
      <w:r>
        <w:rPr>
          <w:rFonts w:hint="eastAsia" w:ascii="宋体" w:hAnsi="宋体" w:eastAsia="宋体" w:cs="宋体"/>
          <w:color w:val="000000"/>
          <w:sz w:val="24"/>
          <w:szCs w:val="24"/>
        </w:rPr>
        <w:t xml:space="preserve">前按招标公告中的通讯地址，以书面形式通知</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85" w:name="_Toc16938528"/>
      <w:r/>
      <w:bookmarkStart w:id="86" w:name="_Toc462564071"/>
      <w:r/>
      <w:bookmarkStart w:id="87" w:name="_Toc20823284"/>
      <w:r/>
      <w:bookmarkStart w:id="88" w:name="_Toc513029212"/>
      <w:r>
        <w:rPr>
          <w:rFonts w:hint="eastAsia" w:ascii="宋体" w:hAnsi="宋体" w:eastAsia="宋体" w:cs="宋体"/>
          <w:b w:val="0"/>
          <w:bCs w:val="0"/>
          <w:color w:val="000000"/>
          <w:sz w:val="24"/>
          <w:szCs w:val="24"/>
        </w:rPr>
        <w:t xml:space="preserve">8、招标文件的修改</w:t>
      </w:r>
      <w:bookmarkEnd w:id="85"/>
      <w:r/>
      <w:bookmarkEnd w:id="86"/>
      <w:r/>
      <w:bookmarkEnd w:id="87"/>
      <w:r/>
      <w:bookmarkEnd w:id="88"/>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可以对招标文件进行修改。</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有权按照法定的要求推迟投标截止日期和开标日期。</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rPr>
          <w:rFonts w:hint="eastAsia" w:ascii="宋体" w:hAnsi="宋体" w:eastAsia="宋体" w:cs="宋体"/>
          <w:color w:val="000000"/>
          <w:sz w:val="24"/>
          <w:szCs w:val="24"/>
        </w:rPr>
      </w:r>
      <w:r/>
    </w:p>
    <w:p>
      <w:pPr>
        <w:pStyle w:val="948"/>
        <w:ind w:firstLine="482"/>
        <w:jc w:val="left"/>
        <w:pageBreakBefore w:val="0"/>
        <w:spacing w:before="145" w:after="145" w:line="360" w:lineRule="auto"/>
        <w:widowControl w:val="off"/>
        <w:rPr>
          <w:rFonts w:hint="eastAsia" w:ascii="宋体" w:hAnsi="宋体" w:eastAsia="宋体" w:cs="宋体"/>
          <w:color w:val="000000"/>
          <w:sz w:val="24"/>
          <w:szCs w:val="24"/>
        </w:rPr>
      </w:pPr>
      <w:r/>
      <w:bookmarkStart w:id="89" w:name="_Toc16938529"/>
      <w:r/>
      <w:bookmarkStart w:id="90" w:name="_Toc462564072"/>
      <w:r/>
      <w:bookmarkStart w:id="91" w:name="_Toc120614216"/>
      <w:r/>
      <w:bookmarkStart w:id="92" w:name="_Toc513029213"/>
      <w:r/>
      <w:bookmarkStart w:id="93" w:name="_Toc20823285"/>
      <w:r>
        <w:rPr>
          <w:rFonts w:hint="eastAsia" w:ascii="宋体" w:hAnsi="宋体" w:eastAsia="宋体" w:cs="宋体"/>
          <w:color w:val="000000"/>
          <w:sz w:val="24"/>
          <w:szCs w:val="24"/>
        </w:rPr>
        <w:t xml:space="preserve">三、投标文件的编制</w:t>
      </w:r>
      <w:bookmarkEnd w:id="89"/>
      <w:r/>
      <w:bookmarkEnd w:id="90"/>
      <w:r/>
      <w:bookmarkEnd w:id="91"/>
      <w:r/>
      <w:bookmarkEnd w:id="92"/>
      <w:r/>
      <w:bookmarkEnd w:id="93"/>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Cs w:val="0"/>
          <w:color w:val="000000"/>
          <w:sz w:val="24"/>
          <w:szCs w:val="24"/>
        </w:rPr>
      </w:pPr>
      <w:r/>
      <w:bookmarkStart w:id="94" w:name="_Toc513029214"/>
      <w:r/>
      <w:bookmarkStart w:id="95" w:name="_Toc20823286"/>
      <w:r/>
      <w:bookmarkStart w:id="96" w:name="_Toc462564073"/>
      <w:r/>
      <w:bookmarkStart w:id="97" w:name="_Toc16938530"/>
      <w:r>
        <w:rPr>
          <w:rFonts w:hint="eastAsia" w:ascii="宋体" w:hAnsi="宋体" w:eastAsia="宋体" w:cs="宋体"/>
          <w:b w:val="0"/>
          <w:bCs w:val="0"/>
          <w:color w:val="000000"/>
          <w:sz w:val="24"/>
          <w:szCs w:val="24"/>
        </w:rPr>
        <w:t xml:space="preserve">9、投标文件的语言及度量衡单位</w:t>
      </w:r>
      <w:bookmarkEnd w:id="94"/>
      <w:r/>
      <w:bookmarkEnd w:id="95"/>
      <w:r/>
      <w:bookmarkEnd w:id="96"/>
      <w:r/>
      <w:bookmarkEnd w:id="97"/>
      <w:r>
        <w:rPr>
          <w:rFonts w:hint="eastAsia" w:ascii="宋体" w:hAnsi="宋体" w:eastAsia="宋体" w:cs="宋体"/>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9.2</w:t>
      </w:r>
      <w:r>
        <w:rPr>
          <w:rFonts w:hint="eastAsia" w:ascii="宋体" w:hAnsi="宋体" w:eastAsia="宋体" w:cs="宋体"/>
          <w:color w:val="000000"/>
          <w:sz w:val="24"/>
          <w:szCs w:val="24"/>
        </w:rPr>
        <w:t xml:space="preserve"> 除技术性能另有规定外，投标文件所使用的度量衡单位，均须采用国家法定计量单位。</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98" w:name="_Toc16938531"/>
      <w:r/>
      <w:bookmarkStart w:id="99" w:name="_Toc513029215"/>
      <w:r/>
      <w:bookmarkStart w:id="100" w:name="_Toc462564074"/>
      <w:r/>
      <w:bookmarkStart w:id="101" w:name="_Toc20823287"/>
      <w:r>
        <w:rPr>
          <w:rFonts w:hint="eastAsia" w:ascii="宋体" w:hAnsi="宋体" w:eastAsia="宋体" w:cs="宋体"/>
          <w:b w:val="0"/>
          <w:bCs w:val="0"/>
          <w:color w:val="000000"/>
          <w:sz w:val="24"/>
          <w:szCs w:val="24"/>
        </w:rPr>
        <w:t xml:space="preserve">10、投标文件构成</w:t>
      </w:r>
      <w:bookmarkEnd w:id="98"/>
      <w:r/>
      <w:bookmarkEnd w:id="99"/>
      <w:r/>
      <w:bookmarkEnd w:id="100"/>
      <w:r/>
      <w:bookmarkEnd w:id="101"/>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10.1</w:t>
      </w:r>
      <w:r>
        <w:rPr>
          <w:rFonts w:hint="eastAsia" w:ascii="宋体" w:hAnsi="宋体" w:eastAsia="宋体" w:cs="宋体"/>
          <w:color w:val="000000"/>
          <w:sz w:val="24"/>
          <w:szCs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标书制作工具中格式和内容请以</w:t>
      </w:r>
      <w:r>
        <w:rPr>
          <w:rFonts w:hint="eastAsia" w:ascii="宋体" w:hAnsi="宋体" w:eastAsia="宋体" w:cs="宋体"/>
          <w:color w:val="000000"/>
          <w:sz w:val="24"/>
          <w:szCs w:val="24"/>
          <w:lang w:eastAsia="zh-CN"/>
        </w:rPr>
        <w:t xml:space="preserve">“江苏政府采购网”“中国政府采购网”“扬州市政府采购网”“扬州市邗江区政府采购网”</w:t>
      </w:r>
      <w:r>
        <w:rPr>
          <w:rFonts w:hint="eastAsia" w:ascii="宋体" w:hAnsi="宋体" w:eastAsia="宋体" w:cs="宋体"/>
          <w:color w:val="000000"/>
          <w:sz w:val="24"/>
          <w:szCs w:val="24"/>
        </w:rPr>
        <w:t xml:space="preserve">发布的招标文件为准。</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102" w:name="_Hlt26954838"/>
      <w:r/>
      <w:bookmarkEnd w:id="102"/>
      <w:r/>
      <w:bookmarkStart w:id="103" w:name="_Hlt26668975"/>
      <w:r/>
      <w:bookmarkEnd w:id="103"/>
      <w:r/>
      <w:bookmarkStart w:id="104" w:name="_Hlt26670360"/>
      <w:r/>
      <w:bookmarkEnd w:id="104"/>
      <w:r/>
      <w:bookmarkStart w:id="105" w:name="_Toc513029219"/>
      <w:r/>
      <w:bookmarkStart w:id="106" w:name="_Toc49090509"/>
      <w:r/>
      <w:bookmarkStart w:id="107" w:name="_Toc14577357"/>
      <w:r/>
      <w:bookmarkStart w:id="108" w:name="_Toc14577354"/>
      <w:r/>
      <w:bookmarkStart w:id="109" w:name="_Toc49090507"/>
      <w:r/>
      <w:bookmarkStart w:id="110" w:name="_Toc513029216"/>
      <w:r>
        <w:rPr>
          <w:rFonts w:hint="eastAsia" w:ascii="宋体" w:hAnsi="宋体" w:eastAsia="宋体" w:cs="宋体"/>
          <w:b w:val="0"/>
          <w:bCs w:val="0"/>
          <w:color w:val="000000"/>
          <w:sz w:val="24"/>
          <w:szCs w:val="24"/>
        </w:rPr>
        <w:t xml:space="preserve">11、证明投标人及投标标的符合招标文件规定的文件</w:t>
      </w:r>
      <w:bookmarkEnd w:id="105"/>
      <w:r/>
      <w:bookmarkEnd w:id="106"/>
      <w:r/>
      <w:bookmarkEnd w:id="107"/>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bookmarkEnd w:id="108"/>
      <w:r/>
      <w:bookmarkEnd w:id="109"/>
      <w:r/>
      <w:bookmarkEnd w:id="110"/>
      <w:r/>
      <w:bookmarkStart w:id="111" w:name="_Toc49090508"/>
      <w:r/>
      <w:bookmarkStart w:id="112" w:name="_Toc14577355"/>
      <w:r>
        <w:rPr>
          <w:rFonts w:hint="eastAsia" w:ascii="宋体" w:hAnsi="宋体" w:eastAsia="宋体" w:cs="宋体"/>
          <w:color w:val="000000"/>
          <w:sz w:val="24"/>
          <w:szCs w:val="24"/>
        </w:rPr>
        <w:t xml:space="preserve">11.1 投标人应按照法律、法规、规章和规范性文件以及招标文件要求提交证明文件，证明其及投标标的符合招标文件规定。</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11.2招标文件对证明文件无明确形式要求的，证明文件可以以文字资料、图纸和数据等形式提交。</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12、投标分项报价</w:t>
      </w:r>
      <w:bookmarkEnd w:id="112"/>
      <w:r/>
      <w:bookmarkStart w:id="113" w:name="_Hlt26670373"/>
      <w:r/>
      <w:bookmarkEnd w:id="113"/>
      <w:r>
        <w:rPr>
          <w:rFonts w:hint="eastAsia" w:ascii="宋体" w:hAnsi="宋体" w:eastAsia="宋体" w:cs="宋体"/>
          <w:b w:val="0"/>
          <w:bCs w:val="0"/>
          <w:color w:val="000000"/>
          <w:sz w:val="24"/>
          <w:szCs w:val="24"/>
        </w:rPr>
        <w:t xml:space="preserve">表</w:t>
      </w:r>
      <w:bookmarkEnd w:id="111"/>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12.1</w:t>
      </w:r>
      <w:r>
        <w:rPr>
          <w:rFonts w:hint="eastAsia" w:ascii="宋体" w:hAnsi="宋体" w:eastAsia="宋体" w:cs="宋体"/>
          <w:color w:val="000000"/>
          <w:sz w:val="24"/>
          <w:szCs w:val="24"/>
        </w:rPr>
        <w:t xml:space="preserve"> 投</w:t>
      </w:r>
      <w:bookmarkStart w:id="114" w:name="_Hlt26954840"/>
      <w:r/>
      <w:bookmarkEnd w:id="114"/>
      <w:r>
        <w:rPr>
          <w:rFonts w:hint="eastAsia" w:ascii="宋体" w:hAnsi="宋体" w:eastAsia="宋体" w:cs="宋体"/>
          <w:color w:val="000000"/>
          <w:sz w:val="24"/>
          <w:szCs w:val="24"/>
        </w:rPr>
        <w:t xml:space="preserve">标人应按照招标文件规定格式填报投标分项报价表</w:t>
      </w:r>
      <w:bookmarkStart w:id="115" w:name="_Hlt26670399"/>
      <w:r/>
      <w:bookmarkEnd w:id="115"/>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bCs/>
          <w:color w:val="000000"/>
          <w:sz w:val="24"/>
          <w:szCs w:val="24"/>
        </w:rPr>
        <w:t xml:space="preserve">投标货币。投标文件中的单价和总价无特殊规定的采用人民币报价，以元为单位标注。</w:t>
      </w:r>
      <w:r>
        <w:rPr>
          <w:rFonts w:hint="eastAsia" w:ascii="宋体" w:hAnsi="宋体" w:eastAsia="宋体" w:cs="宋体"/>
          <w:color w:val="000000"/>
          <w:sz w:val="24"/>
          <w:szCs w:val="24"/>
        </w:rPr>
        <w:t xml:space="preserve">招标文件中另有规定的按规定执行。</w:t>
      </w:r>
      <w:r>
        <w:rPr>
          <w:rFonts w:hint="eastAsia" w:ascii="宋体" w:hAnsi="宋体" w:eastAsia="宋体" w:cs="宋体"/>
          <w:bCs/>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116" w:name="_Hlt26954731"/>
      <w:r/>
      <w:bookmarkEnd w:id="116"/>
      <w:r/>
      <w:bookmarkStart w:id="117" w:name="_Hlt26954844"/>
      <w:r/>
      <w:bookmarkEnd w:id="117"/>
      <w:r/>
      <w:bookmarkStart w:id="118" w:name="_Hlt26670482"/>
      <w:r/>
      <w:bookmarkEnd w:id="118"/>
      <w:r/>
      <w:bookmarkStart w:id="119" w:name="_Hlt26954846"/>
      <w:r/>
      <w:bookmarkEnd w:id="119"/>
      <w:r/>
      <w:bookmarkStart w:id="120" w:name="_Hlt26670403"/>
      <w:r/>
      <w:bookmarkEnd w:id="120"/>
      <w:r/>
      <w:bookmarkStart w:id="121" w:name="_Hlt26954842"/>
      <w:r/>
      <w:bookmarkEnd w:id="121"/>
      <w:r/>
      <w:bookmarkStart w:id="122" w:name="_Hlt26668983"/>
      <w:r/>
      <w:bookmarkEnd w:id="122"/>
      <w:r/>
      <w:bookmarkStart w:id="123" w:name="_Hlt26954848"/>
      <w:r/>
      <w:bookmarkEnd w:id="123"/>
      <w:r/>
      <w:bookmarkStart w:id="124" w:name="_Hlt26670425"/>
      <w:r/>
      <w:bookmarkEnd w:id="124"/>
      <w:r/>
      <w:bookmarkStart w:id="125" w:name="_Hlt26670486"/>
      <w:r/>
      <w:bookmarkEnd w:id="125"/>
      <w:r>
        <w:rPr>
          <w:rFonts w:hint="eastAsia" w:ascii="宋体" w:hAnsi="宋体" w:eastAsia="宋体" w:cs="宋体"/>
          <w:b w:val="0"/>
          <w:bCs w:val="0"/>
          <w:color w:val="000000"/>
          <w:sz w:val="24"/>
          <w:szCs w:val="24"/>
        </w:rPr>
        <w:t xml:space="preserve">13、技术要求响应及偏离表、商务要求响应及偏离表</w:t>
      </w:r>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zh-CN"/>
        </w:rPr>
        <w:t xml:space="preserve">13.1</w:t>
      </w:r>
      <w:r>
        <w:rPr>
          <w:rFonts w:hint="eastAsia" w:ascii="宋体" w:hAnsi="宋体" w:eastAsia="宋体" w:cs="宋体"/>
          <w:color w:val="000000"/>
          <w:sz w:val="24"/>
          <w:szCs w:val="24"/>
          <w:lang w:val="zh-CN"/>
        </w:rPr>
        <w:t xml:space="preserve"> 投标人需对招标文件中的技术要求与商务要求逐项作出响应或偏离，并说明原因。</w:t>
      </w:r>
      <w:r>
        <w:rPr>
          <w:rFonts w:hint="eastAsia" w:ascii="宋体" w:hAnsi="宋体" w:eastAsia="宋体" w:cs="宋体"/>
          <w:color w:val="000000"/>
          <w:sz w:val="24"/>
          <w:szCs w:val="24"/>
          <w:lang w:val="zh-CN"/>
        </w:rPr>
      </w:r>
      <w:r/>
    </w:p>
    <w:p>
      <w:pPr>
        <w:pStyle w:val="945"/>
        <w:ind w:firstLine="480"/>
        <w:jc w:val="left"/>
        <w:pageBreakBefore w:val="0"/>
        <w:spacing w:line="360" w:lineRule="auto"/>
        <w:widowControl w:val="off"/>
        <w:tabs>
          <w:tab w:val="left" w:pos="1035" w:leader="none"/>
        </w:tabs>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13.2 投标人可在投标文件中提供认为需要的其他技术文件或说明。</w:t>
      </w:r>
      <w:r>
        <w:rPr>
          <w:rFonts w:hint="eastAsia" w:ascii="宋体" w:hAnsi="宋体" w:eastAsia="宋体" w:cs="宋体"/>
          <w:color w:val="000000"/>
          <w:sz w:val="24"/>
          <w:szCs w:val="24"/>
          <w:lang w:val="zh-CN"/>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126" w:name="_Toc49090510"/>
      <w:r/>
      <w:bookmarkStart w:id="127" w:name="_Toc14577359"/>
      <w:r>
        <w:rPr>
          <w:rFonts w:hint="eastAsia" w:ascii="宋体" w:hAnsi="宋体" w:eastAsia="宋体" w:cs="宋体"/>
          <w:b w:val="0"/>
          <w:bCs w:val="0"/>
          <w:color w:val="000000"/>
          <w:sz w:val="24"/>
          <w:szCs w:val="24"/>
        </w:rPr>
        <w:t xml:space="preserve">14、投标函和开标一览表</w:t>
      </w:r>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投标人应按照招标文件中提供的格式完整、正确填写投标函、开标一览表。</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14.2</w:t>
      </w:r>
      <w:r>
        <w:rPr>
          <w:rFonts w:hint="eastAsia" w:ascii="宋体" w:hAnsi="宋体" w:eastAsia="宋体" w:cs="宋体"/>
          <w:color w:val="000000"/>
          <w:sz w:val="24"/>
          <w:szCs w:val="24"/>
        </w:rPr>
        <w:t xml:space="preserve"> 对于采用货币报价的项目，</w:t>
      </w:r>
      <w:r>
        <w:rPr>
          <w:rFonts w:hint="eastAsia" w:ascii="宋体" w:hAnsi="宋体" w:eastAsia="宋体" w:cs="宋体"/>
          <w:bCs/>
          <w:color w:val="000000"/>
          <w:sz w:val="24"/>
          <w:szCs w:val="24"/>
        </w:rPr>
        <w:t xml:space="preserve">开标一览表中的投标总报价应与投标分项报价表中的投标总报价一致，如不一致，</w:t>
      </w:r>
      <w:r>
        <w:rPr>
          <w:rFonts w:hint="eastAsia" w:ascii="宋体" w:hAnsi="宋体" w:eastAsia="宋体" w:cs="宋体"/>
          <w:color w:val="000000"/>
          <w:sz w:val="24"/>
          <w:szCs w:val="24"/>
        </w:rPr>
        <w:t xml:space="preserve">不作为无效投标处理</w:t>
      </w:r>
      <w:r>
        <w:rPr>
          <w:rFonts w:hint="eastAsia" w:ascii="宋体" w:hAnsi="宋体" w:eastAsia="宋体" w:cs="宋体"/>
          <w:bCs/>
          <w:color w:val="000000"/>
          <w:sz w:val="24"/>
          <w:szCs w:val="24"/>
        </w:rPr>
        <w:t xml:space="preserve">，但评标时按开标一览表中价格为准</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End w:id="126"/>
      <w:r/>
      <w:bookmarkEnd w:id="127"/>
      <w:r/>
      <w:bookmarkStart w:id="128" w:name="_Hlt26954850"/>
      <w:r/>
      <w:bookmarkEnd w:id="128"/>
      <w:r/>
      <w:bookmarkStart w:id="129" w:name="_Hlt26670489"/>
      <w:r/>
      <w:bookmarkEnd w:id="129"/>
      <w:r/>
      <w:bookmarkStart w:id="130" w:name="_Hlt26954734"/>
      <w:r/>
      <w:bookmarkEnd w:id="130"/>
      <w:r/>
      <w:bookmarkStart w:id="131" w:name="_Toc14577360"/>
      <w:r/>
      <w:bookmarkStart w:id="132" w:name="_Toc49090511"/>
      <w:r>
        <w:rPr>
          <w:rFonts w:hint="eastAsia" w:ascii="宋体" w:hAnsi="宋体" w:eastAsia="宋体" w:cs="宋体"/>
          <w:b w:val="0"/>
          <w:bCs w:val="0"/>
          <w:color w:val="000000"/>
          <w:sz w:val="24"/>
          <w:szCs w:val="24"/>
        </w:rPr>
        <w:t xml:space="preserve">15、投标有效期</w:t>
      </w:r>
      <w:bookmarkEnd w:id="131"/>
      <w:r/>
      <w:bookmarkEnd w:id="132"/>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bCs/>
          <w:color w:val="000000"/>
          <w:sz w:val="24"/>
          <w:szCs w:val="24"/>
        </w:rPr>
        <w:t xml:space="preserve"> 投标有效期为</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。投标有效期比规定短的将被视为未实质性响应招标文件而予以拒绝。</w:t>
      </w:r>
      <w:r>
        <w:rPr>
          <w:rFonts w:hint="eastAsia" w:ascii="宋体" w:hAnsi="宋体" w:eastAsia="宋体" w:cs="宋体"/>
          <w:bCs/>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16、投标有效期的延长</w:t>
      </w:r>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16.1</w:t>
      </w:r>
      <w:r>
        <w:rPr>
          <w:rFonts w:hint="eastAsia" w:ascii="宋体" w:hAnsi="宋体" w:eastAsia="宋体" w:cs="宋体"/>
          <w:bCs/>
          <w:color w:val="000000"/>
          <w:sz w:val="24"/>
          <w:szCs w:val="24"/>
        </w:rPr>
        <w:t xml:space="preserve"> 在特殊情况下，</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的这一要求而放弃投标</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同意延长投标有效期的投标人既不能要求也不允许修改其投标文件</w:t>
      </w:r>
      <w:r>
        <w:rPr>
          <w:rFonts w:hint="eastAsia" w:ascii="宋体" w:hAnsi="宋体" w:eastAsia="宋体" w:cs="宋体"/>
          <w:color w:val="000000"/>
          <w:sz w:val="24"/>
          <w:szCs w:val="24"/>
        </w:rPr>
        <w:t xml:space="preserve">，同时受投标有效期约束的所有权利与义务均延长至新的有效期</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948"/>
        <w:ind w:firstLine="482"/>
        <w:jc w:val="left"/>
        <w:pageBreakBefore w:val="0"/>
        <w:spacing w:before="145" w:after="145" w:line="360" w:lineRule="auto"/>
        <w:widowControl w:val="off"/>
        <w:rPr>
          <w:rFonts w:hint="eastAsia" w:ascii="宋体" w:hAnsi="宋体" w:eastAsia="宋体" w:cs="宋体"/>
          <w:color w:val="000000"/>
          <w:sz w:val="24"/>
          <w:szCs w:val="24"/>
        </w:rPr>
      </w:pPr>
      <w:r/>
      <w:bookmarkStart w:id="133" w:name="_Hlt26954739"/>
      <w:r/>
      <w:bookmarkEnd w:id="133"/>
      <w:r/>
      <w:bookmarkStart w:id="134" w:name="_Hlt26954852"/>
      <w:r/>
      <w:bookmarkEnd w:id="134"/>
      <w:r/>
      <w:bookmarkStart w:id="135" w:name="_Toc20823296"/>
      <w:r/>
      <w:bookmarkStart w:id="136" w:name="_Toc120614217"/>
      <w:r/>
      <w:bookmarkStart w:id="137" w:name="_Toc513029224"/>
      <w:r/>
      <w:bookmarkStart w:id="138" w:name="_Toc16938540"/>
      <w:r>
        <w:rPr>
          <w:rFonts w:hint="eastAsia" w:ascii="宋体" w:hAnsi="宋体" w:eastAsia="宋体" w:cs="宋体"/>
          <w:color w:val="000000"/>
          <w:sz w:val="24"/>
          <w:szCs w:val="24"/>
        </w:rPr>
        <w:t xml:space="preserve">四、投标文件的递交</w:t>
      </w:r>
      <w:bookmarkEnd w:id="135"/>
      <w:r/>
      <w:bookmarkEnd w:id="136"/>
      <w:r/>
      <w:bookmarkEnd w:id="137"/>
      <w:r/>
      <w:bookmarkEnd w:id="138"/>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bookmarkStart w:id="139" w:name="_Toc20823297"/>
      <w:r/>
      <w:bookmarkStart w:id="140" w:name="_Toc16938541"/>
      <w:r/>
      <w:bookmarkStart w:id="141" w:name="_Toc462564084"/>
      <w:r/>
      <w:bookmarkStart w:id="142" w:name="_Toc513029225"/>
      <w:r>
        <w:rPr>
          <w:rFonts w:hint="eastAsia" w:ascii="宋体" w:hAnsi="宋体" w:eastAsia="宋体" w:cs="宋体"/>
          <w:color w:val="000000"/>
          <w:sz w:val="24"/>
          <w:szCs w:val="24"/>
        </w:rPr>
        <w:t xml:space="preserve">17、投标文件</w:t>
      </w:r>
      <w:bookmarkEnd w:id="139"/>
      <w:r/>
      <w:bookmarkEnd w:id="140"/>
      <w:r/>
      <w:bookmarkEnd w:id="141"/>
      <w:r/>
      <w:bookmarkEnd w:id="142"/>
      <w:r>
        <w:rPr>
          <w:rFonts w:hint="eastAsia" w:ascii="宋体" w:hAnsi="宋体" w:eastAsia="宋体" w:cs="宋体"/>
          <w:color w:val="000000"/>
          <w:sz w:val="24"/>
          <w:szCs w:val="24"/>
        </w:rPr>
        <w:t xml:space="preserve">的递交</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电子投标文件的递交</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投标人应当按照《操作手册》规定，在投标截止时间前制作并上传电子投标文件。</w:t>
      </w:r>
      <w:bookmarkStart w:id="143" w:name="_Toc20823298"/>
      <w:r/>
      <w:bookmarkStart w:id="144" w:name="_Toc513029226"/>
      <w:r/>
      <w:bookmarkStart w:id="145" w:name="_Toc16938542"/>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18、投标截止</w:t>
      </w:r>
      <w:bookmarkEnd w:id="143"/>
      <w:r/>
      <w:bookmarkEnd w:id="144"/>
      <w:r/>
      <w:bookmarkEnd w:id="145"/>
      <w:r>
        <w:rPr>
          <w:rFonts w:hint="eastAsia" w:ascii="宋体" w:hAnsi="宋体" w:eastAsia="宋体" w:cs="宋体"/>
          <w:color w:val="000000"/>
          <w:sz w:val="24"/>
          <w:szCs w:val="24"/>
        </w:rPr>
        <w:t xml:space="preserve">时间</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i/>
          <w:color w:val="000000"/>
          <w:sz w:val="24"/>
          <w:szCs w:val="24"/>
          <w:u w:val="single"/>
        </w:rPr>
        <w:t xml:space="preserve">18.1</w:t>
      </w:r>
      <w:r>
        <w:rPr>
          <w:rFonts w:hint="eastAsia" w:ascii="宋体" w:hAnsi="宋体" w:eastAsia="宋体" w:cs="宋体"/>
          <w:bCs/>
          <w:i/>
          <w:color w:val="000000"/>
          <w:sz w:val="24"/>
          <w:szCs w:val="24"/>
          <w:u w:val="single"/>
        </w:rPr>
        <w:t xml:space="preserve"> 投标人上传电子投标文件的时间不得迟于招标公告中规定的投标截止时间。</w:t>
      </w:r>
      <w:r>
        <w:rPr>
          <w:rFonts w:hint="eastAsia" w:ascii="宋体" w:hAnsi="宋体" w:eastAsia="宋体" w:cs="宋体"/>
          <w:bCs/>
          <w:i/>
          <w:color w:val="000000"/>
          <w:sz w:val="24"/>
          <w:szCs w:val="24"/>
          <w:u w:val="single"/>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146" w:name="_Toc513029227"/>
      <w:r/>
      <w:bookmarkStart w:id="147" w:name="_Toc16938543"/>
      <w:r/>
      <w:bookmarkStart w:id="148" w:name="_Toc20823299"/>
      <w:r>
        <w:rPr>
          <w:rFonts w:hint="eastAsia" w:ascii="宋体" w:hAnsi="宋体" w:eastAsia="宋体" w:cs="宋体"/>
          <w:b w:val="0"/>
          <w:bCs w:val="0"/>
          <w:color w:val="000000"/>
          <w:sz w:val="24"/>
          <w:szCs w:val="24"/>
        </w:rPr>
        <w:t xml:space="preserve">19、投标文件</w:t>
      </w:r>
      <w:bookmarkEnd w:id="146"/>
      <w:r/>
      <w:bookmarkEnd w:id="147"/>
      <w:r/>
      <w:bookmarkEnd w:id="148"/>
      <w:r>
        <w:rPr>
          <w:rFonts w:hint="eastAsia" w:ascii="宋体" w:hAnsi="宋体" w:eastAsia="宋体" w:cs="宋体"/>
          <w:b w:val="0"/>
          <w:bCs w:val="0"/>
          <w:color w:val="000000"/>
          <w:sz w:val="24"/>
          <w:szCs w:val="24"/>
        </w:rPr>
        <w:t xml:space="preserve">的拒收</w:t>
      </w:r>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19.1</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拒绝接收在其规定的投标截止时间后上传的任何投标文件。</w:t>
      </w:r>
      <w:r>
        <w:rPr>
          <w:rFonts w:hint="eastAsia" w:ascii="宋体" w:hAnsi="宋体" w:eastAsia="宋体" w:cs="宋体"/>
          <w:bCs/>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149" w:name="_Toc20823300"/>
      <w:r/>
      <w:bookmarkStart w:id="150" w:name="_Toc513029228"/>
      <w:r/>
      <w:bookmarkStart w:id="151" w:name="_Toc16938544"/>
      <w:r>
        <w:rPr>
          <w:rFonts w:hint="eastAsia" w:ascii="宋体" w:hAnsi="宋体" w:eastAsia="宋体" w:cs="宋体"/>
          <w:b w:val="0"/>
          <w:bCs w:val="0"/>
          <w:color w:val="000000"/>
          <w:sz w:val="24"/>
          <w:szCs w:val="24"/>
        </w:rPr>
        <w:t xml:space="preserve">20、投标文件的撤回和修改</w:t>
      </w:r>
      <w:bookmarkEnd w:id="149"/>
      <w:r/>
      <w:bookmarkEnd w:id="150"/>
      <w:r/>
      <w:bookmarkEnd w:id="151"/>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21.1.1 电子投标文件的撤回</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21.1.2 投标人撤回电子投标文件，则认为其不再参与本项目投标活动。</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rPr>
          <w:rFonts w:hint="eastAsia" w:ascii="宋体" w:hAnsi="宋体" w:eastAsia="宋体" w:cs="宋体"/>
          <w:bCs/>
          <w:color w:val="000000"/>
          <w:sz w:val="24"/>
          <w:szCs w:val="24"/>
        </w:rPr>
      </w:r>
      <w:r/>
    </w:p>
    <w:p>
      <w:pPr>
        <w:pStyle w:val="948"/>
        <w:ind w:firstLine="482"/>
        <w:jc w:val="left"/>
        <w:pageBreakBefore w:val="0"/>
        <w:spacing w:before="145" w:after="145" w:line="360" w:lineRule="auto"/>
        <w:widowControl w:val="off"/>
        <w:rPr>
          <w:rFonts w:hint="eastAsia" w:ascii="宋体" w:hAnsi="宋体" w:eastAsia="宋体" w:cs="宋体"/>
          <w:color w:val="000000"/>
          <w:sz w:val="24"/>
          <w:szCs w:val="24"/>
        </w:rPr>
      </w:pPr>
      <w:r/>
      <w:bookmarkStart w:id="152" w:name="_Toc513029229"/>
      <w:r/>
      <w:bookmarkStart w:id="153" w:name="_Toc16938545"/>
      <w:r/>
      <w:bookmarkStart w:id="154" w:name="_Toc20823301"/>
      <w:r/>
      <w:bookmarkStart w:id="155" w:name="_Toc120614218"/>
      <w:r>
        <w:rPr>
          <w:rFonts w:hint="eastAsia" w:ascii="宋体" w:hAnsi="宋体" w:eastAsia="宋体" w:cs="宋体"/>
          <w:color w:val="000000"/>
          <w:sz w:val="24"/>
          <w:szCs w:val="24"/>
        </w:rPr>
        <w:t xml:space="preserve">五、开标与评标</w:t>
      </w:r>
      <w:bookmarkEnd w:id="152"/>
      <w:r/>
      <w:bookmarkEnd w:id="153"/>
      <w:r/>
      <w:bookmarkEnd w:id="154"/>
      <w:r/>
      <w:bookmarkEnd w:id="155"/>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156" w:name="_Toc20823302"/>
      <w:r/>
      <w:bookmarkStart w:id="157" w:name="_Toc16938546"/>
      <w:r/>
      <w:bookmarkStart w:id="158" w:name="_Toc513029230"/>
      <w:r>
        <w:rPr>
          <w:rFonts w:hint="eastAsia" w:ascii="宋体" w:hAnsi="宋体" w:eastAsia="宋体" w:cs="宋体"/>
          <w:b w:val="0"/>
          <w:bCs w:val="0"/>
          <w:color w:val="000000"/>
          <w:sz w:val="24"/>
          <w:szCs w:val="24"/>
        </w:rPr>
        <w:t xml:space="preserve">21、开标</w:t>
      </w:r>
      <w:bookmarkEnd w:id="156"/>
      <w:r/>
      <w:bookmarkEnd w:id="157"/>
      <w:r/>
      <w:bookmarkEnd w:id="158"/>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将在招标公告中规定的时间和地点组织公开开标</w:t>
      </w:r>
      <w:r>
        <w:rPr>
          <w:rFonts w:hint="eastAsia" w:ascii="宋体" w:hAnsi="宋体" w:eastAsia="宋体" w:cs="宋体"/>
          <w:color w:val="000000"/>
          <w:sz w:val="24"/>
          <w:szCs w:val="24"/>
        </w:rPr>
        <w:t xml:space="preserve">。投标人应当按照《操作手册》规定，参加开标活动和在苏采云系统规定的时间内对投标文件进行解密。</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21.2</w:t>
      </w:r>
      <w:r>
        <w:rPr>
          <w:rFonts w:hint="eastAsia" w:ascii="宋体" w:hAnsi="宋体" w:eastAsia="宋体" w:cs="宋体"/>
          <w:color w:val="000000"/>
          <w:sz w:val="24"/>
          <w:szCs w:val="24"/>
        </w:rPr>
        <w:t xml:space="preserve">开标仪式由</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组织。苏采云系统将自动对项目进行开标，并宣布各投标人名称和投标价格。</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21.3投标人在开标过程中涉及到的投标文件解密、开标结果确认等工作，应按照《操作手册》规定执行。</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159" w:name="_Toc20823303"/>
      <w:r/>
      <w:bookmarkStart w:id="160" w:name="_Toc16938547"/>
      <w:r/>
      <w:bookmarkStart w:id="161" w:name="_Toc513029231"/>
      <w:r>
        <w:rPr>
          <w:rFonts w:hint="eastAsia" w:ascii="宋体" w:hAnsi="宋体" w:eastAsia="宋体" w:cs="宋体"/>
          <w:b w:val="0"/>
          <w:bCs w:val="0"/>
          <w:color w:val="000000"/>
          <w:sz w:val="24"/>
          <w:szCs w:val="24"/>
        </w:rPr>
        <w:t xml:space="preserve">22、评标委员会</w:t>
      </w:r>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将立即组织评标委员会（以下简称评委会）进行评标。</w:t>
      </w:r>
      <w:r>
        <w:rPr>
          <w:rFonts w:hint="eastAsia" w:ascii="宋体" w:hAnsi="宋体" w:eastAsia="宋体" w:cs="宋体"/>
          <w:b/>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22.3评委会独立工作，负责评审所有投标文件并确定中标侯选人。</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23、评标过程的保密与公正</w:t>
      </w:r>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bookmarkEnd w:id="159"/>
      <w:r/>
      <w:bookmarkEnd w:id="160"/>
      <w:r/>
      <w:bookmarkEnd w:id="161"/>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均不得向投标人或与评标无关的其他人员透露。</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和评标委员会不向未中标的投标人解释未中标原因，也不公布评标过程中的相关细节。</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23.4 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162" w:name="_Toc513029232"/>
      <w:r/>
      <w:bookmarkStart w:id="163" w:name="_Toc20823304"/>
      <w:r/>
      <w:bookmarkStart w:id="164" w:name="_Toc16938548"/>
      <w:r>
        <w:rPr>
          <w:rFonts w:hint="eastAsia" w:ascii="宋体" w:hAnsi="宋体" w:eastAsia="宋体" w:cs="宋体"/>
          <w:b w:val="0"/>
          <w:bCs w:val="0"/>
          <w:color w:val="000000"/>
          <w:sz w:val="24"/>
          <w:szCs w:val="24"/>
        </w:rPr>
        <w:t xml:space="preserve">24、投标文件的澄清</w:t>
      </w:r>
      <w:bookmarkEnd w:id="162"/>
      <w:r/>
      <w:bookmarkEnd w:id="163"/>
      <w:r/>
      <w:bookmarkEnd w:id="164"/>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bookmarkStart w:id="165" w:name="_Toc513029233"/>
      <w:r/>
      <w:bookmarkStart w:id="166" w:name="_Toc20823305"/>
      <w:r/>
      <w:bookmarkStart w:id="167" w:name="_Toc16938549"/>
      <w:r>
        <w:rPr>
          <w:rFonts w:hint="eastAsia" w:ascii="宋体" w:hAnsi="宋体" w:eastAsia="宋体" w:cs="宋体"/>
          <w:b w:val="0"/>
          <w:bCs w:val="0"/>
          <w:color w:val="000000"/>
          <w:sz w:val="24"/>
          <w:szCs w:val="24"/>
        </w:rPr>
        <w:t xml:space="preserve">25、对投标文件的初审</w:t>
      </w:r>
      <w:bookmarkEnd w:id="165"/>
      <w:r/>
      <w:bookmarkEnd w:id="166"/>
      <w:r/>
      <w:bookmarkEnd w:id="167"/>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szCs w:val="24"/>
        </w:rPr>
      </w:r>
      <w:r/>
    </w:p>
    <w:p>
      <w:pPr>
        <w:pStyle w:val="945"/>
        <w:ind w:firstLine="480"/>
        <w:jc w:val="left"/>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25.1.3 未通过资格审查或符合性审查的投标人，</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将在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中告知未通过资格审查或符合性审查的原因，评标结束后，</w:t>
      </w:r>
      <w:r>
        <w:rPr>
          <w:rFonts w:hint="eastAsia" w:ascii="宋体" w:hAnsi="宋体" w:eastAsia="宋体" w:cs="宋体"/>
          <w:bCs/>
          <w:color w:val="000000"/>
          <w:sz w:val="24"/>
          <w:szCs w:val="24"/>
          <w:lang w:eastAsia="zh-CN"/>
        </w:rPr>
        <w:t xml:space="preserve">代理机构</w:t>
      </w:r>
      <w:r>
        <w:rPr>
          <w:rFonts w:hint="eastAsia" w:ascii="宋体" w:hAnsi="宋体" w:eastAsia="宋体" w:cs="宋体"/>
          <w:bCs/>
          <w:color w:val="000000"/>
          <w:sz w:val="24"/>
          <w:szCs w:val="24"/>
        </w:rPr>
        <w:t xml:space="preserve">将不再告知未通过资格审查和符合性审查的原因。</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评委会将对确定为实质性响应的投标进行进一步审核，确定其是否有计算上或累加上的算术错误，修正错误的原则如下：</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 </w:t>
      </w:r>
      <w:r>
        <w:rPr>
          <w:rFonts w:hint="eastAsia" w:ascii="宋体" w:hAnsi="宋体" w:eastAsia="宋体" w:cs="宋体"/>
          <w:bCs/>
          <w:color w:val="000000"/>
          <w:sz w:val="24"/>
          <w:szCs w:val="24"/>
        </w:rPr>
        <w:t xml:space="preserve">评委会将按上述修正错误的方法调整投标文件中的投标报价，并通过</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告知投标人，调整后的价格应对投标人具有约束力。如果投标人不接受修正后的价格，则其投标将被拒绝。</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bookmarkStart w:id="168" w:name="_Toc513029234"/>
      <w:r/>
      <w:bookmarkStart w:id="169" w:name="_Toc20823306"/>
      <w:r/>
      <w:bookmarkStart w:id="170" w:name="_Toc16938550"/>
      <w:r>
        <w:rPr>
          <w:rFonts w:hint="eastAsia" w:ascii="宋体" w:hAnsi="宋体" w:eastAsia="宋体" w:cs="宋体"/>
          <w:color w:val="000000"/>
          <w:sz w:val="24"/>
          <w:szCs w:val="24"/>
        </w:rPr>
        <w:t xml:space="preserve">25.6投标人在开、评标全过程中应保持通讯畅通，及时登录苏采云系统查阅、答复相关信息，并安排专人与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及评标委员会联系。</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26、</w:t>
      </w:r>
      <w:bookmarkEnd w:id="168"/>
      <w:r/>
      <w:bookmarkEnd w:id="169"/>
      <w:r/>
      <w:bookmarkEnd w:id="170"/>
      <w:r>
        <w:rPr>
          <w:rFonts w:hint="eastAsia" w:ascii="宋体" w:hAnsi="宋体" w:eastAsia="宋体" w:cs="宋体"/>
          <w:b w:val="0"/>
          <w:bCs w:val="0"/>
          <w:color w:val="000000"/>
          <w:sz w:val="24"/>
          <w:szCs w:val="24"/>
        </w:rPr>
        <w:t xml:space="preserve">无效投标条款和废标条款</w:t>
      </w:r>
      <w:r>
        <w:rPr>
          <w:rFonts w:hint="eastAsia" w:ascii="宋体" w:hAnsi="宋体" w:eastAsia="宋体" w:cs="宋体"/>
          <w:b w:val="0"/>
          <w:bCs w:val="0"/>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bookmarkStart w:id="171" w:name="_Toc16938551"/>
      <w:r/>
      <w:bookmarkStart w:id="172" w:name="_Toc20823307"/>
      <w:r/>
      <w:bookmarkStart w:id="173" w:name="_Toc513029235"/>
      <w:r>
        <w:rPr>
          <w:rFonts w:hint="eastAsia" w:ascii="宋体" w:hAnsi="宋体" w:eastAsia="宋体" w:cs="宋体"/>
          <w:bCs/>
          <w:color w:val="000000"/>
          <w:sz w:val="24"/>
          <w:szCs w:val="24"/>
        </w:rPr>
        <w:t xml:space="preserve">26.1无效投标条款</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 投标人在</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规定的时间内未成功解密电子投标文件的。</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26.1.2 投标人未按照招标文件要求上传电子投标文件的。</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26.1.3同一投标人提交两个（含两个）以上不同的投标报价的。</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26.1.4投标人不具备招标文件中规定资格要求的。</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26.1.5投标人的报价超过了采购预算或最高限价的。</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26.1.6未通过符合性审查的。</w:t>
      </w:r>
      <w:r>
        <w:rPr>
          <w:rFonts w:hint="eastAsia" w:ascii="宋体" w:hAnsi="宋体" w:eastAsia="宋体" w:cs="宋体"/>
          <w:bCs/>
          <w:i/>
          <w:color w:val="000000"/>
          <w:sz w:val="24"/>
          <w:szCs w:val="24"/>
          <w:u w:val="single"/>
        </w:rPr>
      </w:r>
      <w:r/>
    </w:p>
    <w:p>
      <w:pPr>
        <w:pStyle w:val="945"/>
        <w:ind w:firstLine="480"/>
        <w:jc w:val="left"/>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26.1.7不符合招标文件中规定的实质性要求和条件的（</w:t>
      </w:r>
      <w:r>
        <w:rPr>
          <w:rFonts w:hint="eastAsia" w:ascii="宋体" w:hAnsi="宋体" w:eastAsia="宋体" w:cs="宋体"/>
          <w:bCs/>
          <w:i/>
          <w:color w:val="000000"/>
          <w:sz w:val="24"/>
          <w:szCs w:val="24"/>
          <w:u w:val="single"/>
        </w:rPr>
        <w:t xml:space="preserve">本招标文件中斜体且有下划线部分为实质性要求和条件）。</w:t>
      </w:r>
      <w:r>
        <w:rPr>
          <w:rFonts w:hint="eastAsia" w:ascii="宋体" w:hAnsi="宋体" w:eastAsia="宋体" w:cs="宋体"/>
          <w:bCs/>
          <w:i/>
          <w:color w:val="000000"/>
          <w:sz w:val="24"/>
          <w:szCs w:val="24"/>
          <w:u w:val="single"/>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26.1.9 投标文件含有采购人不能接受的附加条件的。</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26.1.10评标委员会认为投标人的报价明显低于其他通过符合性审查投标人的报价，有可能影响产品质量或者不能诚信履约的，将通过</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要求其在合理的时间内提供说明，必要时提交相关证明材料；投标人不能证明其报价合理性的，评标委员会应当将其作为无效投标处理。</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26.1.11 投标文件未按照招标文件要求加盖CA电子公章的。</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26.1.12其他法律、法规及本招标文件规定的属无效投标的情形。</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26.2废标条款</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26.2.1符合专业条件的供应商或者对招标文件作实质响应的供应商不足三家的。</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26.2.3因重大变故，采购任务取消的。</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26.2.5 因</w:t>
      </w:r>
      <w:r>
        <w:rPr>
          <w:rFonts w:hint="eastAsia" w:ascii="宋体" w:hAnsi="宋体" w:eastAsia="宋体" w:cs="宋体"/>
          <w:color w:val="000000"/>
          <w:sz w:val="24"/>
          <w:szCs w:val="24"/>
        </w:rPr>
        <w:t xml:space="preserve">苏采云系统</w:t>
      </w:r>
      <w:r>
        <w:rPr>
          <w:rFonts w:hint="eastAsia" w:ascii="宋体" w:hAnsi="宋体" w:eastAsia="宋体" w:cs="宋体"/>
          <w:bCs/>
          <w:color w:val="000000"/>
          <w:sz w:val="24"/>
          <w:szCs w:val="24"/>
        </w:rPr>
        <w:t xml:space="preserve">系统故障原因造成开标不成功的。</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 投标截止时间结束后参加投标的供应商不足三家的处理：</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4"/>
        </w:rPr>
      </w:r>
      <w:r/>
    </w:p>
    <w:p>
      <w:pPr>
        <w:pStyle w:val="948"/>
        <w:ind w:firstLine="482"/>
        <w:jc w:val="left"/>
        <w:pageBreakBefore w:val="0"/>
        <w:spacing w:before="145" w:after="145" w:line="360" w:lineRule="auto"/>
        <w:widowControl w:val="off"/>
        <w:rPr>
          <w:rFonts w:hint="eastAsia" w:ascii="宋体" w:hAnsi="宋体" w:eastAsia="宋体" w:cs="宋体"/>
          <w:color w:val="000000"/>
          <w:sz w:val="24"/>
          <w:szCs w:val="24"/>
        </w:rPr>
      </w:pPr>
      <w:r/>
      <w:bookmarkStart w:id="174" w:name="_Toc120614219"/>
      <w:r>
        <w:rPr>
          <w:rFonts w:hint="eastAsia" w:ascii="宋体" w:hAnsi="宋体" w:eastAsia="宋体" w:cs="宋体"/>
          <w:color w:val="000000"/>
          <w:sz w:val="24"/>
          <w:szCs w:val="24"/>
        </w:rPr>
        <w:t xml:space="preserve">六、</w:t>
      </w:r>
      <w:bookmarkEnd w:id="171"/>
      <w:r/>
      <w:bookmarkEnd w:id="172"/>
      <w:r/>
      <w:bookmarkEnd w:id="173"/>
      <w:r>
        <w:rPr>
          <w:rFonts w:hint="eastAsia" w:ascii="宋体" w:hAnsi="宋体" w:eastAsia="宋体" w:cs="宋体"/>
          <w:color w:val="000000"/>
          <w:sz w:val="24"/>
          <w:szCs w:val="24"/>
        </w:rPr>
        <w:t xml:space="preserve">定标</w:t>
      </w:r>
      <w:bookmarkEnd w:id="174"/>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color w:val="000000"/>
          <w:sz w:val="24"/>
          <w:szCs w:val="24"/>
        </w:rPr>
      </w:pPr>
      <w:r/>
      <w:bookmarkStart w:id="175" w:name="_Toc513029238"/>
      <w:r/>
      <w:bookmarkStart w:id="176" w:name="_Toc16938554"/>
      <w:r/>
      <w:bookmarkStart w:id="177" w:name="_Toc20823310"/>
      <w:r>
        <w:rPr>
          <w:rFonts w:hint="eastAsia" w:ascii="宋体" w:hAnsi="宋体" w:eastAsia="宋体" w:cs="宋体"/>
          <w:b w:val="0"/>
          <w:color w:val="000000"/>
          <w:sz w:val="24"/>
          <w:szCs w:val="24"/>
        </w:rPr>
        <w:t xml:space="preserve">27、</w:t>
      </w:r>
      <w:bookmarkEnd w:id="175"/>
      <w:r>
        <w:rPr>
          <w:rFonts w:hint="eastAsia" w:ascii="宋体" w:hAnsi="宋体" w:eastAsia="宋体" w:cs="宋体"/>
          <w:b w:val="0"/>
          <w:color w:val="000000"/>
          <w:sz w:val="24"/>
          <w:szCs w:val="24"/>
        </w:rPr>
        <w:t xml:space="preserve">确定</w:t>
      </w:r>
      <w:bookmarkEnd w:id="176"/>
      <w:r/>
      <w:bookmarkEnd w:id="177"/>
      <w:r>
        <w:rPr>
          <w:rFonts w:hint="eastAsia" w:ascii="宋体" w:hAnsi="宋体" w:eastAsia="宋体" w:cs="宋体"/>
          <w:b w:val="0"/>
          <w:color w:val="000000"/>
          <w:sz w:val="24"/>
          <w:szCs w:val="24"/>
        </w:rPr>
        <w:t xml:space="preserve">中标单位</w:t>
      </w:r>
      <w:r>
        <w:rPr>
          <w:rFonts w:hint="eastAsia" w:ascii="宋体" w:hAnsi="宋体" w:eastAsia="宋体" w:cs="宋体"/>
          <w:b w:val="0"/>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采购人应根据评委会推荐的中标候选人确定中标人。</w:t>
      </w:r>
      <w:r>
        <w:rPr>
          <w:rFonts w:hint="eastAsia" w:ascii="宋体" w:hAnsi="宋体" w:eastAsia="宋体" w:cs="宋体"/>
          <w:bCs/>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将在</w:t>
      </w:r>
      <w:r>
        <w:rPr>
          <w:rFonts w:hint="eastAsia" w:ascii="宋体" w:hAnsi="宋体" w:eastAsia="宋体" w:cs="宋体"/>
          <w:color w:val="000000"/>
          <w:sz w:val="24"/>
          <w:szCs w:val="24"/>
          <w:lang w:eastAsia="zh-CN"/>
        </w:rPr>
        <w:t xml:space="preserve">“江苏政府采购网”“中国政府采购网”“扬州市政府采购网”“扬州市邗江区政府采购网”</w:t>
      </w:r>
      <w:r>
        <w:rPr>
          <w:rFonts w:hint="eastAsia" w:ascii="宋体" w:hAnsi="宋体" w:eastAsia="宋体" w:cs="宋体"/>
          <w:color w:val="000000"/>
          <w:sz w:val="24"/>
          <w:szCs w:val="24"/>
        </w:rPr>
        <w:t xml:space="preserve">发布中标公告，公告期限为1个工作日。</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若有充分证据证明，中标人出现下列情况之一的，一经查实，将被取消中标资格：</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行贿或者提供其他不正当利益的。</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bookmarkStart w:id="178" w:name="_Toc200451960"/>
      <w:r>
        <w:rPr>
          <w:rFonts w:hint="eastAsia" w:ascii="宋体" w:hAnsi="宋体" w:eastAsia="宋体" w:cs="宋体"/>
          <w:color w:val="000000"/>
          <w:sz w:val="24"/>
          <w:szCs w:val="24"/>
        </w:rPr>
        <w:t xml:space="preserve">27.5 </w:t>
      </w:r>
      <w:r>
        <w:rPr>
          <w:rFonts w:hint="eastAsia" w:ascii="宋体" w:hAnsi="宋体" w:eastAsia="宋体" w:cs="宋体"/>
          <w:color w:val="000000"/>
          <w:sz w:val="24"/>
          <w:szCs w:val="24"/>
        </w:rPr>
        <w:t xml:space="preserve">有下列情形之一的，视为投标人串通投标，投标无效：</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28、质疑处理</w:t>
      </w:r>
      <w:bookmarkEnd w:id="178"/>
      <w:r>
        <w:rPr>
          <w:rFonts w:hint="eastAsia" w:ascii="宋体" w:hAnsi="宋体" w:eastAsia="宋体" w:cs="宋体"/>
          <w:b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或采购人提出质疑。上述应知其权益受到损害之日，是指：</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w:t>
      </w:r>
      <w:r>
        <w:rPr>
          <w:rFonts w:hint="eastAsia" w:ascii="宋体" w:hAnsi="宋体" w:eastAsia="宋体" w:cs="宋体"/>
          <w:color w:val="000000"/>
          <w:sz w:val="24"/>
          <w:szCs w:val="24"/>
        </w:rPr>
        <w:t xml:space="preserve">对可以质疑的采购文件提出质疑的，为收到采购文件之日或者采购文件公告期限届满之日；</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28.2.2</w:t>
      </w:r>
      <w:r>
        <w:rPr>
          <w:rFonts w:hint="eastAsia" w:ascii="宋体" w:hAnsi="宋体" w:eastAsia="宋体" w:cs="宋体"/>
          <w:color w:val="000000"/>
          <w:sz w:val="24"/>
          <w:szCs w:val="24"/>
        </w:rPr>
        <w:t xml:space="preserve">对采购过程提出质疑的，为各采购程序环节结束之日；</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28.2.3</w:t>
      </w:r>
      <w:r>
        <w:rPr>
          <w:rFonts w:hint="eastAsia" w:ascii="宋体" w:hAnsi="宋体" w:eastAsia="宋体" w:cs="宋体"/>
          <w:color w:val="000000"/>
          <w:sz w:val="24"/>
          <w:szCs w:val="24"/>
        </w:rPr>
        <w:t xml:space="preserve">对中标或者成交结果提出质疑的，为中标或者成交结果公告期限届满之日。</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、采购人将只对供应商第一次质疑作出答复。</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提出，由</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负责答复。</w:t>
      </w:r>
      <w:r>
        <w:rPr>
          <w:rFonts w:hint="eastAsia" w:ascii="宋体" w:hAnsi="宋体" w:eastAsia="宋体" w:cs="宋体"/>
          <w:b/>
          <w:color w:val="000000"/>
          <w:sz w:val="24"/>
          <w:szCs w:val="24"/>
        </w:rPr>
      </w:r>
      <w:r/>
    </w:p>
    <w:p>
      <w:pPr>
        <w:pStyle w:val="945"/>
        <w:ind w:firstLine="480"/>
        <w:jc w:val="left"/>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供应商（含潜在供应商）对与本项目有关的所有询问、质疑均请向采购人提出，由采购人负责答复。</w:t>
      </w:r>
      <w:r>
        <w:rPr>
          <w:rFonts w:hint="eastAsia" w:ascii="宋体" w:hAnsi="宋体" w:eastAsia="宋体" w:cs="宋体"/>
          <w:b/>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及采购人只接收以纸质原件形式送达的质疑,建议供应商尽量通过邮寄方式提交质疑（采购人和</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不接受未填写快递运单的快件）。</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采购人质疑接收人及联系方式见招标文件第一章。</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29、中标通知书</w:t>
      </w:r>
      <w:r>
        <w:rPr>
          <w:rFonts w:hint="eastAsia" w:ascii="宋体" w:hAnsi="宋体" w:eastAsia="宋体" w:cs="宋体"/>
          <w:b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29.l</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中标结果确定后，</w:t>
      </w:r>
      <w:r>
        <w:rPr>
          <w:rFonts w:hint="eastAsia" w:ascii="宋体" w:hAnsi="宋体" w:eastAsia="宋体" w:cs="宋体"/>
          <w:color w:val="000000"/>
          <w:sz w:val="24"/>
          <w:szCs w:val="24"/>
          <w:lang w:eastAsia="zh-CN"/>
        </w:rPr>
        <w:t xml:space="preserve">代理机构</w:t>
      </w:r>
      <w:r>
        <w:rPr>
          <w:rFonts w:hint="eastAsia" w:ascii="宋体" w:hAnsi="宋体" w:eastAsia="宋体" w:cs="宋体"/>
          <w:color w:val="000000"/>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4"/>
          <w:szCs w:val="24"/>
        </w:rPr>
      </w:r>
      <w:r/>
    </w:p>
    <w:p>
      <w:pPr>
        <w:pStyle w:val="948"/>
        <w:ind w:firstLine="482"/>
        <w:jc w:val="left"/>
        <w:pageBreakBefore w:val="0"/>
        <w:spacing w:before="145" w:after="145" w:line="360" w:lineRule="auto"/>
        <w:widowControl w:val="off"/>
        <w:rPr>
          <w:rFonts w:hint="eastAsia" w:ascii="宋体" w:hAnsi="宋体" w:eastAsia="宋体" w:cs="宋体"/>
          <w:color w:val="000000"/>
          <w:sz w:val="24"/>
          <w:szCs w:val="24"/>
        </w:rPr>
      </w:pPr>
      <w:r/>
      <w:bookmarkStart w:id="179" w:name="_Toc120614220"/>
      <w:r/>
      <w:bookmarkStart w:id="180" w:name="_Toc16938552"/>
      <w:r/>
      <w:bookmarkStart w:id="181" w:name="_Toc20823308"/>
      <w:r/>
      <w:bookmarkStart w:id="182" w:name="_Toc513029236"/>
      <w:r>
        <w:rPr>
          <w:rFonts w:hint="eastAsia" w:ascii="宋体" w:hAnsi="宋体" w:eastAsia="宋体" w:cs="宋体"/>
          <w:color w:val="000000"/>
          <w:sz w:val="24"/>
          <w:szCs w:val="24"/>
        </w:rPr>
        <w:t xml:space="preserve">七、授予合同</w:t>
      </w:r>
      <w:bookmarkEnd w:id="179"/>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color w:val="000000"/>
          <w:sz w:val="24"/>
          <w:szCs w:val="24"/>
        </w:rPr>
      </w:pPr>
      <w:r/>
      <w:bookmarkEnd w:id="180"/>
      <w:r/>
      <w:bookmarkEnd w:id="181"/>
      <w:r/>
      <w:bookmarkEnd w:id="182"/>
      <w:r/>
      <w:bookmarkStart w:id="183" w:name="_Toc513029237"/>
      <w:r/>
      <w:bookmarkStart w:id="184" w:name="_Toc20823309"/>
      <w:r/>
      <w:bookmarkStart w:id="185" w:name="_Toc16938553"/>
      <w:r>
        <w:rPr>
          <w:rFonts w:hint="eastAsia" w:ascii="宋体" w:hAnsi="宋体" w:eastAsia="宋体" w:cs="宋体"/>
          <w:b w:val="0"/>
          <w:color w:val="000000"/>
          <w:sz w:val="24"/>
          <w:szCs w:val="24"/>
        </w:rPr>
        <w:t xml:space="preserve">30. 签订合同</w:t>
      </w:r>
      <w:r>
        <w:rPr>
          <w:rFonts w:hint="eastAsia" w:ascii="宋体" w:hAnsi="宋体" w:eastAsia="宋体" w:cs="宋体"/>
          <w:b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.l中标人应当在中标通知书发出之日起三十日内，按照招标文件确定的事项与采购人签订政府采购合同。</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招标文件、中标人的投标文件及招标过程中有关澄清、承诺文件均应作为合同附件。</w:t>
      </w:r>
      <w:r>
        <w:rPr>
          <w:rFonts w:hint="eastAsia" w:ascii="宋体" w:hAnsi="宋体" w:eastAsia="宋体" w:cs="宋体"/>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w:t>
      </w:r>
      <w:r>
        <w:rPr>
          <w:rFonts w:hint="eastAsia" w:ascii="宋体" w:hAnsi="宋体" w:eastAsia="宋体" w:cs="宋体"/>
          <w:i/>
          <w:color w:val="000000"/>
          <w:sz w:val="24"/>
          <w:szCs w:val="24"/>
          <w:u w:val="singl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color w:val="000000"/>
          <w:sz w:val="24"/>
          <w:szCs w:val="24"/>
        </w:rPr>
      </w:pPr>
      <w:r>
        <w:rPr>
          <w:rFonts w:hint="eastAsia" w:ascii="宋体" w:hAnsi="宋体" w:eastAsia="宋体" w:cs="宋体"/>
          <w:b w:val="0"/>
          <w:color w:val="000000"/>
          <w:sz w:val="24"/>
          <w:szCs w:val="24"/>
        </w:rPr>
        <w:t xml:space="preserve">31、服务（包含与服务相关的货物）的追加</w:t>
      </w:r>
      <w:r>
        <w:rPr>
          <w:rFonts w:hint="eastAsia" w:ascii="宋体" w:hAnsi="宋体" w:eastAsia="宋体" w:cs="宋体"/>
          <w:b w:val="0"/>
          <w:color w:val="000000"/>
          <w:sz w:val="24"/>
          <w:szCs w:val="24"/>
        </w:rPr>
      </w:r>
      <w:r/>
    </w:p>
    <w:p>
      <w:pPr>
        <w:pStyle w:val="945"/>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szCs w:val="24"/>
        </w:rPr>
      </w:r>
      <w:r/>
    </w:p>
    <w:p>
      <w:pPr>
        <w:pStyle w:val="949"/>
        <w:ind w:firstLine="480"/>
        <w:jc w:val="left"/>
        <w:pageBreakBefore w:val="0"/>
        <w:spacing w:before="0" w:after="0" w:line="360" w:lineRule="auto"/>
        <w:widowControl w:val="off"/>
        <w:rPr>
          <w:rFonts w:hint="eastAsia" w:ascii="宋体" w:hAnsi="宋体" w:eastAsia="宋体" w:cs="宋体"/>
          <w:b w:val="0"/>
          <w:color w:val="000000"/>
          <w:sz w:val="24"/>
          <w:szCs w:val="24"/>
        </w:rPr>
      </w:pPr>
      <w:r/>
      <w:bookmarkEnd w:id="183"/>
      <w:r/>
      <w:bookmarkEnd w:id="184"/>
      <w:r/>
      <w:bookmarkEnd w:id="185"/>
      <w:r/>
      <w:bookmarkStart w:id="186" w:name="_Toc20823314"/>
      <w:r/>
      <w:bookmarkStart w:id="187" w:name="_Toc120614221"/>
      <w:r/>
      <w:bookmarkStart w:id="188" w:name="_Toc513029242"/>
      <w:r/>
      <w:bookmarkStart w:id="189" w:name="_Toc16938558"/>
      <w:r/>
      <w:bookmarkStart w:id="190" w:name="_Toc479757207"/>
      <w:r>
        <w:rPr>
          <w:rFonts w:hint="eastAsia" w:ascii="宋体" w:hAnsi="宋体" w:eastAsia="宋体" w:cs="宋体"/>
          <w:b w:val="0"/>
          <w:color w:val="000000"/>
          <w:sz w:val="24"/>
          <w:szCs w:val="24"/>
        </w:rPr>
        <w:t xml:space="preserve">32、政府采购履约资金扶持政策</w:t>
      </w:r>
      <w:r>
        <w:rPr>
          <w:rFonts w:hint="eastAsia" w:ascii="宋体" w:hAnsi="宋体" w:eastAsia="宋体" w:cs="宋体"/>
          <w:b w:val="0"/>
          <w:color w:val="000000"/>
          <w:sz w:val="24"/>
          <w:szCs w:val="24"/>
        </w:rPr>
      </w:r>
      <w:r/>
    </w:p>
    <w:p>
      <w:pPr>
        <w:pStyle w:val="959"/>
        <w:ind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中标人可凭政府采购合同办理融资贷款，详情请见江苏政府采购网“政采贷”专栏。</w:t>
      </w:r>
      <w:r>
        <w:rPr>
          <w:rFonts w:hint="eastAsia" w:ascii="宋体" w:hAnsi="宋体" w:eastAsia="宋体" w:cs="宋体"/>
          <w:color w:val="000000"/>
          <w:sz w:val="24"/>
          <w:szCs w:val="24"/>
        </w:rPr>
      </w:r>
      <w:r/>
    </w:p>
    <w:p>
      <w:pPr>
        <w:pStyle w:val="959"/>
        <w:rPr>
          <w:rFonts w:hint="eastAsia"/>
          <w:color w:val="000000"/>
        </w:rPr>
      </w:pPr>
      <w:r>
        <w:rPr>
          <w:rFonts w:hint="eastAsia"/>
          <w:color w:val="000000"/>
        </w:rPr>
      </w:r>
      <w:r/>
    </w:p>
    <w:p>
      <w:pPr>
        <w:pStyle w:val="945"/>
        <w:rPr>
          <w:rFonts w:hint="eastAsia"/>
          <w:color w:val="000000"/>
        </w:rPr>
      </w:pPr>
      <w:r>
        <w:rPr>
          <w:rFonts w:hint="eastAsia"/>
          <w:color w:val="000000"/>
        </w:rPr>
      </w:r>
      <w:r/>
    </w:p>
    <w:p>
      <w:pPr>
        <w:pStyle w:val="945"/>
        <w:rPr>
          <w:rFonts w:hint="eastAsia"/>
          <w:color w:val="000000"/>
        </w:rPr>
      </w:pPr>
      <w:r>
        <w:rPr>
          <w:rFonts w:hint="eastAsia"/>
          <w:color w:val="000000"/>
        </w:rPr>
      </w:r>
      <w:r/>
    </w:p>
    <w:p>
      <w:pPr>
        <w:pStyle w:val="945"/>
        <w:rPr>
          <w:rFonts w:hint="eastAsia"/>
          <w:color w:val="000000"/>
        </w:rPr>
      </w:pPr>
      <w:r>
        <w:rPr>
          <w:rFonts w:hint="eastAsia"/>
          <w:color w:val="000000"/>
        </w:rPr>
      </w:r>
      <w:r/>
    </w:p>
    <w:p>
      <w:pPr>
        <w:pStyle w:val="945"/>
        <w:rPr>
          <w:rFonts w:hint="eastAsia"/>
          <w:color w:val="000000"/>
        </w:rPr>
      </w:pPr>
      <w:r>
        <w:rPr>
          <w:rFonts w:hint="eastAsia"/>
          <w:color w:val="000000"/>
        </w:rPr>
      </w:r>
      <w:r/>
    </w:p>
    <w:p>
      <w:pPr>
        <w:pStyle w:val="945"/>
        <w:rPr>
          <w:rFonts w:hint="eastAsia"/>
          <w:color w:val="000000"/>
        </w:rPr>
      </w:pPr>
      <w:r>
        <w:rPr>
          <w:rFonts w:hint="eastAsia"/>
          <w:color w:val="000000"/>
        </w:rPr>
      </w:r>
      <w:r/>
    </w:p>
    <w:p>
      <w:pPr>
        <w:pStyle w:val="946"/>
        <w:rPr>
          <w:rFonts w:hint="eastAsia" w:ascii="黑体" w:eastAsia="黑体"/>
          <w:bCs/>
          <w:color w:val="000000"/>
          <w:sz w:val="44"/>
        </w:rPr>
      </w:pPr>
      <w:r/>
      <w:bookmarkStart w:id="191" w:name="_Toc26130"/>
      <w:r>
        <w:rPr>
          <w:rFonts w:hint="eastAsia" w:ascii="黑体" w:eastAsia="黑体"/>
          <w:bCs/>
          <w:color w:val="000000"/>
          <w:sz w:val="44"/>
        </w:rPr>
        <w:t xml:space="preserve">第三章  合同</w:t>
      </w:r>
      <w:bookmarkEnd w:id="186"/>
      <w:r/>
      <w:bookmarkEnd w:id="187"/>
      <w:r/>
      <w:bookmarkEnd w:id="188"/>
      <w:r/>
      <w:bookmarkEnd w:id="189"/>
      <w:r/>
      <w:bookmarkEnd w:id="190"/>
      <w:r>
        <w:rPr>
          <w:rFonts w:hint="eastAsia" w:ascii="黑体" w:eastAsia="黑体"/>
          <w:bCs/>
          <w:color w:val="000000"/>
          <w:sz w:val="44"/>
        </w:rPr>
        <w:t xml:space="preserve">文本</w:t>
      </w:r>
      <w:bookmarkEnd w:id="191"/>
      <w:r>
        <w:rPr>
          <w:rFonts w:hint="eastAsia" w:ascii="黑体" w:eastAsia="黑体"/>
          <w:bCs/>
          <w:color w:val="000000"/>
          <w:sz w:val="44"/>
        </w:rPr>
      </w:r>
      <w:r/>
    </w:p>
    <w:p>
      <w:pPr>
        <w:pStyle w:val="945"/>
        <w:ind w:firstLine="480"/>
        <w:spacing w:line="500" w:lineRule="exact"/>
        <w:rPr>
          <w:rFonts w:hint="eastAsia" w:ascii="宋体" w:hAnsi="宋体"/>
          <w:bCs/>
          <w:color w:val="000000"/>
          <w:sz w:val="24"/>
        </w:rPr>
      </w:pPr>
      <w:r/>
      <w:bookmarkStart w:id="192" w:name="_Toc20823315"/>
      <w:r/>
      <w:bookmarkStart w:id="193" w:name="_Toc16938559"/>
      <w:r/>
      <w:bookmarkStart w:id="194" w:name="_Toc513029243"/>
      <w:r>
        <w:rPr>
          <w:rFonts w:hint="eastAsia" w:ascii="宋体" w:hAnsi="宋体"/>
          <w:bCs/>
          <w:color w:val="000000"/>
          <w:sz w:val="24"/>
        </w:rPr>
        <w:t xml:space="preserve">以下为中标后签定本项目合同的通用条款，中标人不得提出实质性的修改。</w:t>
      </w:r>
      <w:r>
        <w:rPr>
          <w:rFonts w:hint="eastAsia" w:ascii="宋体" w:hAnsi="宋体"/>
          <w:bCs/>
          <w:color w:val="000000"/>
          <w:sz w:val="24"/>
        </w:rPr>
      </w:r>
      <w:r/>
    </w:p>
    <w:p>
      <w:pPr>
        <w:pStyle w:val="945"/>
        <w:jc w:val="center"/>
        <w:spacing w:before="145" w:after="145"/>
        <w:rPr>
          <w:rFonts w:hint="eastAsia" w:ascii="宋体" w:hAnsi="宋体"/>
          <w:b/>
          <w:color w:val="000000"/>
          <w:sz w:val="30"/>
        </w:rPr>
        <w:outlineLvl w:val="9"/>
      </w:pPr>
      <w:r>
        <w:rPr>
          <w:rFonts w:hint="eastAsia" w:ascii="宋体" w:hAnsi="宋体"/>
          <w:b/>
          <w:color w:val="000000"/>
          <w:sz w:val="30"/>
        </w:rPr>
      </w:r>
      <w:r/>
    </w:p>
    <w:p>
      <w:pPr>
        <w:pStyle w:val="945"/>
        <w:jc w:val="center"/>
        <w:spacing w:before="145" w:after="145"/>
        <w:rPr>
          <w:rFonts w:ascii="宋体" w:hAnsi="宋体"/>
          <w:b/>
          <w:bCs/>
          <w:color w:val="000000"/>
          <w:sz w:val="30"/>
          <w:szCs w:val="20"/>
        </w:rPr>
        <w:outlineLvl w:val="0"/>
      </w:pPr>
      <w:r/>
      <w:bookmarkStart w:id="195" w:name="_Toc5438"/>
      <w:r>
        <w:rPr>
          <w:rFonts w:hint="eastAsia" w:ascii="宋体" w:hAnsi="宋体"/>
          <w:b/>
          <w:color w:val="000000"/>
          <w:sz w:val="30"/>
        </w:rPr>
        <w:t xml:space="preserve">江苏省政府采购合同（服务）（合同编号）</w:t>
      </w:r>
      <w:bookmarkEnd w:id="195"/>
      <w:r>
        <w:rPr>
          <w:rFonts w:ascii="宋体" w:hAnsi="宋体"/>
          <w:b/>
          <w:bCs/>
          <w:color w:val="000000"/>
          <w:sz w:val="30"/>
          <w:szCs w:val="20"/>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项目编号：</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甲方：（买方）_________</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乙方：（卖方）_________</w:t>
      </w:r>
      <w:r>
        <w:rPr>
          <w:rFonts w:hint="eastAsia" w:ascii="宋体" w:hAnsi="宋体" w:eastAsia="宋体" w:cs="宋体"/>
          <w:color w:val="000000"/>
          <w:sz w:val="24"/>
          <w:szCs w:val="24"/>
        </w:rPr>
      </w:r>
      <w:r/>
    </w:p>
    <w:p>
      <w:pPr>
        <w:pStyle w:val="983"/>
        <w:ind w:firstLine="482"/>
        <w:jc w:val="left"/>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lang w:eastAsia="zh-CN"/>
        </w:rPr>
        <w:t xml:space="preserve">扬州中科项目管理有限公司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项目公开招标的结果，签署本合同。</w:t>
      </w:r>
      <w:r>
        <w:rPr>
          <w:rFonts w:hint="eastAsia" w:ascii="宋体" w:hAnsi="宋体" w:eastAsia="宋体" w:cs="宋体"/>
          <w:b/>
          <w:color w:val="000000"/>
          <w:sz w:val="24"/>
          <w:szCs w:val="24"/>
        </w:rPr>
      </w:r>
      <w:r/>
    </w:p>
    <w:p>
      <w:pPr>
        <w:pStyle w:val="983"/>
        <w:ind w:firstLine="482"/>
        <w:jc w:val="left"/>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一、合同内容</w:t>
      </w:r>
      <w:r>
        <w:rPr>
          <w:rFonts w:hint="eastAsia" w:ascii="宋体" w:hAnsi="宋体" w:eastAsia="宋体" w:cs="宋体"/>
          <w:b/>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标的名称：</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1.2标的质量：</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标的数量（规模）：</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履行时间（期限）：</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履行地点：</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1.6履行方式：</w:t>
      </w:r>
      <w:r>
        <w:rPr>
          <w:rFonts w:hint="eastAsia" w:ascii="宋体" w:hAnsi="宋体" w:eastAsia="宋体" w:cs="宋体"/>
          <w:color w:val="000000"/>
          <w:sz w:val="24"/>
          <w:szCs w:val="24"/>
        </w:rPr>
      </w:r>
      <w:r/>
    </w:p>
    <w:p>
      <w:pPr>
        <w:pStyle w:val="983"/>
        <w:ind w:firstLine="482"/>
        <w:jc w:val="left"/>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二、合同金额</w:t>
      </w:r>
      <w:r>
        <w:rPr>
          <w:rFonts w:hint="eastAsia" w:ascii="宋体" w:hAnsi="宋体" w:eastAsia="宋体" w:cs="宋体"/>
          <w:b/>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本合同金额为（大写）：____________________________________圆（_______________元）人民币。</w:t>
      </w:r>
      <w:r>
        <w:rPr>
          <w:rFonts w:hint="eastAsia" w:ascii="宋体" w:hAnsi="宋体" w:eastAsia="宋体" w:cs="宋体"/>
          <w:color w:val="000000"/>
          <w:sz w:val="24"/>
          <w:szCs w:val="24"/>
        </w:rPr>
      </w:r>
      <w:r/>
    </w:p>
    <w:p>
      <w:pPr>
        <w:pStyle w:val="983"/>
        <w:ind w:firstLine="482"/>
        <w:jc w:val="left"/>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三、技术资料</w:t>
      </w:r>
      <w:r>
        <w:rPr>
          <w:rFonts w:hint="eastAsia" w:ascii="宋体" w:hAnsi="宋体" w:eastAsia="宋体" w:cs="宋体"/>
          <w:b/>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3.1乙方应按招标文件规定的时间向甲方提供服务（包含与服务相关的货物）的有关技术资料。</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rPr>
      </w:r>
      <w:r/>
    </w:p>
    <w:p>
      <w:pPr>
        <w:pStyle w:val="983"/>
        <w:ind w:firstLine="482"/>
        <w:jc w:val="left"/>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四、知识产权</w:t>
      </w:r>
      <w:r>
        <w:rPr>
          <w:rFonts w:hint="eastAsia" w:ascii="宋体" w:hAnsi="宋体" w:eastAsia="宋体" w:cs="宋体"/>
          <w:b/>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rPr>
      </w:r>
      <w:r/>
    </w:p>
    <w:p>
      <w:pPr>
        <w:pStyle w:val="983"/>
        <w:ind w:firstLine="482"/>
        <w:jc w:val="left"/>
        <w:keepLines w:val="0"/>
        <w:keepNext w:val="0"/>
        <w:pageBreakBefore w:val="0"/>
        <w:spacing w:before="120" w:after="120" w:line="360" w:lineRule="auto"/>
        <w:widowControl w:val="off"/>
        <w:rPr>
          <w:rFonts w:hint="eastAsia" w:ascii="宋体" w:hAnsi="宋体" w:eastAsia="宋体" w:cs="宋体"/>
          <w:color w:val="000000"/>
          <w:sz w:val="24"/>
          <w:szCs w:val="24"/>
          <w:u w:val="single"/>
        </w:rPr>
      </w:pPr>
      <w:r>
        <w:rPr>
          <w:rFonts w:hint="eastAsia" w:ascii="宋体" w:hAnsi="宋体" w:eastAsia="宋体" w:cs="宋体"/>
          <w:b/>
          <w:color w:val="000000"/>
          <w:sz w:val="24"/>
          <w:szCs w:val="24"/>
        </w:rPr>
        <w:t xml:space="preserve">五、产权担保</w:t>
      </w:r>
      <w:r>
        <w:rPr>
          <w:rFonts w:hint="eastAsia" w:ascii="宋体" w:hAnsi="宋体" w:eastAsia="宋体" w:cs="宋体"/>
          <w:color w:val="000000"/>
          <w:sz w:val="24"/>
          <w:szCs w:val="24"/>
          <w:u w:val="single"/>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宋体"/>
          <w:color w:val="000000"/>
          <w:sz w:val="24"/>
          <w:szCs w:val="24"/>
          <w:u w:val="single"/>
        </w:rPr>
      </w:r>
      <w:r/>
    </w:p>
    <w:p>
      <w:pPr>
        <w:pStyle w:val="983"/>
        <w:ind w:firstLine="482"/>
        <w:jc w:val="left"/>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六、履约保证金</w:t>
      </w:r>
      <w:r>
        <w:rPr>
          <w:rFonts w:hint="eastAsia" w:ascii="宋体" w:hAnsi="宋体" w:eastAsia="宋体" w:cs="宋体"/>
          <w:b/>
          <w:color w:val="000000"/>
          <w:sz w:val="24"/>
          <w:szCs w:val="24"/>
        </w:rPr>
      </w:r>
      <w:r/>
    </w:p>
    <w:p>
      <w:pPr>
        <w:pStyle w:val="983"/>
        <w:ind w:left="408"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无</w:t>
      </w:r>
      <w:r>
        <w:rPr>
          <w:rFonts w:hint="eastAsia" w:ascii="宋体" w:hAnsi="宋体" w:eastAsia="宋体" w:cs="宋体"/>
          <w:color w:val="000000"/>
          <w:sz w:val="24"/>
          <w:szCs w:val="24"/>
          <w:lang w:val="en-US" w:eastAsia="zh-CN"/>
        </w:rPr>
      </w:r>
      <w:r/>
    </w:p>
    <w:p>
      <w:pPr>
        <w:pStyle w:val="945"/>
        <w:ind w:firstLine="482"/>
        <w:jc w:val="left"/>
        <w:keepLines w:val="0"/>
        <w:keepNext w:val="0"/>
        <w:pageBreakBefore w:val="0"/>
        <w:spacing w:before="145" w:after="145"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七、合同转包或分包</w:t>
      </w:r>
      <w:r>
        <w:rPr>
          <w:rFonts w:hint="eastAsia" w:ascii="宋体" w:hAnsi="宋体" w:eastAsia="宋体" w:cs="宋体"/>
          <w:b/>
          <w:color w:val="000000"/>
          <w:sz w:val="24"/>
          <w:szCs w:val="24"/>
        </w:rPr>
      </w:r>
      <w:r/>
    </w:p>
    <w:p>
      <w:pPr>
        <w:pStyle w:val="945"/>
        <w:ind w:firstLine="480"/>
        <w:jc w:val="left"/>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7.1乙方不得将合同标的转包给他人履行。</w:t>
      </w:r>
      <w:r>
        <w:rPr>
          <w:rFonts w:hint="eastAsia" w:ascii="宋体" w:hAnsi="宋体" w:eastAsia="宋体" w:cs="宋体"/>
          <w:color w:val="000000"/>
          <w:sz w:val="24"/>
          <w:szCs w:val="24"/>
        </w:rPr>
      </w:r>
      <w:r/>
    </w:p>
    <w:p>
      <w:pPr>
        <w:pStyle w:val="945"/>
        <w:ind w:firstLine="480"/>
        <w:jc w:val="left"/>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rPr>
          <w:rFonts w:hint="eastAsia" w:ascii="宋体" w:hAnsi="宋体" w:eastAsia="宋体" w:cs="宋体"/>
          <w:color w:val="000000"/>
          <w:sz w:val="24"/>
          <w:szCs w:val="24"/>
        </w:rPr>
      </w:r>
      <w:r/>
    </w:p>
    <w:p>
      <w:pPr>
        <w:pStyle w:val="945"/>
        <w:ind w:firstLine="480"/>
        <w:jc w:val="left"/>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7.3乙方如有转包或未经甲方同意的分包行为，甲方有权解除合同。</w:t>
      </w:r>
      <w:r>
        <w:rPr>
          <w:rFonts w:hint="eastAsia" w:ascii="宋体" w:hAnsi="宋体" w:eastAsia="宋体" w:cs="宋体"/>
          <w:color w:val="000000"/>
          <w:sz w:val="24"/>
          <w:szCs w:val="24"/>
        </w:rPr>
      </w:r>
      <w:r/>
    </w:p>
    <w:p>
      <w:pPr>
        <w:pStyle w:val="983"/>
        <w:ind w:firstLine="482"/>
        <w:jc w:val="left"/>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八、合同款项支付</w:t>
      </w:r>
      <w:r>
        <w:rPr>
          <w:rFonts w:hint="eastAsia" w:ascii="宋体" w:hAnsi="宋体" w:eastAsia="宋体" w:cs="宋体"/>
          <w:b/>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8.1合同款项的支付方式及进度安排</w:t>
      </w:r>
      <w:r>
        <w:rPr>
          <w:rFonts w:hint="eastAsia" w:ascii="宋体" w:hAnsi="宋体" w:eastAsia="宋体" w:cs="宋体"/>
          <w:bCs/>
          <w:color w:val="000000"/>
          <w:sz w:val="24"/>
          <w:szCs w:val="24"/>
          <w:highlight w:val="none"/>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8.1.1预付款支付时间：</w:t>
      </w:r>
      <w:bookmarkStart w:id="196" w:name="_Hlk161166087"/>
      <w:r>
        <w:rPr>
          <w:rFonts w:hint="eastAsia" w:ascii="宋体" w:hAnsi="宋体" w:eastAsia="宋体" w:cs="宋体"/>
          <w:color w:val="000000"/>
          <w:sz w:val="24"/>
          <w:szCs w:val="24"/>
          <w:highlight w:val="none"/>
          <w:u w:val="single"/>
        </w:rPr>
        <w:t xml:space="preserve">本项目采用单价合同。合同签订后，乙方向甲方开具正式发票，甲方在收到发票起10个工作日内预付当年合同价的30%（当年合同总价=年估算处理量*中标单价）；</w:t>
      </w:r>
      <w:r>
        <w:rPr>
          <w:rFonts w:hint="eastAsia" w:ascii="宋体" w:hAnsi="宋体" w:eastAsia="宋体" w:cs="宋体"/>
          <w:color w:val="000000"/>
          <w:sz w:val="24"/>
          <w:szCs w:val="24"/>
          <w:highlight w:val="none"/>
          <w:u w:val="single"/>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rPr>
        <w:t xml:space="preserve">8.1.2尾款支付时间：根据考核业绩每季按实结算支付，每季结束后甲方收到乙方开具的发票</w:t>
      </w:r>
      <w:r>
        <w:rPr>
          <w:rFonts w:hint="eastAsia" w:ascii="宋体" w:hAnsi="宋体" w:eastAsia="宋体" w:cs="宋体"/>
          <w:color w:val="000000"/>
          <w:sz w:val="24"/>
          <w:szCs w:val="24"/>
          <w:highlight w:val="none"/>
          <w:u w:val="single"/>
          <w:lang w:val="en-US" w:eastAsia="zh-CN"/>
        </w:rPr>
        <w:t xml:space="preserve">10个工作</w:t>
      </w:r>
      <w:r>
        <w:rPr>
          <w:rFonts w:hint="eastAsia" w:ascii="宋体" w:hAnsi="宋体" w:eastAsia="宋体" w:cs="宋体"/>
          <w:color w:val="000000"/>
          <w:sz w:val="24"/>
          <w:szCs w:val="24"/>
          <w:highlight w:val="none"/>
          <w:u w:val="single"/>
        </w:rPr>
        <w:t xml:space="preserve">日内予以结账（第一季度开始付款时进行预付款抵扣）。</w:t>
      </w:r>
      <w:bookmarkEnd w:id="196"/>
      <w:r>
        <w:rPr>
          <w:rFonts w:hint="eastAsia" w:ascii="宋体" w:hAnsi="宋体" w:eastAsia="宋体" w:cs="宋体"/>
          <w:color w:val="000000"/>
          <w:sz w:val="24"/>
          <w:szCs w:val="24"/>
          <w:highlight w:val="none"/>
          <w:u w:val="single"/>
          <w:lang w:val="en-US" w:eastAsia="zh-CN"/>
        </w:rPr>
      </w:r>
      <w:r/>
    </w:p>
    <w:p>
      <w:pPr>
        <w:pStyle w:val="945"/>
        <w:ind w:firstLine="482"/>
        <w:jc w:val="left"/>
        <w:keepLines w:val="0"/>
        <w:keepNext w:val="0"/>
        <w:pageBreakBefore w:val="0"/>
        <w:spacing w:before="145" w:after="145"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九、税费</w:t>
      </w:r>
      <w:r>
        <w:rPr>
          <w:rFonts w:hint="eastAsia" w:ascii="宋体" w:hAnsi="宋体" w:eastAsia="宋体" w:cs="宋体"/>
          <w:b/>
          <w:color w:val="000000"/>
          <w:sz w:val="24"/>
          <w:szCs w:val="24"/>
        </w:rPr>
      </w:r>
      <w:r/>
    </w:p>
    <w:p>
      <w:pPr>
        <w:pStyle w:val="945"/>
        <w:ind w:firstLine="480"/>
        <w:jc w:val="left"/>
        <w:keepLines w:val="0"/>
        <w:keepNext w:val="0"/>
        <w:pageBreakBefore w:val="0"/>
        <w:spacing w:before="145" w:after="145"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9.1本合同执行中相关的一切税费均由乙方负担。</w:t>
      </w:r>
      <w:r>
        <w:rPr>
          <w:rFonts w:hint="eastAsia" w:ascii="宋体" w:hAnsi="宋体" w:eastAsia="宋体" w:cs="宋体"/>
          <w:color w:val="000000"/>
          <w:sz w:val="24"/>
          <w:szCs w:val="24"/>
        </w:rPr>
      </w:r>
      <w:r/>
    </w:p>
    <w:p>
      <w:pPr>
        <w:pStyle w:val="983"/>
        <w:ind w:firstLine="482"/>
        <w:jc w:val="left"/>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十、项目验收</w:t>
      </w:r>
      <w:r>
        <w:rPr>
          <w:rFonts w:hint="eastAsia" w:ascii="宋体" w:hAnsi="宋体" w:eastAsia="宋体" w:cs="宋体"/>
          <w:b/>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甲方依法组织履约验收工作。</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对于实际使用人和甲方分离的项目，甲方邀请实际使用人参与验收。</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如有必要，甲方邀请参加本项目的其他供应商或第三方专业机构及专家参与验收，相关意见将作为验收书的参考资料。</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000000"/>
          <w:sz w:val="24"/>
          <w:szCs w:val="24"/>
        </w:rPr>
      </w:r>
      <w:r/>
    </w:p>
    <w:p>
      <w:pPr>
        <w:pStyle w:val="983"/>
        <w:ind w:firstLine="482"/>
        <w:jc w:val="left"/>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十一、违约责任</w:t>
      </w:r>
      <w:r>
        <w:rPr>
          <w:rFonts w:hint="eastAsia" w:ascii="宋体" w:hAnsi="宋体" w:eastAsia="宋体" w:cs="宋体"/>
          <w:b/>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甲方无正当理由拒绝接受乙方提供服务的，甲方向乙方偿付拒绝接受服务合同价款总值</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rPr>
        <w:t xml:space="preserve">的违约金。</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甲方无故逾期验收和办理合同款项支付手续的,甲方应按逾期付款总额每日万分之五向乙方支付违约金。</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的违约金，如造成甲方损失超过违约金的，超出部分由乙方继续承担赔偿责任。 </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宋体"/>
          <w:color w:val="000000"/>
          <w:sz w:val="24"/>
          <w:szCs w:val="24"/>
        </w:rPr>
      </w:r>
      <w:r/>
    </w:p>
    <w:p>
      <w:pPr>
        <w:pStyle w:val="983"/>
        <w:ind w:firstLine="482"/>
        <w:jc w:val="left"/>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十二、不可抗力事件处理</w:t>
      </w:r>
      <w:r>
        <w:rPr>
          <w:rFonts w:hint="eastAsia" w:ascii="宋体" w:hAnsi="宋体" w:eastAsia="宋体" w:cs="宋体"/>
          <w:b/>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在合同有效期内，任何一方因不可抗力事件导致不能履行合同，则合同履行期可延长，其延长期与不可抗力影响 期相同。</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不可抗力事件发生后，应立即通知对方，并寄送有关权威机构出具的证明。</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 不可抗力事件延续120天以上，双方应通过友好协商，确定是否继续履行合同。</w:t>
      </w:r>
      <w:r>
        <w:rPr>
          <w:rFonts w:hint="eastAsia" w:ascii="宋体" w:hAnsi="宋体" w:eastAsia="宋体" w:cs="宋体"/>
          <w:color w:val="000000"/>
          <w:sz w:val="24"/>
          <w:szCs w:val="24"/>
        </w:rPr>
      </w:r>
      <w:r/>
    </w:p>
    <w:p>
      <w:pPr>
        <w:pStyle w:val="983"/>
        <w:ind w:firstLine="482"/>
        <w:jc w:val="left"/>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十三、解决争议的方法</w:t>
      </w:r>
      <w:r>
        <w:rPr>
          <w:rFonts w:hint="eastAsia" w:ascii="宋体" w:hAnsi="宋体" w:eastAsia="宋体" w:cs="宋体"/>
          <w:b/>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13.1双方在签订、履行合同中所发生的一切争议，应通过友好协商解决。如协商不成，由甲方住所地人民法院管辖。</w:t>
      </w:r>
      <w:r>
        <w:rPr>
          <w:rFonts w:hint="eastAsia" w:ascii="宋体" w:hAnsi="宋体" w:eastAsia="宋体" w:cs="宋体"/>
          <w:color w:val="000000"/>
          <w:sz w:val="24"/>
          <w:szCs w:val="24"/>
        </w:rPr>
      </w:r>
      <w:r/>
    </w:p>
    <w:p>
      <w:pPr>
        <w:pStyle w:val="983"/>
        <w:ind w:firstLine="482"/>
        <w:jc w:val="left"/>
        <w:keepLines w:val="0"/>
        <w:keepNext w:val="0"/>
        <w:pageBreakBefore w:val="0"/>
        <w:spacing w:before="120" w:after="120"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十四、合同生效及其它</w:t>
      </w:r>
      <w:r>
        <w:rPr>
          <w:rFonts w:hint="eastAsia" w:ascii="宋体" w:hAnsi="宋体" w:eastAsia="宋体" w:cs="宋体"/>
          <w:b/>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合同经双方法定代表人或授权委托代表人签字并加盖单位公章后生效。</w:t>
      </w:r>
      <w:r>
        <w:rPr>
          <w:rFonts w:hint="eastAsia" w:ascii="宋体" w:hAnsi="宋体" w:eastAsia="宋体" w:cs="宋体"/>
          <w:color w:val="000000"/>
          <w:sz w:val="24"/>
          <w:szCs w:val="24"/>
        </w:rPr>
      </w:r>
      <w:r/>
    </w:p>
    <w:p>
      <w:pPr>
        <w:pStyle w:val="983"/>
        <w:ind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14.2本合同未尽事宜，遵照《</w:t>
      </w:r>
      <w:r>
        <w:rPr>
          <w:rFonts w:hint="eastAsia" w:ascii="宋体" w:hAnsi="宋体" w:eastAsia="宋体" w:cs="宋体"/>
          <w:color w:val="000000"/>
          <w:sz w:val="24"/>
          <w:szCs w:val="24"/>
          <w:lang w:val="en-US" w:eastAsia="zh-CN"/>
        </w:rPr>
        <w:t xml:space="preserve">中华人民共和国</w:t>
      </w:r>
      <w:r>
        <w:rPr>
          <w:rFonts w:hint="eastAsia" w:ascii="宋体" w:hAnsi="宋体" w:eastAsia="宋体" w:cs="宋体"/>
          <w:color w:val="000000"/>
          <w:sz w:val="24"/>
          <w:szCs w:val="24"/>
        </w:rPr>
        <w:t xml:space="preserve">民法典》、《政府采购法》有关条文执行。</w:t>
      </w:r>
      <w:r>
        <w:rPr>
          <w:rFonts w:hint="eastAsia" w:ascii="宋体" w:hAnsi="宋体" w:eastAsia="宋体" w:cs="宋体"/>
          <w:color w:val="000000"/>
          <w:sz w:val="24"/>
          <w:szCs w:val="24"/>
        </w:rPr>
      </w:r>
      <w:r/>
    </w:p>
    <w:p>
      <w:pPr>
        <w:pStyle w:val="983"/>
        <w:ind w:left="480" w:firstLine="480"/>
        <w:jc w:val="left"/>
        <w:keepLines w:val="0"/>
        <w:keepNext w:val="0"/>
        <w:pageBreakBefore w:val="0"/>
        <w:spacing w:before="120" w:after="12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本合同正本一式两份，具有同等法律效力，甲方、乙方各执一份。</w:t>
      </w:r>
      <w:r>
        <w:rPr>
          <w:rFonts w:hint="eastAsia" w:ascii="宋体" w:hAnsi="宋体" w:eastAsia="宋体" w:cs="宋体"/>
          <w:color w:val="000000"/>
          <w:sz w:val="24"/>
          <w:szCs w:val="24"/>
        </w:rPr>
      </w:r>
      <w:r/>
    </w:p>
    <w:p>
      <w:pPr>
        <w:pStyle w:val="983"/>
        <w:ind w:left="480" w:hanging="560"/>
        <w:spacing w:before="120" w:after="120" w:line="0" w:lineRule="atLeast"/>
        <w:rPr>
          <w:rFonts w:hAnsi="宋体"/>
          <w:color w:val="000000"/>
          <w:sz w:val="28"/>
          <w:szCs w:val="28"/>
        </w:rPr>
      </w:pPr>
      <w:r>
        <w:rPr>
          <w:rFonts w:hAnsi="宋体"/>
          <w:color w:val="000000"/>
          <w:sz w:val="28"/>
          <w:szCs w:val="28"/>
        </w:rPr>
        <w:t xml:space="preserve">  甲方：                        乙方： </w:t>
      </w:r>
      <w:r>
        <w:rPr>
          <w:rFonts w:hAnsi="宋体"/>
          <w:color w:val="000000"/>
          <w:sz w:val="28"/>
          <w:szCs w:val="28"/>
        </w:rPr>
      </w:r>
      <w:r/>
    </w:p>
    <w:p>
      <w:pPr>
        <w:pStyle w:val="983"/>
        <w:spacing w:before="120" w:after="120" w:line="0" w:lineRule="atLeast"/>
        <w:rPr>
          <w:rFonts w:hAnsi="宋体"/>
          <w:color w:val="000000"/>
          <w:sz w:val="28"/>
          <w:szCs w:val="28"/>
        </w:rPr>
      </w:pPr>
      <w:r>
        <w:rPr>
          <w:rFonts w:hAnsi="宋体"/>
          <w:color w:val="000000"/>
          <w:sz w:val="28"/>
          <w:szCs w:val="28"/>
        </w:rPr>
        <w:t xml:space="preserve">  地址：                       </w:t>
      </w:r>
      <w:r>
        <w:rPr>
          <w:rFonts w:hint="eastAsia" w:hAnsi="宋体"/>
          <w:color w:val="000000"/>
          <w:sz w:val="28"/>
          <w:szCs w:val="28"/>
        </w:rPr>
        <w:t xml:space="preserve"> </w:t>
      </w:r>
      <w:r>
        <w:rPr>
          <w:rFonts w:hAnsi="宋体"/>
          <w:color w:val="000000"/>
          <w:sz w:val="28"/>
          <w:szCs w:val="28"/>
        </w:rPr>
        <w:t xml:space="preserve">地址： </w:t>
      </w:r>
      <w:r>
        <w:rPr>
          <w:rFonts w:hAnsi="宋体"/>
          <w:color w:val="000000"/>
          <w:sz w:val="28"/>
          <w:szCs w:val="28"/>
        </w:rPr>
      </w:r>
      <w:r/>
    </w:p>
    <w:p>
      <w:pPr>
        <w:pStyle w:val="983"/>
        <w:spacing w:before="120" w:after="120" w:line="0" w:lineRule="atLeast"/>
        <w:rPr>
          <w:rFonts w:hAnsi="宋体"/>
          <w:color w:val="000000"/>
          <w:sz w:val="28"/>
          <w:szCs w:val="28"/>
        </w:rPr>
      </w:pPr>
      <w:r>
        <w:rPr>
          <w:rFonts w:hAnsi="宋体"/>
          <w:color w:val="000000"/>
          <w:sz w:val="28"/>
          <w:szCs w:val="28"/>
        </w:rPr>
        <w:t xml:space="preserve">  法定代表人</w:t>
      </w:r>
      <w:r>
        <w:rPr>
          <w:rFonts w:hint="eastAsia" w:hAnsi="宋体"/>
          <w:color w:val="000000"/>
          <w:sz w:val="28"/>
          <w:szCs w:val="28"/>
        </w:rPr>
        <w:t xml:space="preserve">或授权代表</w:t>
      </w:r>
      <w:r>
        <w:rPr>
          <w:rFonts w:hAnsi="宋体"/>
          <w:color w:val="000000"/>
          <w:sz w:val="28"/>
          <w:szCs w:val="28"/>
        </w:rPr>
        <w:t xml:space="preserve">：        法定代表人</w:t>
      </w:r>
      <w:r>
        <w:rPr>
          <w:rFonts w:hint="eastAsia" w:hAnsi="宋体"/>
          <w:color w:val="000000"/>
          <w:sz w:val="28"/>
          <w:szCs w:val="28"/>
        </w:rPr>
        <w:t xml:space="preserve">或授权代表</w:t>
      </w:r>
      <w:r>
        <w:rPr>
          <w:rFonts w:hAnsi="宋体"/>
          <w:color w:val="000000"/>
          <w:sz w:val="28"/>
          <w:szCs w:val="28"/>
        </w:rPr>
        <w:t xml:space="preserve">：</w:t>
      </w:r>
      <w:r>
        <w:rPr>
          <w:rFonts w:hAnsi="宋体"/>
          <w:color w:val="000000"/>
          <w:sz w:val="28"/>
          <w:szCs w:val="28"/>
        </w:rPr>
      </w:r>
      <w:r/>
    </w:p>
    <w:p>
      <w:pPr>
        <w:pStyle w:val="983"/>
        <w:ind w:firstLine="280"/>
        <w:spacing w:before="120" w:after="120" w:line="0" w:lineRule="atLeast"/>
        <w:rPr>
          <w:rFonts w:hint="eastAsia"/>
          <w:color w:val="000000"/>
          <w:sz w:val="28"/>
          <w:szCs w:val="28"/>
        </w:rPr>
      </w:pPr>
      <w:r>
        <w:rPr>
          <w:rFonts w:hint="eastAsia" w:hAnsi="宋体"/>
          <w:color w:val="000000"/>
          <w:sz w:val="28"/>
          <w:szCs w:val="28"/>
        </w:rPr>
        <w:t xml:space="preserve">联系电话：                    联系电话：          </w:t>
      </w:r>
      <w:r>
        <w:rPr>
          <w:rFonts w:hint="eastAsia"/>
          <w:color w:val="000000"/>
          <w:sz w:val="28"/>
          <w:szCs w:val="28"/>
        </w:rPr>
      </w:r>
      <w:r/>
    </w:p>
    <w:p>
      <w:pPr>
        <w:pStyle w:val="983"/>
        <w:jc w:val="center"/>
        <w:spacing w:before="120" w:after="120" w:line="0" w:lineRule="atLeast"/>
        <w:rPr>
          <w:rFonts w:hint="eastAsia" w:hAnsi="宋体"/>
          <w:color w:val="000000"/>
          <w:sz w:val="24"/>
          <w:szCs w:val="24"/>
        </w:rPr>
      </w:pPr>
      <w:r>
        <w:rPr>
          <w:rFonts w:hint="eastAsia"/>
          <w:color w:val="000000"/>
          <w:sz w:val="28"/>
          <w:szCs w:val="28"/>
        </w:rPr>
        <w:t xml:space="preserve">                               </w:t>
      </w:r>
      <w:r>
        <w:rPr>
          <w:color w:val="000000"/>
          <w:sz w:val="28"/>
          <w:szCs w:val="28"/>
        </w:rPr>
        <w:t xml:space="preserve">签订日期：      年  </w:t>
      </w:r>
      <w:r>
        <w:rPr>
          <w:rFonts w:hint="eastAsia"/>
          <w:color w:val="000000"/>
          <w:sz w:val="28"/>
          <w:szCs w:val="28"/>
        </w:rPr>
        <w:t xml:space="preserve">  </w:t>
      </w:r>
      <w:r>
        <w:rPr>
          <w:color w:val="000000"/>
          <w:sz w:val="28"/>
          <w:szCs w:val="28"/>
        </w:rPr>
        <w:t xml:space="preserve">月  </w:t>
      </w:r>
      <w:r>
        <w:rPr>
          <w:rFonts w:hint="eastAsia"/>
          <w:color w:val="000000"/>
          <w:sz w:val="28"/>
          <w:szCs w:val="28"/>
        </w:rPr>
        <w:t xml:space="preserve"> </w:t>
      </w:r>
      <w:r>
        <w:rPr>
          <w:color w:val="000000"/>
          <w:sz w:val="28"/>
          <w:szCs w:val="28"/>
        </w:rPr>
        <w:t xml:space="preserve">日</w:t>
      </w:r>
      <w:bookmarkEnd w:id="192"/>
      <w:r/>
      <w:bookmarkEnd w:id="193"/>
      <w:r/>
      <w:bookmarkEnd w:id="194"/>
      <w:r/>
      <w:bookmarkStart w:id="197" w:name="_Hlt16619369"/>
      <w:r/>
      <w:bookmarkEnd w:id="197"/>
      <w:r/>
      <w:bookmarkStart w:id="198" w:name="_Hlt16619350"/>
      <w:r/>
      <w:bookmarkStart w:id="199" w:name="_Toc120614244"/>
      <w:r/>
      <w:bookmarkStart w:id="200" w:name="_Toc20823346"/>
      <w:r/>
      <w:bookmarkStart w:id="201" w:name="_Toc16938590"/>
      <w:r/>
      <w:bookmarkStart w:id="202" w:name="_Toc479757211"/>
      <w:r/>
      <w:bookmarkStart w:id="203" w:name="_Toc462564139"/>
      <w:r>
        <w:rPr>
          <w:rFonts w:ascii="黑体" w:eastAsia="黑体"/>
          <w:bCs/>
          <w:color w:val="000000"/>
          <w:sz w:val="28"/>
          <w:szCs w:val="28"/>
        </w:rPr>
        <w:br w:type="page" w:clear="all"/>
      </w:r>
      <w:r>
        <w:rPr>
          <w:rFonts w:hint="eastAsia" w:ascii="黑体" w:eastAsia="黑体"/>
          <w:bCs/>
          <w:color w:val="000000"/>
          <w:sz w:val="44"/>
        </w:rPr>
        <w:t xml:space="preserve">第</w:t>
      </w:r>
      <w:bookmarkEnd w:id="198"/>
      <w:r>
        <w:rPr>
          <w:rFonts w:hint="eastAsia" w:ascii="黑体" w:eastAsia="黑体"/>
          <w:bCs/>
          <w:color w:val="000000"/>
          <w:sz w:val="44"/>
        </w:rPr>
        <w:t xml:space="preserve">四章 采购需求</w:t>
      </w:r>
      <w:bookmarkEnd w:id="199"/>
      <w:r/>
      <w:bookmarkEnd w:id="200"/>
      <w:r/>
      <w:bookmarkEnd w:id="201"/>
      <w:r>
        <w:rPr>
          <w:rFonts w:hint="eastAsia" w:hAnsi="宋体"/>
          <w:color w:val="000000"/>
          <w:sz w:val="24"/>
          <w:szCs w:val="24"/>
        </w:rPr>
      </w:r>
      <w:r/>
    </w:p>
    <w:p>
      <w:pPr>
        <w:pStyle w:val="945"/>
        <w:spacing w:line="0" w:lineRule="atLeast"/>
        <w:rPr>
          <w:rFonts w:hint="eastAsia" w:ascii="宋体" w:hAnsi="宋体" w:eastAsia="宋体" w:cs="宋体"/>
          <w:color w:val="000000"/>
          <w:sz w:val="21"/>
          <w:szCs w:val="21"/>
        </w:rPr>
      </w:pPr>
      <w:r/>
      <w:bookmarkStart w:id="204" w:name="_Toc49090575"/>
      <w:r/>
      <w:bookmarkStart w:id="205" w:name="_Toc26554093"/>
      <w:r>
        <w:rPr>
          <w:rFonts w:hint="eastAsia" w:ascii="宋体" w:hAnsi="宋体" w:eastAsia="宋体" w:cs="宋体"/>
          <w:color w:val="000000"/>
          <w:sz w:val="21"/>
          <w:szCs w:val="21"/>
        </w:rPr>
        <w:t xml:space="preserve">项目属性:服务类项目。</w:t>
      </w:r>
      <w:r>
        <w:rPr>
          <w:rFonts w:hint="eastAsia" w:ascii="宋体" w:hAnsi="宋体" w:eastAsia="宋体" w:cs="宋体"/>
          <w:color w:val="000000"/>
          <w:sz w:val="21"/>
          <w:szCs w:val="21"/>
        </w:rPr>
      </w:r>
      <w:r/>
    </w:p>
    <w:p>
      <w:pPr>
        <w:pStyle w:val="945"/>
        <w:spacing w:line="0" w:lineRule="atLeast"/>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945"/>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 本章内容里斜体且有下划线部分为实质性要求和条件，投标文件不满足的，视为无效投标处理。请各供应商制作电子投标文件时，将实质性响应的内容在政府采购交易系统“符合证明文件格式”中准确填写或上传。</w:t>
      </w:r>
      <w:r>
        <w:rPr>
          <w:rFonts w:hint="eastAsia" w:ascii="宋体" w:hAnsi="宋体" w:eastAsia="宋体" w:cs="宋体"/>
          <w:color w:val="000000"/>
          <w:sz w:val="21"/>
          <w:szCs w:val="21"/>
        </w:rPr>
      </w:r>
      <w:r/>
    </w:p>
    <w:p>
      <w:pPr>
        <w:pStyle w:val="945"/>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一、项目背景</w:t>
      </w:r>
      <w:r>
        <w:rPr>
          <w:rFonts w:hint="eastAsia" w:ascii="宋体" w:hAnsi="宋体" w:eastAsia="宋体" w:cs="宋体"/>
          <w:b/>
          <w:bCs/>
          <w:color w:val="000000"/>
          <w:sz w:val="21"/>
          <w:szCs w:val="21"/>
        </w:rPr>
      </w:r>
      <w:r/>
    </w:p>
    <w:p>
      <w:pPr>
        <w:pStyle w:val="94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良好生态环境是实现中华民族永续发展的内在要求，是增进民生福祉的优先领域，是建设美丽中国的重要基础。然而，我国生态环境保护结构性、根源性、趋势性压力总体上尚未根本缓解，重点区域、重点行业污染问题仍然突出。</w:t>
      </w:r>
      <w:r>
        <w:rPr>
          <w:rFonts w:hint="eastAsia" w:ascii="宋体" w:hAnsi="宋体" w:eastAsia="宋体" w:cs="宋体"/>
          <w:color w:val="000000"/>
          <w:sz w:val="21"/>
          <w:szCs w:val="21"/>
        </w:rPr>
      </w:r>
      <w:r/>
    </w:p>
    <w:p>
      <w:pPr>
        <w:pStyle w:val="9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扬州位于江淮交汇处，承担了南水北调东线工程和70%淮水入江的重任。邗江区隶属于江苏省扬州市，位于长江三角洲腹部，长江与淮河交汇处，东依上海，西连南京，南临长江，北接淮水，中贯京杭大运河，总面积552.68平方千米。邗江区是江淮交汇的重要枢纽地带，具有重要的承转、融汇作用，其水质安全、水生态健康至关重要。</w:t>
      </w:r>
      <w:r>
        <w:rPr>
          <w:rFonts w:hint="eastAsia" w:ascii="宋体" w:hAnsi="宋体" w:eastAsia="宋体" w:cs="宋体"/>
          <w:color w:val="000000"/>
          <w:sz w:val="21"/>
          <w:szCs w:val="21"/>
        </w:rPr>
      </w:r>
      <w:r/>
    </w:p>
    <w:p>
      <w:pPr>
        <w:pStyle w:val="94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邗江区高度重视区内水环境治理工作，“十三五”期间水环境质量改善取得一定成效。“十四五”期间，邗江区共有国省考断面7个，其中国考断面3个，省考断面5个，从2022年水环境质量来看，各断面个别月份存在超标现象，2023年</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月</w:t>
      </w:r>
      <w:r>
        <w:rPr>
          <w:rFonts w:hint="eastAsia" w:ascii="宋体" w:hAnsi="宋体" w:eastAsia="宋体" w:cs="宋体"/>
          <w:color w:val="000000"/>
          <w:sz w:val="21"/>
          <w:szCs w:val="21"/>
          <w:lang w:val="en-US" w:eastAsia="zh-CN"/>
        </w:rPr>
        <w:t xml:space="preserve">单月</w:t>
      </w:r>
      <w:r>
        <w:rPr>
          <w:rFonts w:hint="eastAsia" w:ascii="宋体" w:hAnsi="宋体" w:eastAsia="宋体" w:cs="宋体"/>
          <w:color w:val="000000"/>
          <w:sz w:val="21"/>
          <w:szCs w:val="21"/>
        </w:rPr>
        <w:t xml:space="preserve">邗江区国省考断面优III比例仅为</w:t>
      </w:r>
      <w:r>
        <w:rPr>
          <w:rFonts w:hint="eastAsia" w:ascii="宋体" w:hAnsi="宋体" w:eastAsia="宋体" w:cs="宋体"/>
          <w:color w:val="000000"/>
          <w:sz w:val="21"/>
          <w:szCs w:val="21"/>
          <w:lang w:val="en-US" w:eastAsia="zh-CN"/>
        </w:rPr>
        <w:t xml:space="preserve">70.7</w:t>
      </w:r>
      <w:r>
        <w:rPr>
          <w:rFonts w:hint="eastAsia" w:ascii="宋体" w:hAnsi="宋体" w:eastAsia="宋体" w:cs="宋体"/>
          <w:color w:val="000000"/>
          <w:sz w:val="21"/>
          <w:szCs w:val="21"/>
        </w:rPr>
        <w:t xml:space="preserve">%，水质存在滑坡现象，水质达标及改善提升需求迫切，区内水环境质量稳定达标任务重、压力大。因此，为进一步推进邗江区生态河道高质量治理，提升重点流域、重点河道水生态环境质量，打造邗江“水清岸洁”新风貌，亟需开展城镇区域重点河道水质提升工程。</w:t>
      </w:r>
      <w:r>
        <w:rPr>
          <w:rFonts w:hint="eastAsia" w:ascii="宋体" w:hAnsi="宋体" w:eastAsia="宋体" w:cs="宋体"/>
          <w:color w:val="000000"/>
          <w:sz w:val="21"/>
          <w:szCs w:val="21"/>
        </w:rPr>
      </w:r>
      <w:r/>
    </w:p>
    <w:p>
      <w:pPr>
        <w:pStyle w:val="1068"/>
        <w:ind w:firstLine="422"/>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表1 邗江区“十四五”期间国省考断面</w:t>
      </w:r>
      <w:r>
        <w:rPr>
          <w:rFonts w:hint="eastAsia" w:ascii="宋体" w:hAnsi="宋体" w:eastAsia="宋体" w:cs="宋体"/>
          <w:b/>
          <w:bCs/>
          <w:color w:val="000000"/>
          <w:sz w:val="21"/>
          <w:szCs w:val="21"/>
        </w:rPr>
      </w:r>
      <w:r/>
    </w:p>
    <w:tbl>
      <w:tblPr>
        <w:tblStyle w:val="1015"/>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368"/>
        <w:gridCol w:w="2761"/>
        <w:gridCol w:w="2541"/>
        <w:gridCol w:w="1229"/>
      </w:tblGrid>
      <w:tr>
        <w:trPr>
          <w:trHeight w:val="340" w:hRule="exact"/>
        </w:trPr>
        <w:tc>
          <w:tcPr>
            <w:tcW w:w="847" w:type="dxa"/>
            <w:vAlign w:val="center"/>
            <w:textDirection w:val="lrTb"/>
            <w:noWrap w:val="false"/>
          </w:tcPr>
          <w:p>
            <w:pPr>
              <w:pStyle w:val="945"/>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W w:w="1417" w:type="dxa"/>
            <w:vAlign w:val="center"/>
            <w:textDirection w:val="lrTb"/>
            <w:noWrap w:val="false"/>
          </w:tcPr>
          <w:p>
            <w:pPr>
              <w:pStyle w:val="945"/>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断面名称</w:t>
            </w:r>
            <w:r>
              <w:rPr>
                <w:rFonts w:hint="eastAsia" w:ascii="宋体" w:hAnsi="宋体" w:eastAsia="宋体" w:cs="宋体"/>
                <w:b/>
                <w:bCs/>
                <w:color w:val="000000"/>
                <w:sz w:val="21"/>
                <w:szCs w:val="21"/>
              </w:rPr>
            </w:r>
            <w:r/>
          </w:p>
        </w:tc>
        <w:tc>
          <w:tcPr>
            <w:tcW w:w="2890" w:type="dxa"/>
            <w:vAlign w:val="center"/>
            <w:textDirection w:val="lrTb"/>
            <w:noWrap w:val="false"/>
          </w:tcPr>
          <w:p>
            <w:pPr>
              <w:pStyle w:val="945"/>
              <w:ind w:firstLine="422"/>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所在水体</w:t>
            </w:r>
            <w:r>
              <w:rPr>
                <w:rFonts w:hint="eastAsia" w:ascii="宋体" w:hAnsi="宋体" w:eastAsia="宋体" w:cs="宋体"/>
                <w:b/>
                <w:bCs/>
                <w:color w:val="000000"/>
                <w:sz w:val="21"/>
                <w:szCs w:val="21"/>
              </w:rPr>
            </w:r>
            <w:r/>
          </w:p>
        </w:tc>
        <w:tc>
          <w:tcPr>
            <w:tcW w:w="2655" w:type="dxa"/>
            <w:vAlign w:val="center"/>
            <w:textDirection w:val="lrTb"/>
            <w:noWrap w:val="false"/>
          </w:tcPr>
          <w:p>
            <w:pPr>
              <w:pStyle w:val="945"/>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考核县（市、区）</w:t>
            </w:r>
            <w:r>
              <w:rPr>
                <w:rFonts w:hint="eastAsia" w:ascii="宋体" w:hAnsi="宋体" w:eastAsia="宋体" w:cs="宋体"/>
                <w:b/>
                <w:bCs/>
                <w:color w:val="000000"/>
                <w:sz w:val="21"/>
                <w:szCs w:val="21"/>
              </w:rPr>
            </w:r>
            <w:r/>
          </w:p>
        </w:tc>
        <w:tc>
          <w:tcPr>
            <w:tcW w:w="1283" w:type="dxa"/>
            <w:vAlign w:val="center"/>
            <w:textDirection w:val="lrTb"/>
            <w:noWrap w:val="false"/>
          </w:tcPr>
          <w:p>
            <w:pPr>
              <w:pStyle w:val="945"/>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控制级别</w:t>
            </w:r>
            <w:r>
              <w:rPr>
                <w:rFonts w:hint="eastAsia" w:ascii="宋体" w:hAnsi="宋体" w:eastAsia="宋体" w:cs="宋体"/>
                <w:b/>
                <w:bCs/>
                <w:color w:val="000000"/>
                <w:sz w:val="21"/>
                <w:szCs w:val="21"/>
              </w:rPr>
            </w:r>
            <w:r/>
          </w:p>
        </w:tc>
      </w:tr>
      <w:tr>
        <w:trPr>
          <w:trHeight w:val="596" w:hRule="exact"/>
        </w:trPr>
        <w:tc>
          <w:tcPr>
            <w:tcW w:w="847"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417"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生资码头</w:t>
            </w:r>
            <w:r>
              <w:rPr>
                <w:rFonts w:hint="eastAsia" w:ascii="宋体" w:hAnsi="宋体" w:eastAsia="宋体" w:cs="宋体"/>
                <w:color w:val="000000"/>
                <w:sz w:val="21"/>
                <w:szCs w:val="21"/>
              </w:rPr>
            </w:r>
            <w:r/>
          </w:p>
        </w:tc>
        <w:tc>
          <w:tcPr>
            <w:tcW w:w="2890"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古运河（扬州段）</w:t>
            </w:r>
            <w:r>
              <w:rPr>
                <w:rFonts w:hint="eastAsia" w:ascii="宋体" w:hAnsi="宋体" w:eastAsia="宋体" w:cs="宋体"/>
                <w:color w:val="000000"/>
                <w:sz w:val="21"/>
                <w:szCs w:val="21"/>
              </w:rPr>
            </w:r>
            <w:r/>
          </w:p>
        </w:tc>
        <w:tc>
          <w:tcPr>
            <w:tcW w:w="2655"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扬州经开区/广陵区/邗江区</w:t>
            </w:r>
            <w:r>
              <w:rPr>
                <w:rFonts w:hint="eastAsia" w:ascii="宋体" w:hAnsi="宋体" w:eastAsia="宋体" w:cs="宋体"/>
                <w:color w:val="000000"/>
                <w:sz w:val="21"/>
                <w:szCs w:val="21"/>
              </w:rPr>
            </w:r>
            <w:r/>
          </w:p>
        </w:tc>
        <w:tc>
          <w:tcPr>
            <w:tcW w:w="1283"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省考</w:t>
            </w:r>
            <w:r>
              <w:rPr>
                <w:rFonts w:hint="eastAsia" w:ascii="宋体" w:hAnsi="宋体" w:eastAsia="宋体" w:cs="宋体"/>
                <w:color w:val="000000"/>
                <w:sz w:val="21"/>
                <w:szCs w:val="21"/>
              </w:rPr>
            </w:r>
            <w:r/>
          </w:p>
        </w:tc>
      </w:tr>
      <w:tr>
        <w:trPr>
          <w:trHeight w:val="340" w:hRule="exact"/>
        </w:trPr>
        <w:tc>
          <w:tcPr>
            <w:tcW w:w="847"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417"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新开河口</w:t>
            </w:r>
            <w:r>
              <w:rPr>
                <w:rFonts w:hint="eastAsia" w:ascii="宋体" w:hAnsi="宋体" w:eastAsia="宋体" w:cs="宋体"/>
                <w:color w:val="000000"/>
                <w:sz w:val="21"/>
                <w:szCs w:val="21"/>
              </w:rPr>
            </w:r>
            <w:r/>
          </w:p>
        </w:tc>
        <w:tc>
          <w:tcPr>
            <w:tcW w:w="2890"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古运河（扬州段）</w:t>
            </w:r>
            <w:r>
              <w:rPr>
                <w:rFonts w:hint="eastAsia" w:ascii="宋体" w:hAnsi="宋体" w:eastAsia="宋体" w:cs="宋体"/>
                <w:color w:val="000000"/>
                <w:sz w:val="21"/>
                <w:szCs w:val="21"/>
              </w:rPr>
            </w:r>
            <w:r/>
          </w:p>
        </w:tc>
        <w:tc>
          <w:tcPr>
            <w:tcW w:w="2655" w:type="dxa"/>
            <w:vAlign w:val="center"/>
            <w:textDirection w:val="lrTb"/>
            <w:noWrap w:val="false"/>
          </w:tcPr>
          <w:p>
            <w:pPr>
              <w:pStyle w:val="945"/>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广陵区/邗江区</w:t>
            </w:r>
            <w:r>
              <w:rPr>
                <w:rFonts w:hint="eastAsia" w:ascii="宋体" w:hAnsi="宋体" w:eastAsia="宋体" w:cs="宋体"/>
                <w:color w:val="000000"/>
                <w:sz w:val="21"/>
                <w:szCs w:val="21"/>
              </w:rPr>
            </w:r>
            <w:r/>
          </w:p>
        </w:tc>
        <w:tc>
          <w:tcPr>
            <w:tcW w:w="1283"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省考</w:t>
            </w:r>
            <w:r>
              <w:rPr>
                <w:rFonts w:hint="eastAsia" w:ascii="宋体" w:hAnsi="宋体" w:eastAsia="宋体" w:cs="宋体"/>
                <w:color w:val="000000"/>
                <w:sz w:val="21"/>
                <w:szCs w:val="21"/>
              </w:rPr>
            </w:r>
            <w:r/>
          </w:p>
        </w:tc>
      </w:tr>
      <w:tr>
        <w:trPr>
          <w:trHeight w:val="550" w:hRule="exact"/>
        </w:trPr>
        <w:tc>
          <w:tcPr>
            <w:tcW w:w="847"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417"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槐泗河口</w:t>
            </w:r>
            <w:r>
              <w:rPr>
                <w:rFonts w:hint="eastAsia" w:ascii="宋体" w:hAnsi="宋体" w:eastAsia="宋体" w:cs="宋体"/>
                <w:color w:val="000000"/>
                <w:sz w:val="21"/>
                <w:szCs w:val="21"/>
              </w:rPr>
            </w:r>
            <w:r/>
          </w:p>
        </w:tc>
        <w:tc>
          <w:tcPr>
            <w:tcW w:w="2890"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京杭大运河苏北段-扬州城区段</w:t>
            </w:r>
            <w:r>
              <w:rPr>
                <w:rFonts w:hint="eastAsia" w:ascii="宋体" w:hAnsi="宋体" w:eastAsia="宋体" w:cs="宋体"/>
                <w:color w:val="000000"/>
                <w:sz w:val="21"/>
                <w:szCs w:val="21"/>
              </w:rPr>
            </w:r>
            <w:r/>
          </w:p>
        </w:tc>
        <w:tc>
          <w:tcPr>
            <w:tcW w:w="2655" w:type="dxa"/>
            <w:vAlign w:val="center"/>
            <w:textDirection w:val="lrTb"/>
            <w:noWrap w:val="false"/>
          </w:tcPr>
          <w:p>
            <w:pPr>
              <w:pStyle w:val="945"/>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邗江区</w:t>
            </w:r>
            <w:r>
              <w:rPr>
                <w:rFonts w:hint="eastAsia" w:ascii="宋体" w:hAnsi="宋体" w:eastAsia="宋体" w:cs="宋体"/>
                <w:color w:val="000000"/>
                <w:sz w:val="21"/>
                <w:szCs w:val="21"/>
              </w:rPr>
            </w:r>
            <w:r/>
          </w:p>
        </w:tc>
        <w:tc>
          <w:tcPr>
            <w:tcW w:w="1283"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国考</w:t>
            </w:r>
            <w:r>
              <w:rPr>
                <w:rFonts w:hint="eastAsia" w:ascii="宋体" w:hAnsi="宋体" w:eastAsia="宋体" w:cs="宋体"/>
                <w:color w:val="000000"/>
                <w:sz w:val="21"/>
                <w:szCs w:val="21"/>
              </w:rPr>
            </w:r>
            <w:r/>
          </w:p>
        </w:tc>
      </w:tr>
      <w:tr>
        <w:trPr>
          <w:trHeight w:val="340" w:hRule="exact"/>
        </w:trPr>
        <w:tc>
          <w:tcPr>
            <w:tcW w:w="847" w:type="dxa"/>
            <w:vAlign w:val="center"/>
            <w:textDirection w:val="lrTb"/>
            <w:noWrap w:val="false"/>
          </w:tcPr>
          <w:p>
            <w:pPr>
              <w:pStyle w:val="945"/>
              <w:jc w:val="center"/>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 xml:space="preserve">4</w:t>
            </w:r>
            <w:r>
              <w:rPr>
                <w:rFonts w:hint="eastAsia" w:ascii="宋体" w:hAnsi="宋体" w:eastAsia="宋体" w:cs="宋体"/>
                <w:b w:val="0"/>
                <w:bCs w:val="0"/>
                <w:i w:val="0"/>
                <w:iCs w:val="0"/>
                <w:color w:val="000000"/>
                <w:sz w:val="21"/>
                <w:szCs w:val="21"/>
              </w:rPr>
            </w:r>
            <w:r/>
          </w:p>
        </w:tc>
        <w:tc>
          <w:tcPr>
            <w:tcW w:w="1417" w:type="dxa"/>
            <w:vAlign w:val="center"/>
            <w:textDirection w:val="lrTb"/>
            <w:noWrap w:val="false"/>
          </w:tcPr>
          <w:p>
            <w:pPr>
              <w:pStyle w:val="945"/>
              <w:jc w:val="center"/>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 xml:space="preserve">冻青桥</w:t>
            </w:r>
            <w:r>
              <w:rPr>
                <w:rFonts w:hint="eastAsia" w:ascii="宋体" w:hAnsi="宋体" w:eastAsia="宋体" w:cs="宋体"/>
                <w:b w:val="0"/>
                <w:bCs w:val="0"/>
                <w:i w:val="0"/>
                <w:iCs w:val="0"/>
                <w:color w:val="000000"/>
                <w:sz w:val="21"/>
                <w:szCs w:val="21"/>
              </w:rPr>
            </w:r>
            <w:r/>
          </w:p>
        </w:tc>
        <w:tc>
          <w:tcPr>
            <w:tcW w:w="2890" w:type="dxa"/>
            <w:vAlign w:val="center"/>
            <w:textDirection w:val="lrTb"/>
            <w:noWrap w:val="false"/>
          </w:tcPr>
          <w:p>
            <w:pPr>
              <w:pStyle w:val="945"/>
              <w:ind w:firstLine="420"/>
              <w:jc w:val="center"/>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 xml:space="preserve">仪扬河</w:t>
            </w:r>
            <w:r>
              <w:rPr>
                <w:rFonts w:hint="eastAsia" w:ascii="宋体" w:hAnsi="宋体" w:eastAsia="宋体" w:cs="宋体"/>
                <w:b w:val="0"/>
                <w:bCs w:val="0"/>
                <w:i w:val="0"/>
                <w:iCs w:val="0"/>
                <w:color w:val="000000"/>
                <w:sz w:val="21"/>
                <w:szCs w:val="21"/>
              </w:rPr>
            </w:r>
            <w:r/>
          </w:p>
        </w:tc>
        <w:tc>
          <w:tcPr>
            <w:tcW w:w="2655" w:type="dxa"/>
            <w:vAlign w:val="center"/>
            <w:textDirection w:val="lrTb"/>
            <w:noWrap w:val="false"/>
          </w:tcPr>
          <w:p>
            <w:pPr>
              <w:pStyle w:val="945"/>
              <w:ind w:firstLine="420"/>
              <w:jc w:val="center"/>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 xml:space="preserve">邗江区</w:t>
            </w:r>
            <w:r>
              <w:rPr>
                <w:rFonts w:hint="eastAsia" w:ascii="宋体" w:hAnsi="宋体" w:eastAsia="宋体" w:cs="宋体"/>
                <w:b w:val="0"/>
                <w:bCs w:val="0"/>
                <w:i w:val="0"/>
                <w:iCs w:val="0"/>
                <w:color w:val="000000"/>
                <w:sz w:val="21"/>
                <w:szCs w:val="21"/>
              </w:rPr>
            </w:r>
            <w:r/>
          </w:p>
        </w:tc>
        <w:tc>
          <w:tcPr>
            <w:tcW w:w="1283" w:type="dxa"/>
            <w:vAlign w:val="center"/>
            <w:textDirection w:val="lrTb"/>
            <w:noWrap w:val="false"/>
          </w:tcPr>
          <w:p>
            <w:pPr>
              <w:pStyle w:val="945"/>
              <w:jc w:val="center"/>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 xml:space="preserve">国考</w:t>
            </w:r>
            <w:r>
              <w:rPr>
                <w:rFonts w:hint="eastAsia" w:ascii="宋体" w:hAnsi="宋体" w:eastAsia="宋体" w:cs="宋体"/>
                <w:b w:val="0"/>
                <w:bCs w:val="0"/>
                <w:i w:val="0"/>
                <w:iCs w:val="0"/>
                <w:color w:val="000000"/>
                <w:sz w:val="21"/>
                <w:szCs w:val="21"/>
              </w:rPr>
            </w:r>
            <w:r/>
          </w:p>
        </w:tc>
      </w:tr>
      <w:tr>
        <w:trPr>
          <w:trHeight w:val="340" w:hRule="exact"/>
        </w:trPr>
        <w:tc>
          <w:tcPr>
            <w:tcW w:w="847" w:type="dxa"/>
            <w:vAlign w:val="center"/>
            <w:textDirection w:val="lrTb"/>
            <w:noWrap w:val="false"/>
          </w:tcPr>
          <w:p>
            <w:pPr>
              <w:pStyle w:val="945"/>
              <w:jc w:val="center"/>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 xml:space="preserve">5</w:t>
            </w:r>
            <w:r>
              <w:rPr>
                <w:rFonts w:hint="eastAsia" w:ascii="宋体" w:hAnsi="宋体" w:eastAsia="宋体" w:cs="宋体"/>
                <w:b w:val="0"/>
                <w:bCs w:val="0"/>
                <w:i w:val="0"/>
                <w:iCs w:val="0"/>
                <w:color w:val="000000"/>
                <w:sz w:val="21"/>
                <w:szCs w:val="21"/>
              </w:rPr>
            </w:r>
            <w:r/>
          </w:p>
        </w:tc>
        <w:tc>
          <w:tcPr>
            <w:tcW w:w="1417" w:type="dxa"/>
            <w:vAlign w:val="center"/>
            <w:textDirection w:val="lrTb"/>
            <w:noWrap w:val="false"/>
          </w:tcPr>
          <w:p>
            <w:pPr>
              <w:pStyle w:val="945"/>
              <w:jc w:val="center"/>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 xml:space="preserve">邵伯湖湖心</w:t>
            </w:r>
            <w:r>
              <w:rPr>
                <w:rFonts w:hint="eastAsia" w:ascii="宋体" w:hAnsi="宋体" w:eastAsia="宋体" w:cs="宋体"/>
                <w:b w:val="0"/>
                <w:bCs w:val="0"/>
                <w:i w:val="0"/>
                <w:iCs w:val="0"/>
                <w:color w:val="000000"/>
                <w:sz w:val="21"/>
                <w:szCs w:val="21"/>
              </w:rPr>
            </w:r>
            <w:r/>
          </w:p>
        </w:tc>
        <w:tc>
          <w:tcPr>
            <w:tcW w:w="2890" w:type="dxa"/>
            <w:vAlign w:val="center"/>
            <w:textDirection w:val="lrTb"/>
            <w:noWrap w:val="false"/>
          </w:tcPr>
          <w:p>
            <w:pPr>
              <w:pStyle w:val="945"/>
              <w:ind w:firstLine="420"/>
              <w:jc w:val="center"/>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 xml:space="preserve">邵伯湖</w:t>
            </w:r>
            <w:r>
              <w:rPr>
                <w:rFonts w:hint="eastAsia" w:ascii="宋体" w:hAnsi="宋体" w:eastAsia="宋体" w:cs="宋体"/>
                <w:b w:val="0"/>
                <w:bCs w:val="0"/>
                <w:i w:val="0"/>
                <w:iCs w:val="0"/>
                <w:color w:val="000000"/>
                <w:sz w:val="21"/>
                <w:szCs w:val="21"/>
              </w:rPr>
            </w:r>
            <w:r/>
          </w:p>
        </w:tc>
        <w:tc>
          <w:tcPr>
            <w:tcW w:w="2655" w:type="dxa"/>
            <w:vAlign w:val="center"/>
            <w:textDirection w:val="lrTb"/>
            <w:noWrap w:val="false"/>
          </w:tcPr>
          <w:p>
            <w:pPr>
              <w:pStyle w:val="945"/>
              <w:ind w:firstLine="420"/>
              <w:jc w:val="center"/>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 xml:space="preserve">邗江区</w:t>
            </w:r>
            <w:r>
              <w:rPr>
                <w:rFonts w:hint="eastAsia" w:ascii="宋体" w:hAnsi="宋体" w:eastAsia="宋体" w:cs="宋体"/>
                <w:b w:val="0"/>
                <w:bCs w:val="0"/>
                <w:i w:val="0"/>
                <w:iCs w:val="0"/>
                <w:color w:val="000000"/>
                <w:sz w:val="21"/>
                <w:szCs w:val="21"/>
              </w:rPr>
            </w:r>
            <w:r/>
          </w:p>
        </w:tc>
        <w:tc>
          <w:tcPr>
            <w:tcW w:w="1283" w:type="dxa"/>
            <w:vAlign w:val="center"/>
            <w:textDirection w:val="lrTb"/>
            <w:noWrap w:val="false"/>
          </w:tcPr>
          <w:p>
            <w:pPr>
              <w:pStyle w:val="945"/>
              <w:jc w:val="center"/>
              <w:rPr>
                <w:rFonts w:hint="eastAsia" w:ascii="宋体" w:hAnsi="宋体" w:eastAsia="宋体" w:cs="宋体"/>
                <w:b w:val="0"/>
                <w:bCs w:val="0"/>
                <w:i w:val="0"/>
                <w:iCs w:val="0"/>
                <w:color w:val="000000"/>
                <w:sz w:val="21"/>
                <w:szCs w:val="21"/>
              </w:rPr>
            </w:pPr>
            <w:r>
              <w:rPr>
                <w:rFonts w:hint="eastAsia" w:ascii="宋体" w:hAnsi="宋体" w:eastAsia="宋体" w:cs="宋体"/>
                <w:b w:val="0"/>
                <w:bCs w:val="0"/>
                <w:i w:val="0"/>
                <w:iCs w:val="0"/>
                <w:color w:val="000000"/>
                <w:sz w:val="21"/>
                <w:szCs w:val="21"/>
              </w:rPr>
              <w:t xml:space="preserve">国考</w:t>
            </w:r>
            <w:r>
              <w:rPr>
                <w:rFonts w:hint="eastAsia" w:ascii="宋体" w:hAnsi="宋体" w:eastAsia="宋体" w:cs="宋体"/>
                <w:b w:val="0"/>
                <w:bCs w:val="0"/>
                <w:i w:val="0"/>
                <w:iCs w:val="0"/>
                <w:color w:val="000000"/>
                <w:sz w:val="21"/>
                <w:szCs w:val="21"/>
              </w:rPr>
            </w:r>
            <w:r/>
          </w:p>
        </w:tc>
      </w:tr>
      <w:tr>
        <w:trPr>
          <w:trHeight w:val="340" w:hRule="exact"/>
        </w:trPr>
        <w:tc>
          <w:tcPr>
            <w:tcW w:w="847"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1417"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土瓜公路桥</w:t>
            </w:r>
            <w:r>
              <w:rPr>
                <w:rFonts w:hint="eastAsia" w:ascii="宋体" w:hAnsi="宋体" w:eastAsia="宋体" w:cs="宋体"/>
                <w:color w:val="000000"/>
                <w:sz w:val="21"/>
                <w:szCs w:val="21"/>
              </w:rPr>
            </w:r>
            <w:r/>
          </w:p>
        </w:tc>
        <w:tc>
          <w:tcPr>
            <w:tcW w:w="2890" w:type="dxa"/>
            <w:vAlign w:val="center"/>
            <w:textDirection w:val="lrTb"/>
            <w:noWrap w:val="false"/>
          </w:tcPr>
          <w:p>
            <w:pPr>
              <w:pStyle w:val="945"/>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润扬河</w:t>
            </w:r>
            <w:r>
              <w:rPr>
                <w:rFonts w:hint="eastAsia" w:ascii="宋体" w:hAnsi="宋体" w:eastAsia="宋体" w:cs="宋体"/>
                <w:color w:val="000000"/>
                <w:sz w:val="21"/>
                <w:szCs w:val="21"/>
              </w:rPr>
            </w:r>
            <w:r/>
          </w:p>
        </w:tc>
        <w:tc>
          <w:tcPr>
            <w:tcW w:w="2655" w:type="dxa"/>
            <w:vAlign w:val="center"/>
            <w:textDirection w:val="lrTb"/>
            <w:noWrap w:val="false"/>
          </w:tcPr>
          <w:p>
            <w:pPr>
              <w:pStyle w:val="945"/>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邗江区/扬州经开区</w:t>
            </w:r>
            <w:r>
              <w:rPr>
                <w:rFonts w:hint="eastAsia" w:ascii="宋体" w:hAnsi="宋体" w:eastAsia="宋体" w:cs="宋体"/>
                <w:color w:val="000000"/>
                <w:sz w:val="21"/>
                <w:szCs w:val="21"/>
              </w:rPr>
            </w:r>
            <w:r/>
          </w:p>
        </w:tc>
        <w:tc>
          <w:tcPr>
            <w:tcW w:w="1283"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省考</w:t>
            </w:r>
            <w:r>
              <w:rPr>
                <w:rFonts w:hint="eastAsia" w:ascii="宋体" w:hAnsi="宋体" w:eastAsia="宋体" w:cs="宋体"/>
                <w:color w:val="000000"/>
                <w:sz w:val="21"/>
                <w:szCs w:val="21"/>
              </w:rPr>
            </w:r>
            <w:r/>
          </w:p>
        </w:tc>
      </w:tr>
      <w:tr>
        <w:trPr>
          <w:trHeight w:val="340" w:hRule="exact"/>
        </w:trPr>
        <w:tc>
          <w:tcPr>
            <w:tcW w:w="847"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1417"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S611</w:t>
            </w:r>
            <w:r>
              <w:rPr>
                <w:rFonts w:hint="eastAsia" w:ascii="宋体" w:hAnsi="宋体" w:eastAsia="宋体" w:cs="宋体"/>
                <w:color w:val="000000"/>
                <w:sz w:val="21"/>
                <w:szCs w:val="21"/>
              </w:rPr>
            </w:r>
            <w:r/>
          </w:p>
        </w:tc>
        <w:tc>
          <w:tcPr>
            <w:tcW w:w="2890" w:type="dxa"/>
            <w:vAlign w:val="center"/>
            <w:textDirection w:val="lrTb"/>
            <w:noWrap w:val="false"/>
          </w:tcPr>
          <w:p>
            <w:pPr>
              <w:pStyle w:val="945"/>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公道引水河</w:t>
            </w:r>
            <w:r>
              <w:rPr>
                <w:rFonts w:hint="eastAsia" w:ascii="宋体" w:hAnsi="宋体" w:eastAsia="宋体" w:cs="宋体"/>
                <w:color w:val="000000"/>
                <w:sz w:val="21"/>
                <w:szCs w:val="21"/>
              </w:rPr>
            </w:r>
            <w:r/>
          </w:p>
        </w:tc>
        <w:tc>
          <w:tcPr>
            <w:tcW w:w="2655" w:type="dxa"/>
            <w:vAlign w:val="center"/>
            <w:textDirection w:val="lrTb"/>
            <w:noWrap w:val="false"/>
          </w:tcPr>
          <w:p>
            <w:pPr>
              <w:pStyle w:val="945"/>
              <w:ind w:firstLine="42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邗江区</w:t>
            </w:r>
            <w:r>
              <w:rPr>
                <w:rFonts w:hint="eastAsia" w:ascii="宋体" w:hAnsi="宋体" w:eastAsia="宋体" w:cs="宋体"/>
                <w:color w:val="000000"/>
                <w:sz w:val="21"/>
                <w:szCs w:val="21"/>
              </w:rPr>
            </w:r>
            <w:r/>
          </w:p>
        </w:tc>
        <w:tc>
          <w:tcPr>
            <w:tcW w:w="1283"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省考</w:t>
            </w:r>
            <w:r>
              <w:rPr>
                <w:rFonts w:hint="eastAsia" w:ascii="宋体" w:hAnsi="宋体" w:eastAsia="宋体" w:cs="宋体"/>
                <w:color w:val="000000"/>
                <w:sz w:val="21"/>
                <w:szCs w:val="21"/>
              </w:rPr>
            </w:r>
            <w:r/>
          </w:p>
        </w:tc>
      </w:tr>
    </w:tbl>
    <w:p>
      <w:pPr>
        <w:pStyle w:val="945"/>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4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为保障仪扬河冻青桥断面水质能够达标，扬州市邗江生态环境局于202</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年初实施了仪扬河冻青桥断面水质达标重点项目，对四望亭河、新城河、引潮河沿河旱季溢流排口污水以及陆洲泵站上游引河水体进行净化处理。该项目运维合同将于202</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en-US" w:eastAsia="zh-CN"/>
        </w:rPr>
        <w:t xml:space="preserve">底</w:t>
      </w:r>
      <w:r>
        <w:rPr>
          <w:rFonts w:hint="eastAsia" w:ascii="宋体" w:hAnsi="宋体" w:eastAsia="宋体" w:cs="宋体"/>
          <w:color w:val="000000"/>
          <w:sz w:val="21"/>
          <w:szCs w:val="21"/>
        </w:rPr>
        <w:t xml:space="preserve">到期，鉴于区内雨污分流、污水管网建设等相关措施尚未完全到位，若无相关分布式水质净化站支撑，各河道水质将难以得到有效保障，进而影响下游冻青桥断面水质。为此，开展202</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~202</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年度邗江区三座分布式水质净化站运维服务采购事宜。</w:t>
      </w:r>
      <w:r>
        <w:rPr>
          <w:rFonts w:hint="eastAsia" w:ascii="宋体" w:hAnsi="宋体" w:eastAsia="宋体" w:cs="宋体"/>
          <w:color w:val="000000"/>
          <w:sz w:val="21"/>
          <w:szCs w:val="21"/>
        </w:rPr>
      </w:r>
      <w:r/>
    </w:p>
    <w:p>
      <w:pPr>
        <w:pStyle w:val="945"/>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二、项目概况</w:t>
      </w:r>
      <w:r>
        <w:rPr>
          <w:rFonts w:hint="eastAsia" w:ascii="宋体" w:hAnsi="宋体" w:eastAsia="宋体" w:cs="宋体"/>
          <w:b/>
          <w:bCs/>
          <w:color w:val="000000"/>
          <w:sz w:val="21"/>
          <w:szCs w:val="21"/>
        </w:rPr>
      </w:r>
      <w:r/>
    </w:p>
    <w:p>
      <w:pPr>
        <w:pStyle w:val="94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lang w:eastAsia="zh-CN"/>
        </w:rPr>
        <w:t xml:space="preserve">扬州市邗江生态环境局邗江区三座分布式水质净化站运维服务项目</w:t>
      </w:r>
      <w:r>
        <w:rPr>
          <w:rFonts w:hint="eastAsia" w:ascii="宋体" w:hAnsi="宋体" w:eastAsia="宋体" w:cs="宋体"/>
          <w:color w:val="000000"/>
          <w:sz w:val="21"/>
          <w:szCs w:val="21"/>
        </w:rPr>
      </w:r>
      <w:r/>
    </w:p>
    <w:p>
      <w:pPr>
        <w:pStyle w:val="94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地点：四望亭分布式水质净化站位于四望亭河与新城河路交叉口西北角，主要收集净化低污染河水、四望亭-邗江北路和新城河-四望亭处排水口混接水、新城河文昌西路和新城河文汇西路排水口混接水；引潮河分布式水质净化站位于引潮河与文汇西路东北侧，主要收集处理低污染河水及沿引潮河两岸截流井混接水；陆洲泵站分布式水质净化站位于陆洲泵站西侧，通过收集陆洲泵站上游河水，主要改善泵站上游河湖水质，增强水体流动性，实现河道生态补水、提升水体自净能力的功能。</w:t>
      </w:r>
      <w:r>
        <w:rPr>
          <w:rFonts w:hint="eastAsia" w:ascii="宋体" w:hAnsi="宋体" w:eastAsia="宋体" w:cs="宋体"/>
          <w:color w:val="000000"/>
          <w:sz w:val="21"/>
          <w:szCs w:val="21"/>
        </w:rPr>
      </w:r>
      <w:r/>
    </w:p>
    <w:p>
      <w:pPr>
        <w:pStyle w:val="94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项目规模：四望亭水质净化站3000m³/d、引潮河水质净化站2000m³/d、陆洲泵站水质净化站1800m³/d。</w:t>
      </w:r>
      <w:r>
        <w:rPr>
          <w:rFonts w:hint="eastAsia" w:ascii="宋体" w:hAnsi="宋体" w:eastAsia="宋体" w:cs="宋体"/>
          <w:color w:val="000000"/>
          <w:sz w:val="21"/>
          <w:szCs w:val="21"/>
        </w:rPr>
      </w:r>
      <w:r/>
    </w:p>
    <w:p>
      <w:pPr>
        <w:pStyle w:val="94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项目主体工艺：三座水质净化站主体工艺均为MBR生物膜反应器。</w:t>
      </w:r>
      <w:r>
        <w:rPr>
          <w:rFonts w:hint="eastAsia" w:ascii="宋体" w:hAnsi="宋体" w:eastAsia="宋体" w:cs="宋体"/>
          <w:color w:val="000000"/>
          <w:sz w:val="21"/>
          <w:szCs w:val="21"/>
        </w:rPr>
      </w:r>
      <w:r/>
    </w:p>
    <w:p>
      <w:pPr>
        <w:pStyle w:val="945"/>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三、采购标的</w:t>
      </w:r>
      <w:r>
        <w:rPr>
          <w:rFonts w:hint="eastAsia" w:ascii="宋体" w:hAnsi="宋体" w:eastAsia="宋体" w:cs="宋体"/>
          <w:b/>
          <w:bCs/>
          <w:color w:val="000000"/>
          <w:sz w:val="21"/>
          <w:szCs w:val="21"/>
        </w:rPr>
      </w:r>
      <w:r/>
    </w:p>
    <w:p>
      <w:pPr>
        <w:pStyle w:val="9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1、招标内容：三座水质净化站</w:t>
      </w:r>
      <w:r>
        <w:rPr>
          <w:rFonts w:hint="eastAsia" w:ascii="宋体" w:hAnsi="宋体" w:eastAsia="宋体" w:cs="宋体"/>
          <w:color w:val="000000"/>
          <w:sz w:val="21"/>
          <w:szCs w:val="21"/>
          <w:lang w:val="en-US" w:eastAsia="zh-CN"/>
        </w:rPr>
        <w:t xml:space="preserve">两</w:t>
      </w:r>
      <w:r>
        <w:rPr>
          <w:rFonts w:hint="eastAsia" w:ascii="宋体" w:hAnsi="宋体" w:eastAsia="宋体" w:cs="宋体"/>
          <w:color w:val="000000"/>
          <w:sz w:val="21"/>
          <w:szCs w:val="21"/>
        </w:rPr>
        <w:t xml:space="preserve">年期运维服务，具体包含1套3000m³/d的MBR分布式水质净化站、1套2000m³/d的MBR分布式水质净化站以及1套1800m³/d的MBR分布式水质净化站运维期间的用水、用电、水处理药剂及劳务</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设备维修</w:t>
      </w:r>
      <w:r>
        <w:rPr>
          <w:rFonts w:hint="eastAsia" w:ascii="宋体" w:hAnsi="宋体" w:eastAsia="宋体" w:cs="宋体"/>
          <w:color w:val="000000"/>
          <w:sz w:val="21"/>
          <w:szCs w:val="21"/>
        </w:rPr>
        <w:t xml:space="preserve">等费用。</w:t>
      </w:r>
      <w:r>
        <w:rPr>
          <w:rFonts w:hint="eastAsia" w:ascii="宋体" w:hAnsi="宋体" w:eastAsia="宋体" w:cs="宋体"/>
          <w:color w:val="000000"/>
          <w:sz w:val="21"/>
          <w:szCs w:val="21"/>
        </w:rPr>
      </w:r>
      <w:r/>
    </w:p>
    <w:p>
      <w:pPr>
        <w:pStyle w:val="9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2、服务期限：周期</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lang w:val="en-US" w:eastAsia="zh-CN"/>
        </w:rPr>
        <w:t xml:space="preserve">签订合同后</w:t>
      </w:r>
      <w:r>
        <w:rPr>
          <w:rFonts w:hint="eastAsia" w:ascii="宋体" w:hAnsi="宋体" w:eastAsia="宋体" w:cs="宋体"/>
          <w:color w:val="000000"/>
          <w:sz w:val="21"/>
          <w:szCs w:val="21"/>
        </w:rPr>
        <w:t xml:space="preserve">以业主单位要求之日起计。</w:t>
      </w:r>
      <w:r>
        <w:rPr>
          <w:rFonts w:hint="eastAsia" w:ascii="宋体" w:hAnsi="宋体" w:eastAsia="宋体" w:cs="宋体"/>
          <w:color w:val="000000"/>
          <w:sz w:val="21"/>
          <w:szCs w:val="21"/>
        </w:rPr>
      </w:r>
      <w:r/>
    </w:p>
    <w:p>
      <w:pPr>
        <w:pStyle w:val="9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3、进出水标准：</w:t>
      </w:r>
      <w:r>
        <w:rPr>
          <w:rFonts w:hint="eastAsia" w:ascii="宋体" w:hAnsi="宋体" w:eastAsia="宋体" w:cs="宋体"/>
          <w:color w:val="000000"/>
          <w:sz w:val="21"/>
          <w:szCs w:val="21"/>
        </w:rPr>
      </w:r>
      <w:r/>
    </w:p>
    <w:p>
      <w:pPr>
        <w:pStyle w:val="945"/>
        <w:ind w:firstLine="42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表1 分布式水质净化站进出水水质要求                 mg/L</w:t>
      </w:r>
      <w:r>
        <w:rPr>
          <w:rFonts w:hint="eastAsia" w:ascii="宋体" w:hAnsi="宋体" w:eastAsia="宋体" w:cs="宋体"/>
          <w:color w:val="000000"/>
          <w:sz w:val="21"/>
          <w:szCs w:val="21"/>
        </w:rPr>
      </w:r>
      <w:r/>
    </w:p>
    <w:tbl>
      <w:tblPr>
        <w:tblW w:w="867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547"/>
        <w:gridCol w:w="1005"/>
        <w:gridCol w:w="902"/>
        <w:gridCol w:w="902"/>
        <w:gridCol w:w="996"/>
        <w:gridCol w:w="1160"/>
        <w:gridCol w:w="1160"/>
      </w:tblGrid>
      <w:tr>
        <w:trPr>
          <w:trHeight w:val="580"/>
        </w:trPr>
        <w:tc>
          <w:tcPr>
            <w:tcBorders>
              <w:top w:val="single" w:color="000000" w:sz="4" w:space="0"/>
              <w:left w:val="single" w:color="000000" w:sz="4" w:space="0"/>
              <w:bottom w:val="single" w:color="000000" w:sz="4" w:space="0"/>
              <w:right w:val="single" w:color="000000" w:sz="4" w:space="0"/>
            </w:tcBorders>
            <w:tcW w:w="2547" w:type="dxa"/>
            <w:vAlign w:val="center"/>
            <w:vMerge w:val="restart"/>
            <w:textDirection w:val="lrTb"/>
            <w:noWrap/>
          </w:tcPr>
          <w:p>
            <w:pPr>
              <w:pStyle w:val="945"/>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水质净化站点</w:t>
            </w:r>
            <w:r>
              <w:rPr>
                <w:rFonts w:hint="eastAsia" w:ascii="宋体" w:hAnsi="宋体" w:eastAsia="宋体" w:cs="宋体"/>
                <w:b/>
                <w:bCs/>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2809" w:type="dxa"/>
            <w:vAlign w:val="center"/>
            <w:textDirection w:val="lrTb"/>
            <w:noWrap/>
          </w:tcPr>
          <w:p>
            <w:pPr>
              <w:pStyle w:val="945"/>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进水指标</w:t>
            </w:r>
            <w:r>
              <w:rPr>
                <w:rFonts w:hint="eastAsia" w:ascii="宋体" w:hAnsi="宋体" w:eastAsia="宋体" w:cs="宋体"/>
                <w:b/>
                <w:bCs/>
                <w:color w:val="000000"/>
                <w:sz w:val="21"/>
                <w:szCs w:val="21"/>
              </w:rPr>
            </w:r>
            <w:r/>
          </w:p>
        </w:tc>
        <w:tc>
          <w:tcPr>
            <w:gridSpan w:val="3"/>
            <w:tcBorders>
              <w:top w:val="single" w:color="000000" w:sz="4" w:space="0"/>
              <w:left w:val="single" w:color="000000" w:sz="4" w:space="0"/>
              <w:bottom w:val="single" w:color="000000" w:sz="4" w:space="0"/>
              <w:right w:val="single" w:color="000000" w:sz="4" w:space="0"/>
            </w:tcBorders>
            <w:tcW w:w="3316" w:type="dxa"/>
            <w:vAlign w:val="center"/>
            <w:textDirection w:val="lrTb"/>
            <w:noWrap/>
          </w:tcPr>
          <w:p>
            <w:pPr>
              <w:pStyle w:val="945"/>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出水指标</w:t>
            </w:r>
            <w:r>
              <w:rPr>
                <w:rFonts w:hint="eastAsia" w:ascii="宋体" w:hAnsi="宋体" w:eastAsia="宋体" w:cs="宋体"/>
                <w:b/>
                <w:bCs/>
                <w:color w:val="000000"/>
                <w:sz w:val="21"/>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2547" w:type="dxa"/>
            <w:vAlign w:val="center"/>
            <w:vMerge w:val="continue"/>
            <w:textDirection w:val="lrTb"/>
            <w:noWrap/>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COD</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945"/>
              <w:jc w:val="center"/>
              <w:widowControl/>
              <w:rPr>
                <w:rFonts w:hint="eastAsia" w:ascii="宋体" w:hAnsi="宋体" w:eastAsia="宋体" w:cs="宋体"/>
                <w:color w:val="000000"/>
                <w:sz w:val="21"/>
                <w:szCs w:val="21"/>
              </w:rPr>
            </w:pPr>
            <w:r>
              <w:rPr>
                <w:rStyle w:val="1069"/>
                <w:rFonts w:hint="eastAsia" w:ascii="宋体" w:hAnsi="宋体" w:eastAsia="宋体" w:cs="宋体"/>
                <w:color w:val="000000"/>
                <w:sz w:val="21"/>
                <w:szCs w:val="21"/>
                <w:lang w:bidi="ar"/>
              </w:rPr>
              <w:t xml:space="preserve">氨氮</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总磷</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COD</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945"/>
              <w:jc w:val="center"/>
              <w:widowControl/>
              <w:rPr>
                <w:rFonts w:hint="eastAsia" w:ascii="宋体" w:hAnsi="宋体" w:eastAsia="宋体" w:cs="宋体"/>
                <w:color w:val="000000"/>
                <w:sz w:val="21"/>
                <w:szCs w:val="21"/>
              </w:rPr>
            </w:pPr>
            <w:r>
              <w:rPr>
                <w:rStyle w:val="1069"/>
                <w:rFonts w:hint="eastAsia" w:ascii="宋体" w:hAnsi="宋体" w:eastAsia="宋体" w:cs="宋体"/>
                <w:color w:val="000000"/>
                <w:sz w:val="21"/>
                <w:szCs w:val="21"/>
                <w:lang w:bidi="ar"/>
              </w:rPr>
              <w:t xml:space="preserve">氨氮</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总磷</w:t>
            </w:r>
            <w:r>
              <w:rPr>
                <w:rFonts w:hint="eastAsia" w:ascii="宋体" w:hAnsi="宋体" w:eastAsia="宋体" w:cs="宋体"/>
                <w:color w:val="000000"/>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pStyle w:val="945"/>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3000m</w:t>
            </w:r>
            <w:r>
              <w:rPr>
                <w:rStyle w:val="1070"/>
                <w:rFonts w:hint="eastAsia" w:ascii="宋体" w:hAnsi="宋体" w:eastAsia="宋体" w:cs="宋体"/>
                <w:color w:val="000000"/>
                <w:sz w:val="21"/>
                <w:szCs w:val="21"/>
                <w:lang w:bidi="ar"/>
              </w:rPr>
              <w:t xml:space="preserve">3</w:t>
            </w:r>
            <w:r>
              <w:rPr>
                <w:rStyle w:val="1071"/>
                <w:rFonts w:hint="eastAsia" w:ascii="宋体" w:hAnsi="宋体" w:eastAsia="宋体" w:cs="宋体"/>
                <w:color w:val="000000"/>
                <w:sz w:val="21"/>
                <w:szCs w:val="21"/>
                <w:lang w:bidi="ar"/>
              </w:rPr>
              <w:t xml:space="preserve">/d分布式净水站</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≤200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≤0.3</w:t>
            </w:r>
            <w:r>
              <w:rPr>
                <w:rFonts w:hint="eastAsia" w:ascii="宋体" w:hAnsi="宋体" w:eastAsia="宋体" w:cs="宋体"/>
                <w:color w:val="000000"/>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pStyle w:val="945"/>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2000m</w:t>
            </w:r>
            <w:r>
              <w:rPr>
                <w:rStyle w:val="1070"/>
                <w:rFonts w:hint="eastAsia" w:ascii="宋体" w:hAnsi="宋体" w:eastAsia="宋体" w:cs="宋体"/>
                <w:color w:val="000000"/>
                <w:sz w:val="21"/>
                <w:szCs w:val="21"/>
                <w:lang w:bidi="ar"/>
              </w:rPr>
              <w:t xml:space="preserve">3</w:t>
            </w:r>
            <w:r>
              <w:rPr>
                <w:rStyle w:val="1071"/>
                <w:rFonts w:hint="eastAsia" w:ascii="宋体" w:hAnsi="宋体" w:eastAsia="宋体" w:cs="宋体"/>
                <w:color w:val="000000"/>
                <w:sz w:val="21"/>
                <w:szCs w:val="21"/>
                <w:lang w:bidi="ar"/>
              </w:rPr>
              <w:t xml:space="preserve">/d分布式净水站</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≤200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≤0.3</w:t>
            </w:r>
            <w:r>
              <w:rPr>
                <w:rFonts w:hint="eastAsia" w:ascii="宋体" w:hAnsi="宋体" w:eastAsia="宋体" w:cs="宋体"/>
                <w:color w:val="000000"/>
                <w:sz w:val="21"/>
                <w:szCs w:val="21"/>
              </w:rPr>
            </w:r>
            <w:r/>
          </w:p>
        </w:tc>
      </w:tr>
      <w:tr>
        <w:trPr>
          <w:trHeight w:val="360"/>
        </w:trPr>
        <w:tc>
          <w:tcPr>
            <w:tcBorders>
              <w:top w:val="single" w:color="000000" w:sz="4" w:space="0"/>
              <w:left w:val="single" w:color="000000" w:sz="4" w:space="0"/>
              <w:bottom w:val="single" w:color="000000" w:sz="4" w:space="0"/>
              <w:right w:val="single" w:color="000000" w:sz="4" w:space="0"/>
            </w:tcBorders>
            <w:tcW w:w="2547" w:type="dxa"/>
            <w:vAlign w:val="center"/>
            <w:textDirection w:val="lrTb"/>
            <w:noWrap/>
          </w:tcPr>
          <w:p>
            <w:pPr>
              <w:pStyle w:val="945"/>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1800m</w:t>
            </w:r>
            <w:r>
              <w:rPr>
                <w:rStyle w:val="1070"/>
                <w:rFonts w:hint="eastAsia" w:ascii="宋体" w:hAnsi="宋体" w:eastAsia="宋体" w:cs="宋体"/>
                <w:color w:val="000000"/>
                <w:sz w:val="21"/>
                <w:szCs w:val="21"/>
                <w:lang w:bidi="ar"/>
              </w:rPr>
              <w:t xml:space="preserve">3</w:t>
            </w:r>
            <w:r>
              <w:rPr>
                <w:rStyle w:val="1071"/>
                <w:rFonts w:hint="eastAsia" w:ascii="宋体" w:hAnsi="宋体" w:eastAsia="宋体" w:cs="宋体"/>
                <w:color w:val="000000"/>
                <w:sz w:val="21"/>
                <w:szCs w:val="21"/>
                <w:lang w:bidi="ar"/>
              </w:rPr>
              <w:t xml:space="preserve">/d分布式净水站</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945"/>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≤0.2</w:t>
            </w:r>
            <w:r>
              <w:rPr>
                <w:rFonts w:hint="eastAsia" w:ascii="宋体" w:hAnsi="宋体" w:eastAsia="宋体" w:cs="宋体"/>
                <w:color w:val="000000"/>
                <w:sz w:val="21"/>
                <w:szCs w:val="21"/>
              </w:rPr>
            </w:r>
            <w:r/>
          </w:p>
        </w:tc>
      </w:tr>
    </w:tbl>
    <w:p>
      <w:pPr>
        <w:pStyle w:val="945"/>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四、条件要求</w:t>
      </w:r>
      <w:r>
        <w:rPr>
          <w:rFonts w:hint="eastAsia" w:ascii="宋体" w:hAnsi="宋体" w:eastAsia="宋体" w:cs="宋体"/>
          <w:b/>
          <w:bCs/>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1、投标人须确保各站点每日出水水质达到表1要求；每日处理水量</w:t>
      </w:r>
      <w:r>
        <w:rPr>
          <w:rFonts w:hint="eastAsia" w:ascii="宋体" w:hAnsi="宋体" w:eastAsia="宋体" w:cs="宋体"/>
          <w:color w:val="000000"/>
          <w:sz w:val="21"/>
          <w:szCs w:val="21"/>
          <w:lang w:val="en-US" w:eastAsia="zh-CN"/>
        </w:rPr>
        <w:t xml:space="preserve">需</w:t>
      </w:r>
      <w:r>
        <w:rPr>
          <w:rFonts w:hint="eastAsia" w:ascii="宋体" w:hAnsi="宋体" w:eastAsia="宋体" w:cs="宋体"/>
          <w:color w:val="000000"/>
          <w:sz w:val="21"/>
          <w:szCs w:val="21"/>
        </w:rPr>
        <w:t xml:space="preserve">分别达到设计规模的80%以上，不足80%的需及时向业主单位汇报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每年正常运行时间不少于360天，年处理量超过248.2万吨不再计算费用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2、投标人须建立运维现场安全管理制度和应急处置预案。</w:t>
      </w:r>
      <w:r>
        <w:rPr>
          <w:rFonts w:hint="eastAsia" w:ascii="宋体" w:hAnsi="宋体" w:eastAsia="宋体" w:cs="宋体"/>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3、投标人须建立运维管理台账。</w:t>
      </w:r>
      <w:r>
        <w:rPr>
          <w:rFonts w:hint="eastAsia" w:ascii="宋体" w:hAnsi="宋体" w:eastAsia="宋体" w:cs="宋体"/>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4、运维单位负责现场安全和卫生，做好现场形象管理，设备管道等有标识标牌。</w:t>
      </w:r>
      <w:r>
        <w:rPr>
          <w:rFonts w:hint="eastAsia" w:ascii="宋体" w:hAnsi="宋体" w:eastAsia="宋体" w:cs="宋体"/>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5、运维单位须优先抽取井内污水处理，在井内污水低液位时方可切换进水泵，切换时机以液位计低数值为准，同时做好记录。</w:t>
      </w:r>
      <w:r>
        <w:rPr>
          <w:rFonts w:hint="eastAsia" w:ascii="宋体" w:hAnsi="宋体" w:eastAsia="宋体" w:cs="宋体"/>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6、现场出现任何问题须及时汇报。</w:t>
      </w:r>
      <w:r>
        <w:rPr>
          <w:rFonts w:hint="eastAsia" w:ascii="宋体" w:hAnsi="宋体" w:eastAsia="宋体" w:cs="宋体"/>
          <w:color w:val="000000"/>
          <w:sz w:val="21"/>
          <w:szCs w:val="21"/>
        </w:rPr>
      </w:r>
      <w:r/>
    </w:p>
    <w:p>
      <w:pPr>
        <w:pStyle w:val="945"/>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五、运维要求</w:t>
      </w:r>
      <w:r>
        <w:rPr>
          <w:rFonts w:hint="eastAsia" w:ascii="宋体" w:hAnsi="宋体" w:eastAsia="宋体" w:cs="宋体"/>
          <w:b/>
          <w:bCs/>
          <w:color w:val="000000"/>
          <w:sz w:val="21"/>
          <w:szCs w:val="21"/>
        </w:rPr>
      </w:r>
      <w:r/>
    </w:p>
    <w:p>
      <w:pPr>
        <w:pStyle w:val="945"/>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（1）运维期：</w:t>
      </w:r>
      <w:r>
        <w:rPr>
          <w:rFonts w:hint="eastAsia" w:ascii="宋体" w:hAnsi="宋体" w:eastAsia="宋体" w:cs="宋体"/>
          <w:color w:val="000000"/>
          <w:sz w:val="21"/>
          <w:szCs w:val="21"/>
          <w:lang w:val="en-US" w:eastAsia="zh-CN"/>
        </w:rPr>
        <w:t xml:space="preserve">二</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r>
      <w:r/>
    </w:p>
    <w:p>
      <w:pPr>
        <w:pStyle w:val="945"/>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（2）具体要求：</w:t>
      </w:r>
      <w:r>
        <w:rPr>
          <w:rFonts w:hint="eastAsia" w:ascii="宋体" w:hAnsi="宋体" w:eastAsia="宋体" w:cs="宋体"/>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1</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设备、电气检查</w:t>
      </w:r>
      <w:r>
        <w:rPr>
          <w:rFonts w:hint="eastAsia" w:ascii="宋体" w:hAnsi="宋体" w:eastAsia="宋体" w:cs="宋体"/>
          <w:b w:val="0"/>
          <w:bCs w:val="0"/>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1.1水泵</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①</w:t>
      </w:r>
      <w:r>
        <w:rPr>
          <w:rFonts w:hint="eastAsia" w:ascii="宋体" w:hAnsi="宋体" w:eastAsia="宋体" w:cs="宋体"/>
          <w:color w:val="000000"/>
          <w:sz w:val="21"/>
          <w:szCs w:val="21"/>
        </w:rPr>
        <w:t xml:space="preserve">检查水泵外观及壳体损伤与连接件防腐情况。</w:t>
      </w:r>
      <w:r>
        <w:rPr>
          <w:rFonts w:hint="eastAsia" w:ascii="宋体" w:hAnsi="宋体" w:eastAsia="宋体" w:cs="宋体"/>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②</w:t>
      </w:r>
      <w:r>
        <w:rPr>
          <w:rFonts w:hint="eastAsia" w:ascii="宋体" w:hAnsi="宋体" w:eastAsia="宋体" w:cs="宋体"/>
          <w:color w:val="000000"/>
          <w:sz w:val="21"/>
          <w:szCs w:val="21"/>
        </w:rPr>
        <w:t xml:space="preserve">检修油封、机械密封（视泄漏情况更换）</w:t>
      </w:r>
      <w:r>
        <w:rPr>
          <w:rFonts w:hint="eastAsia" w:ascii="宋体" w:hAnsi="宋体" w:eastAsia="宋体" w:cs="宋体"/>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③</w:t>
      </w:r>
      <w:r>
        <w:rPr>
          <w:rFonts w:hint="eastAsia" w:ascii="宋体" w:hAnsi="宋体" w:eastAsia="宋体" w:cs="宋体"/>
          <w:color w:val="000000"/>
          <w:sz w:val="21"/>
          <w:szCs w:val="21"/>
        </w:rPr>
        <w:t xml:space="preserve">检查连接轴同心度、轴套、磨损情况而定。</w:t>
      </w:r>
      <w:r>
        <w:rPr>
          <w:rFonts w:hint="eastAsia" w:ascii="宋体" w:hAnsi="宋体" w:eastAsia="宋体" w:cs="宋体"/>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④</w:t>
      </w:r>
      <w:r>
        <w:rPr>
          <w:rFonts w:hint="eastAsia" w:ascii="宋体" w:hAnsi="宋体" w:eastAsia="宋体" w:cs="宋体"/>
          <w:color w:val="000000"/>
          <w:sz w:val="21"/>
          <w:szCs w:val="21"/>
        </w:rPr>
        <w:t xml:space="preserve">视情况检修叶轮和联轴器。</w:t>
      </w:r>
      <w:r>
        <w:rPr>
          <w:rFonts w:hint="eastAsia" w:ascii="宋体" w:hAnsi="宋体" w:eastAsia="宋体" w:cs="宋体"/>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SA"/>
        </w:rPr>
        <w:t xml:space="preserve">⑤</w:t>
      </w:r>
      <w:r>
        <w:rPr>
          <w:rFonts w:hint="eastAsia" w:ascii="宋体" w:hAnsi="宋体" w:eastAsia="宋体" w:cs="宋体"/>
          <w:color w:val="000000"/>
          <w:sz w:val="21"/>
          <w:szCs w:val="21"/>
        </w:rPr>
        <w:t xml:space="preserve">电机绝缘处检查、电流和电压测试。</w:t>
      </w:r>
      <w:r>
        <w:rPr>
          <w:rFonts w:hint="eastAsia" w:ascii="宋体" w:hAnsi="宋体" w:eastAsia="宋体" w:cs="宋体"/>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1.2鼓风机</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①</w:t>
      </w:r>
      <w:r>
        <w:rPr>
          <w:rFonts w:hint="eastAsia" w:ascii="宋体" w:hAnsi="宋体" w:eastAsia="宋体" w:cs="宋体"/>
          <w:b w:val="0"/>
          <w:bCs w:val="0"/>
          <w:color w:val="000000"/>
          <w:sz w:val="21"/>
          <w:szCs w:val="21"/>
        </w:rPr>
        <w:t xml:space="preserve">检修空气过滤器，检修传动皮带。</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②</w:t>
      </w:r>
      <w:r>
        <w:rPr>
          <w:rFonts w:hint="eastAsia" w:ascii="宋体" w:hAnsi="宋体" w:eastAsia="宋体" w:cs="宋体"/>
          <w:b w:val="0"/>
          <w:bCs w:val="0"/>
          <w:color w:val="000000"/>
          <w:sz w:val="21"/>
          <w:szCs w:val="21"/>
        </w:rPr>
        <w:t xml:space="preserve">检查油镜，测试油压、油温、风压、风量。</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③</w:t>
      </w:r>
      <w:r>
        <w:rPr>
          <w:rFonts w:hint="eastAsia" w:ascii="宋体" w:hAnsi="宋体" w:eastAsia="宋体" w:cs="宋体"/>
          <w:b w:val="0"/>
          <w:bCs w:val="0"/>
          <w:color w:val="000000"/>
          <w:sz w:val="21"/>
          <w:szCs w:val="21"/>
        </w:rPr>
        <w:t xml:space="preserve">检查轴套、O型圈、油封等密封件。</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④</w:t>
      </w:r>
      <w:r>
        <w:rPr>
          <w:rFonts w:hint="eastAsia" w:ascii="宋体" w:hAnsi="宋体" w:eastAsia="宋体" w:cs="宋体"/>
          <w:b w:val="0"/>
          <w:bCs w:val="0"/>
          <w:color w:val="000000"/>
          <w:sz w:val="21"/>
          <w:szCs w:val="21"/>
        </w:rPr>
        <w:t xml:space="preserve">校正电机同心度、调整皮带磨合度。</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⑤</w:t>
      </w:r>
      <w:r>
        <w:rPr>
          <w:rFonts w:hint="eastAsia" w:ascii="宋体" w:hAnsi="宋体" w:eastAsia="宋体" w:cs="宋体"/>
          <w:b w:val="0"/>
          <w:bCs w:val="0"/>
          <w:color w:val="000000"/>
          <w:sz w:val="21"/>
          <w:szCs w:val="21"/>
        </w:rPr>
        <w:t xml:space="preserve">检修减速机齿轮等结构。</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⑥</w:t>
      </w:r>
      <w:r>
        <w:rPr>
          <w:rFonts w:hint="eastAsia" w:ascii="宋体" w:hAnsi="宋体" w:eastAsia="宋体" w:cs="宋体"/>
          <w:b w:val="0"/>
          <w:bCs w:val="0"/>
          <w:color w:val="000000"/>
          <w:sz w:val="21"/>
          <w:szCs w:val="21"/>
        </w:rPr>
        <w:t xml:space="preserve">电机检查绝缘、电流、电压。</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⑦</w:t>
      </w:r>
      <w:r>
        <w:rPr>
          <w:rFonts w:hint="eastAsia" w:ascii="宋体" w:hAnsi="宋体" w:eastAsia="宋体" w:cs="宋体"/>
          <w:b w:val="0"/>
          <w:bCs w:val="0"/>
          <w:color w:val="000000"/>
          <w:sz w:val="21"/>
          <w:szCs w:val="21"/>
        </w:rPr>
        <w:t xml:space="preserve">进行风机齿轮油和黄油添加。</w:t>
      </w:r>
      <w:r>
        <w:rPr>
          <w:rFonts w:hint="eastAsia" w:ascii="宋体" w:hAnsi="宋体" w:eastAsia="宋体" w:cs="宋体"/>
          <w:b w:val="0"/>
          <w:bCs w:val="0"/>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1.3 阀门及仪器仪表保养</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①</w:t>
      </w:r>
      <w:r>
        <w:rPr>
          <w:rFonts w:hint="eastAsia" w:ascii="宋体" w:hAnsi="宋体" w:eastAsia="宋体" w:cs="宋体"/>
          <w:b w:val="0"/>
          <w:bCs w:val="0"/>
          <w:color w:val="000000"/>
          <w:sz w:val="21"/>
          <w:szCs w:val="21"/>
        </w:rPr>
        <w:t xml:space="preserve">检修阀门，连接件防腐润滑。</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②</w:t>
      </w:r>
      <w:r>
        <w:rPr>
          <w:rFonts w:hint="eastAsia" w:ascii="宋体" w:hAnsi="宋体" w:eastAsia="宋体" w:cs="宋体"/>
          <w:b w:val="0"/>
          <w:bCs w:val="0"/>
          <w:color w:val="000000"/>
          <w:sz w:val="21"/>
          <w:szCs w:val="21"/>
        </w:rPr>
        <w:t xml:space="preserve">仪器仪表灵敏度测试，电气连接检查。</w:t>
      </w:r>
      <w:r>
        <w:rPr>
          <w:rFonts w:hint="eastAsia" w:ascii="宋体" w:hAnsi="宋体" w:eastAsia="宋体" w:cs="宋体"/>
          <w:b w:val="0"/>
          <w:bCs w:val="0"/>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设施保养、维修内容</w:t>
      </w:r>
      <w:r>
        <w:rPr>
          <w:rFonts w:hint="eastAsia" w:ascii="宋体" w:hAnsi="宋体" w:eastAsia="宋体" w:cs="宋体"/>
          <w:b w:val="0"/>
          <w:bCs w:val="0"/>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2.1 设施设备保养</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①</w:t>
      </w:r>
      <w:r>
        <w:rPr>
          <w:rFonts w:hint="eastAsia" w:ascii="宋体" w:hAnsi="宋体" w:eastAsia="宋体" w:cs="宋体"/>
          <w:b w:val="0"/>
          <w:bCs w:val="0"/>
          <w:color w:val="000000"/>
          <w:sz w:val="21"/>
          <w:szCs w:val="21"/>
        </w:rPr>
        <w:t xml:space="preserve">各设备运行检查。</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②</w:t>
      </w:r>
      <w:r>
        <w:rPr>
          <w:rFonts w:hint="eastAsia" w:ascii="宋体" w:hAnsi="宋体" w:eastAsia="宋体" w:cs="宋体"/>
          <w:b w:val="0"/>
          <w:bCs w:val="0"/>
          <w:color w:val="000000"/>
          <w:sz w:val="21"/>
          <w:szCs w:val="21"/>
        </w:rPr>
        <w:t xml:space="preserve">各阀门开启、备用设备开启运行检查。</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③</w:t>
      </w:r>
      <w:r>
        <w:rPr>
          <w:rFonts w:hint="eastAsia" w:ascii="宋体" w:hAnsi="宋体" w:eastAsia="宋体" w:cs="宋体"/>
          <w:b w:val="0"/>
          <w:bCs w:val="0"/>
          <w:color w:val="000000"/>
          <w:sz w:val="21"/>
          <w:szCs w:val="21"/>
        </w:rPr>
        <w:t xml:space="preserve">各照明设备检查。</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④</w:t>
      </w:r>
      <w:r>
        <w:rPr>
          <w:rFonts w:hint="eastAsia" w:ascii="宋体" w:hAnsi="宋体" w:eastAsia="宋体" w:cs="宋体"/>
          <w:b w:val="0"/>
          <w:bCs w:val="0"/>
          <w:color w:val="000000"/>
          <w:sz w:val="21"/>
          <w:szCs w:val="21"/>
        </w:rPr>
        <w:t xml:space="preserve">各管道、支架、盖板防腐检查。</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⑤</w:t>
      </w:r>
      <w:r>
        <w:rPr>
          <w:rFonts w:hint="eastAsia" w:ascii="宋体" w:hAnsi="宋体" w:eastAsia="宋体" w:cs="宋体"/>
          <w:b w:val="0"/>
          <w:bCs w:val="0"/>
          <w:color w:val="000000"/>
          <w:sz w:val="21"/>
          <w:szCs w:val="21"/>
        </w:rPr>
        <w:t xml:space="preserve">检查和紧固各设备连接件，联轴器，连接绳等有效性。</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⑥</w:t>
      </w:r>
      <w:r>
        <w:rPr>
          <w:rFonts w:hint="eastAsia" w:ascii="宋体" w:hAnsi="宋体" w:eastAsia="宋体" w:cs="宋体"/>
          <w:b w:val="0"/>
          <w:bCs w:val="0"/>
          <w:color w:val="000000"/>
          <w:sz w:val="21"/>
          <w:szCs w:val="21"/>
        </w:rPr>
        <w:t xml:space="preserve">检查、清扫电气控制柜。检查电气元器件功能。</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⑦</w:t>
      </w:r>
      <w:r>
        <w:rPr>
          <w:rFonts w:hint="eastAsia" w:ascii="宋体" w:hAnsi="宋体" w:eastAsia="宋体" w:cs="宋体"/>
          <w:b w:val="0"/>
          <w:bCs w:val="0"/>
          <w:color w:val="000000"/>
          <w:sz w:val="21"/>
          <w:szCs w:val="21"/>
        </w:rPr>
        <w:t xml:space="preserve">每季度检查泵密封和润滑情况。</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⑧</w:t>
      </w:r>
      <w:r>
        <w:rPr>
          <w:rFonts w:hint="eastAsia" w:ascii="宋体" w:hAnsi="宋体" w:eastAsia="宋体" w:cs="宋体"/>
          <w:b w:val="0"/>
          <w:bCs w:val="0"/>
          <w:color w:val="000000"/>
          <w:sz w:val="21"/>
          <w:szCs w:val="21"/>
        </w:rPr>
        <w:t xml:space="preserve">各构筑物之间连接管道畅通检查，有无漏水破裂。</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⑨</w:t>
      </w:r>
      <w:r>
        <w:rPr>
          <w:rFonts w:hint="eastAsia" w:ascii="宋体" w:hAnsi="宋体" w:eastAsia="宋体" w:cs="宋体"/>
          <w:b w:val="0"/>
          <w:bCs w:val="0"/>
          <w:color w:val="000000"/>
          <w:sz w:val="21"/>
          <w:szCs w:val="21"/>
        </w:rPr>
        <w:t xml:space="preserve">各设施清洁情况检查，构筑物内淤泥情况检查。</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⑩</w:t>
      </w:r>
      <w:r>
        <w:rPr>
          <w:rFonts w:hint="eastAsia" w:ascii="宋体" w:hAnsi="宋体" w:eastAsia="宋体" w:cs="宋体"/>
          <w:b w:val="0"/>
          <w:bCs w:val="0"/>
          <w:color w:val="000000"/>
          <w:sz w:val="21"/>
          <w:szCs w:val="21"/>
        </w:rPr>
        <w:t xml:space="preserve">安全、防护设施检查。</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⑪</w:t>
      </w:r>
      <w:r>
        <w:rPr>
          <w:rFonts w:hint="eastAsia" w:ascii="宋体" w:hAnsi="宋体" w:eastAsia="宋体" w:cs="宋体"/>
          <w:b w:val="0"/>
          <w:bCs w:val="0"/>
          <w:color w:val="000000"/>
          <w:sz w:val="21"/>
          <w:szCs w:val="21"/>
        </w:rPr>
        <w:t xml:space="preserve">仪表定期检查及校验。</w:t>
      </w:r>
      <w:r>
        <w:rPr>
          <w:rFonts w:hint="eastAsia" w:ascii="宋体" w:hAnsi="宋体" w:eastAsia="宋体" w:cs="宋体"/>
          <w:b w:val="0"/>
          <w:bCs w:val="0"/>
          <w:color w:val="000000"/>
          <w:sz w:val="21"/>
          <w:szCs w:val="21"/>
        </w:rPr>
      </w:r>
      <w:r/>
    </w:p>
    <w:p>
      <w:pPr>
        <w:pStyle w:val="94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⑫</w:t>
      </w:r>
      <w:r>
        <w:rPr>
          <w:rFonts w:hint="eastAsia" w:ascii="宋体" w:hAnsi="宋体" w:eastAsia="宋体" w:cs="宋体"/>
          <w:b w:val="0"/>
          <w:bCs w:val="0"/>
          <w:color w:val="000000"/>
          <w:sz w:val="21"/>
          <w:szCs w:val="21"/>
        </w:rPr>
        <w:t xml:space="preserve">各功能池内水质观察、微生物取样观察，曝气池溶解氧测试。根据水质和池内微生物情况调整。</w:t>
      </w:r>
      <w:r>
        <w:rPr>
          <w:rFonts w:hint="eastAsia" w:ascii="宋体" w:hAnsi="宋体" w:eastAsia="宋体" w:cs="宋体"/>
          <w:b w:val="0"/>
          <w:bCs w:val="0"/>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2.2 设备维修</w:t>
      </w:r>
      <w:r>
        <w:rPr>
          <w:rFonts w:hint="eastAsia" w:ascii="宋体" w:hAnsi="宋体" w:eastAsia="宋体" w:cs="宋体"/>
          <w:b w:val="0"/>
          <w:bCs w:val="0"/>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动力设备的维修，电控柜的常用配件的更换或维修。</w:t>
      </w:r>
      <w:r>
        <w:rPr>
          <w:rFonts w:hint="eastAsia" w:ascii="宋体" w:hAnsi="宋体" w:eastAsia="宋体" w:cs="宋体"/>
          <w:b w:val="0"/>
          <w:bCs w:val="0"/>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3</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药剂</w:t>
      </w:r>
      <w:r>
        <w:rPr>
          <w:rFonts w:hint="eastAsia" w:ascii="宋体" w:hAnsi="宋体" w:eastAsia="宋体" w:cs="宋体"/>
          <w:b w:val="0"/>
          <w:bCs w:val="0"/>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对药剂药品投加量、投加方式进行调整，并负责药品的采购事宜。</w:t>
      </w:r>
      <w:r>
        <w:rPr>
          <w:rFonts w:hint="eastAsia" w:ascii="宋体" w:hAnsi="宋体" w:eastAsia="宋体" w:cs="宋体"/>
          <w:b w:val="0"/>
          <w:bCs w:val="0"/>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lang w:val="en-US" w:eastAsia="zh-CN"/>
        </w:rPr>
        <w:t xml:space="preserve">4</w:t>
      </w:r>
      <w:r>
        <w:rPr>
          <w:rFonts w:hint="eastAsia" w:ascii="宋体" w:hAnsi="宋体" w:eastAsia="宋体" w:cs="宋体"/>
          <w:b w:val="0"/>
          <w:bCs w:val="0"/>
          <w:color w:val="000000"/>
          <w:sz w:val="21"/>
          <w:szCs w:val="21"/>
          <w:lang w:eastAsia="zh-CN"/>
        </w:rPr>
        <w:t xml:space="preserve">）</w:t>
      </w:r>
      <w:r>
        <w:rPr>
          <w:rFonts w:hint="eastAsia" w:ascii="宋体" w:hAnsi="宋体" w:eastAsia="宋体" w:cs="宋体"/>
          <w:b w:val="0"/>
          <w:bCs w:val="0"/>
          <w:color w:val="000000"/>
          <w:sz w:val="21"/>
          <w:szCs w:val="21"/>
        </w:rPr>
        <w:t xml:space="preserve">水质检测</w:t>
      </w:r>
      <w:r>
        <w:rPr>
          <w:rFonts w:hint="eastAsia" w:ascii="宋体" w:hAnsi="宋体" w:eastAsia="宋体" w:cs="宋体"/>
          <w:b w:val="0"/>
          <w:bCs w:val="0"/>
          <w:color w:val="000000"/>
          <w:sz w:val="21"/>
          <w:szCs w:val="21"/>
        </w:rPr>
      </w:r>
      <w:r/>
    </w:p>
    <w:p>
      <w:pPr>
        <w:pStyle w:val="945"/>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rPr>
        <w:t xml:space="preserve">保证水质在线检测设备正常运行</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rPr>
      </w:r>
      <w:r/>
    </w:p>
    <w:p>
      <w:pPr>
        <w:pStyle w:val="945"/>
        <w:ind w:left="0" w:right="0"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shd w:val="clear" w:color="auto" w:fill="ffffff"/>
          <w:lang w:val="en-US" w:eastAsia="zh-CN"/>
        </w:rPr>
      </w:pPr>
      <w:r>
        <w:rPr>
          <w:rFonts w:hint="eastAsia" w:ascii="宋体" w:hAnsi="宋体" w:eastAsia="宋体" w:cs="宋体"/>
          <w:b w:val="0"/>
          <w:bCs w:val="0"/>
          <w:color w:val="000000"/>
          <w:sz w:val="21"/>
          <w:szCs w:val="21"/>
          <w:highlight w:val="none"/>
          <w:shd w:val="clear" w:color="auto" w:fill="ffffff"/>
          <w:lang w:val="en-US" w:eastAsia="zh-CN"/>
        </w:rPr>
        <w:t xml:space="preserve">（5）其他满足日常运行及招标人要求的内容。</w:t>
      </w:r>
      <w:r>
        <w:rPr>
          <w:rFonts w:hint="eastAsia" w:ascii="宋体" w:hAnsi="宋体" w:eastAsia="宋体" w:cs="宋体"/>
          <w:b w:val="0"/>
          <w:bCs w:val="0"/>
          <w:color w:val="000000"/>
          <w:sz w:val="21"/>
          <w:szCs w:val="21"/>
          <w:highlight w:val="none"/>
          <w:shd w:val="clear" w:color="auto" w:fill="ffffff"/>
          <w:lang w:val="en-US" w:eastAsia="zh-CN"/>
        </w:rPr>
      </w:r>
      <w:r/>
    </w:p>
    <w:p>
      <w:pPr>
        <w:pStyle w:val="945"/>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出水水质以第三方检测机构出具的检测报告为准，以在线监测数据为辅；出水水量以电磁流量计计量值为准。</w:t>
      </w:r>
      <w:r>
        <w:rPr>
          <w:rFonts w:hint="eastAsia" w:ascii="宋体" w:hAnsi="宋体" w:eastAsia="宋体" w:cs="宋体"/>
          <w:color w:val="000000"/>
          <w:sz w:val="21"/>
          <w:szCs w:val="21"/>
        </w:rPr>
      </w:r>
      <w:r/>
    </w:p>
    <w:p>
      <w:pPr>
        <w:pStyle w:val="945"/>
        <w:spacing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rPr>
        <w:t xml:space="preserve">六</w:t>
      </w:r>
      <w:r>
        <w:rPr>
          <w:rFonts w:hint="eastAsia" w:ascii="宋体" w:hAnsi="宋体" w:eastAsia="宋体" w:cs="宋体"/>
          <w:b/>
          <w:bCs/>
          <w:color w:val="000000"/>
          <w:sz w:val="21"/>
          <w:szCs w:val="21"/>
          <w:lang w:eastAsia="zh-CN"/>
        </w:rPr>
        <w:t xml:space="preserve">、其他</w:t>
      </w:r>
      <w:r>
        <w:rPr>
          <w:rFonts w:hint="eastAsia" w:ascii="宋体" w:hAnsi="宋体" w:eastAsia="宋体" w:cs="宋体"/>
          <w:b/>
          <w:bCs/>
          <w:color w:val="000000"/>
          <w:sz w:val="21"/>
          <w:szCs w:val="21"/>
          <w:lang w:eastAsia="zh-CN"/>
        </w:rPr>
      </w:r>
      <w:r/>
    </w:p>
    <w:p>
      <w:pPr>
        <w:pStyle w:val="945"/>
        <w:ind w:left="0" w:firstLine="420"/>
        <w:keepLines w:val="0"/>
        <w:keepNext w:val="0"/>
        <w:pageBreakBefore w:val="0"/>
        <w:spacing w:line="360" w:lineRule="auto"/>
        <w:rPr>
          <w:rFonts w:hint="eastAsia" w:ascii="宋体" w:hAnsi="宋体" w:eastAsia="宋体" w:cs="宋体"/>
          <w:color w:val="000000"/>
          <w:sz w:val="21"/>
          <w:szCs w:val="21"/>
          <w:highlight w:val="yellow"/>
          <w:lang w:val="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rPr>
        <w:t xml:space="preserve">本项目由乙方以包工、包料、包质量、包安全、包文明运维的方式实施总承包，乙方应对全部运维项目负责，中标以后不得分包、转包。如一经发现上述行为，甲方单方有权立即终止运维项目承包合同，由此产生一</w:t>
      </w:r>
      <w:r>
        <w:rPr>
          <w:rFonts w:hint="eastAsia" w:ascii="宋体" w:hAnsi="宋体" w:eastAsia="宋体" w:cs="宋体"/>
          <w:color w:val="000000"/>
          <w:sz w:val="21"/>
          <w:szCs w:val="21"/>
          <w:highlight w:val="none"/>
          <w:lang w:val="zh-CN"/>
        </w:rPr>
        <w:t xml:space="preserve">切法律责任和经济损失均由乙方承担。</w:t>
      </w:r>
      <w:r>
        <w:rPr>
          <w:rFonts w:hint="eastAsia" w:ascii="宋体" w:hAnsi="宋体" w:eastAsia="宋体" w:cs="宋体"/>
          <w:color w:val="000000"/>
          <w:sz w:val="21"/>
          <w:szCs w:val="21"/>
          <w:highlight w:val="yellow"/>
          <w:lang w:val="zh-CN"/>
        </w:rPr>
      </w:r>
      <w:r/>
    </w:p>
    <w:p>
      <w:pPr>
        <w:pStyle w:val="945"/>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rPr>
        <w:t xml:space="preserve">本项目服务期间可能发生的污泥处置、仪表校准、噪音及气味扰民、安全生产应由</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负责解决，并由</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承担相应的法律责任。由此产生的污泥处置费用、校准费等</w:t>
      </w:r>
      <w:r>
        <w:rPr>
          <w:rFonts w:hint="eastAsia" w:ascii="宋体" w:hAnsi="宋体" w:eastAsia="宋体" w:cs="宋体"/>
          <w:color w:val="000000"/>
          <w:sz w:val="21"/>
          <w:szCs w:val="21"/>
          <w:highlight w:val="none"/>
        </w:rPr>
        <w:t xml:space="preserve">所产生的一切费用都应包含在投标报价中，采购人不再另行支付任何费用。</w:t>
      </w:r>
      <w:r>
        <w:rPr>
          <w:rFonts w:hint="eastAsia" w:ascii="宋体" w:hAnsi="宋体" w:eastAsia="宋体" w:cs="宋体"/>
          <w:color w:val="000000"/>
          <w:sz w:val="21"/>
          <w:szCs w:val="21"/>
          <w:highlight w:val="none"/>
        </w:rPr>
      </w:r>
      <w:r/>
    </w:p>
    <w:p>
      <w:pPr>
        <w:pStyle w:val="945"/>
        <w:ind w:left="0"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3、每月1日，投标人应汇总上个月的报表上报采购人。报表内容包含但不限于以下数据：（1）上月流量仪起止读数；（2）每日出水量、月累计出水量；（3）每日水质自检数据。</w:t>
      </w:r>
      <w:r>
        <w:rPr>
          <w:rFonts w:hint="eastAsia" w:ascii="宋体" w:hAnsi="宋体" w:eastAsia="宋体" w:cs="宋体"/>
          <w:color w:val="000000"/>
          <w:sz w:val="21"/>
          <w:szCs w:val="21"/>
          <w:lang w:val="en-US" w:eastAsia="zh-CN"/>
        </w:rPr>
      </w:r>
      <w:r/>
    </w:p>
    <w:p>
      <w:pPr>
        <w:pStyle w:val="945"/>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4、本项目用电、用水由中标人负责协调，对应施工、用电、用水费用包含在本次报价内。</w:t>
      </w:r>
      <w:r>
        <w:rPr>
          <w:rFonts w:hint="eastAsia" w:ascii="宋体" w:hAnsi="宋体" w:eastAsia="宋体" w:cs="宋体"/>
          <w:color w:val="000000"/>
          <w:sz w:val="21"/>
          <w:szCs w:val="21"/>
          <w:highlight w:val="none"/>
          <w:lang w:val="en-US" w:eastAsia="zh-CN"/>
        </w:rPr>
      </w:r>
      <w:r/>
    </w:p>
    <w:p>
      <w:pPr>
        <w:pStyle w:val="945"/>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5、服务承诺</w:t>
      </w:r>
      <w:r>
        <w:rPr>
          <w:rFonts w:hint="eastAsia" w:ascii="宋体" w:hAnsi="宋体" w:eastAsia="宋体" w:cs="宋体"/>
          <w:color w:val="000000"/>
          <w:sz w:val="21"/>
          <w:szCs w:val="21"/>
          <w:highlight w:val="none"/>
          <w:lang w:val="en-US" w:eastAsia="zh-CN"/>
        </w:rPr>
      </w:r>
      <w:r/>
    </w:p>
    <w:p>
      <w:pPr>
        <w:pStyle w:val="945"/>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1）为保证污水处理站的正常运营，供应商须每日安排人员进行设备运行维护及药剂投加、故障检查和修复，定期派遣工程师至现场，提供有力的技术支持。</w:t>
      </w:r>
      <w:r>
        <w:rPr>
          <w:rFonts w:hint="eastAsia" w:ascii="宋体" w:hAnsi="宋体" w:eastAsia="宋体" w:cs="宋体"/>
          <w:color w:val="000000"/>
          <w:sz w:val="21"/>
          <w:szCs w:val="21"/>
          <w:highlight w:val="none"/>
          <w:lang w:val="en-US" w:eastAsia="zh-CN"/>
        </w:rPr>
      </w:r>
      <w:r/>
    </w:p>
    <w:p>
      <w:pPr>
        <w:pStyle w:val="945"/>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2）如发现异常问题，及时与采购人沟通，配合寻找超标污染源，协同处理系统，维持达标。</w:t>
      </w:r>
      <w:r>
        <w:rPr>
          <w:rFonts w:hint="eastAsia" w:ascii="宋体" w:hAnsi="宋体" w:eastAsia="宋体" w:cs="宋体"/>
          <w:color w:val="000000"/>
          <w:sz w:val="21"/>
          <w:szCs w:val="21"/>
          <w:highlight w:val="none"/>
          <w:lang w:val="en-US" w:eastAsia="zh-CN"/>
        </w:rPr>
      </w:r>
      <w:r/>
    </w:p>
    <w:p>
      <w:pPr>
        <w:pStyle w:val="945"/>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3）乙方应做好每日维护后，及时做好检查及维护保养记录，形成台账，并与合同期结束，交甲方备查。</w:t>
      </w:r>
      <w:r>
        <w:rPr>
          <w:rFonts w:hint="eastAsia" w:ascii="宋体" w:hAnsi="宋体" w:eastAsia="宋体" w:cs="宋体"/>
          <w:color w:val="000000"/>
          <w:sz w:val="21"/>
          <w:szCs w:val="21"/>
          <w:highlight w:val="none"/>
          <w:lang w:val="en-US" w:eastAsia="zh-CN"/>
        </w:rPr>
      </w:r>
      <w:r/>
    </w:p>
    <w:p>
      <w:pPr>
        <w:pStyle w:val="945"/>
        <w:ind w:left="0" w:firstLine="420"/>
        <w:keepLines w:val="0"/>
        <w:keepNext w:val="0"/>
        <w:pageBreakBefore w:val="0"/>
        <w:spacing w:line="360" w:lineRule="auto"/>
        <w:rPr>
          <w:rFonts w:hint="eastAsia" w:ascii="宋体" w:hAnsi="宋体" w:eastAsia="宋体" w:cs="宋体"/>
          <w:i w:val="0"/>
          <w:iCs w:val="0"/>
          <w:color w:val="000000"/>
          <w:sz w:val="21"/>
          <w:szCs w:val="21"/>
          <w:highlight w:val="none"/>
          <w:u w:val="none"/>
          <w:lang w:val="zh-CN"/>
        </w:rPr>
      </w:pP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lang w:val="zh-CN"/>
        </w:rPr>
        <w:t xml:space="preserve">本项采购需求为实质性条款，投标人必须满足。</w:t>
      </w:r>
      <w:r>
        <w:rPr>
          <w:rFonts w:hint="eastAsia" w:ascii="宋体" w:hAnsi="宋体" w:eastAsia="宋体" w:cs="宋体"/>
          <w:i w:val="0"/>
          <w:iCs w:val="0"/>
          <w:color w:val="000000"/>
          <w:sz w:val="21"/>
          <w:szCs w:val="21"/>
          <w:highlight w:val="none"/>
          <w:u w:val="none"/>
          <w:lang w:val="zh-CN"/>
        </w:rPr>
      </w:r>
      <w:r/>
    </w:p>
    <w:p>
      <w:pPr>
        <w:pStyle w:val="945"/>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七、合同终止</w:t>
      </w:r>
      <w:r>
        <w:rPr>
          <w:rFonts w:hint="eastAsia" w:ascii="宋体" w:hAnsi="宋体" w:eastAsia="宋体" w:cs="宋体"/>
          <w:b/>
          <w:bCs/>
          <w:color w:val="000000"/>
          <w:sz w:val="21"/>
          <w:szCs w:val="21"/>
          <w:highlight w:val="none"/>
          <w:lang w:val="en-US" w:eastAsia="zh-CN"/>
        </w:rPr>
      </w:r>
      <w:r/>
    </w:p>
    <w:p>
      <w:pPr>
        <w:pStyle w:val="945"/>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承包范围内的运维管理项目，乙方不得采取任何形式实施分包和转包，凡违反此规定的，甲方将立即取消乙方的承包资格，终止或解除运维承包合同，由此产生的一切法律责任和经济损失由乙方承担；</w:t>
      </w:r>
      <w:r>
        <w:rPr>
          <w:rFonts w:hint="eastAsia" w:ascii="宋体" w:hAnsi="宋体" w:eastAsia="宋体" w:cs="宋体"/>
          <w:color w:val="000000"/>
          <w:sz w:val="21"/>
          <w:szCs w:val="21"/>
          <w:highlight w:val="none"/>
        </w:rPr>
      </w:r>
      <w:r/>
    </w:p>
    <w:p>
      <w:pPr>
        <w:pStyle w:val="945"/>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八、考核标准</w:t>
      </w:r>
      <w:r>
        <w:rPr>
          <w:rFonts w:hint="eastAsia" w:ascii="宋体" w:hAnsi="宋体" w:eastAsia="宋体" w:cs="宋体"/>
          <w:b/>
          <w:bCs/>
          <w:color w:val="000000"/>
          <w:sz w:val="21"/>
          <w:szCs w:val="21"/>
          <w:highlight w:val="none"/>
          <w:lang w:val="en-US" w:eastAsia="zh-CN"/>
        </w:rPr>
      </w:r>
      <w:r/>
    </w:p>
    <w:p>
      <w:pPr>
        <w:pStyle w:val="1011"/>
        <w:jc w:val="center"/>
        <w:spacing w:line="480" w:lineRule="auto"/>
        <w:rPr>
          <w:rFonts w:ascii="仿宋" w:hAnsi="仿宋" w:eastAsia="仿宋" w:cs="仿宋"/>
          <w:b/>
          <w:bCs/>
          <w:color w:val="000000"/>
          <w:sz w:val="28"/>
          <w:szCs w:val="28"/>
          <w:lang w:val="en-US" w:eastAsia="zh-CN" w:bidi="ar-SA"/>
        </w:rPr>
      </w:pPr>
      <w:r>
        <w:rPr>
          <w:rFonts w:hint="eastAsia" w:ascii="仿宋" w:hAnsi="仿宋" w:eastAsia="仿宋" w:cs="仿宋"/>
          <w:b/>
          <w:bCs/>
          <w:color w:val="000000"/>
          <w:sz w:val="28"/>
          <w:szCs w:val="28"/>
          <w:lang w:val="en-US" w:eastAsia="zh-CN" w:bidi="ar-SA"/>
        </w:rPr>
        <w:t xml:space="preserve">  年   月  项目季度考核表</w:t>
      </w:r>
      <w:r>
        <w:rPr>
          <w:rFonts w:ascii="仿宋" w:hAnsi="仿宋" w:eastAsia="仿宋" w:cs="仿宋"/>
          <w:b/>
          <w:bCs/>
          <w:color w:val="000000"/>
          <w:sz w:val="28"/>
          <w:szCs w:val="28"/>
          <w:lang w:val="en-US" w:eastAsia="zh-CN" w:bidi="ar-SA"/>
        </w:rPr>
      </w:r>
      <w:r/>
    </w:p>
    <w:tbl>
      <w:tblPr>
        <w:tblStyle w:val="1015"/>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0"/>
        <w:gridCol w:w="187"/>
        <w:gridCol w:w="736"/>
        <w:gridCol w:w="2353"/>
        <w:gridCol w:w="345"/>
        <w:gridCol w:w="1057"/>
        <w:gridCol w:w="1031"/>
        <w:gridCol w:w="776"/>
        <w:gridCol w:w="1175"/>
      </w:tblGrid>
      <w:tr>
        <w:trPr>
          <w:trHeight w:val="836"/>
        </w:trPr>
        <w:tc>
          <w:tcPr>
            <w:gridSpan w:val="3"/>
            <w:tcW w:w="198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考核单位</w:t>
            </w:r>
            <w:r>
              <w:rPr>
                <w:rFonts w:hint="eastAsia" w:ascii="宋体" w:hAnsi="宋体" w:eastAsia="宋体" w:cs="宋体"/>
                <w:color w:val="000000"/>
                <w:sz w:val="21"/>
                <w:szCs w:val="21"/>
                <w:lang w:val="en-US"/>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rPr>
              <w:t xml:space="preserve">考核人</w:t>
            </w:r>
            <w:r>
              <w:rPr>
                <w:rFonts w:hint="eastAsia" w:ascii="宋体" w:hAnsi="宋体" w:eastAsia="宋体" w:cs="宋体"/>
                <w:color w:val="000000"/>
                <w:sz w:val="21"/>
                <w:szCs w:val="21"/>
                <w:lang w:val="en-US" w:eastAsia="zh-CN"/>
              </w:rPr>
              <w:t xml:space="preserve">（签字）</w:t>
            </w:r>
            <w:r>
              <w:rPr>
                <w:rFonts w:hint="eastAsia" w:ascii="宋体" w:hAnsi="宋体" w:eastAsia="宋体" w:cs="宋体"/>
                <w:color w:val="000000"/>
                <w:sz w:val="21"/>
                <w:szCs w:val="21"/>
                <w:lang w:val="en-US" w:eastAsia="zh-CN"/>
              </w:rPr>
            </w:r>
            <w:r/>
          </w:p>
        </w:tc>
        <w:tc>
          <w:tcPr>
            <w:gridSpan w:val="3"/>
            <w:tcW w:w="2982"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r>
        <w:trPr>
          <w:trHeight w:val="690"/>
        </w:trPr>
        <w:tc>
          <w:tcPr>
            <w:gridSpan w:val="3"/>
            <w:tcW w:w="198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运营周期</w:t>
            </w:r>
            <w:r>
              <w:rPr>
                <w:rFonts w:hint="eastAsia" w:ascii="宋体" w:hAnsi="宋体" w:eastAsia="宋体" w:cs="宋体"/>
                <w:color w:val="000000"/>
                <w:sz w:val="21"/>
                <w:szCs w:val="21"/>
                <w:lang w:val="en-US"/>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考核时间</w:t>
            </w:r>
            <w:r>
              <w:rPr>
                <w:rFonts w:hint="eastAsia" w:ascii="宋体" w:hAnsi="宋体" w:eastAsia="宋体" w:cs="宋体"/>
                <w:color w:val="000000"/>
                <w:sz w:val="21"/>
                <w:szCs w:val="21"/>
                <w:lang w:val="en-US"/>
              </w:rPr>
            </w:r>
            <w:r/>
          </w:p>
        </w:tc>
        <w:tc>
          <w:tcPr>
            <w:gridSpan w:val="3"/>
            <w:tcW w:w="2982"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rHeight w:val="690"/>
        </w:trPr>
        <w:tc>
          <w:tcPr>
            <w:tcW w:w="60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rPr>
              <w:t xml:space="preserve">序号</w:t>
            </w:r>
            <w:r>
              <w:rPr>
                <w:rFonts w:hint="eastAsia" w:ascii="宋体" w:hAnsi="宋体" w:eastAsia="宋体" w:cs="宋体"/>
                <w:b/>
                <w:bCs/>
                <w:color w:val="000000"/>
                <w:sz w:val="21"/>
                <w:szCs w:val="21"/>
                <w:lang w:val="en-US" w:eastAsia="zh-CN" w:bidi="ar-SA"/>
              </w:rPr>
            </w:r>
            <w:r/>
          </w:p>
        </w:tc>
        <w:tc>
          <w:tcPr>
            <w:gridSpan w:val="2"/>
            <w:tcW w:w="92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rPr>
              <w:t xml:space="preserve">类别</w:t>
            </w:r>
            <w:r>
              <w:rPr>
                <w:rFonts w:hint="eastAsia" w:ascii="宋体" w:hAnsi="宋体" w:eastAsia="宋体" w:cs="宋体"/>
                <w:b/>
                <w:bCs/>
                <w:color w:val="000000"/>
                <w:sz w:val="21"/>
                <w:szCs w:val="21"/>
                <w:lang w:val="en-US" w:eastAsia="zh-CN" w:bidi="ar-SA"/>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rPr>
              <w:t xml:space="preserve">考核标准</w:t>
            </w:r>
            <w:r>
              <w:rPr>
                <w:rFonts w:hint="eastAsia" w:ascii="宋体" w:hAnsi="宋体" w:eastAsia="宋体" w:cs="宋体"/>
                <w:b/>
                <w:bCs/>
                <w:color w:val="000000"/>
                <w:sz w:val="21"/>
                <w:szCs w:val="21"/>
                <w:lang w:val="en-US" w:eastAsia="zh-CN" w:bidi="ar-SA"/>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rPr>
              <w:t xml:space="preserve">标准分</w:t>
            </w:r>
            <w:r>
              <w:rPr>
                <w:rFonts w:hint="eastAsia" w:ascii="宋体" w:hAnsi="宋体" w:eastAsia="宋体" w:cs="宋体"/>
                <w:b/>
                <w:bCs/>
                <w:color w:val="000000"/>
                <w:sz w:val="21"/>
                <w:szCs w:val="21"/>
                <w:lang w:val="en-US" w:eastAsia="zh-CN" w:bidi="ar-SA"/>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rPr>
              <w:t xml:space="preserve">考核要求</w:t>
            </w:r>
            <w:r>
              <w:rPr>
                <w:rFonts w:hint="eastAsia" w:ascii="宋体" w:hAnsi="宋体" w:eastAsia="宋体" w:cs="宋体"/>
                <w:b/>
                <w:bCs/>
                <w:color w:val="000000"/>
                <w:sz w:val="21"/>
                <w:szCs w:val="21"/>
                <w:lang w:val="en-US" w:eastAsia="zh-CN" w:bidi="ar-SA"/>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rPr>
              <w:t xml:space="preserve">实际得分</w:t>
            </w:r>
            <w:r>
              <w:rPr>
                <w:rFonts w:hint="eastAsia" w:ascii="宋体" w:hAnsi="宋体" w:eastAsia="宋体" w:cs="宋体"/>
                <w:b/>
                <w:bCs/>
                <w:color w:val="000000"/>
                <w:sz w:val="21"/>
                <w:szCs w:val="21"/>
                <w:lang w:val="en-US" w:eastAsia="zh-CN" w:bidi="ar-SA"/>
              </w:rPr>
            </w:r>
            <w:r/>
          </w:p>
        </w:tc>
      </w:tr>
      <w:tr>
        <w:trPr>
          <w:trHeight w:val="823"/>
        </w:trPr>
        <w:tc>
          <w:tcPr>
            <w:tcW w:w="608" w:type="dxa"/>
            <w:vAlign w:val="center"/>
            <w:vMerge w:val="restart"/>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一</w:t>
            </w:r>
            <w:r>
              <w:rPr>
                <w:rFonts w:hint="eastAsia" w:ascii="宋体" w:hAnsi="宋体" w:eastAsia="宋体" w:cs="宋体"/>
                <w:color w:val="000000"/>
                <w:sz w:val="21"/>
                <w:szCs w:val="21"/>
                <w:lang w:val="en-US"/>
              </w:rPr>
            </w:r>
            <w:r/>
          </w:p>
        </w:tc>
        <w:tc>
          <w:tcPr>
            <w:gridSpan w:val="2"/>
            <w:tcW w:w="923" w:type="dxa"/>
            <w:vAlign w:val="center"/>
            <w:vMerge w:val="restart"/>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台账</w:t>
            </w:r>
            <w:r>
              <w:rPr>
                <w:rFonts w:hint="eastAsia" w:ascii="宋体" w:hAnsi="宋体" w:eastAsia="宋体" w:cs="宋体"/>
                <w:color w:val="000000"/>
                <w:sz w:val="21"/>
                <w:szCs w:val="21"/>
                <w:lang w:val="en-US"/>
              </w:rPr>
            </w:r>
            <w:r/>
          </w:p>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资料</w:t>
            </w:r>
            <w:r>
              <w:rPr>
                <w:rFonts w:hint="eastAsia" w:ascii="宋体" w:hAnsi="宋体" w:eastAsia="宋体" w:cs="宋体"/>
                <w:color w:val="000000"/>
                <w:sz w:val="21"/>
                <w:szCs w:val="21"/>
                <w:lang w:val="en-US"/>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每日记录运行情况</w:t>
            </w:r>
            <w:r>
              <w:rPr>
                <w:rFonts w:hint="eastAsia" w:ascii="宋体" w:hAnsi="宋体" w:eastAsia="宋体" w:cs="宋体"/>
                <w:color w:val="000000"/>
                <w:sz w:val="21"/>
                <w:szCs w:val="21"/>
                <w:lang w:val="en-US"/>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5分</w:t>
            </w:r>
            <w:r>
              <w:rPr>
                <w:rFonts w:hint="eastAsia" w:ascii="宋体" w:hAnsi="宋体" w:eastAsia="宋体" w:cs="宋体"/>
                <w:color w:val="000000"/>
                <w:sz w:val="21"/>
                <w:szCs w:val="21"/>
                <w:lang w:val="en-US"/>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少一次扣1分</w:t>
            </w:r>
            <w:r>
              <w:rPr>
                <w:rFonts w:hint="eastAsia" w:ascii="宋体" w:hAnsi="宋体" w:eastAsia="宋体" w:cs="宋体"/>
                <w:color w:val="000000"/>
                <w:sz w:val="21"/>
                <w:szCs w:val="21"/>
                <w:lang w:val="en-US"/>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rHeight w:val="688"/>
        </w:trPr>
        <w:tc>
          <w:tcPr>
            <w:tcW w:w="608" w:type="dxa"/>
            <w:vAlign w:val="center"/>
            <w:vMerge w:val="continue"/>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c>
          <w:tcPr>
            <w:gridSpan w:val="2"/>
            <w:tcW w:w="923" w:type="dxa"/>
            <w:vAlign w:val="center"/>
            <w:vMerge w:val="continue"/>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运维台账</w:t>
            </w:r>
            <w:r>
              <w:rPr>
                <w:rFonts w:hint="eastAsia" w:ascii="宋体" w:hAnsi="宋体" w:eastAsia="宋体" w:cs="宋体"/>
                <w:color w:val="000000"/>
                <w:sz w:val="21"/>
                <w:szCs w:val="21"/>
                <w:lang w:val="en-US"/>
              </w:rPr>
              <w:t xml:space="preserve">齐全、详实</w:t>
            </w:r>
            <w:r>
              <w:rPr>
                <w:rFonts w:hint="eastAsia" w:ascii="宋体" w:hAnsi="宋体" w:eastAsia="宋体" w:cs="宋体"/>
                <w:color w:val="000000"/>
                <w:sz w:val="21"/>
                <w:szCs w:val="21"/>
                <w:lang w:val="en-US"/>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5分</w:t>
            </w:r>
            <w:r>
              <w:rPr>
                <w:rFonts w:hint="eastAsia" w:ascii="宋体" w:hAnsi="宋体" w:eastAsia="宋体" w:cs="宋体"/>
                <w:color w:val="000000"/>
                <w:sz w:val="21"/>
                <w:szCs w:val="21"/>
                <w:lang w:val="en-US"/>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台账</w:t>
            </w:r>
            <w:r>
              <w:rPr>
                <w:rFonts w:hint="eastAsia" w:ascii="宋体" w:hAnsi="宋体" w:eastAsia="宋体" w:cs="宋体"/>
                <w:color w:val="000000"/>
                <w:sz w:val="21"/>
                <w:szCs w:val="21"/>
                <w:lang w:val="en-US"/>
              </w:rPr>
              <w:t xml:space="preserve">或关键材料缺失</w:t>
            </w:r>
            <w:r>
              <w:rPr>
                <w:rFonts w:hint="eastAsia" w:ascii="宋体" w:hAnsi="宋体" w:eastAsia="宋体" w:cs="宋体"/>
                <w:color w:val="000000"/>
                <w:sz w:val="21"/>
                <w:szCs w:val="21"/>
                <w:lang w:val="en-US" w:eastAsia="zh-CN"/>
              </w:rPr>
              <w:t xml:space="preserve">记录</w:t>
            </w:r>
            <w:r>
              <w:rPr>
                <w:rFonts w:hint="eastAsia" w:ascii="宋体" w:hAnsi="宋体" w:eastAsia="宋体" w:cs="宋体"/>
                <w:color w:val="000000"/>
                <w:sz w:val="21"/>
                <w:szCs w:val="21"/>
                <w:lang w:val="en-US"/>
              </w:rPr>
              <w:t xml:space="preserve">，发现一次扣</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c>
          <w:tcPr>
            <w:tcW w:w="608" w:type="dxa"/>
            <w:vAlign w:val="center"/>
            <w:vMerge w:val="restart"/>
            <w:textDirection w:val="lrTb"/>
            <w:noWrap w:val="false"/>
          </w:tcPr>
          <w:p>
            <w:pPr>
              <w:pStyle w:val="945"/>
              <w:ind w:left="0" w:right="0" w:firstLine="0"/>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w:t>
            </w:r>
            <w:r>
              <w:rPr>
                <w:rFonts w:hint="eastAsia" w:ascii="宋体" w:hAnsi="宋体" w:eastAsia="宋体" w:cs="宋体"/>
                <w:color w:val="000000"/>
                <w:sz w:val="21"/>
                <w:szCs w:val="21"/>
              </w:rPr>
            </w:r>
            <w:r/>
          </w:p>
        </w:tc>
        <w:tc>
          <w:tcPr>
            <w:gridSpan w:val="2"/>
            <w:tcW w:w="923" w:type="dxa"/>
            <w:vAlign w:val="center"/>
            <w:vMerge w:val="restart"/>
            <w:textDirection w:val="lrTb"/>
            <w:noWrap w:val="false"/>
          </w:tcPr>
          <w:p>
            <w:pPr>
              <w:pStyle w:val="945"/>
              <w:ind w:left="0" w:right="0" w:firstLine="0"/>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运行岗位管理</w:t>
            </w:r>
            <w:r>
              <w:rPr>
                <w:rFonts w:hint="eastAsia" w:ascii="宋体" w:hAnsi="宋体" w:eastAsia="宋体" w:cs="宋体"/>
                <w:color w:val="000000"/>
                <w:sz w:val="21"/>
                <w:szCs w:val="21"/>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rPr>
              <w:t xml:space="preserve">运行人员在岗在位，</w:t>
            </w:r>
            <w:r>
              <w:rPr>
                <w:rFonts w:hint="eastAsia" w:ascii="宋体" w:hAnsi="宋体" w:eastAsia="宋体" w:cs="宋体"/>
                <w:color w:val="000000"/>
                <w:sz w:val="21"/>
                <w:szCs w:val="21"/>
                <w:lang w:val="en-US" w:eastAsia="zh-CN"/>
              </w:rPr>
              <w:t xml:space="preserve">定期</w:t>
            </w:r>
            <w:r>
              <w:rPr>
                <w:rFonts w:hint="eastAsia" w:ascii="宋体" w:hAnsi="宋体" w:eastAsia="宋体" w:cs="宋体"/>
                <w:color w:val="000000"/>
                <w:sz w:val="21"/>
                <w:szCs w:val="21"/>
              </w:rPr>
              <w:t xml:space="preserve">巡查</w:t>
            </w:r>
            <w:r>
              <w:rPr>
                <w:rFonts w:hint="eastAsia" w:ascii="宋体" w:hAnsi="宋体" w:eastAsia="宋体" w:cs="宋体"/>
                <w:color w:val="000000"/>
                <w:sz w:val="21"/>
                <w:szCs w:val="21"/>
                <w:lang w:val="en-US"/>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rPr>
              <w:t xml:space="preserve">5分</w:t>
            </w:r>
            <w:r>
              <w:rPr>
                <w:rFonts w:hint="eastAsia" w:ascii="宋体" w:hAnsi="宋体" w:eastAsia="宋体" w:cs="宋体"/>
                <w:color w:val="000000"/>
                <w:sz w:val="21"/>
                <w:szCs w:val="21"/>
                <w:lang w:val="en-US"/>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rPr>
              <w:t xml:space="preserve">现场无人值守的，发现一次扣1分</w:t>
            </w:r>
            <w:r>
              <w:rPr>
                <w:rFonts w:hint="eastAsia" w:ascii="宋体" w:hAnsi="宋体" w:eastAsia="宋体" w:cs="宋体"/>
                <w:color w:val="000000"/>
                <w:sz w:val="21"/>
                <w:szCs w:val="21"/>
                <w:lang w:val="en-US"/>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c>
          <w:tcPr>
            <w:tcW w:w="608" w:type="dxa"/>
            <w:vAlign w:val="center"/>
            <w:vMerge w:val="continue"/>
            <w:textDirection w:val="lrTb"/>
            <w:noWrap w:val="false"/>
          </w:tcPr>
          <w:p>
            <w:pPr>
              <w:pStyle w:val="945"/>
              <w:ind w:left="0" w:right="0" w:firstLine="0"/>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23" w:type="dxa"/>
            <w:vAlign w:val="center"/>
            <w:vMerge w:val="continue"/>
            <w:textDirection w:val="lrTb"/>
            <w:noWrap w:val="false"/>
          </w:tcPr>
          <w:p>
            <w:pPr>
              <w:pStyle w:val="945"/>
              <w:ind w:left="0" w:right="0" w:firstLine="0"/>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运行人员应认真做好设备、管道、阀门、工控、在线监测等检查工作，及时解决运行问题</w:t>
            </w:r>
            <w:r>
              <w:rPr>
                <w:rFonts w:hint="eastAsia" w:ascii="宋体" w:hAnsi="宋体" w:eastAsia="宋体" w:cs="宋体"/>
                <w:color w:val="000000"/>
                <w:sz w:val="21"/>
                <w:szCs w:val="21"/>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5分</w:t>
            </w:r>
            <w:r>
              <w:rPr>
                <w:rFonts w:hint="eastAsia" w:ascii="宋体" w:hAnsi="宋体" w:eastAsia="宋体" w:cs="宋体"/>
                <w:color w:val="000000"/>
                <w:sz w:val="21"/>
                <w:szCs w:val="21"/>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现场运行情况不清、未及时解决或汇报问题的，一次扣</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c>
          <w:tcPr>
            <w:tcW w:w="608" w:type="dxa"/>
            <w:vAlign w:val="center"/>
            <w:vMerge w:val="continue"/>
            <w:textDirection w:val="lrTb"/>
            <w:noWrap w:val="false"/>
          </w:tcPr>
          <w:p>
            <w:pPr>
              <w:pStyle w:val="945"/>
              <w:ind w:left="0" w:right="0" w:firstLine="0"/>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23" w:type="dxa"/>
            <w:vAlign w:val="center"/>
            <w:vMerge w:val="continue"/>
            <w:textDirection w:val="lrTb"/>
            <w:noWrap w:val="false"/>
          </w:tcPr>
          <w:p>
            <w:pPr>
              <w:pStyle w:val="945"/>
              <w:ind w:left="0" w:right="0" w:firstLine="0"/>
              <w:jc w:val="center"/>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运行维护作业应严格按照规程开展</w:t>
            </w:r>
            <w:r>
              <w:rPr>
                <w:rFonts w:hint="eastAsia" w:ascii="宋体" w:hAnsi="宋体" w:eastAsia="宋体" w:cs="宋体"/>
                <w:color w:val="000000"/>
                <w:sz w:val="21"/>
                <w:szCs w:val="21"/>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10分</w:t>
            </w:r>
            <w:r>
              <w:rPr>
                <w:rFonts w:hint="eastAsia" w:ascii="宋体" w:hAnsi="宋体" w:eastAsia="宋体" w:cs="宋体"/>
                <w:color w:val="000000"/>
                <w:sz w:val="21"/>
                <w:szCs w:val="21"/>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未按照规程开展运维工作，发现一次扣5分</w:t>
            </w:r>
            <w:r>
              <w:rPr>
                <w:rFonts w:hint="eastAsia" w:ascii="宋体" w:hAnsi="宋体" w:eastAsia="宋体" w:cs="宋体"/>
                <w:color w:val="000000"/>
                <w:sz w:val="21"/>
                <w:szCs w:val="21"/>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c>
          <w:tcPr>
            <w:tcW w:w="608" w:type="dxa"/>
            <w:vAlign w:val="center"/>
            <w:vMerge w:val="restart"/>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三</w:t>
            </w:r>
            <w:r>
              <w:rPr>
                <w:rFonts w:hint="eastAsia" w:ascii="宋体" w:hAnsi="宋体" w:eastAsia="宋体" w:cs="宋体"/>
                <w:color w:val="000000"/>
                <w:sz w:val="21"/>
                <w:szCs w:val="21"/>
                <w:lang w:val="en-US"/>
              </w:rPr>
            </w:r>
            <w:r/>
          </w:p>
        </w:tc>
        <w:tc>
          <w:tcPr>
            <w:gridSpan w:val="2"/>
            <w:tcW w:w="923" w:type="dxa"/>
            <w:vAlign w:val="center"/>
            <w:vMerge w:val="restart"/>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环境卫生及形象管理</w:t>
            </w:r>
            <w:r>
              <w:rPr>
                <w:rFonts w:hint="eastAsia" w:ascii="宋体" w:hAnsi="宋体" w:eastAsia="宋体" w:cs="宋体"/>
                <w:color w:val="000000"/>
                <w:sz w:val="21"/>
                <w:szCs w:val="21"/>
                <w:lang w:val="en-US"/>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现场环境定期清理维护，无垃圾、杂物堆放，保持室内外整洁</w:t>
            </w:r>
            <w:r>
              <w:rPr>
                <w:rFonts w:hint="eastAsia" w:ascii="宋体" w:hAnsi="宋体" w:eastAsia="宋体" w:cs="宋体"/>
                <w:color w:val="000000"/>
                <w:sz w:val="21"/>
                <w:szCs w:val="21"/>
                <w:lang w:val="en-US"/>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5分</w:t>
            </w:r>
            <w:r>
              <w:rPr>
                <w:rFonts w:hint="eastAsia" w:ascii="宋体" w:hAnsi="宋体" w:eastAsia="宋体" w:cs="宋体"/>
                <w:color w:val="000000"/>
                <w:sz w:val="21"/>
                <w:szCs w:val="21"/>
                <w:lang w:val="en-US"/>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有垃圾或杂物的，发现一处扣1分</w:t>
            </w:r>
            <w:r>
              <w:rPr>
                <w:rFonts w:hint="eastAsia" w:ascii="宋体" w:hAnsi="宋体" w:eastAsia="宋体" w:cs="宋体"/>
                <w:color w:val="000000"/>
                <w:sz w:val="21"/>
                <w:szCs w:val="21"/>
                <w:lang w:val="en-US"/>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c>
          <w:tcPr>
            <w:tcW w:w="608" w:type="dxa"/>
            <w:vAlign w:val="center"/>
            <w:vMerge w:val="continue"/>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c>
          <w:tcPr>
            <w:gridSpan w:val="2"/>
            <w:tcW w:w="923" w:type="dxa"/>
            <w:vAlign w:val="center"/>
            <w:vMerge w:val="continue"/>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现场标识</w:t>
            </w:r>
            <w:r>
              <w:rPr>
                <w:rFonts w:hint="eastAsia" w:ascii="宋体" w:hAnsi="宋体" w:eastAsia="宋体" w:cs="宋体"/>
                <w:color w:val="000000"/>
                <w:sz w:val="21"/>
                <w:szCs w:val="21"/>
                <w:lang w:val="en-US" w:eastAsia="zh-CN"/>
              </w:rPr>
              <w:t xml:space="preserve">标牌齐全、</w:t>
            </w:r>
            <w:r>
              <w:rPr>
                <w:rFonts w:hint="eastAsia" w:ascii="宋体" w:hAnsi="宋体" w:eastAsia="宋体" w:cs="宋体"/>
                <w:color w:val="000000"/>
                <w:sz w:val="21"/>
                <w:szCs w:val="21"/>
                <w:lang w:val="en-US"/>
              </w:rPr>
              <w:t xml:space="preserve">到位，并定期维护</w:t>
            </w:r>
            <w:r>
              <w:rPr>
                <w:rFonts w:hint="eastAsia" w:ascii="宋体" w:hAnsi="宋体" w:eastAsia="宋体" w:cs="宋体"/>
                <w:color w:val="000000"/>
                <w:sz w:val="21"/>
                <w:szCs w:val="21"/>
                <w:lang w:val="en-US"/>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5分</w:t>
            </w:r>
            <w:r>
              <w:rPr>
                <w:rFonts w:hint="eastAsia" w:ascii="宋体" w:hAnsi="宋体" w:eastAsia="宋体" w:cs="宋体"/>
                <w:color w:val="000000"/>
                <w:sz w:val="21"/>
                <w:szCs w:val="21"/>
                <w:lang w:val="en-US"/>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标识</w:t>
            </w:r>
            <w:r>
              <w:rPr>
                <w:rFonts w:hint="eastAsia" w:ascii="宋体" w:hAnsi="宋体" w:eastAsia="宋体" w:cs="宋体"/>
                <w:color w:val="000000"/>
                <w:sz w:val="21"/>
                <w:szCs w:val="21"/>
                <w:lang w:val="en-US" w:eastAsia="zh-CN"/>
              </w:rPr>
              <w:t xml:space="preserve">标牌</w:t>
            </w:r>
            <w:r>
              <w:rPr>
                <w:rFonts w:hint="eastAsia" w:ascii="宋体" w:hAnsi="宋体" w:eastAsia="宋体" w:cs="宋体"/>
                <w:color w:val="000000"/>
                <w:sz w:val="21"/>
                <w:szCs w:val="21"/>
                <w:lang w:val="en-US"/>
              </w:rPr>
              <w:t xml:space="preserve">明显缺失或未定期维护的，发现一处扣2分</w:t>
            </w:r>
            <w:r>
              <w:rPr>
                <w:rFonts w:hint="eastAsia" w:ascii="宋体" w:hAnsi="宋体" w:eastAsia="宋体" w:cs="宋体"/>
                <w:color w:val="000000"/>
                <w:sz w:val="21"/>
                <w:szCs w:val="21"/>
                <w:lang w:val="en-US"/>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c>
          <w:tcPr>
            <w:tcW w:w="608" w:type="dxa"/>
            <w:vAlign w:val="center"/>
            <w:vMerge w:val="restart"/>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四</w:t>
            </w:r>
            <w:r>
              <w:rPr>
                <w:rFonts w:hint="eastAsia" w:ascii="宋体" w:hAnsi="宋体" w:eastAsia="宋体" w:cs="宋体"/>
                <w:color w:val="000000"/>
                <w:sz w:val="21"/>
                <w:szCs w:val="21"/>
                <w:lang w:val="en-US"/>
              </w:rPr>
            </w:r>
            <w:r/>
          </w:p>
        </w:tc>
        <w:tc>
          <w:tcPr>
            <w:gridSpan w:val="2"/>
            <w:tcW w:w="923" w:type="dxa"/>
            <w:vAlign w:val="center"/>
            <w:vMerge w:val="restart"/>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运行操作及检修</w:t>
            </w:r>
            <w:r>
              <w:rPr>
                <w:rFonts w:hint="eastAsia" w:ascii="宋体" w:hAnsi="宋体" w:eastAsia="宋体" w:cs="宋体"/>
                <w:color w:val="000000"/>
                <w:sz w:val="21"/>
                <w:szCs w:val="21"/>
                <w:lang w:val="en-US"/>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运行人员应熟悉运行操作要点，包括工况调节及药剂投加、组件管理养护等</w:t>
            </w:r>
            <w:r>
              <w:rPr>
                <w:rFonts w:hint="eastAsia" w:ascii="宋体" w:hAnsi="宋体" w:eastAsia="宋体" w:cs="宋体"/>
                <w:color w:val="000000"/>
                <w:sz w:val="21"/>
                <w:szCs w:val="21"/>
                <w:lang w:val="en-US"/>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10分</w:t>
            </w:r>
            <w:r>
              <w:rPr>
                <w:rFonts w:hint="eastAsia" w:ascii="宋体" w:hAnsi="宋体" w:eastAsia="宋体" w:cs="宋体"/>
                <w:color w:val="000000"/>
                <w:sz w:val="21"/>
                <w:szCs w:val="21"/>
                <w:lang w:val="en-US"/>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因运行人员不熟悉运行操作导致设备/系统运行异常或水质超标的，发现一次扣5分</w:t>
            </w:r>
            <w:r>
              <w:rPr>
                <w:rFonts w:hint="eastAsia" w:ascii="宋体" w:hAnsi="宋体" w:eastAsia="宋体" w:cs="宋体"/>
                <w:color w:val="000000"/>
                <w:sz w:val="21"/>
                <w:szCs w:val="21"/>
                <w:lang w:val="en-US"/>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c>
          <w:tcPr>
            <w:tcW w:w="608" w:type="dxa"/>
            <w:vAlign w:val="center"/>
            <w:vMerge w:val="continue"/>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c>
          <w:tcPr>
            <w:gridSpan w:val="2"/>
            <w:tcW w:w="923" w:type="dxa"/>
            <w:vAlign w:val="center"/>
            <w:vMerge w:val="continue"/>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设备故障，</w:t>
            </w:r>
            <w:r>
              <w:rPr>
                <w:rFonts w:hint="eastAsia" w:ascii="宋体" w:hAnsi="宋体" w:eastAsia="宋体" w:cs="宋体"/>
                <w:color w:val="000000"/>
                <w:sz w:val="21"/>
                <w:szCs w:val="21"/>
                <w:lang w:val="en-US"/>
              </w:rPr>
              <w:t xml:space="preserve">运行人员</w:t>
            </w:r>
            <w:r>
              <w:rPr>
                <w:rFonts w:hint="eastAsia" w:ascii="宋体" w:hAnsi="宋体" w:eastAsia="宋体" w:cs="宋体"/>
                <w:color w:val="000000"/>
                <w:sz w:val="21"/>
                <w:szCs w:val="21"/>
                <w:lang w:val="en-US" w:eastAsia="zh-CN"/>
              </w:rPr>
              <w:t xml:space="preserve">及时检修</w:t>
            </w:r>
            <w:r>
              <w:rPr>
                <w:rFonts w:hint="eastAsia" w:ascii="宋体" w:hAnsi="宋体" w:eastAsia="宋体" w:cs="宋体"/>
                <w:color w:val="000000"/>
                <w:sz w:val="21"/>
                <w:szCs w:val="21"/>
                <w:lang w:val="en-US" w:eastAsia="zh-CN"/>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10分</w:t>
            </w:r>
            <w:r>
              <w:rPr>
                <w:rFonts w:hint="eastAsia" w:ascii="宋体" w:hAnsi="宋体" w:eastAsia="宋体" w:cs="宋体"/>
                <w:color w:val="000000"/>
                <w:sz w:val="21"/>
                <w:szCs w:val="21"/>
                <w:lang w:val="en-US"/>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运行人员不按规定</w:t>
            </w:r>
            <w:r>
              <w:rPr>
                <w:rFonts w:hint="eastAsia" w:ascii="宋体" w:hAnsi="宋体" w:eastAsia="宋体" w:cs="宋体"/>
                <w:color w:val="000000"/>
                <w:sz w:val="21"/>
                <w:szCs w:val="21"/>
                <w:lang w:val="en-US" w:eastAsia="zh-CN"/>
              </w:rPr>
              <w:t xml:space="preserve">流程检修</w:t>
            </w:r>
            <w:r>
              <w:rPr>
                <w:rFonts w:hint="eastAsia" w:ascii="宋体" w:hAnsi="宋体" w:eastAsia="宋体" w:cs="宋体"/>
                <w:color w:val="000000"/>
                <w:sz w:val="21"/>
                <w:szCs w:val="21"/>
                <w:lang w:val="en-US"/>
              </w:rPr>
              <w:t xml:space="preserve">，发现一次扣5分</w:t>
            </w:r>
            <w:r>
              <w:rPr>
                <w:rFonts w:hint="eastAsia" w:ascii="宋体" w:hAnsi="宋体" w:eastAsia="宋体" w:cs="宋体"/>
                <w:color w:val="000000"/>
                <w:sz w:val="21"/>
                <w:szCs w:val="21"/>
                <w:lang w:val="en-US"/>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c>
          <w:tcPr>
            <w:tcW w:w="608" w:type="dxa"/>
            <w:vAlign w:val="center"/>
            <w:vMerge w:val="restart"/>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五</w:t>
            </w:r>
            <w:r>
              <w:rPr>
                <w:rFonts w:hint="eastAsia" w:ascii="宋体" w:hAnsi="宋体" w:eastAsia="宋体" w:cs="宋体"/>
                <w:color w:val="000000"/>
                <w:sz w:val="21"/>
                <w:szCs w:val="21"/>
                <w:lang w:val="en-US"/>
              </w:rPr>
            </w:r>
            <w:r/>
          </w:p>
        </w:tc>
        <w:tc>
          <w:tcPr>
            <w:gridSpan w:val="2"/>
            <w:tcW w:w="923" w:type="dxa"/>
            <w:vAlign w:val="center"/>
            <w:vMerge w:val="restart"/>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劳动防护用品及药剂管理</w:t>
            </w:r>
            <w:r>
              <w:rPr>
                <w:rFonts w:hint="eastAsia" w:ascii="宋体" w:hAnsi="宋体" w:eastAsia="宋体" w:cs="宋体"/>
                <w:color w:val="000000"/>
                <w:sz w:val="21"/>
                <w:szCs w:val="21"/>
                <w:lang w:val="en-US"/>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配备并正确使用具有相应安全、卫生性能的劳动防护用品</w:t>
            </w:r>
            <w:r>
              <w:rPr>
                <w:rFonts w:hint="eastAsia" w:ascii="宋体" w:hAnsi="宋体" w:eastAsia="宋体" w:cs="宋体"/>
                <w:color w:val="000000"/>
                <w:sz w:val="21"/>
                <w:szCs w:val="21"/>
                <w:lang w:val="en-US"/>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5分</w:t>
            </w:r>
            <w:r>
              <w:rPr>
                <w:rFonts w:hint="eastAsia" w:ascii="宋体" w:hAnsi="宋体" w:eastAsia="宋体" w:cs="宋体"/>
                <w:color w:val="000000"/>
                <w:sz w:val="21"/>
                <w:szCs w:val="21"/>
                <w:lang w:val="en-US"/>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未配备或未正确使用劳动防护用品的，发现一次扣2分</w:t>
            </w:r>
            <w:r>
              <w:rPr>
                <w:rFonts w:hint="eastAsia" w:ascii="宋体" w:hAnsi="宋体" w:eastAsia="宋体" w:cs="宋体"/>
                <w:color w:val="000000"/>
                <w:sz w:val="21"/>
                <w:szCs w:val="21"/>
                <w:lang w:val="en-US"/>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c>
          <w:tcPr>
            <w:tcW w:w="608" w:type="dxa"/>
            <w:vAlign w:val="center"/>
            <w:vMerge w:val="continue"/>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c>
          <w:tcPr>
            <w:gridSpan w:val="2"/>
            <w:tcW w:w="923" w:type="dxa"/>
            <w:vAlign w:val="center"/>
            <w:vMerge w:val="continue"/>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药剂的运输、存储、管理应严格按照相关要求执行</w:t>
            </w:r>
            <w:r>
              <w:rPr>
                <w:rFonts w:hint="eastAsia" w:ascii="宋体" w:hAnsi="宋体" w:eastAsia="宋体" w:cs="宋体"/>
                <w:color w:val="000000"/>
                <w:sz w:val="21"/>
                <w:szCs w:val="21"/>
                <w:lang w:val="en-US"/>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5分</w:t>
            </w:r>
            <w:r>
              <w:rPr>
                <w:rFonts w:hint="eastAsia" w:ascii="宋体" w:hAnsi="宋体" w:eastAsia="宋体" w:cs="宋体"/>
                <w:color w:val="000000"/>
                <w:sz w:val="21"/>
                <w:szCs w:val="21"/>
                <w:lang w:val="en-US"/>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未按要求执行的，一次扣2分</w:t>
            </w:r>
            <w:r>
              <w:rPr>
                <w:rFonts w:hint="eastAsia" w:ascii="宋体" w:hAnsi="宋体" w:eastAsia="宋体" w:cs="宋体"/>
                <w:color w:val="000000"/>
                <w:sz w:val="21"/>
                <w:szCs w:val="21"/>
                <w:lang w:val="en-US"/>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c>
          <w:tcPr>
            <w:tcW w:w="608" w:type="dxa"/>
            <w:vAlign w:val="center"/>
            <w:vMerge w:val="restart"/>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六</w:t>
            </w:r>
            <w:r>
              <w:rPr>
                <w:rFonts w:hint="eastAsia" w:ascii="宋体" w:hAnsi="宋体" w:eastAsia="宋体" w:cs="宋体"/>
                <w:color w:val="000000"/>
                <w:sz w:val="21"/>
                <w:szCs w:val="21"/>
                <w:lang w:val="en-US"/>
              </w:rPr>
            </w:r>
            <w:r/>
          </w:p>
        </w:tc>
        <w:tc>
          <w:tcPr>
            <w:gridSpan w:val="2"/>
            <w:tcW w:w="923" w:type="dxa"/>
            <w:vAlign w:val="center"/>
            <w:vMerge w:val="restart"/>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安全生产</w:t>
            </w:r>
            <w:r>
              <w:rPr>
                <w:rFonts w:hint="eastAsia" w:ascii="宋体" w:hAnsi="宋体" w:eastAsia="宋体" w:cs="宋体"/>
                <w:color w:val="000000"/>
                <w:sz w:val="21"/>
                <w:szCs w:val="21"/>
                <w:lang w:val="en-US"/>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配备消防器材</w:t>
            </w:r>
            <w:r>
              <w:rPr>
                <w:rFonts w:hint="eastAsia" w:ascii="宋体" w:hAnsi="宋体" w:eastAsia="宋体" w:cs="宋体"/>
                <w:color w:val="000000"/>
                <w:sz w:val="21"/>
                <w:szCs w:val="21"/>
                <w:lang w:val="en-US"/>
              </w:rPr>
              <w:t xml:space="preserve">，定期排查安全隐患</w:t>
            </w:r>
            <w:r>
              <w:rPr>
                <w:rFonts w:hint="eastAsia" w:ascii="宋体" w:hAnsi="宋体" w:eastAsia="宋体" w:cs="宋体"/>
                <w:color w:val="000000"/>
                <w:sz w:val="21"/>
                <w:szCs w:val="21"/>
                <w:lang w:val="en-US"/>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未按要求</w:t>
            </w:r>
            <w:r>
              <w:rPr>
                <w:rFonts w:hint="eastAsia" w:ascii="宋体" w:hAnsi="宋体" w:eastAsia="宋体" w:cs="宋体"/>
                <w:color w:val="000000"/>
                <w:sz w:val="21"/>
                <w:szCs w:val="21"/>
                <w:lang w:val="en-US" w:eastAsia="zh-CN"/>
              </w:rPr>
              <w:t xml:space="preserve">完成</w:t>
            </w:r>
            <w:r>
              <w:rPr>
                <w:rFonts w:hint="eastAsia" w:ascii="宋体" w:hAnsi="宋体" w:eastAsia="宋体" w:cs="宋体"/>
                <w:color w:val="000000"/>
                <w:sz w:val="21"/>
                <w:szCs w:val="21"/>
                <w:lang w:val="en-US"/>
              </w:rPr>
              <w:t xml:space="preserve">的，发现一次扣</w:t>
            </w: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c>
          <w:tcPr>
            <w:tcW w:w="608" w:type="dxa"/>
            <w:vAlign w:val="center"/>
            <w:vMerge w:val="continue"/>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c>
          <w:tcPr>
            <w:gridSpan w:val="2"/>
            <w:tcW w:w="923" w:type="dxa"/>
            <w:vAlign w:val="center"/>
            <w:vMerge w:val="continue"/>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现场安全标识、警示标识到位，并定期维护</w:t>
            </w:r>
            <w:r>
              <w:rPr>
                <w:rFonts w:hint="eastAsia" w:ascii="宋体" w:hAnsi="宋体" w:eastAsia="宋体" w:cs="宋体"/>
                <w:color w:val="000000"/>
                <w:sz w:val="21"/>
                <w:szCs w:val="21"/>
                <w:lang w:val="en-US"/>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5分</w:t>
            </w:r>
            <w:r>
              <w:rPr>
                <w:rFonts w:hint="eastAsia" w:ascii="宋体" w:hAnsi="宋体" w:eastAsia="宋体" w:cs="宋体"/>
                <w:color w:val="000000"/>
                <w:sz w:val="21"/>
                <w:szCs w:val="21"/>
                <w:lang w:val="en-US"/>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未摆放到位或维护不及时的，发现一处扣</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分</w:t>
            </w:r>
            <w:r>
              <w:rPr>
                <w:rFonts w:hint="eastAsia" w:ascii="宋体" w:hAnsi="宋体" w:eastAsia="宋体" w:cs="宋体"/>
                <w:color w:val="000000"/>
                <w:sz w:val="21"/>
                <w:szCs w:val="21"/>
                <w:lang w:val="en-US"/>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c>
          <w:tcPr>
            <w:tcW w:w="608" w:type="dxa"/>
            <w:vAlign w:val="center"/>
            <w:vMerge w:val="restart"/>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七</w:t>
            </w:r>
            <w:r>
              <w:rPr>
                <w:rFonts w:hint="eastAsia" w:ascii="宋体" w:hAnsi="宋体" w:eastAsia="宋体" w:cs="宋体"/>
                <w:color w:val="000000"/>
                <w:sz w:val="21"/>
                <w:szCs w:val="21"/>
                <w:lang w:val="en-US"/>
              </w:rPr>
            </w:r>
            <w:r/>
          </w:p>
        </w:tc>
        <w:tc>
          <w:tcPr>
            <w:gridSpan w:val="2"/>
            <w:tcW w:w="923" w:type="dxa"/>
            <w:vAlign w:val="center"/>
            <w:vMerge w:val="restart"/>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整改督办</w:t>
            </w:r>
            <w:r>
              <w:rPr>
                <w:rFonts w:hint="eastAsia" w:ascii="宋体" w:hAnsi="宋体" w:eastAsia="宋体" w:cs="宋体"/>
                <w:color w:val="000000"/>
                <w:sz w:val="21"/>
                <w:szCs w:val="21"/>
                <w:lang w:val="en-US"/>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接到投诉、举报或被其他相关部门发现查处的</w:t>
            </w:r>
            <w:r>
              <w:rPr>
                <w:rFonts w:hint="eastAsia" w:ascii="宋体" w:hAnsi="宋体" w:eastAsia="宋体" w:cs="宋体"/>
                <w:color w:val="000000"/>
                <w:sz w:val="21"/>
                <w:szCs w:val="21"/>
                <w:lang w:val="en-US"/>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10分</w:t>
            </w:r>
            <w:r>
              <w:rPr>
                <w:rFonts w:hint="eastAsia" w:ascii="宋体" w:hAnsi="宋体" w:eastAsia="宋体" w:cs="宋体"/>
                <w:color w:val="000000"/>
                <w:sz w:val="21"/>
                <w:szCs w:val="21"/>
                <w:lang w:val="en-US"/>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一次扣5分</w:t>
            </w:r>
            <w:r>
              <w:rPr>
                <w:rFonts w:hint="eastAsia" w:ascii="宋体" w:hAnsi="宋体" w:eastAsia="宋体" w:cs="宋体"/>
                <w:color w:val="000000"/>
                <w:sz w:val="21"/>
                <w:szCs w:val="21"/>
                <w:lang w:val="en-US"/>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c>
          <w:tcPr>
            <w:tcW w:w="608" w:type="dxa"/>
            <w:vAlign w:val="center"/>
            <w:vMerge w:val="continue"/>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c>
          <w:tcPr>
            <w:gridSpan w:val="2"/>
            <w:tcW w:w="923" w:type="dxa"/>
            <w:vAlign w:val="center"/>
            <w:vMerge w:val="continue"/>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c>
          <w:tcPr>
            <w:gridSpan w:val="2"/>
            <w:tcW w:w="2698"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收到管理方整改通知单后拒不整改的</w:t>
            </w:r>
            <w:r>
              <w:rPr>
                <w:rFonts w:hint="eastAsia" w:ascii="宋体" w:hAnsi="宋体" w:eastAsia="宋体" w:cs="宋体"/>
                <w:color w:val="000000"/>
                <w:sz w:val="21"/>
                <w:szCs w:val="21"/>
                <w:lang w:val="en-US"/>
              </w:rPr>
            </w:r>
            <w:r/>
          </w:p>
        </w:tc>
        <w:tc>
          <w:tcPr>
            <w:tcW w:w="606"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10分</w:t>
            </w:r>
            <w:r>
              <w:rPr>
                <w:rFonts w:hint="eastAsia" w:ascii="宋体" w:hAnsi="宋体" w:eastAsia="宋体" w:cs="宋体"/>
                <w:color w:val="000000"/>
                <w:sz w:val="21"/>
                <w:szCs w:val="21"/>
                <w:lang w:val="en-US"/>
              </w:rPr>
            </w:r>
            <w:r/>
          </w:p>
        </w:tc>
        <w:tc>
          <w:tcPr>
            <w:gridSpan w:val="2"/>
            <w:tcW w:w="1807"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一次扣10分</w:t>
            </w:r>
            <w:r>
              <w:rPr>
                <w:rFonts w:hint="eastAsia" w:ascii="宋体" w:hAnsi="宋体" w:eastAsia="宋体" w:cs="宋体"/>
                <w:color w:val="000000"/>
                <w:sz w:val="21"/>
                <w:szCs w:val="21"/>
                <w:lang w:val="en-US"/>
              </w:rPr>
            </w:r>
            <w:r/>
          </w:p>
        </w:tc>
        <w:tc>
          <w:tcPr>
            <w:tcW w:w="673" w:type="dxa"/>
            <w:vAlign w:val="center"/>
            <w:textDirection w:val="lrTb"/>
            <w:noWrap w:val="false"/>
          </w:tcPr>
          <w:p>
            <w:pPr>
              <w:pStyle w:val="1073"/>
              <w:ind w:left="0" w:right="0" w:firstLine="0"/>
              <w:jc w:val="center"/>
              <w:pageBreakBefore w:val="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rHeight w:val="597"/>
        </w:trPr>
        <w:tc>
          <w:tcPr>
            <w:gridSpan w:val="8"/>
            <w:tcW w:w="7545" w:type="dxa"/>
            <w:vAlign w:val="center"/>
            <w:textDirection w:val="lrTb"/>
            <w:noWrap w:val="false"/>
          </w:tcPr>
          <w:p>
            <w:pPr>
              <w:pStyle w:val="1073"/>
              <w:ind w:left="0" w:right="0" w:firstLine="0"/>
              <w:jc w:val="center"/>
              <w:pageBreakBefore w:val="0"/>
              <w:spacing w:line="48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t xml:space="preserve">合计</w:t>
            </w:r>
            <w:r>
              <w:rPr>
                <w:rFonts w:hint="eastAsia" w:ascii="宋体" w:hAnsi="宋体" w:eastAsia="宋体" w:cs="宋体"/>
                <w:color w:val="000000"/>
                <w:sz w:val="21"/>
                <w:szCs w:val="21"/>
                <w:lang w:val="en-US"/>
              </w:rPr>
            </w:r>
            <w:r/>
          </w:p>
        </w:tc>
        <w:tc>
          <w:tcPr>
            <w:tcW w:w="673" w:type="dxa"/>
            <w:vAlign w:val="center"/>
            <w:textDirection w:val="lrTb"/>
            <w:noWrap w:val="false"/>
          </w:tcPr>
          <w:p>
            <w:pPr>
              <w:pStyle w:val="1073"/>
              <w:ind w:left="0" w:right="0" w:firstLine="0"/>
              <w:jc w:val="center"/>
              <w:pageBreakBefore w:val="0"/>
              <w:spacing w:line="48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rPr>
            </w:r>
            <w:r/>
          </w:p>
        </w:tc>
      </w:tr>
      <w:tr>
        <w:trPr>
          <w:trHeight w:val="783"/>
        </w:trPr>
        <w:tc>
          <w:tcPr>
            <w:gridSpan w:val="2"/>
            <w:tcW w:w="1247" w:type="dxa"/>
            <w:vAlign w:val="center"/>
            <w:textDirection w:val="lrTb"/>
            <w:noWrap w:val="false"/>
          </w:tcPr>
          <w:p>
            <w:pPr>
              <w:pStyle w:val="1073"/>
              <w:ind w:left="0" w:right="0" w:firstLine="0"/>
              <w:jc w:val="center"/>
              <w:pageBreakBefore w:val="0"/>
              <w:spacing w:line="48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运营单位</w:t>
            </w:r>
            <w:r>
              <w:rPr>
                <w:rFonts w:hint="eastAsia" w:ascii="宋体" w:hAnsi="宋体" w:eastAsia="宋体" w:cs="宋体"/>
                <w:color w:val="000000"/>
                <w:sz w:val="21"/>
                <w:szCs w:val="21"/>
                <w:lang w:val="en-US" w:eastAsia="zh-CN"/>
              </w:rPr>
            </w:r>
            <w:r/>
          </w:p>
        </w:tc>
        <w:tc>
          <w:tcPr>
            <w:gridSpan w:val="2"/>
            <w:tcW w:w="3089" w:type="dxa"/>
            <w:vAlign w:val="center"/>
            <w:textDirection w:val="lrTb"/>
            <w:noWrap w:val="false"/>
          </w:tcPr>
          <w:p>
            <w:pPr>
              <w:pStyle w:val="1073"/>
              <w:ind w:left="0" w:right="0" w:firstLine="0"/>
              <w:jc w:val="center"/>
              <w:pageBreakBefore w:val="0"/>
              <w:spacing w:line="48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gridSpan w:val="3"/>
            <w:tcW w:w="2433" w:type="dxa"/>
            <w:vAlign w:val="center"/>
            <w:textDirection w:val="lrTb"/>
            <w:noWrap w:val="false"/>
          </w:tcPr>
          <w:p>
            <w:pPr>
              <w:pStyle w:val="1073"/>
              <w:ind w:left="0" w:right="0" w:firstLine="0"/>
              <w:jc w:val="center"/>
              <w:pageBreakBefore w:val="0"/>
              <w:spacing w:line="48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现场负责人（签字）</w:t>
            </w:r>
            <w:r>
              <w:rPr>
                <w:rFonts w:hint="eastAsia" w:ascii="宋体" w:hAnsi="宋体" w:eastAsia="宋体" w:cs="宋体"/>
                <w:color w:val="000000"/>
                <w:sz w:val="21"/>
                <w:szCs w:val="21"/>
                <w:lang w:val="en-US" w:eastAsia="zh-CN" w:bidi="ar-SA"/>
              </w:rPr>
            </w:r>
            <w:r/>
          </w:p>
        </w:tc>
        <w:tc>
          <w:tcPr>
            <w:gridSpan w:val="2"/>
            <w:tcW w:w="1951" w:type="dxa"/>
            <w:vAlign w:val="center"/>
            <w:textDirection w:val="lrTb"/>
            <w:noWrap w:val="false"/>
          </w:tcPr>
          <w:p>
            <w:pPr>
              <w:pStyle w:val="1073"/>
              <w:ind w:left="0" w:right="0" w:firstLine="0"/>
              <w:jc w:val="center"/>
              <w:pageBreakBefore w:val="0"/>
              <w:spacing w:line="48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r>
    </w:tbl>
    <w:p>
      <w:pPr>
        <w:pStyle w:val="945"/>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w:t>
      </w:r>
      <w:r>
        <w:rPr>
          <w:rFonts w:hint="eastAsia" w:ascii="宋体" w:hAnsi="宋体" w:eastAsia="宋体" w:cs="宋体"/>
          <w:color w:val="000000"/>
          <w:sz w:val="21"/>
          <w:szCs w:val="21"/>
          <w:highlight w:val="none"/>
          <w:lang w:val="en-US" w:eastAsia="zh-CN"/>
        </w:rPr>
      </w:r>
      <w:r/>
    </w:p>
    <w:p>
      <w:pPr>
        <w:pStyle w:val="945"/>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1、此表作为项目运维考核依据。</w:t>
      </w:r>
      <w:r>
        <w:rPr>
          <w:rFonts w:hint="eastAsia" w:ascii="宋体" w:hAnsi="宋体" w:eastAsia="宋体" w:cs="宋体"/>
          <w:color w:val="000000"/>
          <w:sz w:val="21"/>
          <w:szCs w:val="21"/>
          <w:highlight w:val="none"/>
          <w:lang w:val="en-US" w:eastAsia="zh-CN"/>
        </w:rPr>
      </w:r>
      <w:r/>
    </w:p>
    <w:p>
      <w:pPr>
        <w:pStyle w:val="945"/>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2、具体运维资金发放标准如下</w:t>
      </w:r>
      <w:r>
        <w:rPr>
          <w:rFonts w:hint="eastAsia" w:ascii="宋体" w:hAnsi="宋体" w:eastAsia="宋体" w:cs="宋体"/>
          <w:color w:val="000000"/>
          <w:sz w:val="21"/>
          <w:szCs w:val="21"/>
          <w:highlight w:val="none"/>
          <w:lang w:val="en-US" w:eastAsia="zh-CN"/>
        </w:rPr>
      </w:r>
      <w:r/>
    </w:p>
    <w:p>
      <w:pPr>
        <w:pStyle w:val="945"/>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 季度考评得85分以上的资金全额发放；</w:t>
      </w:r>
      <w:r>
        <w:rPr>
          <w:rFonts w:hint="eastAsia" w:ascii="宋体" w:hAnsi="宋体" w:eastAsia="宋体" w:cs="宋体"/>
          <w:color w:val="000000"/>
          <w:sz w:val="21"/>
          <w:szCs w:val="21"/>
          <w:highlight w:val="none"/>
          <w:lang w:val="en-US" w:eastAsia="zh-CN"/>
        </w:rPr>
      </w:r>
      <w:r/>
    </w:p>
    <w:p>
      <w:pPr>
        <w:pStyle w:val="945"/>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2.2季度考评得70分至85分(不含85分)的,资金按9折发放；</w:t>
      </w:r>
      <w:r>
        <w:rPr>
          <w:rFonts w:hint="eastAsia" w:ascii="宋体" w:hAnsi="宋体" w:eastAsia="宋体" w:cs="宋体"/>
          <w:color w:val="000000"/>
          <w:sz w:val="21"/>
          <w:szCs w:val="21"/>
          <w:highlight w:val="none"/>
          <w:lang w:val="en-US" w:eastAsia="zh-CN"/>
        </w:rPr>
      </w:r>
      <w:r/>
    </w:p>
    <w:p>
      <w:pPr>
        <w:pStyle w:val="945"/>
        <w:ind w:left="0"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2.3季度考评得70分以下的（不含70分)的,资金按8折发放，并责令整改，整改不到位的采购人有权终止合同，重新招标。</w:t>
      </w:r>
      <w:r>
        <w:rPr>
          <w:rFonts w:hint="eastAsia" w:ascii="宋体" w:hAnsi="宋体" w:eastAsia="宋体" w:cs="宋体"/>
          <w:color w:val="000000"/>
          <w:sz w:val="21"/>
          <w:szCs w:val="21"/>
          <w:highlight w:val="none"/>
          <w:lang w:val="en-US" w:eastAsia="zh-CN"/>
        </w:rPr>
      </w:r>
      <w:r/>
    </w:p>
    <w:p>
      <w:pPr>
        <w:pStyle w:val="945"/>
        <w:ind w:left="0"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九、 其他要求</w:t>
      </w:r>
      <w:r>
        <w:rPr>
          <w:rFonts w:hint="eastAsia" w:ascii="宋体" w:hAnsi="宋体" w:eastAsia="宋体" w:cs="宋体"/>
          <w:b/>
          <w:bCs/>
          <w:color w:val="000000"/>
          <w:sz w:val="21"/>
          <w:szCs w:val="21"/>
          <w:highlight w:val="none"/>
          <w:lang w:val="en-US" w:eastAsia="zh-CN"/>
        </w:rPr>
      </w:r>
      <w:r/>
    </w:p>
    <w:p>
      <w:pPr>
        <w:pStyle w:val="945"/>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1.严格执行政府采购关于支持</w:t>
      </w:r>
      <w:r>
        <w:rPr>
          <w:rFonts w:hint="eastAsia" w:ascii="宋体" w:hAnsi="宋体" w:eastAsia="宋体" w:cs="宋体"/>
          <w:color w:val="000000"/>
          <w:sz w:val="21"/>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1"/>
          <w:szCs w:val="21"/>
        </w:rPr>
      </w:r>
      <w:r/>
    </w:p>
    <w:p>
      <w:pPr>
        <w:pStyle w:val="945"/>
        <w:ind w:firstLine="480"/>
        <w:spacing w:line="360" w:lineRule="auto"/>
        <w:rPr>
          <w:rFonts w:hint="eastAsia" w:ascii="宋体" w:hAnsi="宋体" w:eastAsia="宋体" w:cs="宋体"/>
          <w:b/>
          <w:bCs/>
          <w:color w:val="000000"/>
          <w:sz w:val="21"/>
          <w:szCs w:val="21"/>
        </w:rPr>
        <w:sectPr>
          <w:headerReference w:type="default" r:id="rId9"/>
          <w:footerReference w:type="default" r:id="rId11"/>
          <w:footnotePr/>
          <w:endnotePr/>
          <w:type w:val="nextPage"/>
          <w:pgSz w:w="11906" w:h="16838" w:orient="portrait"/>
          <w:pgMar w:top="1701" w:right="1701" w:bottom="1701" w:left="1701" w:header="964" w:footer="992" w:gutter="0"/>
          <w:pgNumType w:start="1"/>
          <w:cols w:num="1" w:sep="0" w:space="1701" w:equalWidth="1"/>
          <w:docGrid w:linePitch="360"/>
        </w:sectPr>
      </w:pPr>
      <w:r>
        <w:rPr>
          <w:rFonts w:hint="eastAsia" w:ascii="宋体" w:hAnsi="宋体" w:eastAsia="宋体" w:cs="宋体"/>
          <w:color w:val="000000"/>
          <w:sz w:val="21"/>
          <w:szCs w:val="21"/>
        </w:rPr>
        <w:t xml:space="preserve">2、供应商对于投标产品的包装应按照“财办库〔2020〕123号《关于印发《商品包装政府采购需求标准（试行）》、《快递包装政府采购需求标准（试行）》的通知》”执行。</w:t>
      </w:r>
      <w:r>
        <w:rPr>
          <w:rFonts w:hint="eastAsia" w:ascii="宋体" w:hAnsi="宋体" w:eastAsia="宋体" w:cs="宋体"/>
          <w:b/>
          <w:bCs/>
          <w:color w:val="000000"/>
          <w:sz w:val="21"/>
          <w:szCs w:val="21"/>
        </w:rPr>
      </w:r>
      <w:r/>
    </w:p>
    <w:p>
      <w:pPr>
        <w:pStyle w:val="946"/>
        <w:rPr>
          <w:rFonts w:hint="eastAsia" w:ascii="黑体" w:eastAsia="黑体"/>
          <w:bCs/>
          <w:color w:val="000000"/>
          <w:sz w:val="44"/>
        </w:rPr>
      </w:pPr>
      <w:r/>
      <w:bookmarkStart w:id="206" w:name="_Toc120614281"/>
      <w:r/>
      <w:bookmarkStart w:id="207" w:name="_Toc28702"/>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bookmarkEnd w:id="207"/>
      <w:r>
        <w:rPr>
          <w:rFonts w:hint="eastAsia" w:ascii="黑体" w:eastAsia="黑体"/>
          <w:bCs/>
          <w:color w:val="000000"/>
          <w:sz w:val="44"/>
        </w:rPr>
      </w:r>
      <w:r/>
    </w:p>
    <w:p>
      <w:pPr>
        <w:pStyle w:val="1032"/>
        <w:ind w:firstLine="439"/>
        <w:spacing w:line="240" w:lineRule="auto"/>
        <w:rPr>
          <w:rFonts w:hint="eastAsia" w:cs="Arial"/>
          <w:color w:val="000000"/>
        </w:rPr>
      </w:pPr>
      <w:r>
        <w:rPr>
          <w:rFonts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000000"/>
        </w:rPr>
        <w:t xml:space="preserve">。</w:t>
      </w:r>
      <w:r>
        <w:rPr>
          <w:rFonts w:hint="eastAsia" w:cs="Arial"/>
          <w:color w:val="000000"/>
        </w:rPr>
      </w:r>
      <w:r/>
    </w:p>
    <w:p>
      <w:pPr>
        <w:pStyle w:val="1032"/>
        <w:ind w:firstLine="441"/>
        <w:rPr>
          <w:rFonts w:hint="eastAsia" w:ascii="宋体" w:hAnsi="宋体"/>
          <w:b/>
          <w:color w:val="000000"/>
          <w:highlight w:val="yellow"/>
        </w:rPr>
      </w:pPr>
      <w:r>
        <w:rPr>
          <w:rFonts w:hint="eastAsia" w:ascii="宋体" w:hAnsi="宋体"/>
          <w:b/>
          <w:color w:val="000000"/>
          <w:lang w:val="en-US" w:eastAsia="zh-CN"/>
        </w:rPr>
        <w:t xml:space="preserve">一、</w:t>
      </w:r>
      <w:r>
        <w:rPr>
          <w:rFonts w:hint="eastAsia" w:ascii="宋体" w:hAnsi="宋体"/>
          <w:b/>
          <w:color w:val="000000"/>
        </w:rPr>
        <w:t xml:space="preserve">政府采购政策功能落实</w:t>
      </w:r>
      <w:r>
        <w:rPr>
          <w:rFonts w:hint="eastAsia" w:ascii="宋体" w:hAnsi="宋体"/>
          <w:b/>
          <w:color w:val="000000"/>
          <w:highlight w:val="yellow"/>
        </w:rPr>
      </w:r>
      <w:r/>
    </w:p>
    <w:p>
      <w:pPr>
        <w:pStyle w:val="1032"/>
        <w:ind w:firstLine="402"/>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1、小微型企业价格扣除</w:t>
      </w:r>
      <w:r>
        <w:rPr>
          <w:rFonts w:hint="eastAsia" w:ascii="宋体" w:hAnsi="宋体" w:eastAsia="宋体" w:cs="宋体"/>
          <w:color w:val="000000"/>
          <w:sz w:val="22"/>
          <w:szCs w:val="22"/>
        </w:rPr>
      </w:r>
      <w:r/>
    </w:p>
    <w:p>
      <w:pPr>
        <w:pStyle w:val="1032"/>
        <w:ind w:firstLine="402"/>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 对小型和微型企业提供的服务给予20%的扣除价格，用扣除后的价格参与评审。</w:t>
      </w:r>
      <w:r>
        <w:rPr>
          <w:rFonts w:hint="eastAsia" w:ascii="宋体" w:hAnsi="宋体" w:eastAsia="宋体" w:cs="宋体"/>
          <w:color w:val="000000"/>
          <w:sz w:val="22"/>
          <w:szCs w:val="22"/>
        </w:rPr>
      </w:r>
      <w:r/>
    </w:p>
    <w:p>
      <w:pPr>
        <w:pStyle w:val="1032"/>
        <w:ind w:firstLine="402"/>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（2）供应商需按照采购文件的要求提供相应的《小微企业声明函》。</w:t>
      </w:r>
      <w:r>
        <w:rPr>
          <w:rFonts w:hint="eastAsia" w:ascii="宋体" w:hAnsi="宋体" w:eastAsia="宋体" w:cs="宋体"/>
          <w:color w:val="000000"/>
          <w:sz w:val="22"/>
          <w:szCs w:val="22"/>
        </w:rPr>
      </w:r>
      <w:r/>
    </w:p>
    <w:p>
      <w:pPr>
        <w:pStyle w:val="1032"/>
        <w:ind w:firstLine="402"/>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（3）企业标准请参照《关于印发中小企业划型标准规定的通知》（工信部联企业[2011]300号）文件规定自行填写。</w:t>
      </w:r>
      <w:r>
        <w:rPr>
          <w:rFonts w:hint="eastAsia" w:ascii="宋体" w:hAnsi="宋体" w:eastAsia="宋体" w:cs="宋体"/>
          <w:color w:val="000000"/>
          <w:sz w:val="22"/>
          <w:szCs w:val="22"/>
        </w:rPr>
      </w:r>
      <w:r/>
    </w:p>
    <w:p>
      <w:pPr>
        <w:pStyle w:val="1032"/>
        <w:ind w:firstLine="402"/>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2、残疾人福利单位价格扣除</w:t>
      </w:r>
      <w:r>
        <w:rPr>
          <w:rFonts w:hint="eastAsia" w:ascii="宋体" w:hAnsi="宋体" w:eastAsia="宋体" w:cs="宋体"/>
          <w:color w:val="000000"/>
          <w:sz w:val="22"/>
          <w:szCs w:val="22"/>
        </w:rPr>
      </w:r>
      <w:r/>
    </w:p>
    <w:p>
      <w:pPr>
        <w:pStyle w:val="1032"/>
        <w:ind w:firstLine="402"/>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（1）对残疾人福利性单位视同小型、微型企业，给予20%的价格扣除，用扣除后的价格参与评审。</w:t>
      </w:r>
      <w:r>
        <w:rPr>
          <w:rFonts w:hint="eastAsia" w:ascii="宋体" w:hAnsi="宋体" w:eastAsia="宋体" w:cs="宋体"/>
          <w:color w:val="000000"/>
          <w:sz w:val="22"/>
          <w:szCs w:val="22"/>
        </w:rPr>
      </w:r>
      <w:r/>
    </w:p>
    <w:p>
      <w:pPr>
        <w:pStyle w:val="1032"/>
        <w:ind w:firstLine="402"/>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（2）残疾人福利单位需按照采购文件的要求提供《残疾人福利性单位声明函》。</w:t>
      </w:r>
      <w:r>
        <w:rPr>
          <w:rFonts w:hint="eastAsia" w:ascii="宋体" w:hAnsi="宋体" w:eastAsia="宋体" w:cs="宋体"/>
          <w:color w:val="000000"/>
          <w:sz w:val="22"/>
          <w:szCs w:val="22"/>
        </w:rPr>
      </w:r>
      <w:r/>
    </w:p>
    <w:p>
      <w:pPr>
        <w:pStyle w:val="1032"/>
        <w:ind w:firstLine="402"/>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（3）残疾人福利单位标准请参照《关于促进残疾人就业政府采购政策的通知》（财库〔2017〕141号）。</w:t>
      </w:r>
      <w:r>
        <w:rPr>
          <w:rFonts w:hint="eastAsia" w:ascii="宋体" w:hAnsi="宋体" w:eastAsia="宋体" w:cs="宋体"/>
          <w:color w:val="000000"/>
          <w:sz w:val="22"/>
          <w:szCs w:val="22"/>
        </w:rPr>
      </w:r>
      <w:r/>
    </w:p>
    <w:p>
      <w:pPr>
        <w:pStyle w:val="1032"/>
        <w:ind w:firstLine="402"/>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3、监狱和戒毒企业价格扣除</w:t>
      </w:r>
      <w:r>
        <w:rPr>
          <w:rFonts w:hint="eastAsia" w:ascii="宋体" w:hAnsi="宋体" w:eastAsia="宋体" w:cs="宋体"/>
          <w:color w:val="000000"/>
          <w:sz w:val="22"/>
          <w:szCs w:val="22"/>
        </w:rPr>
      </w:r>
      <w:r/>
    </w:p>
    <w:p>
      <w:pPr>
        <w:pStyle w:val="1032"/>
        <w:ind w:firstLine="402"/>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（1）对监狱和戒毒企业（简称监狱企业）视同小型、微型企业，给予20%的价格扣除，用扣除后的价格参与评审。</w:t>
      </w:r>
      <w:r>
        <w:rPr>
          <w:rFonts w:hint="eastAsia" w:ascii="宋体" w:hAnsi="宋体" w:eastAsia="宋体" w:cs="宋体"/>
          <w:color w:val="000000"/>
          <w:sz w:val="22"/>
          <w:szCs w:val="22"/>
        </w:rPr>
      </w:r>
      <w:r/>
    </w:p>
    <w:p>
      <w:pPr>
        <w:pStyle w:val="1032"/>
        <w:ind w:firstLine="402"/>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2"/>
          <w:szCs w:val="22"/>
        </w:rPr>
      </w:r>
      <w:r/>
    </w:p>
    <w:p>
      <w:pPr>
        <w:pStyle w:val="1032"/>
        <w:ind w:firstLine="402"/>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（3）监狱企业标准请参照《关于政府采购支持监狱企业发展有关问题的通知》（财库[2014]68号）。</w:t>
      </w:r>
      <w:r>
        <w:rPr>
          <w:rFonts w:hint="eastAsia" w:ascii="宋体" w:hAnsi="宋体" w:eastAsia="宋体" w:cs="宋体"/>
          <w:color w:val="000000"/>
          <w:sz w:val="22"/>
          <w:szCs w:val="22"/>
        </w:rPr>
      </w:r>
      <w:r/>
    </w:p>
    <w:p>
      <w:pPr>
        <w:pStyle w:val="1032"/>
        <w:ind w:firstLine="402"/>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4、残疾人福利单位、监狱企业属于小型、微型企业的，不重复享受政策。</w:t>
      </w:r>
      <w:r>
        <w:rPr>
          <w:rFonts w:hint="eastAsia" w:ascii="宋体" w:hAnsi="宋体" w:eastAsia="宋体" w:cs="宋体"/>
          <w:color w:val="000000"/>
          <w:sz w:val="22"/>
          <w:szCs w:val="22"/>
        </w:rPr>
      </w:r>
      <w:r/>
    </w:p>
    <w:p>
      <w:pPr>
        <w:pStyle w:val="1032"/>
        <w:ind w:firstLine="402"/>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000000"/>
          <w:sz w:val="22"/>
          <w:szCs w:val="22"/>
        </w:rPr>
      </w:r>
      <w:r/>
    </w:p>
    <w:p>
      <w:pPr>
        <w:pStyle w:val="1032"/>
        <w:ind w:firstLine="402"/>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6、联合体各方均为小型、微型企业（残疾人福利单位、监狱企业）的，联合体享受20%价格扣除，用扣除后的价格参与评审。</w:t>
      </w:r>
      <w:r>
        <w:rPr>
          <w:rFonts w:hint="eastAsia" w:ascii="宋体" w:hAnsi="宋体" w:eastAsia="宋体" w:cs="宋体"/>
          <w:color w:val="000000"/>
          <w:sz w:val="22"/>
          <w:szCs w:val="22"/>
        </w:rPr>
      </w:r>
      <w:r/>
    </w:p>
    <w:p>
      <w:pPr>
        <w:pStyle w:val="1032"/>
        <w:ind w:firstLine="482"/>
        <w:spacing w:line="0" w:lineRule="atLeast"/>
        <w:rPr>
          <w:rFonts w:hint="eastAsia" w:ascii="宋体" w:hAnsi="宋体"/>
          <w:b/>
          <w:color w:val="000000"/>
          <w:highlight w:val="yellow"/>
        </w:rPr>
      </w:pPr>
      <w:r>
        <w:rPr>
          <w:rFonts w:hint="eastAsia" w:ascii="宋体" w:hAnsi="宋体"/>
          <w:b/>
          <w:color w:val="000000"/>
          <w:lang w:val="en-US" w:eastAsia="zh-CN"/>
        </w:rPr>
        <w:t xml:space="preserve">二、</w:t>
      </w:r>
      <w:r>
        <w:rPr>
          <w:rFonts w:hint="eastAsia" w:ascii="宋体" w:hAnsi="宋体"/>
          <w:b/>
          <w:color w:val="000000"/>
        </w:rPr>
        <w:t xml:space="preserve">评标方法与评标标准</w:t>
      </w:r>
      <w:r>
        <w:rPr>
          <w:rFonts w:hint="eastAsia" w:ascii="宋体" w:hAnsi="宋体"/>
          <w:b/>
          <w:color w:val="000000"/>
          <w:highlight w:val="yellow"/>
        </w:rPr>
      </w:r>
      <w:r/>
    </w:p>
    <w:tbl>
      <w:tblPr>
        <w:tblW w:w="509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1299"/>
        <w:gridCol w:w="6407"/>
      </w:tblGrid>
      <w:tr>
        <w:trPr>
          <w:trHeight w:val="637"/>
        </w:trPr>
        <w:tc>
          <w:tcPr>
            <w:tcW w:w="1147" w:type="dxa"/>
            <w:vAlign w:val="center"/>
            <w:textDirection w:val="lrTb"/>
            <w:noWrap w:val="false"/>
          </w:tcPr>
          <w:p>
            <w:pPr>
              <w:pStyle w:val="945"/>
              <w:jc w:val="center"/>
              <w:keepLines w:val="0"/>
              <w:keepNext w:val="0"/>
              <w:pageBreakBefore w:val="0"/>
              <w:spacing w:line="288"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 目</w:t>
            </w:r>
            <w:r>
              <w:rPr>
                <w:rFonts w:hint="eastAsia" w:ascii="宋体" w:hAnsi="宋体" w:eastAsia="宋体" w:cs="宋体"/>
                <w:b/>
                <w:bCs/>
                <w:color w:val="000000"/>
                <w:sz w:val="21"/>
                <w:szCs w:val="21"/>
              </w:rPr>
            </w:r>
            <w:r/>
          </w:p>
        </w:tc>
        <w:tc>
          <w:tcPr>
            <w:gridSpan w:val="2"/>
            <w:tcW w:w="7706" w:type="dxa"/>
            <w:vAlign w:val="center"/>
            <w:textDirection w:val="lrTb"/>
            <w:noWrap w:val="false"/>
          </w:tcPr>
          <w:p>
            <w:pPr>
              <w:pStyle w:val="945"/>
              <w:ind w:firstLine="480"/>
              <w:jc w:val="center"/>
              <w:keepLines w:val="0"/>
              <w:keepNext w:val="0"/>
              <w:pageBreakBefore w:val="0"/>
              <w:spacing w:line="288"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评分标准</w:t>
            </w:r>
            <w:r>
              <w:rPr>
                <w:rFonts w:hint="eastAsia" w:ascii="宋体" w:hAnsi="宋体" w:eastAsia="宋体" w:cs="宋体"/>
                <w:b/>
                <w:bCs/>
                <w:color w:val="000000"/>
                <w:sz w:val="21"/>
                <w:szCs w:val="21"/>
              </w:rPr>
            </w:r>
            <w:r/>
          </w:p>
        </w:tc>
      </w:tr>
      <w:tr>
        <w:trPr>
          <w:trHeight w:val="873"/>
        </w:trPr>
        <w:tc>
          <w:tcPr>
            <w:tcW w:w="1147" w:type="dxa"/>
            <w:vAlign w:val="center"/>
            <w:textDirection w:val="lrTb"/>
            <w:noWrap w:val="false"/>
          </w:tcPr>
          <w:p>
            <w:pPr>
              <w:pStyle w:val="945"/>
              <w:jc w:val="center"/>
              <w:keepLines w:val="0"/>
              <w:keepNext w:val="0"/>
              <w:pageBreakBefore w:val="0"/>
              <w:spacing w:line="288"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报 价</w:t>
            </w:r>
            <w:r>
              <w:rPr>
                <w:rFonts w:hint="eastAsia" w:ascii="宋体" w:hAnsi="宋体" w:eastAsia="宋体" w:cs="宋体"/>
                <w:b/>
                <w:bCs/>
                <w:color w:val="000000"/>
                <w:sz w:val="21"/>
                <w:szCs w:val="21"/>
                <w:highlight w:val="none"/>
              </w:rPr>
            </w:r>
            <w:r/>
          </w:p>
          <w:p>
            <w:pPr>
              <w:pStyle w:val="945"/>
              <w:jc w:val="center"/>
              <w:keepLines w:val="0"/>
              <w:keepNext w:val="0"/>
              <w:pageBreakBefore w:val="0"/>
              <w:spacing w:line="288"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20</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7706" w:type="dxa"/>
            <w:vAlign w:val="center"/>
            <w:textDirection w:val="lrTb"/>
            <w:noWrap w:val="false"/>
          </w:tcPr>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以满足招标文件要求的最低报价为基准价，报价等于基准价的得满分</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分，其它报价得分=（基准报价/投标报价）×</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×100%（小数点保留两位）</w:t>
            </w:r>
            <w:r>
              <w:rPr>
                <w:rFonts w:hint="eastAsia" w:ascii="宋体" w:hAnsi="宋体" w:eastAsia="宋体" w:cs="宋体"/>
                <w:color w:val="000000"/>
                <w:sz w:val="21"/>
                <w:szCs w:val="21"/>
                <w:highlight w:val="none"/>
              </w:rPr>
            </w:r>
            <w:r/>
          </w:p>
        </w:tc>
      </w:tr>
      <w:tr>
        <w:trPr>
          <w:trHeight w:val="990"/>
        </w:trPr>
        <w:tc>
          <w:tcPr>
            <w:tcW w:w="1147" w:type="dxa"/>
            <w:vAlign w:val="center"/>
            <w:vMerge w:val="restart"/>
            <w:textDirection w:val="lrTb"/>
            <w:noWrap w:val="false"/>
          </w:tcPr>
          <w:p>
            <w:pPr>
              <w:pStyle w:val="945"/>
              <w:jc w:val="center"/>
              <w:keepLines w:val="0"/>
              <w:keepNext w:val="0"/>
              <w:pageBreakBefore w:val="0"/>
              <w:spacing w:line="288"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技术</w:t>
            </w:r>
            <w:r>
              <w:rPr>
                <w:rFonts w:hint="eastAsia" w:ascii="宋体" w:hAnsi="宋体" w:eastAsia="宋体" w:cs="宋体"/>
                <w:b/>
                <w:bCs/>
                <w:color w:val="000000"/>
                <w:sz w:val="21"/>
                <w:szCs w:val="21"/>
                <w:highlight w:val="none"/>
              </w:rPr>
              <w:t xml:space="preserve">方案</w:t>
            </w:r>
            <w:r>
              <w:rPr>
                <w:rFonts w:hint="eastAsia" w:ascii="宋体" w:hAnsi="宋体" w:eastAsia="宋体" w:cs="宋体"/>
                <w:b/>
                <w:bCs/>
                <w:color w:val="000000"/>
                <w:sz w:val="21"/>
                <w:szCs w:val="21"/>
                <w:highlight w:val="none"/>
              </w:rPr>
            </w:r>
            <w:r/>
          </w:p>
          <w:p>
            <w:pPr>
              <w:pStyle w:val="945"/>
              <w:jc w:val="center"/>
              <w:keepLines w:val="0"/>
              <w:keepNext w:val="0"/>
              <w:pageBreakBefore w:val="0"/>
              <w:spacing w:line="288"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45</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tc>
        <w:tc>
          <w:tcPr>
            <w:tcW w:w="1270"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调试方案</w:t>
            </w:r>
            <w:r>
              <w:rPr>
                <w:rFonts w:hint="eastAsia" w:ascii="宋体" w:hAnsi="宋体" w:eastAsia="宋体" w:cs="宋体"/>
                <w:color w:val="000000"/>
                <w:sz w:val="21"/>
                <w:szCs w:val="21"/>
              </w:rPr>
            </w:r>
            <w:r/>
          </w:p>
          <w:p>
            <w:pPr>
              <w:pStyle w:val="1021"/>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5分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c>
          <w:tcPr>
            <w:tcW w:w="6262" w:type="dxa"/>
            <w:vAlign w:val="center"/>
            <w:textDirection w:val="lrTb"/>
            <w:noWrap w:val="false"/>
          </w:tcPr>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调试方案包括但不限于调试的组织结构及分工、准备工作、主要内容、质量和安全保证措施等相关内容，由评委综合比较，酌情评分（不提供不得分）。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调试方案详细、合理、完整、针对性强得5分；调试方案较为详细、合理、完整、针对性较强得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分；有方案说明，但是不够详细、合理、完整、针对性较弱得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rPr>
            </w:r>
            <w:r/>
          </w:p>
        </w:tc>
      </w:tr>
      <w:tr>
        <w:trPr>
          <w:trHeight w:val="990"/>
        </w:trPr>
        <w:tc>
          <w:tcPr>
            <w:tcW w:w="1147" w:type="dxa"/>
            <w:vAlign w:val="center"/>
            <w:vMerge w:val="continue"/>
            <w:textDirection w:val="lrTb"/>
            <w:noWrap w:val="false"/>
          </w:tcPr>
          <w:p>
            <w:pPr>
              <w:pStyle w:val="945"/>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0" w:type="dxa"/>
            <w:vAlign w:val="center"/>
            <w:textDirection w:val="lrTb"/>
            <w:noWrap w:val="false"/>
          </w:tcPr>
          <w:p>
            <w:pPr>
              <w:pStyle w:val="945"/>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运营方案</w:t>
            </w:r>
            <w:r>
              <w:rPr>
                <w:rFonts w:hint="eastAsia" w:ascii="宋体" w:hAnsi="宋体" w:eastAsia="宋体" w:cs="宋体"/>
                <w:color w:val="000000"/>
                <w:sz w:val="21"/>
                <w:szCs w:val="21"/>
              </w:rPr>
            </w:r>
            <w:r/>
          </w:p>
          <w:p>
            <w:pPr>
              <w:pStyle w:val="1021"/>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10分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tc>
        <w:tc>
          <w:tcPr>
            <w:tcW w:w="6262" w:type="dxa"/>
            <w:vAlign w:val="center"/>
            <w:textDirection w:val="lrTb"/>
            <w:noWrap w:val="false"/>
          </w:tcPr>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运营方案包括但不限于班组设置、运行规程、台账资料、稳定达标、监测、检验措施，设备设施维护措施等相关内容（不提供不得分）。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运营方案详细、合理、完整、针对性强得10分；运营方案较为详细、合理、完整、针对性较强得7分；有方案说明，但是不够详细、合理、完整、针对性较弱得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分；有方案说明，但是内容较差、不具备可行性得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不提供不得分。</w:t>
            </w:r>
            <w:r>
              <w:rPr>
                <w:rFonts w:hint="eastAsia" w:ascii="宋体" w:hAnsi="宋体" w:eastAsia="宋体" w:cs="宋体"/>
                <w:color w:val="000000"/>
                <w:sz w:val="21"/>
                <w:szCs w:val="21"/>
                <w:highlight w:val="none"/>
              </w:rPr>
            </w:r>
            <w:r/>
          </w:p>
        </w:tc>
      </w:tr>
      <w:tr>
        <w:trPr>
          <w:trHeight w:val="990"/>
        </w:trPr>
        <w:tc>
          <w:tcPr>
            <w:tcW w:w="1147" w:type="dxa"/>
            <w:vAlign w:val="center"/>
            <w:vMerge w:val="continue"/>
            <w:textDirection w:val="lrTb"/>
            <w:noWrap w:val="false"/>
          </w:tcPr>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0" w:type="dxa"/>
            <w:vAlign w:val="center"/>
            <w:textDirection w:val="lrTb"/>
            <w:noWrap w:val="false"/>
          </w:tcPr>
          <w:p>
            <w:pPr>
              <w:pStyle w:val="945"/>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污泥处置方案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6分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eastAsia="zh-CN"/>
              </w:rPr>
            </w:r>
            <w:r/>
          </w:p>
        </w:tc>
        <w:tc>
          <w:tcPr>
            <w:tcW w:w="6262" w:type="dxa"/>
            <w:vAlign w:val="center"/>
            <w:textDirection w:val="lrTb"/>
            <w:noWrap w:val="false"/>
          </w:tcPr>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污泥处置方案包括但不限于污泥处理的目的、污泥来源及性质、污泥处理工艺论证、污泥处置及工艺选择等相关内容（不提供不得分）。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污泥处置方案详细、合理、完整、针对性强得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污泥处置方案较为详细、合理、完整、针对性较强得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有方案说明，但是不够详细、合理、完整、针对性较弱得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eastAsia="zh-CN"/>
              </w:rPr>
            </w:r>
            <w:r/>
          </w:p>
        </w:tc>
      </w:tr>
      <w:tr>
        <w:trPr>
          <w:trHeight w:val="990"/>
        </w:trPr>
        <w:tc>
          <w:tcPr>
            <w:tcW w:w="1147" w:type="dxa"/>
            <w:vAlign w:val="center"/>
            <w:vMerge w:val="continue"/>
            <w:textDirection w:val="lrTb"/>
            <w:noWrap w:val="false"/>
          </w:tcPr>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0" w:type="dxa"/>
            <w:vAlign w:val="center"/>
            <w:textDirection w:val="lrTb"/>
            <w:noWrap w:val="false"/>
          </w:tcPr>
          <w:p>
            <w:pPr>
              <w:pStyle w:val="945"/>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环境应急预案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6分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eastAsia="zh-CN"/>
              </w:rPr>
            </w:r>
            <w:r/>
          </w:p>
        </w:tc>
        <w:tc>
          <w:tcPr>
            <w:tcW w:w="6262" w:type="dxa"/>
            <w:vAlign w:val="center"/>
            <w:textDirection w:val="lrTb"/>
            <w:noWrap w:val="false"/>
          </w:tcPr>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环境应急预案包括但不限于水质恶化突发性事件应急管理方案和制度、雨季水质不良影响应急管理方案和制度、停电应急管理方案和制度、设备故障应急处理、防火及有毒有害气体应急管理方案和制度、防台防汛期间、台风和暴雨等灾害性天气专项维护措施等相关内容（不提供不得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环境应急预案详细、合理、完整、针对性强得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环境应急预案较为详细、合理、完整、针对性较强得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有方案说明，但是不够详细、合理、完整、针对性较弱得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eastAsia="zh-CN"/>
              </w:rPr>
            </w:r>
            <w:r/>
          </w:p>
        </w:tc>
      </w:tr>
      <w:tr>
        <w:trPr>
          <w:trHeight w:val="990"/>
        </w:trPr>
        <w:tc>
          <w:tcPr>
            <w:tcW w:w="1147" w:type="dxa"/>
            <w:vAlign w:val="center"/>
            <w:vMerge w:val="continue"/>
            <w:textDirection w:val="lrTb"/>
            <w:noWrap w:val="false"/>
          </w:tcPr>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0" w:type="dxa"/>
            <w:vAlign w:val="center"/>
            <w:textDirection w:val="lrTb"/>
            <w:noWrap w:val="false"/>
          </w:tcPr>
          <w:p>
            <w:pPr>
              <w:pStyle w:val="945"/>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水质达标措施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6分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eastAsia="zh-CN"/>
              </w:rPr>
            </w:r>
            <w:r/>
          </w:p>
        </w:tc>
        <w:tc>
          <w:tcPr>
            <w:tcW w:w="6262" w:type="dxa"/>
            <w:vAlign w:val="center"/>
            <w:textDirection w:val="lrTb"/>
            <w:noWrap w:val="false"/>
          </w:tcPr>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水质达标措施包括但不限于出水水质保障措施、制度保障措施、产品质量控制措施、确保设备正常运转的措施、严格水质检测等相关内容（不提供不得分）。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水质达标措施详细、合理、完整、针对性强得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水质达标措施较为详细、合理、完整、针对性较强得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有措施说明，但是不够详细、合理、完整、针对性较弱得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eastAsia="zh-CN"/>
              </w:rPr>
            </w:r>
            <w:r/>
          </w:p>
        </w:tc>
      </w:tr>
      <w:tr>
        <w:trPr>
          <w:trHeight w:val="990"/>
        </w:trPr>
        <w:tc>
          <w:tcPr>
            <w:tcW w:w="1147" w:type="dxa"/>
            <w:vAlign w:val="center"/>
            <w:vMerge w:val="continue"/>
            <w:textDirection w:val="lrTb"/>
            <w:noWrap w:val="false"/>
          </w:tcPr>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0" w:type="dxa"/>
            <w:vAlign w:val="center"/>
            <w:textDirection w:val="lrTb"/>
            <w:noWrap w:val="false"/>
          </w:tcPr>
          <w:p>
            <w:pPr>
              <w:pStyle w:val="945"/>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环境保护措施</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6分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eastAsia="zh-CN"/>
              </w:rPr>
            </w:r>
            <w:r/>
          </w:p>
        </w:tc>
        <w:tc>
          <w:tcPr>
            <w:tcW w:w="6262" w:type="dxa"/>
            <w:vAlign w:val="center"/>
            <w:textDirection w:val="lrTb"/>
            <w:noWrap w:val="false"/>
          </w:tcPr>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环境保护措施包括但不限于环境保护的方针和目标、环境保护职责、环境保护组织机构、环境保护工作制度、环境保护控制措施等相关内容（不提供不得分）。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环境保护措施详细、合理、完整、针对性强得</w:t>
            </w: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环境保护措施较为详细、合理、完整、针对性较强得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有措施说明，但是不够详细、合理、完整、针对性较弱得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eastAsia="zh-CN"/>
              </w:rPr>
            </w:r>
            <w:r/>
          </w:p>
        </w:tc>
      </w:tr>
      <w:tr>
        <w:trPr>
          <w:trHeight w:val="990"/>
        </w:trPr>
        <w:tc>
          <w:tcPr>
            <w:tcW w:w="1147" w:type="dxa"/>
            <w:vAlign w:val="center"/>
            <w:vMerge w:val="continue"/>
            <w:textDirection w:val="lrTb"/>
            <w:noWrap w:val="false"/>
          </w:tcPr>
          <w:p>
            <w:pPr>
              <w:pStyle w:val="94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270" w:type="dxa"/>
            <w:vAlign w:val="center"/>
            <w:textDirection w:val="lrTb"/>
            <w:noWrap w:val="false"/>
          </w:tcPr>
          <w:p>
            <w:pPr>
              <w:pStyle w:val="945"/>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rPr>
              <w:t xml:space="preserve">售后服务方案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6分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none"/>
                <w:lang w:eastAsia="zh-CN"/>
              </w:rPr>
            </w:r>
            <w:r/>
          </w:p>
        </w:tc>
        <w:tc>
          <w:tcPr>
            <w:tcW w:w="6262" w:type="dxa"/>
            <w:vAlign w:val="center"/>
            <w:textDirection w:val="lrTb"/>
            <w:noWrap w:val="false"/>
          </w:tcPr>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标委员会根据投标人提供的售后服务方案（包括服务保障体系、服务内容、响应时间和程度、解决问题的能力、紧急故障处理预案、备件等）以及维护期内外的后续技术支持和维护能力相关内容逐项进行对比打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售后服务方案内容全面、条理清晰、流程规范，得6分；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售后服务方案内容基本详实、有一定条理性、流程规范性较好，得</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售后服务方案内容粗略、条理性牵强、流程规范性欠缺，得2分；</w:t>
            </w:r>
            <w:r>
              <w:rPr>
                <w:rFonts w:hint="eastAsia" w:ascii="宋体" w:hAnsi="宋体" w:eastAsia="宋体" w:cs="宋体"/>
                <w:color w:val="000000"/>
                <w:sz w:val="21"/>
                <w:szCs w:val="21"/>
              </w:rPr>
            </w:r>
            <w:r/>
          </w:p>
          <w:p>
            <w:pPr>
              <w:pStyle w:val="94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其他情况或没有内容不得分。</w:t>
            </w:r>
            <w:r>
              <w:rPr>
                <w:rFonts w:hint="eastAsia" w:ascii="宋体" w:hAnsi="宋体" w:eastAsia="宋体" w:cs="宋体"/>
                <w:color w:val="000000"/>
                <w:sz w:val="21"/>
                <w:szCs w:val="21"/>
                <w:highlight w:val="none"/>
              </w:rPr>
            </w:r>
            <w:r/>
          </w:p>
        </w:tc>
      </w:tr>
      <w:tr>
        <w:trPr>
          <w:trHeight w:val="2201"/>
        </w:trPr>
        <w:tc>
          <w:tcPr>
            <w:tcW w:w="1147" w:type="dxa"/>
            <w:vAlign w:val="center"/>
            <w:textDirection w:val="lrTb"/>
            <w:noWrap w:val="false"/>
          </w:tcPr>
          <w:p>
            <w:pPr>
              <w:pStyle w:val="945"/>
              <w:jc w:val="center"/>
              <w:keepLines w:val="0"/>
              <w:keepNext w:val="0"/>
              <w:pageBreakBefore w:val="0"/>
              <w:spacing w:line="288"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企业综合</w:t>
            </w:r>
            <w:r>
              <w:rPr>
                <w:rFonts w:hint="eastAsia" w:ascii="宋体" w:hAnsi="宋体" w:eastAsia="宋体" w:cs="宋体"/>
                <w:b/>
                <w:bCs/>
                <w:color w:val="000000"/>
                <w:sz w:val="21"/>
                <w:szCs w:val="21"/>
                <w:highlight w:val="none"/>
              </w:rPr>
            </w:r>
            <w:r/>
          </w:p>
          <w:p>
            <w:pPr>
              <w:pStyle w:val="945"/>
              <w:jc w:val="center"/>
              <w:keepLines w:val="0"/>
              <w:keepNext w:val="0"/>
              <w:pageBreakBefore w:val="0"/>
              <w:spacing w:line="288"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实力</w:t>
            </w:r>
            <w:r>
              <w:rPr>
                <w:rFonts w:hint="eastAsia" w:ascii="宋体" w:hAnsi="宋体" w:eastAsia="宋体" w:cs="宋体"/>
                <w:b/>
                <w:bCs/>
                <w:color w:val="000000"/>
                <w:sz w:val="21"/>
                <w:szCs w:val="21"/>
                <w:highlight w:val="none"/>
              </w:rPr>
            </w:r>
            <w:r/>
          </w:p>
          <w:p>
            <w:pPr>
              <w:pStyle w:val="945"/>
              <w:jc w:val="center"/>
              <w:keepLines w:val="0"/>
              <w:keepNext w:val="0"/>
              <w:pageBreakBefore w:val="0"/>
              <w:spacing w:line="288"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7706" w:type="dxa"/>
            <w:vAlign w:val="center"/>
            <w:textDirection w:val="lrTb"/>
            <w:noWrap w:val="false"/>
          </w:tcPr>
          <w:p>
            <w:pPr>
              <w:pStyle w:val="94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1、投标人具有有效期内的IS09001质量管理体系认证、环境管理体系认证、职业健康安全管理体系认证、知识产权管理体系认证，每有1个得1分，本项最多得4分。</w:t>
            </w:r>
            <w:r>
              <w:rPr>
                <w:rFonts w:hint="eastAsia" w:ascii="宋体" w:hAnsi="宋体" w:eastAsia="宋体" w:cs="宋体"/>
                <w:b/>
                <w:bCs/>
                <w:color w:val="000000"/>
                <w:sz w:val="21"/>
                <w:szCs w:val="21"/>
                <w:highlight w:val="none"/>
                <w:lang w:val="en-US" w:eastAsia="zh-CN"/>
              </w:rPr>
              <w:t xml:space="preserve">（提供证书</w:t>
            </w:r>
            <w:r>
              <w:rPr>
                <w:rFonts w:hint="eastAsia" w:ascii="宋体" w:hAnsi="宋体" w:eastAsia="宋体" w:cs="宋体"/>
                <w:b/>
                <w:bCs/>
                <w:color w:val="000000"/>
                <w:sz w:val="21"/>
                <w:szCs w:val="21"/>
                <w:lang w:val="en-US" w:eastAsia="zh-CN"/>
              </w:rPr>
              <w:t xml:space="preserve">扫描件上传系统</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45"/>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2、投标人具有环境咨询（环保管家）：三级认证证书得1分、二级认证证书得2分、一级认证证书得3分，本项最高得3分。</w:t>
            </w:r>
            <w:r>
              <w:rPr>
                <w:rFonts w:hint="eastAsia" w:ascii="宋体" w:hAnsi="宋体" w:eastAsia="宋体" w:cs="宋体"/>
                <w:b/>
                <w:bCs/>
                <w:color w:val="000000"/>
                <w:sz w:val="21"/>
                <w:szCs w:val="21"/>
                <w:highlight w:val="none"/>
                <w:lang w:val="en-US" w:eastAsia="zh-CN"/>
              </w:rPr>
              <w:t xml:space="preserve">（提供证书</w:t>
            </w:r>
            <w:r>
              <w:rPr>
                <w:rFonts w:hint="eastAsia" w:ascii="宋体" w:hAnsi="宋体" w:eastAsia="宋体" w:cs="宋体"/>
                <w:b/>
                <w:bCs/>
                <w:color w:val="000000"/>
                <w:sz w:val="21"/>
                <w:szCs w:val="21"/>
                <w:lang w:val="en-US" w:eastAsia="zh-CN"/>
              </w:rPr>
              <w:t xml:space="preserve">扫描件上传系统</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lang w:val="en-US" w:eastAsia="zh-CN"/>
              </w:rPr>
            </w:r>
            <w:r/>
          </w:p>
        </w:tc>
      </w:tr>
      <w:tr>
        <w:trPr>
          <w:trHeight w:val="4339"/>
        </w:trPr>
        <w:tc>
          <w:tcPr>
            <w:tcW w:w="1147" w:type="dxa"/>
            <w:vAlign w:val="center"/>
            <w:textDirection w:val="lrTb"/>
            <w:noWrap w:val="false"/>
          </w:tcPr>
          <w:p>
            <w:pPr>
              <w:pStyle w:val="945"/>
              <w:jc w:val="center"/>
              <w:keepLines w:val="0"/>
              <w:keepNext w:val="0"/>
              <w:pageBreakBefore w:val="0"/>
              <w:spacing w:line="288"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项目组主要成员</w:t>
            </w:r>
            <w:r>
              <w:rPr>
                <w:rFonts w:hint="eastAsia" w:ascii="宋体" w:hAnsi="宋体" w:eastAsia="宋体" w:cs="宋体"/>
                <w:b/>
                <w:bCs/>
                <w:color w:val="000000"/>
                <w:sz w:val="21"/>
                <w:szCs w:val="21"/>
              </w:rPr>
            </w:r>
            <w:r/>
          </w:p>
          <w:p>
            <w:pPr>
              <w:pStyle w:val="945"/>
              <w:jc w:val="center"/>
              <w:keepLines w:val="0"/>
              <w:keepNext w:val="0"/>
              <w:pageBreakBefore w:val="0"/>
              <w:spacing w:line="288"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18</w:t>
            </w:r>
            <w:r>
              <w:rPr>
                <w:rFonts w:hint="eastAsia" w:ascii="宋体" w:hAnsi="宋体" w:eastAsia="宋体" w:cs="宋体"/>
                <w:b/>
                <w:bCs/>
                <w:color w:val="000000"/>
                <w:sz w:val="21"/>
                <w:szCs w:val="21"/>
              </w:rPr>
              <w:t xml:space="preserve">分）</w:t>
            </w:r>
            <w:r>
              <w:rPr>
                <w:rFonts w:hint="eastAsia" w:ascii="宋体" w:hAnsi="宋体" w:eastAsia="宋体" w:cs="宋体"/>
                <w:color w:val="000000"/>
                <w:sz w:val="21"/>
                <w:szCs w:val="21"/>
              </w:rPr>
            </w:r>
            <w:r/>
          </w:p>
        </w:tc>
        <w:tc>
          <w:tcPr>
            <w:gridSpan w:val="2"/>
            <w:tcW w:w="7706" w:type="dxa"/>
            <w:vAlign w:val="center"/>
            <w:textDirection w:val="lrTb"/>
            <w:noWrap w:val="false"/>
          </w:tcPr>
          <w:p>
            <w:pPr>
              <w:pStyle w:val="107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1、项目负责人（1人）：</w:t>
            </w:r>
            <w:r>
              <w:rPr>
                <w:rFonts w:hint="eastAsia" w:ascii="宋体" w:hAnsi="宋体" w:eastAsia="宋体" w:cs="宋体"/>
                <w:b w:val="0"/>
                <w:bCs w:val="0"/>
                <w:color w:val="000000"/>
                <w:sz w:val="21"/>
                <w:szCs w:val="21"/>
                <w:highlight w:val="none"/>
                <w:lang w:val="en-US" w:eastAsia="zh-CN"/>
              </w:rPr>
              <w:t xml:space="preserve">具有注册公用设备工程师（给排水）执业证书得1分，具有注册环保工程师执业资格得1分，具有高级及以上环境工程类职称得1分。本项最高得3分。</w:t>
            </w:r>
            <w:r>
              <w:rPr>
                <w:rFonts w:hint="eastAsia" w:ascii="宋体" w:hAnsi="宋体" w:eastAsia="宋体" w:cs="宋体"/>
                <w:b/>
                <w:bCs/>
                <w:color w:val="000000"/>
                <w:sz w:val="21"/>
                <w:szCs w:val="21"/>
                <w:highlight w:val="none"/>
                <w:lang w:val="en-US" w:eastAsia="zh-CN"/>
              </w:rPr>
            </w:r>
            <w:r/>
          </w:p>
          <w:p>
            <w:pPr>
              <w:pStyle w:val="107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2、技术负责人（1人）：</w:t>
            </w:r>
            <w:r>
              <w:rPr>
                <w:rFonts w:hint="eastAsia" w:ascii="宋体" w:hAnsi="宋体" w:eastAsia="宋体" w:cs="宋体"/>
                <w:b w:val="0"/>
                <w:bCs w:val="0"/>
                <w:color w:val="000000"/>
                <w:sz w:val="21"/>
                <w:szCs w:val="21"/>
                <w:highlight w:val="none"/>
                <w:lang w:val="en-US" w:eastAsia="zh-CN"/>
              </w:rPr>
              <w:t xml:space="preserve">具有注册环保工程师执业资格得1分，具有高级环境工程类职称得1分，具有正高级环境工程类职称得2分。本项最高得3分。</w:t>
            </w:r>
            <w:r>
              <w:rPr>
                <w:rFonts w:hint="eastAsia" w:ascii="宋体" w:hAnsi="宋体" w:eastAsia="宋体" w:cs="宋体"/>
                <w:b/>
                <w:bCs/>
                <w:color w:val="000000"/>
                <w:sz w:val="21"/>
                <w:szCs w:val="21"/>
                <w:highlight w:val="none"/>
                <w:lang w:val="en-US" w:eastAsia="zh-CN"/>
              </w:rPr>
            </w:r>
            <w:r/>
          </w:p>
          <w:p>
            <w:pPr>
              <w:pStyle w:val="107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3、项目组其他成员（12分）：</w:t>
            </w:r>
            <w:r>
              <w:rPr>
                <w:rFonts w:hint="eastAsia" w:ascii="宋体" w:hAnsi="宋体" w:eastAsia="宋体" w:cs="宋体"/>
                <w:b/>
                <w:bCs/>
                <w:color w:val="000000"/>
                <w:sz w:val="21"/>
                <w:szCs w:val="21"/>
                <w:highlight w:val="none"/>
                <w:lang w:val="en-US" w:eastAsia="zh-CN"/>
              </w:rPr>
            </w:r>
            <w:r/>
          </w:p>
          <w:p>
            <w:pPr>
              <w:pStyle w:val="945"/>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1）项目组其他成员具有注册公用设备工程师（给排水）执业证书、注册电气工程师（供配电）执业证书，每有一个类别得2分，同时具有高级及以上职称的每人加1分，本项最多得6分；</w:t>
            </w:r>
            <w:r>
              <w:rPr>
                <w:rFonts w:hint="eastAsia" w:ascii="宋体" w:hAnsi="宋体" w:eastAsia="宋体" w:cs="宋体"/>
                <w:b w:val="0"/>
                <w:bCs w:val="0"/>
                <w:color w:val="000000"/>
                <w:sz w:val="21"/>
                <w:szCs w:val="21"/>
                <w:highlight w:val="none"/>
                <w:lang w:val="en-US" w:eastAsia="zh-CN"/>
              </w:rPr>
            </w:r>
            <w:r/>
          </w:p>
          <w:p>
            <w:pPr>
              <w:pStyle w:val="945"/>
              <w:ind w:firstLine="420"/>
              <w:jc w:val="left"/>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2）项目组其他成员具有高级及以上环境工程类职称每人得2分，本项最多得6分；</w:t>
            </w:r>
            <w:r>
              <w:rPr>
                <w:rFonts w:hint="eastAsia" w:ascii="宋体" w:hAnsi="宋体" w:eastAsia="宋体" w:cs="宋体"/>
                <w:b w:val="0"/>
                <w:bCs w:val="0"/>
                <w:color w:val="000000"/>
                <w:sz w:val="21"/>
                <w:szCs w:val="21"/>
                <w:highlight w:val="none"/>
                <w:lang w:val="en-US" w:eastAsia="zh-CN"/>
              </w:rPr>
            </w:r>
            <w:r/>
          </w:p>
          <w:p>
            <w:pPr>
              <w:pStyle w:val="1021"/>
              <w:ind w:firstLine="422"/>
              <w:jc w:val="left"/>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b/>
                <w:bCs/>
                <w:color w:val="000000"/>
                <w:sz w:val="21"/>
                <w:szCs w:val="21"/>
                <w:highlight w:val="none"/>
                <w:lang w:val="en-US" w:eastAsia="zh-CN" w:bidi="ar-SA"/>
              </w:rPr>
              <w:t xml:space="preserve">（除职称证以外，以上按一人一岗一证审查，须提供相应证书及投标人为其缴纳的近三个月任意一份社保证明材料上传系统）</w:t>
            </w:r>
            <w:r>
              <w:rPr>
                <w:rFonts w:hint="eastAsia" w:ascii="宋体" w:hAnsi="宋体" w:eastAsia="宋体" w:cs="宋体"/>
                <w:color w:val="000000"/>
                <w:sz w:val="21"/>
                <w:szCs w:val="21"/>
                <w:lang w:eastAsia="zh-CN"/>
              </w:rPr>
            </w:r>
            <w:r/>
          </w:p>
        </w:tc>
      </w:tr>
      <w:tr>
        <w:trPr>
          <w:trHeight w:val="1083"/>
        </w:trPr>
        <w:tc>
          <w:tcPr>
            <w:tcW w:w="1147" w:type="dxa"/>
            <w:vAlign w:val="center"/>
            <w:textDirection w:val="lrTb"/>
            <w:noWrap w:val="false"/>
          </w:tcPr>
          <w:p>
            <w:pPr>
              <w:pStyle w:val="945"/>
              <w:jc w:val="center"/>
              <w:keepLines w:val="0"/>
              <w:keepNext w:val="0"/>
              <w:pageBreakBefore w:val="0"/>
              <w:spacing w:line="288"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业绩</w:t>
            </w:r>
            <w:r>
              <w:rPr>
                <w:rFonts w:hint="eastAsia" w:ascii="宋体" w:hAnsi="宋体" w:eastAsia="宋体" w:cs="宋体"/>
                <w:b/>
                <w:bCs/>
                <w:color w:val="000000"/>
                <w:sz w:val="21"/>
                <w:szCs w:val="21"/>
                <w:highlight w:val="none"/>
              </w:rPr>
            </w:r>
            <w:r/>
          </w:p>
          <w:p>
            <w:pPr>
              <w:pStyle w:val="945"/>
              <w:jc w:val="center"/>
              <w:keepLines w:val="0"/>
              <w:keepNext w:val="0"/>
              <w:pageBreakBefore w:val="0"/>
              <w:spacing w:line="288"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分）</w:t>
            </w:r>
            <w:r>
              <w:rPr>
                <w:rFonts w:hint="eastAsia" w:ascii="宋体" w:hAnsi="宋体" w:eastAsia="宋体" w:cs="宋体"/>
                <w:color w:val="000000"/>
                <w:sz w:val="21"/>
                <w:szCs w:val="21"/>
                <w:highlight w:val="none"/>
              </w:rPr>
            </w:r>
            <w:r/>
          </w:p>
        </w:tc>
        <w:tc>
          <w:tcPr>
            <w:gridSpan w:val="2"/>
            <w:tcW w:w="7706" w:type="dxa"/>
            <w:vAlign w:val="center"/>
            <w:textDirection w:val="lrTb"/>
            <w:noWrap w:val="false"/>
          </w:tcPr>
          <w:p>
            <w:pPr>
              <w:pStyle w:val="945"/>
              <w:ind w:firstLine="420"/>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eastAsia="zh-CN"/>
              </w:rPr>
              <w:t xml:space="preserve">投标人202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1日</w:t>
            </w:r>
            <w:r>
              <w:rPr>
                <w:rFonts w:hint="eastAsia" w:ascii="宋体" w:hAnsi="宋体" w:eastAsia="宋体" w:cs="宋体"/>
                <w:color w:val="000000"/>
                <w:sz w:val="21"/>
                <w:szCs w:val="21"/>
                <w:highlight w:val="none"/>
                <w:lang w:eastAsia="zh-CN"/>
              </w:rPr>
              <w:t xml:space="preserve">以来（以合同签订时间为准）承担过</w:t>
            </w:r>
            <w:r>
              <w:rPr>
                <w:rFonts w:hint="eastAsia" w:ascii="宋体" w:hAnsi="宋体" w:eastAsia="宋体" w:cs="宋体"/>
                <w:color w:val="000000"/>
                <w:sz w:val="21"/>
                <w:szCs w:val="21"/>
                <w:highlight w:val="none"/>
                <w:lang w:val="en-US" w:eastAsia="zh-CN"/>
              </w:rPr>
              <w:t xml:space="preserve">类似项目</w:t>
            </w:r>
            <w:r>
              <w:rPr>
                <w:rFonts w:hint="eastAsia" w:ascii="宋体" w:hAnsi="宋体" w:eastAsia="宋体" w:cs="宋体"/>
                <w:color w:val="000000"/>
                <w:sz w:val="21"/>
                <w:szCs w:val="21"/>
                <w:highlight w:val="none"/>
                <w:lang w:eastAsia="zh-CN"/>
              </w:rPr>
              <w:t xml:space="preserve">业绩，有一个业绩得2分，本项最高得10分。</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rPr>
              <w:t xml:space="preserve">提供</w:t>
            </w:r>
            <w:r>
              <w:rPr>
                <w:rFonts w:hint="eastAsia" w:ascii="宋体" w:hAnsi="宋体" w:eastAsia="宋体" w:cs="宋体"/>
                <w:b/>
                <w:bCs/>
                <w:color w:val="000000"/>
                <w:sz w:val="21"/>
                <w:szCs w:val="21"/>
                <w:lang w:eastAsia="zh-CN"/>
              </w:rPr>
              <w:t xml:space="preserve">合同</w:t>
            </w:r>
            <w:r>
              <w:rPr>
                <w:rFonts w:hint="eastAsia" w:ascii="宋体" w:hAnsi="宋体" w:eastAsia="宋体" w:cs="宋体"/>
                <w:b/>
                <w:bCs/>
                <w:color w:val="000000"/>
                <w:sz w:val="21"/>
                <w:szCs w:val="21"/>
                <w:lang w:val="en-US" w:eastAsia="zh-CN"/>
              </w:rPr>
              <w:t xml:space="preserve">扫描件上传系统</w:t>
            </w:r>
            <w:r>
              <w:rPr>
                <w:rFonts w:hint="eastAsia" w:ascii="宋体" w:hAnsi="宋体" w:eastAsia="宋体" w:cs="宋体"/>
                <w:b/>
                <w:bCs/>
                <w:color w:val="000000"/>
                <w:sz w:val="21"/>
                <w:szCs w:val="21"/>
                <w:highlight w:val="none"/>
              </w:rPr>
              <w:t xml:space="preserve">)</w:t>
            </w:r>
            <w:r>
              <w:rPr>
                <w:rFonts w:hint="eastAsia" w:ascii="宋体" w:hAnsi="宋体" w:eastAsia="宋体" w:cs="宋体"/>
                <w:b/>
                <w:color w:val="000000"/>
                <w:sz w:val="21"/>
                <w:szCs w:val="21"/>
                <w:highlight w:val="none"/>
              </w:rPr>
            </w:r>
            <w:r/>
          </w:p>
        </w:tc>
      </w:tr>
      <w:tr>
        <w:trPr>
          <w:trHeight w:val="455"/>
        </w:trPr>
        <w:tc>
          <w:tcPr>
            <w:tcW w:w="1147" w:type="dxa"/>
            <w:vAlign w:val="center"/>
            <w:textDirection w:val="lrTb"/>
            <w:noWrap w:val="false"/>
          </w:tcPr>
          <w:p>
            <w:pPr>
              <w:pStyle w:val="945"/>
              <w:jc w:val="center"/>
              <w:keepLines w:val="0"/>
              <w:keepNext w:val="0"/>
              <w:pageBreakBefore w:val="0"/>
              <w:spacing w:line="288"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总分</w:t>
            </w:r>
            <w:r>
              <w:rPr>
                <w:rFonts w:hint="eastAsia" w:ascii="宋体" w:hAnsi="宋体" w:eastAsia="宋体" w:cs="宋体"/>
                <w:color w:val="000000"/>
                <w:sz w:val="21"/>
                <w:szCs w:val="21"/>
              </w:rPr>
            </w:r>
            <w:r/>
          </w:p>
        </w:tc>
        <w:tc>
          <w:tcPr>
            <w:gridSpan w:val="2"/>
            <w:tcW w:w="7706" w:type="dxa"/>
            <w:vAlign w:val="center"/>
            <w:textDirection w:val="lrTb"/>
            <w:noWrap w:val="false"/>
          </w:tcPr>
          <w:p>
            <w:pPr>
              <w:pStyle w:val="945"/>
              <w:ind w:firstLine="480"/>
              <w:jc w:val="center"/>
              <w:keepLines w:val="0"/>
              <w:keepNext w:val="0"/>
              <w:pageBreakBefore w:val="0"/>
              <w:spacing w:line="288"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100分</w:t>
            </w:r>
            <w:r>
              <w:rPr>
                <w:rFonts w:hint="eastAsia" w:ascii="宋体" w:hAnsi="宋体" w:eastAsia="宋体" w:cs="宋体"/>
                <w:color w:val="000000"/>
                <w:sz w:val="21"/>
                <w:szCs w:val="21"/>
              </w:rPr>
            </w:r>
            <w:r/>
          </w:p>
        </w:tc>
      </w:tr>
    </w:tbl>
    <w:p>
      <w:pPr>
        <w:pStyle w:val="946"/>
        <w:rPr>
          <w:rFonts w:hint="eastAsia" w:ascii="黑体" w:eastAsia="黑体"/>
          <w:bCs/>
          <w:color w:val="000000"/>
          <w:sz w:val="44"/>
        </w:rPr>
      </w:pPr>
      <w:r/>
      <w:bookmarkStart w:id="208" w:name="_Toc13249"/>
      <w:r>
        <w:rPr>
          <w:rFonts w:hint="eastAsia" w:ascii="黑体" w:eastAsia="黑体"/>
          <w:bCs/>
          <w:color w:val="000000"/>
          <w:sz w:val="44"/>
        </w:rPr>
        <w:t xml:space="preserve">第六章  投标</w:t>
      </w:r>
      <w:bookmarkEnd w:id="204"/>
      <w:r/>
      <w:bookmarkEnd w:id="205"/>
      <w:r/>
      <w:bookmarkEnd w:id="206"/>
      <w:r>
        <w:rPr>
          <w:rFonts w:hint="eastAsia" w:ascii="黑体" w:eastAsia="黑体"/>
          <w:bCs/>
          <w:color w:val="000000"/>
          <w:sz w:val="44"/>
        </w:rPr>
        <w:t xml:space="preserve">文件格式</w:t>
      </w:r>
      <w:bookmarkEnd w:id="208"/>
      <w:r>
        <w:rPr>
          <w:rFonts w:hint="eastAsia" w:ascii="黑体" w:eastAsia="黑体"/>
          <w:bCs/>
          <w:color w:val="000000"/>
          <w:sz w:val="44"/>
        </w:rPr>
        <w:t xml:space="preserve"> </w:t>
      </w:r>
      <w:r>
        <w:rPr>
          <w:rFonts w:hint="eastAsia" w:ascii="黑体" w:eastAsia="黑体"/>
          <w:bCs/>
          <w:color w:val="000000"/>
          <w:sz w:val="44"/>
        </w:rPr>
      </w:r>
      <w:r/>
    </w:p>
    <w:p>
      <w:pPr>
        <w:pStyle w:val="945"/>
        <w:jc w:val="center"/>
        <w:rPr>
          <w:rFonts w:hint="eastAsia" w:ascii="宋体" w:hAnsi="宋体"/>
          <w:b/>
          <w:color w:val="000000"/>
          <w:sz w:val="72"/>
        </w:rPr>
      </w:pPr>
      <w:r/>
      <w:bookmarkStart w:id="209" w:name="_Hlt26671244"/>
      <w:r/>
      <w:bookmarkEnd w:id="209"/>
      <w:r/>
      <w:bookmarkStart w:id="210" w:name="_Hlt26955039"/>
      <w:r/>
      <w:bookmarkEnd w:id="210"/>
      <w:r/>
      <w:bookmarkStart w:id="211" w:name="_Toc120614282"/>
      <w:r/>
      <w:bookmarkStart w:id="212" w:name="_Toc49090576"/>
      <w:r/>
      <w:bookmarkStart w:id="213" w:name="_Toc26554094"/>
      <w:r>
        <w:rPr>
          <w:rFonts w:hint="eastAsia" w:ascii="宋体" w:hAnsi="宋体"/>
          <w:b/>
          <w:color w:val="000000"/>
          <w:sz w:val="72"/>
        </w:rPr>
      </w:r>
      <w:r/>
    </w:p>
    <w:p>
      <w:pPr>
        <w:pStyle w:val="945"/>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945"/>
        <w:jc w:val="center"/>
        <w:rPr>
          <w:rFonts w:hint="eastAsia" w:ascii="宋体" w:hAnsi="宋体"/>
          <w:b/>
          <w:color w:val="000000"/>
          <w:sz w:val="72"/>
        </w:rPr>
      </w:pPr>
      <w:r>
        <w:rPr>
          <w:rFonts w:hint="eastAsia" w:ascii="宋体" w:hAnsi="宋体"/>
          <w:b/>
          <w:color w:val="000000"/>
          <w:sz w:val="72"/>
        </w:rPr>
      </w:r>
      <w:r/>
    </w:p>
    <w:p>
      <w:pPr>
        <w:pStyle w:val="945"/>
        <w:jc w:val="center"/>
        <w:rPr>
          <w:rFonts w:hint="eastAsia" w:ascii="宋体" w:hAnsi="宋体"/>
          <w:b/>
          <w:color w:val="000000"/>
          <w:sz w:val="72"/>
        </w:rPr>
      </w:pPr>
      <w:r>
        <w:rPr>
          <w:rFonts w:hint="eastAsia" w:ascii="宋体" w:hAnsi="宋体"/>
          <w:b/>
          <w:color w:val="000000"/>
          <w:sz w:val="72"/>
        </w:rPr>
      </w:r>
      <w:r/>
    </w:p>
    <w:p>
      <w:pPr>
        <w:pStyle w:val="945"/>
        <w:jc w:val="center"/>
        <w:rPr>
          <w:rFonts w:hint="eastAsia" w:ascii="宋体" w:hAnsi="宋体"/>
          <w:b/>
          <w:color w:val="000000"/>
          <w:sz w:val="36"/>
        </w:rPr>
      </w:pPr>
      <w:r>
        <w:rPr>
          <w:rFonts w:hint="eastAsia" w:ascii="宋体" w:hAnsi="宋体"/>
          <w:b/>
          <w:color w:val="000000"/>
          <w:sz w:val="36"/>
        </w:rPr>
      </w:r>
      <w:r/>
    </w:p>
    <w:p>
      <w:pPr>
        <w:pStyle w:val="945"/>
        <w:jc w:val="center"/>
        <w:rPr>
          <w:rFonts w:hint="eastAsia" w:ascii="宋体" w:hAnsi="宋体"/>
          <w:b/>
          <w:color w:val="000000"/>
          <w:sz w:val="36"/>
        </w:rPr>
      </w:pPr>
      <w:r>
        <w:rPr>
          <w:rFonts w:hint="eastAsia" w:ascii="宋体" w:hAnsi="宋体"/>
          <w:b/>
          <w:color w:val="000000"/>
          <w:sz w:val="36"/>
        </w:rPr>
      </w:r>
      <w:r/>
    </w:p>
    <w:p>
      <w:pPr>
        <w:pStyle w:val="945"/>
        <w:jc w:val="center"/>
        <w:rPr>
          <w:rFonts w:hint="eastAsia" w:ascii="宋体" w:hAnsi="宋体"/>
          <w:b/>
          <w:color w:val="000000"/>
          <w:sz w:val="36"/>
        </w:rPr>
      </w:pPr>
      <w:r>
        <w:rPr>
          <w:rFonts w:hint="eastAsia" w:ascii="宋体" w:hAnsi="宋体"/>
          <w:b/>
          <w:color w:val="000000"/>
          <w:sz w:val="36"/>
        </w:rPr>
      </w:r>
      <w:r/>
    </w:p>
    <w:p>
      <w:pPr>
        <w:pStyle w:val="945"/>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945"/>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945"/>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945"/>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94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5"/>
        <w:spacing w:line="440" w:lineRule="exact"/>
        <w:rPr>
          <w:rFonts w:ascii="宋体" w:hAnsi="宋体"/>
          <w:color w:val="000000"/>
        </w:rPr>
      </w:pPr>
      <w:r>
        <w:rPr>
          <w:rFonts w:ascii="宋体" w:hAnsi="宋体"/>
          <w:color w:val="000000"/>
        </w:rPr>
      </w:r>
      <w:r/>
    </w:p>
    <w:p>
      <w:pPr>
        <w:pStyle w:val="945"/>
        <w:ind w:firstLine="1084"/>
        <w:rPr>
          <w:rFonts w:ascii="宋体" w:hAnsi="宋体"/>
          <w:b/>
          <w:bCs/>
          <w:color w:val="000000"/>
          <w:sz w:val="32"/>
          <w:szCs w:val="32"/>
        </w:rPr>
      </w:pPr>
      <w:r>
        <w:rPr>
          <w:rFonts w:ascii="宋体" w:hAnsi="宋体"/>
          <w:b/>
          <w:color w:val="000000"/>
          <w:sz w:val="36"/>
          <w:u w:val="single"/>
        </w:rPr>
        <w:br w:type="page" w:clear="all"/>
      </w:r>
      <w:r>
        <w:rPr>
          <w:rFonts w:ascii="宋体" w:hAnsi="宋体"/>
          <w:b/>
          <w:bCs/>
          <w:color w:val="000000"/>
          <w:sz w:val="32"/>
          <w:szCs w:val="32"/>
        </w:rPr>
      </w:r>
      <w:r/>
    </w:p>
    <w:p>
      <w:pPr>
        <w:pStyle w:val="945"/>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94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5"/>
        <w:ind w:left="480"/>
        <w:rPr>
          <w:rFonts w:hint="eastAsia" w:ascii="宋体" w:hAnsi="宋体"/>
          <w:i/>
          <w:color w:val="000000"/>
          <w:sz w:val="24"/>
          <w:u w:val="single"/>
        </w:rPr>
      </w:pPr>
      <w:r>
        <w:rPr>
          <w:rFonts w:hint="eastAsia" w:ascii="宋体" w:hAnsi="宋体"/>
          <w:i/>
          <w:color w:val="000000"/>
          <w:sz w:val="24"/>
          <w:u w:val="single"/>
        </w:rPr>
        <w:t xml:space="preserve">一、法人或者其他组织的营业执照等证明文件，自然人的身份证明</w:t>
      </w:r>
      <w:r>
        <w:rPr>
          <w:rFonts w:hint="eastAsia" w:ascii="宋体" w:hAnsi="宋体"/>
          <w:i/>
          <w:color w:val="000000"/>
          <w:sz w:val="24"/>
          <w:u w:val="single"/>
        </w:rPr>
      </w:r>
      <w:r/>
    </w:p>
    <w:p>
      <w:pPr>
        <w:pStyle w:val="945"/>
        <w:ind w:left="480"/>
        <w:rPr>
          <w:rFonts w:hint="eastAsia" w:ascii="宋体" w:hAnsi="宋体"/>
          <w:i/>
          <w:color w:val="000000"/>
          <w:sz w:val="24"/>
          <w:u w:val="single"/>
        </w:rPr>
      </w:pPr>
      <w:r>
        <w:rPr>
          <w:rFonts w:hint="eastAsia" w:ascii="宋体" w:hAnsi="宋体"/>
          <w:i/>
          <w:color w:val="000000"/>
          <w:sz w:val="24"/>
          <w:u w:val="single"/>
        </w:rPr>
        <w:t xml:space="preserve">二、上一年度的财务状况报告（投标人成立不满一年无需提供）</w:t>
      </w:r>
      <w:r>
        <w:rPr>
          <w:rFonts w:hint="eastAsia" w:ascii="宋体" w:hAnsi="宋体"/>
          <w:i/>
          <w:color w:val="000000"/>
          <w:sz w:val="24"/>
          <w:u w:val="single"/>
        </w:rPr>
      </w:r>
      <w:r/>
    </w:p>
    <w:p>
      <w:pPr>
        <w:pStyle w:val="945"/>
        <w:ind w:left="480"/>
        <w:rPr>
          <w:rFonts w:hint="eastAsia" w:ascii="宋体" w:hAnsi="宋体"/>
          <w:i/>
          <w:color w:val="000000"/>
          <w:sz w:val="24"/>
          <w:u w:val="single"/>
        </w:rPr>
      </w:pPr>
      <w:r>
        <w:rPr>
          <w:rFonts w:hint="eastAsia" w:ascii="宋体" w:hAnsi="宋体"/>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i/>
          <w:color w:val="000000"/>
          <w:sz w:val="24"/>
          <w:u w:val="single"/>
        </w:rPr>
      </w:r>
      <w:r/>
    </w:p>
    <w:p>
      <w:pPr>
        <w:pStyle w:val="945"/>
        <w:ind w:left="480"/>
        <w:rPr>
          <w:rFonts w:hint="eastAsia" w:ascii="宋体" w:hAnsi="宋体"/>
          <w:i/>
          <w:color w:val="000000"/>
          <w:sz w:val="24"/>
          <w:u w:val="single"/>
        </w:rPr>
      </w:pPr>
      <w:r>
        <w:rPr>
          <w:rFonts w:hint="eastAsia" w:ascii="宋体" w:hAnsi="宋体"/>
          <w:i/>
          <w:color w:val="000000"/>
          <w:sz w:val="24"/>
          <w:u w:val="single"/>
        </w:rPr>
        <w:t xml:space="preserve">四、具备履行合同所必需的设备和专业技术能力的书面声明</w:t>
      </w:r>
      <w:r>
        <w:rPr>
          <w:rFonts w:hint="eastAsia" w:ascii="宋体" w:hAnsi="宋体"/>
          <w:i/>
          <w:color w:val="000000"/>
          <w:sz w:val="24"/>
          <w:u w:val="single"/>
        </w:rPr>
      </w:r>
      <w:r/>
    </w:p>
    <w:p>
      <w:pPr>
        <w:pStyle w:val="945"/>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五、参加政府采购活动前 3 年内在经营活动中没有重大违法记录的书面声明</w:t>
      </w:r>
      <w:r>
        <w:rPr>
          <w:rFonts w:hint="eastAsia" w:ascii="宋体" w:hAnsi="宋体"/>
          <w:i/>
          <w:color w:val="000000"/>
          <w:sz w:val="24"/>
          <w:u w:val="single"/>
        </w:rPr>
      </w:r>
      <w:r/>
    </w:p>
    <w:p>
      <w:pPr>
        <w:pStyle w:val="945"/>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六、特定资格要求的证明文件（如果本项目设置特定资格要求，则需要提供）</w:t>
      </w:r>
      <w:r>
        <w:rPr>
          <w:rFonts w:hint="eastAsia" w:ascii="宋体" w:hAnsi="宋体"/>
          <w:i/>
          <w:color w:val="000000"/>
          <w:sz w:val="24"/>
          <w:u w:val="single"/>
        </w:rPr>
      </w:r>
      <w:r/>
    </w:p>
    <w:p>
      <w:pPr>
        <w:pStyle w:val="945"/>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七、法人授权书</w:t>
      </w:r>
      <w:r>
        <w:rPr>
          <w:rFonts w:hint="eastAsia" w:ascii="宋体" w:hAnsi="宋体"/>
          <w:i/>
          <w:color w:val="000000"/>
          <w:sz w:val="24"/>
          <w:u w:val="single"/>
        </w:rPr>
      </w:r>
      <w:r/>
    </w:p>
    <w:p>
      <w:pPr>
        <w:pStyle w:val="945"/>
        <w:ind w:firstLine="480"/>
        <w:spacing w:line="440" w:lineRule="exact"/>
        <w:rPr>
          <w:rFonts w:hint="eastAsia" w:ascii="宋体" w:hAnsi="宋体"/>
          <w:i/>
          <w:color w:val="000000"/>
          <w:sz w:val="24"/>
          <w:u w:val="single"/>
        </w:rPr>
      </w:pPr>
      <w:r>
        <w:rPr>
          <w:rFonts w:hint="eastAsia" w:ascii="宋体" w:hAnsi="宋体"/>
          <w:i/>
          <w:color w:val="000000"/>
          <w:sz w:val="24"/>
          <w:u w:val="single"/>
        </w:rPr>
        <w:t xml:space="preserve">八、投标函</w:t>
      </w:r>
      <w:r>
        <w:rPr>
          <w:rFonts w:hint="eastAsia" w:ascii="宋体" w:hAnsi="宋体"/>
          <w:i/>
          <w:color w:val="000000"/>
          <w:sz w:val="24"/>
          <w:u w:val="single"/>
        </w:rPr>
      </w:r>
      <w:r/>
    </w:p>
    <w:p>
      <w:pPr>
        <w:pStyle w:val="945"/>
        <w:ind w:firstLine="480"/>
        <w:spacing w:line="440" w:lineRule="exact"/>
        <w:rPr>
          <w:rFonts w:hint="eastAsia" w:ascii="宋体" w:hAnsi="宋体"/>
          <w:color w:val="000000"/>
          <w:sz w:val="24"/>
        </w:rPr>
      </w:pPr>
      <w:r>
        <w:rPr>
          <w:rFonts w:hint="eastAsia" w:ascii="宋体" w:hAnsi="宋体"/>
          <w:color w:val="000000"/>
          <w:sz w:val="24"/>
        </w:rPr>
        <w:t xml:space="preserve">九、小微企业声明函</w:t>
      </w:r>
      <w:r>
        <w:rPr>
          <w:rFonts w:hint="eastAsia" w:ascii="宋体" w:hAnsi="宋体"/>
          <w:color w:val="000000"/>
          <w:sz w:val="24"/>
        </w:rPr>
      </w:r>
      <w:r/>
    </w:p>
    <w:p>
      <w:pPr>
        <w:pStyle w:val="945"/>
        <w:ind w:firstLine="480"/>
        <w:spacing w:line="440" w:lineRule="exact"/>
        <w:rPr>
          <w:rFonts w:hint="eastAsia" w:ascii="宋体" w:hAnsi="宋体"/>
          <w:color w:val="000000"/>
          <w:sz w:val="24"/>
        </w:rPr>
      </w:pPr>
      <w:r>
        <w:rPr>
          <w:rFonts w:hint="eastAsia" w:ascii="宋体" w:hAnsi="宋体"/>
          <w:color w:val="000000"/>
          <w:sz w:val="24"/>
        </w:rPr>
        <w:t xml:space="preserve">十、残疾人福利性单位声明函</w:t>
      </w:r>
      <w:r>
        <w:rPr>
          <w:rFonts w:hint="eastAsia" w:ascii="宋体" w:hAnsi="宋体"/>
          <w:color w:val="000000"/>
          <w:sz w:val="24"/>
        </w:rPr>
      </w:r>
      <w:r/>
    </w:p>
    <w:p>
      <w:pPr>
        <w:pStyle w:val="945"/>
        <w:ind w:firstLine="480"/>
        <w:spacing w:line="440" w:lineRule="exact"/>
        <w:rPr>
          <w:rFonts w:hint="eastAsia" w:ascii="宋体" w:hAnsi="宋体"/>
          <w:color w:val="000000"/>
          <w:sz w:val="24"/>
        </w:rPr>
      </w:pPr>
      <w:r>
        <w:rPr>
          <w:rFonts w:hint="eastAsia" w:ascii="宋体" w:hAnsi="宋体"/>
          <w:color w:val="000000"/>
          <w:sz w:val="24"/>
        </w:rPr>
        <w:t xml:space="preserve">十一、联合体协议</w:t>
      </w:r>
      <w:r>
        <w:rPr>
          <w:rFonts w:hint="eastAsia" w:ascii="宋体" w:hAnsi="宋体"/>
          <w:color w:val="000000"/>
          <w:sz w:val="24"/>
        </w:rPr>
      </w:r>
      <w:r/>
    </w:p>
    <w:p>
      <w:pPr>
        <w:pStyle w:val="945"/>
        <w:ind w:firstLine="480"/>
        <w:spacing w:line="440" w:lineRule="exact"/>
        <w:rPr>
          <w:rFonts w:hint="eastAsia" w:ascii="宋体" w:hAnsi="宋体"/>
          <w:color w:val="000000"/>
          <w:sz w:val="24"/>
        </w:rPr>
      </w:pPr>
      <w:r>
        <w:rPr>
          <w:rFonts w:hint="eastAsia" w:ascii="宋体" w:hAnsi="宋体"/>
          <w:color w:val="000000"/>
          <w:sz w:val="24"/>
        </w:rPr>
        <w:t xml:space="preserve">十二、投标分项报价表</w:t>
      </w:r>
      <w:r>
        <w:rPr>
          <w:rFonts w:hint="eastAsia" w:ascii="宋体" w:hAnsi="宋体"/>
          <w:color w:val="000000"/>
          <w:sz w:val="24"/>
        </w:rPr>
      </w:r>
      <w:r/>
    </w:p>
    <w:p>
      <w:pPr>
        <w:pStyle w:val="945"/>
        <w:ind w:firstLine="480"/>
        <w:spacing w:line="440" w:lineRule="exact"/>
        <w:rPr>
          <w:rFonts w:hint="eastAsia" w:ascii="宋体" w:hAnsi="宋体"/>
          <w:color w:val="000000"/>
          <w:sz w:val="24"/>
        </w:rPr>
      </w:pPr>
      <w:r>
        <w:rPr>
          <w:rFonts w:hint="eastAsia" w:ascii="宋体" w:hAnsi="宋体"/>
          <w:color w:val="000000"/>
          <w:sz w:val="24"/>
        </w:rPr>
        <w:t xml:space="preserve">十三、技术要求响应及偏离表</w:t>
      </w:r>
      <w:r>
        <w:rPr>
          <w:rFonts w:hint="eastAsia" w:ascii="宋体" w:hAnsi="宋体"/>
          <w:color w:val="000000"/>
          <w:sz w:val="24"/>
        </w:rPr>
      </w:r>
      <w:r/>
    </w:p>
    <w:p>
      <w:pPr>
        <w:pStyle w:val="945"/>
        <w:ind w:firstLine="480"/>
        <w:spacing w:line="440" w:lineRule="exact"/>
        <w:rPr>
          <w:rFonts w:ascii="宋体" w:hAnsi="宋体"/>
          <w:color w:val="000000"/>
          <w:sz w:val="24"/>
        </w:rPr>
      </w:pPr>
      <w:r>
        <w:rPr>
          <w:rFonts w:hint="eastAsia" w:ascii="宋体" w:hAnsi="宋体"/>
          <w:color w:val="000000"/>
          <w:sz w:val="24"/>
        </w:rPr>
        <w:t xml:space="preserve">十四、商务要求响应及偏离表</w:t>
      </w:r>
      <w:r>
        <w:rPr>
          <w:rFonts w:ascii="宋体" w:hAnsi="宋体"/>
          <w:color w:val="000000"/>
          <w:sz w:val="24"/>
        </w:rPr>
      </w:r>
      <w:r/>
    </w:p>
    <w:p>
      <w:pPr>
        <w:pStyle w:val="945"/>
        <w:ind w:firstLine="480"/>
        <w:spacing w:line="440" w:lineRule="exact"/>
        <w:rPr>
          <w:rFonts w:ascii="宋体" w:hAnsi="宋体"/>
          <w:i/>
          <w:color w:val="000000"/>
          <w:sz w:val="24"/>
          <w:u w:val="single"/>
        </w:rPr>
      </w:pPr>
      <w:r>
        <w:rPr>
          <w:rFonts w:hint="eastAsia" w:ascii="宋体" w:hAnsi="宋体"/>
          <w:i/>
          <w:color w:val="000000"/>
          <w:sz w:val="24"/>
          <w:u w:val="single"/>
        </w:rPr>
        <w:t xml:space="preserve">十五、开标一览表</w:t>
      </w:r>
      <w:r>
        <w:rPr>
          <w:rFonts w:ascii="宋体" w:hAnsi="宋体"/>
          <w:i/>
          <w:color w:val="000000"/>
          <w:sz w:val="24"/>
          <w:u w:val="single"/>
        </w:rPr>
      </w:r>
      <w:r/>
    </w:p>
    <w:p>
      <w:pPr>
        <w:pStyle w:val="945"/>
        <w:ind w:firstLine="480"/>
        <w:spacing w:line="440" w:lineRule="exact"/>
        <w:rPr>
          <w:rFonts w:ascii="宋体" w:hAnsi="宋体"/>
          <w:color w:val="000000"/>
          <w:sz w:val="24"/>
        </w:rPr>
      </w:pPr>
      <w:r>
        <w:rPr>
          <w:rFonts w:ascii="宋体" w:hAnsi="宋体"/>
          <w:color w:val="000000"/>
          <w:sz w:val="24"/>
        </w:rPr>
      </w:r>
      <w:r/>
    </w:p>
    <w:p>
      <w:pPr>
        <w:pStyle w:val="945"/>
        <w:ind w:firstLine="480"/>
        <w:spacing w:line="440" w:lineRule="exact"/>
        <w:rPr>
          <w:rFonts w:ascii="宋体" w:hAnsi="宋体"/>
          <w:color w:val="000000"/>
          <w:sz w:val="24"/>
        </w:rPr>
      </w:pPr>
      <w:r>
        <w:rPr>
          <w:rFonts w:ascii="宋体" w:hAnsi="宋体"/>
          <w:color w:val="000000"/>
          <w:sz w:val="24"/>
        </w:rPr>
      </w:r>
      <w:r/>
    </w:p>
    <w:p>
      <w:pPr>
        <w:pStyle w:val="945"/>
        <w:ind w:firstLine="480"/>
        <w:spacing w:line="440" w:lineRule="exact"/>
        <w:rPr>
          <w:rFonts w:ascii="宋体" w:hAnsi="宋体"/>
          <w:color w:val="000000"/>
          <w:sz w:val="24"/>
        </w:rPr>
      </w:pPr>
      <w:r>
        <w:rPr>
          <w:rFonts w:ascii="宋体" w:hAnsi="宋体"/>
          <w:color w:val="000000"/>
          <w:sz w:val="24"/>
        </w:rPr>
      </w:r>
      <w:r/>
    </w:p>
    <w:p>
      <w:pPr>
        <w:pStyle w:val="945"/>
        <w:ind w:firstLine="480"/>
        <w:spacing w:line="440" w:lineRule="exact"/>
        <w:rPr>
          <w:rFonts w:ascii="宋体" w:hAnsi="宋体"/>
          <w:color w:val="000000"/>
          <w:sz w:val="24"/>
        </w:rPr>
      </w:pPr>
      <w:r>
        <w:rPr>
          <w:rFonts w:ascii="宋体" w:hAnsi="宋体"/>
          <w:color w:val="000000"/>
          <w:sz w:val="24"/>
        </w:rPr>
      </w:r>
      <w:r/>
    </w:p>
    <w:p>
      <w:pPr>
        <w:pStyle w:val="945"/>
        <w:ind w:firstLine="480"/>
        <w:spacing w:line="440" w:lineRule="exact"/>
        <w:rPr>
          <w:rFonts w:ascii="宋体" w:hAnsi="宋体"/>
          <w:color w:val="000000"/>
          <w:sz w:val="24"/>
        </w:rPr>
      </w:pPr>
      <w:r>
        <w:rPr>
          <w:rFonts w:ascii="宋体" w:hAnsi="宋体"/>
          <w:color w:val="000000"/>
          <w:sz w:val="24"/>
        </w:rPr>
      </w:r>
      <w:r/>
    </w:p>
    <w:p>
      <w:pPr>
        <w:pStyle w:val="945"/>
        <w:ind w:firstLine="480"/>
        <w:spacing w:line="440" w:lineRule="exact"/>
        <w:rPr>
          <w:rFonts w:ascii="宋体" w:hAnsi="宋体"/>
          <w:color w:val="000000"/>
          <w:sz w:val="24"/>
        </w:rPr>
      </w:pPr>
      <w:r>
        <w:rPr>
          <w:rFonts w:ascii="宋体" w:hAnsi="宋体"/>
          <w:color w:val="000000"/>
          <w:sz w:val="24"/>
        </w:rPr>
      </w:r>
      <w:r/>
    </w:p>
    <w:p>
      <w:pPr>
        <w:pStyle w:val="945"/>
        <w:ind w:firstLine="480"/>
        <w:spacing w:line="440" w:lineRule="exact"/>
        <w:rPr>
          <w:rFonts w:ascii="宋体" w:hAnsi="宋体"/>
          <w:color w:val="000000"/>
          <w:sz w:val="24"/>
        </w:rPr>
      </w:pPr>
      <w:r>
        <w:rPr>
          <w:rFonts w:ascii="宋体" w:hAnsi="宋体"/>
          <w:color w:val="000000"/>
          <w:sz w:val="24"/>
        </w:rPr>
      </w:r>
      <w:r/>
    </w:p>
    <w:p>
      <w:pPr>
        <w:pStyle w:val="1021"/>
        <w:rPr>
          <w:rFonts w:ascii="宋体" w:hAnsi="宋体"/>
          <w:color w:val="000000"/>
          <w:sz w:val="24"/>
        </w:rPr>
      </w:pPr>
      <w:r>
        <w:rPr>
          <w:rFonts w:ascii="宋体" w:hAnsi="宋体"/>
          <w:color w:val="000000"/>
          <w:sz w:val="24"/>
        </w:rPr>
      </w:r>
      <w:r/>
    </w:p>
    <w:p>
      <w:pPr>
        <w:pStyle w:val="1021"/>
        <w:rPr>
          <w:rFonts w:ascii="宋体" w:hAnsi="宋体"/>
          <w:color w:val="000000"/>
          <w:sz w:val="24"/>
        </w:rPr>
      </w:pPr>
      <w:r>
        <w:rPr>
          <w:rFonts w:ascii="宋体" w:hAnsi="宋体"/>
          <w:color w:val="000000"/>
          <w:sz w:val="24"/>
        </w:rPr>
      </w:r>
      <w:r/>
    </w:p>
    <w:p>
      <w:pPr>
        <w:pStyle w:val="1021"/>
        <w:rPr>
          <w:rFonts w:ascii="宋体" w:hAnsi="宋体"/>
          <w:color w:val="000000"/>
          <w:sz w:val="24"/>
        </w:rPr>
      </w:pPr>
      <w:r>
        <w:rPr>
          <w:rFonts w:ascii="宋体" w:hAnsi="宋体"/>
          <w:color w:val="000000"/>
          <w:sz w:val="24"/>
        </w:rPr>
      </w:r>
      <w:r/>
    </w:p>
    <w:p>
      <w:pPr>
        <w:pStyle w:val="1021"/>
        <w:rPr>
          <w:rFonts w:ascii="宋体" w:hAnsi="宋体"/>
          <w:color w:val="000000"/>
          <w:sz w:val="24"/>
        </w:rPr>
      </w:pPr>
      <w:r>
        <w:rPr>
          <w:rFonts w:ascii="宋体" w:hAnsi="宋体"/>
          <w:color w:val="000000"/>
          <w:sz w:val="24"/>
        </w:rPr>
      </w:r>
      <w:r/>
    </w:p>
    <w:p>
      <w:pPr>
        <w:pStyle w:val="945"/>
        <w:ind w:firstLine="480"/>
        <w:spacing w:line="440" w:lineRule="exact"/>
        <w:rPr>
          <w:rFonts w:ascii="宋体" w:hAnsi="宋体"/>
          <w:color w:val="000000"/>
          <w:sz w:val="24"/>
        </w:rPr>
      </w:pPr>
      <w:r>
        <w:rPr>
          <w:rFonts w:ascii="宋体" w:hAnsi="宋体"/>
          <w:color w:val="000000"/>
          <w:sz w:val="24"/>
        </w:rPr>
      </w:r>
      <w:r/>
    </w:p>
    <w:p>
      <w:pPr>
        <w:pStyle w:val="945"/>
        <w:ind w:firstLine="480"/>
        <w:spacing w:line="440" w:lineRule="exact"/>
        <w:rPr>
          <w:rFonts w:ascii="宋体" w:hAnsi="宋体"/>
          <w:color w:val="000000"/>
          <w:sz w:val="24"/>
        </w:rPr>
      </w:pPr>
      <w:r>
        <w:rPr>
          <w:rFonts w:ascii="宋体" w:hAnsi="宋体"/>
          <w:color w:val="000000"/>
          <w:sz w:val="24"/>
        </w:rPr>
      </w:r>
      <w:r/>
    </w:p>
    <w:p>
      <w:pPr>
        <w:pStyle w:val="945"/>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一、法人或者其他组织的营业执照等证明文件，自然人的身份证明</w:t>
      </w:r>
      <w:r>
        <w:rPr>
          <w:rFonts w:hint="eastAsia" w:ascii="黑体" w:hAnsi="黑体" w:eastAsia="黑体"/>
          <w:i/>
          <w:color w:val="000000"/>
          <w:sz w:val="32"/>
          <w:szCs w:val="32"/>
          <w:u w:val="single"/>
        </w:rPr>
      </w:r>
      <w:r/>
    </w:p>
    <w:p>
      <w:pPr>
        <w:pStyle w:val="945"/>
        <w:ind w:firstLine="480"/>
        <w:spacing w:line="440" w:lineRule="exact"/>
        <w:rPr>
          <w:rFonts w:ascii="宋体" w:hAnsi="宋体"/>
          <w:color w:val="000000"/>
          <w:sz w:val="24"/>
        </w:rPr>
      </w:pPr>
      <w:r>
        <w:rPr>
          <w:rFonts w:ascii="宋体" w:hAnsi="宋体"/>
          <w:color w:val="000000"/>
          <w:sz w:val="24"/>
        </w:rPr>
      </w:r>
      <w:r/>
    </w:p>
    <w:p>
      <w:pPr>
        <w:pStyle w:val="945"/>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rPr>
          <w:rFonts w:hint="eastAsia" w:ascii="黑体" w:hAnsi="黑体" w:eastAsia="黑体"/>
          <w:i/>
          <w:color w:val="000000"/>
          <w:sz w:val="32"/>
          <w:szCs w:val="32"/>
          <w:u w:val="single"/>
        </w:rPr>
      </w:r>
      <w:r/>
    </w:p>
    <w:p>
      <w:pPr>
        <w:pStyle w:val="945"/>
        <w:ind w:firstLine="480"/>
        <w:spacing w:line="440" w:lineRule="exact"/>
        <w:rPr>
          <w:rFonts w:ascii="宋体" w:hAnsi="宋体"/>
          <w:bCs/>
          <w:color w:val="000000"/>
          <w:sz w:val="24"/>
        </w:rPr>
      </w:pPr>
      <w:r>
        <w:rPr>
          <w:rFonts w:hint="eastAsia" w:ascii="宋体" w:hAnsi="宋体"/>
          <w:bCs/>
          <w:color w:val="000000"/>
          <w:sz w:val="24"/>
        </w:rPr>
        <w:t xml:space="preserve">投标人成立不满一年不需提供</w:t>
      </w:r>
      <w:r>
        <w:rPr>
          <w:rFonts w:ascii="宋体" w:hAnsi="宋体"/>
          <w:bCs/>
          <w:color w:val="000000"/>
          <w:sz w:val="24"/>
        </w:rPr>
      </w:r>
      <w:r/>
    </w:p>
    <w:p>
      <w:pPr>
        <w:pStyle w:val="945"/>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5"/>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rPr>
          <w:rFonts w:hint="eastAsia" w:ascii="黑体" w:hAnsi="黑体" w:eastAsia="黑体"/>
          <w:i/>
          <w:color w:val="000000"/>
          <w:sz w:val="32"/>
          <w:szCs w:val="32"/>
          <w:u w:val="single"/>
        </w:rPr>
      </w:r>
      <w:r/>
    </w:p>
    <w:p>
      <w:pPr>
        <w:pStyle w:val="945"/>
        <w:ind w:firstLine="480"/>
        <w:rPr>
          <w:rFonts w:hint="eastAsia" w:ascii="宋体" w:hAnsi="宋体"/>
          <w:bCs/>
          <w:color w:val="000000"/>
          <w:sz w:val="24"/>
        </w:rPr>
      </w:pPr>
      <w:r/>
      <w:bookmarkEnd w:id="211"/>
      <w:r/>
      <w:bookmarkEnd w:id="212"/>
      <w:r/>
      <w:bookmarkEnd w:id="213"/>
      <w:r/>
      <w:bookmarkStart w:id="214" w:name="_Toc120614284"/>
      <w:r>
        <w:rPr>
          <w:rFonts w:hint="eastAsia" w:ascii="宋体" w:hAnsi="宋体"/>
          <w:bCs/>
          <w:color w:val="000000"/>
          <w:sz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Cs/>
          <w:color w:val="000000"/>
          <w:sz w:val="24"/>
        </w:rPr>
      </w:r>
      <w:r/>
    </w:p>
    <w:p>
      <w:pPr>
        <w:pStyle w:val="945"/>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5"/>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rPr>
          <w:rFonts w:hint="eastAsia" w:ascii="黑体" w:hAnsi="黑体" w:eastAsia="黑体"/>
          <w:i/>
          <w:color w:val="000000"/>
          <w:sz w:val="32"/>
          <w:szCs w:val="32"/>
          <w:u w:val="single"/>
        </w:rPr>
      </w:r>
      <w:r/>
    </w:p>
    <w:p>
      <w:pPr>
        <w:pStyle w:val="945"/>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945"/>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45"/>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945"/>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959"/>
        <w:ind w:firstLine="0"/>
        <w:rPr>
          <w:rFonts w:hint="eastAsia"/>
          <w:color w:val="000000"/>
        </w:rPr>
      </w:pPr>
      <w:r>
        <w:rPr>
          <w:rFonts w:hint="eastAsia"/>
          <w:color w:val="000000"/>
        </w:rPr>
      </w:r>
      <w:r/>
    </w:p>
    <w:p>
      <w:pPr>
        <w:pStyle w:val="945"/>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rPr>
          <w:rFonts w:hint="eastAsia" w:ascii="黑体" w:hAnsi="黑体" w:eastAsia="黑体"/>
          <w:i/>
          <w:color w:val="000000"/>
          <w:sz w:val="32"/>
          <w:szCs w:val="32"/>
          <w:u w:val="single"/>
        </w:rPr>
      </w:r>
      <w:r/>
    </w:p>
    <w:p>
      <w:pPr>
        <w:pStyle w:val="945"/>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rPr>
          <w:rFonts w:hint="eastAsia" w:ascii="宋体" w:hAnsi="宋体"/>
          <w:b/>
          <w:bCs/>
          <w:color w:val="000000"/>
          <w:sz w:val="44"/>
          <w:szCs w:val="44"/>
        </w:rPr>
      </w:r>
      <w:r/>
    </w:p>
    <w:p>
      <w:pPr>
        <w:pStyle w:val="945"/>
        <w:spacing w:line="460" w:lineRule="exact"/>
        <w:rPr>
          <w:rFonts w:hint="eastAsia" w:ascii="宋体" w:hAnsi="宋体"/>
          <w:bCs/>
          <w:color w:val="000000"/>
          <w:sz w:val="24"/>
        </w:rPr>
      </w:pPr>
      <w:r>
        <w:rPr>
          <w:rFonts w:hint="eastAsia" w:ascii="宋体" w:hAnsi="宋体"/>
          <w:b/>
          <w:bCs/>
          <w:color w:val="000000"/>
          <w:sz w:val="24"/>
        </w:rPr>
        <w:t xml:space="preserve">    </w:t>
      </w: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rPr>
      </w:r>
      <w:r/>
    </w:p>
    <w:p>
      <w:pPr>
        <w:pStyle w:val="945"/>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45"/>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六、特定资格要求的证明文件</w:t>
      </w:r>
      <w:r>
        <w:rPr>
          <w:rFonts w:hint="eastAsia" w:ascii="黑体" w:hAnsi="黑体" w:eastAsia="黑体"/>
          <w:i/>
          <w:color w:val="000000"/>
          <w:sz w:val="32"/>
          <w:szCs w:val="32"/>
          <w:u w:val="single"/>
        </w:rPr>
      </w:r>
      <w:r/>
    </w:p>
    <w:p>
      <w:pPr>
        <w:pStyle w:val="945"/>
        <w:spacing w:line="460" w:lineRule="exact"/>
        <w:rPr>
          <w:rFonts w:hint="eastAsia" w:ascii="宋体" w:hAnsi="宋体"/>
          <w:bCs/>
          <w:color w:val="000000"/>
          <w:sz w:val="24"/>
        </w:rPr>
      </w:pPr>
      <w:r>
        <w:rPr>
          <w:rFonts w:hint="eastAsia" w:ascii="宋体" w:hAnsi="宋体"/>
          <w:color w:val="000000"/>
          <w:sz w:val="24"/>
        </w:rPr>
        <w:t xml:space="preserve">    如果本项目申请人的特定资格要求中要求提供的，必须提供。</w:t>
      </w:r>
      <w:r>
        <w:rPr>
          <w:rFonts w:hint="eastAsia" w:ascii="宋体" w:hAnsi="宋体"/>
          <w:bCs/>
          <w:color w:val="000000"/>
          <w:sz w:val="24"/>
        </w:rPr>
      </w:r>
      <w:r/>
    </w:p>
    <w:p>
      <w:pPr>
        <w:pStyle w:val="945"/>
        <w:spacing w:line="460" w:lineRule="exact"/>
        <w:rPr>
          <w:rFonts w:hint="eastAsia" w:ascii="宋体" w:hAnsi="宋体"/>
          <w:bCs/>
          <w:color w:val="000000"/>
          <w:sz w:val="24"/>
        </w:rPr>
      </w:pPr>
      <w:r>
        <w:rPr>
          <w:rFonts w:hint="eastAsia" w:ascii="宋体" w:hAnsi="宋体"/>
          <w:bCs/>
          <w:color w:val="000000"/>
          <w:sz w:val="24"/>
        </w:rPr>
      </w:r>
      <w:r/>
    </w:p>
    <w:p>
      <w:pPr>
        <w:pStyle w:val="945"/>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七、法人授权书</w:t>
      </w:r>
      <w:r>
        <w:rPr>
          <w:rFonts w:hint="eastAsia" w:ascii="黑体" w:hAnsi="黑体" w:eastAsia="黑体"/>
          <w:i/>
          <w:color w:val="000000"/>
          <w:sz w:val="32"/>
          <w:szCs w:val="32"/>
          <w:u w:val="single"/>
        </w:rPr>
      </w:r>
      <w:r/>
    </w:p>
    <w:p>
      <w:pPr>
        <w:pStyle w:val="1030"/>
        <w:ind w:firstLine="480"/>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eastAsia="宋体" w:cs="宋体"/>
          <w:color w:val="000000"/>
          <w:sz w:val="24"/>
          <w:szCs w:val="24"/>
          <w:u w:val="single"/>
          <w:lang w:eastAsia="zh-CN"/>
        </w:rPr>
        <w:t xml:space="preserve">JSZC-321003-YZZK-G2024-0009</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1030"/>
        <w:ind w:firstLine="480"/>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1030"/>
        <w:ind w:firstLine="0"/>
        <w:tabs>
          <w:tab w:val="left" w:pos="360" w:leader="none"/>
        </w:tabs>
        <w:rPr>
          <w:rFonts w:hint="eastAsia" w:ascii="宋体" w:hAnsi="宋体" w:eastAsia="宋体" w:cs="宋体"/>
          <w:color w:val="000000"/>
          <w:sz w:val="24"/>
          <w:szCs w:val="24"/>
          <w:u w:val="single"/>
        </w:rPr>
      </w:pPr>
      <w:r>
        <w:rPr>
          <w:rFonts w:hint="eastAsia"/>
          <w:color w:val="000000"/>
          <w:sz w:val="24"/>
          <w:szCs w:val="24"/>
        </w:rPr>
        <w:t xml:space="preserve">          </w:t>
      </w:r>
      <w:r>
        <w:rPr>
          <w:rFonts w:hint="eastAsia" w:ascii="宋体" w:hAnsi="宋体" w:eastAsia="宋体" w:cs="宋体"/>
          <w:color w:val="000000"/>
          <w:sz w:val="24"/>
          <w:szCs w:val="24"/>
        </w:rPr>
        <w:t xml:space="preserve">被授权人身份证号码：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030"/>
        <w:ind w:firstLine="0"/>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被授权人联系电话：（手机）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030"/>
        <w:ind w:firstLine="1200"/>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授权单位名称：</w:t>
      </w:r>
      <w:r>
        <w:rPr>
          <w:rFonts w:hint="eastAsia" w:ascii="宋体" w:hAnsi="宋体" w:eastAsia="宋体" w:cs="宋体"/>
          <w:color w:val="000000"/>
          <w:sz w:val="24"/>
          <w:szCs w:val="24"/>
          <w:u w:val="single"/>
        </w:rPr>
        <w:t xml:space="preserve">（加盖CA电子公章）</w:t>
      </w:r>
      <w:r>
        <w:rPr>
          <w:rFonts w:hint="eastAsia" w:ascii="宋体" w:hAnsi="宋体" w:eastAsia="宋体" w:cs="宋体"/>
          <w:color w:val="000000"/>
          <w:sz w:val="24"/>
          <w:szCs w:val="24"/>
        </w:rPr>
      </w:r>
      <w:r/>
    </w:p>
    <w:p>
      <w:pPr>
        <w:pStyle w:val="1030"/>
        <w:ind w:firstLine="480"/>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单位地址：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030"/>
        <w:ind w:firstLine="480"/>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日期：</w:t>
      </w:r>
      <w:bookmarkStart w:id="215" w:name="_Hlt26955070"/>
      <w:r/>
      <w:bookmarkEnd w:id="215"/>
      <w:r/>
      <w:bookmarkStart w:id="216" w:name="_格式3__银行出具的资信证明"/>
      <w:r/>
      <w:bookmarkEnd w:id="216"/>
      <w:r/>
      <w:bookmarkStart w:id="217" w:name="_Hlt26671380"/>
      <w:r/>
      <w:bookmarkEnd w:id="217"/>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959"/>
        <w:rPr>
          <w:rFonts w:hint="eastAsia"/>
          <w:i/>
          <w:color w:val="000000"/>
          <w:sz w:val="24"/>
          <w:szCs w:val="24"/>
          <w:u w:val="single"/>
        </w:rPr>
      </w:pPr>
      <w:r>
        <w:rPr>
          <w:rFonts w:hint="eastAsia"/>
          <w:i/>
          <w:color w:val="000000"/>
          <w:sz w:val="24"/>
          <w:szCs w:val="24"/>
          <w:u w:val="single"/>
        </w:rPr>
      </w:r>
      <w:r/>
    </w:p>
    <w:p>
      <w:pPr>
        <w:pStyle w:val="959"/>
        <w:ind w:firstLine="0"/>
        <w:rPr>
          <w:rFonts w:hint="eastAsia"/>
          <w:color w:val="000000"/>
        </w:rPr>
      </w:pPr>
      <w:r>
        <w:rPr>
          <w:rFonts w:hint="eastAsia"/>
          <w:color w:val="000000"/>
        </w:rPr>
      </w:r>
      <w:r/>
    </w:p>
    <w:p>
      <w:pPr>
        <w:pStyle w:val="945"/>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945"/>
        <w:spacing w:line="460" w:lineRule="exact"/>
        <w:rPr>
          <w:rFonts w:hint="eastAsia" w:ascii="宋体" w:hAnsi="宋体"/>
          <w:bCs/>
          <w:color w:val="000000"/>
          <w:sz w:val="24"/>
        </w:rPr>
      </w:pPr>
      <w:r>
        <w:rPr>
          <w:rFonts w:hint="eastAsia" w:ascii="宋体" w:hAnsi="宋体"/>
          <w:bCs/>
          <w:color w:val="000000"/>
          <w:sz w:val="24"/>
        </w:rPr>
      </w:r>
      <w:r/>
    </w:p>
    <w:p>
      <w:pPr>
        <w:pStyle w:val="947"/>
        <w:ind w:firstLine="3390"/>
        <w:jc w:val="both"/>
        <w:rPr>
          <w:rFonts w:ascii="黑体" w:hAnsi="黑体" w:eastAsia="黑体" w:cs="Times New Roman"/>
          <w:bCs w:val="0"/>
          <w:i/>
          <w:color w:val="000000"/>
          <w:sz w:val="32"/>
          <w:szCs w:val="32"/>
          <w:u w:val="single"/>
        </w:rPr>
      </w:pPr>
      <w:r>
        <w:rPr>
          <w:rFonts w:ascii="宋体" w:hAnsi="宋体"/>
          <w:bCs w:val="0"/>
          <w:color w:val="000000"/>
          <w:sz w:val="24"/>
        </w:rPr>
        <w:br w:type="page" w:clear="all"/>
      </w:r>
      <w:r>
        <w:rPr>
          <w:rFonts w:hint="eastAsia" w:ascii="黑体" w:hAnsi="黑体" w:eastAsia="黑体"/>
          <w:bCs w:val="0"/>
          <w:i/>
          <w:color w:val="000000"/>
          <w:sz w:val="32"/>
          <w:szCs w:val="32"/>
          <w:u w:val="single"/>
        </w:rPr>
        <w:t xml:space="preserve">八、</w:t>
      </w:r>
      <w:r>
        <w:rPr>
          <w:rFonts w:hint="eastAsia" w:ascii="黑体" w:hAnsi="黑体" w:eastAsia="黑体" w:cs="Times New Roman"/>
          <w:bCs w:val="0"/>
          <w:i/>
          <w:color w:val="000000"/>
          <w:sz w:val="32"/>
          <w:szCs w:val="32"/>
          <w:u w:val="single"/>
        </w:rPr>
        <w:t xml:space="preserve">投标函</w:t>
      </w:r>
      <w:r>
        <w:rPr>
          <w:rFonts w:ascii="黑体" w:hAnsi="黑体" w:eastAsia="黑体" w:cs="Times New Roman"/>
          <w:bCs w:val="0"/>
          <w:i/>
          <w:color w:val="000000"/>
          <w:sz w:val="32"/>
          <w:szCs w:val="32"/>
          <w:u w:val="single"/>
        </w:rPr>
      </w:r>
      <w:r/>
    </w:p>
    <w:p>
      <w:pPr>
        <w:pStyle w:val="1032"/>
        <w:ind w:firstLine="0"/>
        <w:spacing w:before="0" w:after="0" w:line="420" w:lineRule="exact"/>
        <w:rPr>
          <w:rFonts w:hint="eastAsia" w:ascii="宋体" w:hAnsi="宋体" w:eastAsia="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扬州中科项目管理有限公司</w:t>
      </w:r>
      <w:r>
        <w:rPr>
          <w:rFonts w:hint="eastAsia" w:ascii="宋体" w:hAnsi="宋体" w:eastAsia="宋体"/>
          <w:color w:val="000000"/>
          <w:szCs w:val="21"/>
          <w:lang w:eastAsia="zh-CN"/>
        </w:rPr>
      </w:r>
      <w:r/>
    </w:p>
    <w:p>
      <w:pPr>
        <w:pStyle w:val="1032"/>
        <w:spacing w:before="0" w:after="0" w:line="420" w:lineRule="exact"/>
        <w:rPr>
          <w:rFonts w:hint="eastAsia" w:ascii="宋体" w:hAnsi="宋体"/>
          <w:color w:val="000000"/>
          <w:szCs w:val="21"/>
        </w:rPr>
      </w:pPr>
      <w:r>
        <w:rPr>
          <w:rFonts w:hint="eastAsia" w:ascii="宋体" w:hAnsi="宋体"/>
          <w:color w:val="000000"/>
          <w:szCs w:val="21"/>
        </w:rPr>
        <w:t xml:space="preserve">根据贵方的</w:t>
      </w:r>
      <w:r>
        <w:rPr>
          <w:rFonts w:hint="eastAsia" w:ascii="宋体" w:hAnsi="宋体"/>
          <w:color w:val="000000"/>
          <w:szCs w:val="21"/>
          <w:lang w:eastAsia="zh-CN"/>
        </w:rPr>
        <w:t xml:space="preserve">JSZC-321003-YZZK-G2024-0009</w:t>
      </w:r>
      <w:r>
        <w:rPr>
          <w:rFonts w:hint="eastAsia" w:ascii="宋体" w:hAnsi="宋体"/>
          <w:color w:val="000000"/>
          <w:szCs w:val="21"/>
        </w:rPr>
        <w:t xml:space="preserve">号招标文件，正式授权下述签字人______(姓名)代表我方______________（投标人的名称），全权处理本次项目投标的有关事宜。</w:t>
      </w:r>
      <w:r>
        <w:rPr>
          <w:rFonts w:hint="eastAsia" w:ascii="宋体" w:hAnsi="宋体"/>
          <w:color w:val="000000"/>
          <w:szCs w:val="21"/>
        </w:rPr>
      </w:r>
      <w:r/>
    </w:p>
    <w:p>
      <w:pPr>
        <w:pStyle w:val="1032"/>
        <w:spacing w:before="0" w:after="0" w:line="42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1032"/>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1032"/>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32"/>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32"/>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32"/>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32"/>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1032"/>
        <w:spacing w:before="0" w:after="0" w:line="42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rPr>
          <w:rFonts w:hint="eastAsia" w:ascii="宋体" w:hAnsi="宋体"/>
          <w:color w:val="000000"/>
          <w:szCs w:val="21"/>
        </w:rPr>
      </w:r>
      <w:r/>
    </w:p>
    <w:p>
      <w:pPr>
        <w:pStyle w:val="1032"/>
        <w:ind w:left="42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32"/>
        <w:ind w:left="420"/>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32"/>
        <w:ind w:left="420"/>
        <w:spacing w:before="0" w:after="0" w:line="42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1032"/>
        <w:ind w:left="420"/>
        <w:spacing w:before="0" w:after="0" w:line="42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1032"/>
        <w:ind w:left="420"/>
        <w:spacing w:before="0" w:after="0" w:line="420" w:lineRule="exact"/>
        <w:rPr>
          <w:rFonts w:hint="eastAsia" w:ascii="宋体" w:hAnsi="宋体"/>
          <w:color w:val="000000"/>
          <w:szCs w:val="21"/>
        </w:rPr>
      </w:pPr>
      <w:r>
        <w:rPr>
          <w:rFonts w:hint="eastAsia" w:ascii="宋体" w:hAnsi="宋体"/>
          <w:color w:val="000000"/>
          <w:szCs w:val="21"/>
        </w:rPr>
        <w:t xml:space="preserve">投标人开户行：</w:t>
      </w:r>
      <w:r>
        <w:rPr>
          <w:rFonts w:hint="eastAsia" w:ascii="宋体" w:hAnsi="宋体"/>
          <w:color w:val="000000"/>
          <w:szCs w:val="21"/>
        </w:rPr>
      </w:r>
      <w:r/>
    </w:p>
    <w:p>
      <w:pPr>
        <w:pStyle w:val="1032"/>
        <w:ind w:left="420"/>
        <w:spacing w:before="0" w:after="0" w:line="420" w:lineRule="exact"/>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1032"/>
        <w:ind w:left="420"/>
        <w:spacing w:before="0" w:after="0" w:line="420" w:lineRule="exact"/>
        <w:rPr>
          <w:rFonts w:hint="eastAsia" w:ascii="宋体" w:hAnsi="宋体"/>
          <w:color w:val="000000"/>
          <w:szCs w:val="21"/>
        </w:rPr>
      </w:pPr>
      <w:r>
        <w:rPr>
          <w:rFonts w:hint="eastAsia" w:ascii="宋体" w:hAnsi="宋体"/>
          <w:color w:val="000000"/>
          <w:szCs w:val="21"/>
        </w:rPr>
        <w:t xml:space="preserve">日           期：________年____月____日</w:t>
      </w:r>
      <w:r>
        <w:rPr>
          <w:rFonts w:hint="eastAsia" w:ascii="宋体" w:hAnsi="宋体"/>
          <w:color w:val="000000"/>
          <w:szCs w:val="21"/>
        </w:rPr>
      </w:r>
      <w:r/>
    </w:p>
    <w:p>
      <w:pPr>
        <w:pStyle w:val="94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4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45"/>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945"/>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九、</w:t>
      </w:r>
      <w:r>
        <w:rPr>
          <w:rFonts w:hint="eastAsia" w:ascii="黑体" w:hAnsi="黑体" w:eastAsia="黑体"/>
          <w:b/>
          <w:color w:val="000000"/>
          <w:sz w:val="32"/>
          <w:szCs w:val="32"/>
          <w:lang w:eastAsia="zh-CN"/>
        </w:rPr>
        <w:t xml:space="preserve">中小企业声明函</w:t>
      </w:r>
      <w:r>
        <w:rPr>
          <w:rFonts w:hint="eastAsia" w:ascii="黑体" w:hAnsi="黑体" w:eastAsia="黑体"/>
          <w:b/>
          <w:color w:val="000000"/>
          <w:sz w:val="32"/>
          <w:szCs w:val="32"/>
        </w:rPr>
        <w:t xml:space="preserve">（服务）</w:t>
      </w:r>
      <w:r>
        <w:rPr>
          <w:rFonts w:hint="eastAsia" w:ascii="黑体" w:hAnsi="黑体" w:eastAsia="黑体"/>
          <w:b/>
          <w:color w:val="000000"/>
          <w:sz w:val="32"/>
          <w:szCs w:val="32"/>
        </w:rPr>
      </w:r>
      <w:r/>
    </w:p>
    <w:p>
      <w:pPr>
        <w:pStyle w:val="945"/>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扬州中科项目管理有限公司</w:t>
      </w:r>
      <w:r>
        <w:rPr>
          <w:rFonts w:hint="eastAsia" w:ascii="宋体" w:hAnsi="宋体"/>
          <w:color w:val="000000"/>
          <w:sz w:val="24"/>
          <w:szCs w:val="24"/>
        </w:rPr>
        <w:t xml:space="preserve">组织的</w:t>
      </w:r>
      <w:r>
        <w:rPr>
          <w:rFonts w:hint="eastAsia" w:ascii="宋体" w:hAnsi="宋体"/>
          <w:color w:val="000000"/>
          <w:sz w:val="24"/>
          <w:szCs w:val="24"/>
          <w:u w:val="single"/>
        </w:rPr>
        <w:t xml:space="preserve">（扬州市邗江生态环境局）</w:t>
      </w:r>
      <w:r>
        <w:rPr>
          <w:rFonts w:hint="eastAsia" w:ascii="宋体" w:hAnsi="宋体"/>
          <w:color w:val="000000"/>
          <w:sz w:val="24"/>
          <w:szCs w:val="24"/>
        </w:rPr>
        <w:t xml:space="preserve">采购编号为</w:t>
      </w:r>
      <w:r>
        <w:rPr>
          <w:rFonts w:hint="eastAsia" w:ascii="宋体" w:hAnsi="宋体" w:eastAsia="宋体" w:cs="宋体"/>
          <w:color w:val="000000"/>
          <w:sz w:val="24"/>
          <w:szCs w:val="24"/>
          <w:u w:val="single"/>
          <w:lang w:eastAsia="zh-CN"/>
        </w:rPr>
        <w:t xml:space="preserve">JSZC-321003-YZZK-G2024-0009</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扬州市邗江生态环境局邗江区三座分布式水质净化站运维服务项目</w:t>
      </w:r>
      <w:r>
        <w:rPr>
          <w:rFonts w:hint="eastAsia" w:ascii="宋体" w:hAnsi="宋体"/>
          <w:color w:val="000000"/>
          <w:sz w:val="24"/>
          <w:szCs w:val="24"/>
          <w:u w:val="single"/>
        </w:rPr>
        <w:t xml:space="preserve">）</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945"/>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租赁和商务服务业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945"/>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945"/>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45"/>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945"/>
        <w:ind w:firstLine="360"/>
        <w:spacing w:line="56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945"/>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945"/>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94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hint="eastAsia" w:ascii="宋体" w:hAnsi="宋体"/>
          <w:color w:val="000000"/>
          <w:sz w:val="24"/>
          <w:szCs w:val="24"/>
        </w:rPr>
      </w:r>
      <w:r/>
    </w:p>
    <w:p>
      <w:pPr>
        <w:pStyle w:val="945"/>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rPr>
          <w:rFonts w:hint="eastAsia" w:ascii="宋体" w:hAnsi="宋体"/>
          <w:color w:val="000000"/>
          <w:sz w:val="24"/>
          <w:szCs w:val="24"/>
        </w:rPr>
      </w:r>
      <w:r/>
    </w:p>
    <w:p>
      <w:pPr>
        <w:pStyle w:val="945"/>
        <w:jc w:val="center"/>
        <w:rPr>
          <w:b/>
          <w:bCs/>
          <w:color w:val="0070c0"/>
          <w:lang w:eastAsia="zh-CN"/>
        </w:rPr>
      </w:pPr>
      <w:r>
        <w:rPr>
          <w:rFonts w:ascii="黑体" w:hAnsi="黑体" w:eastAsia="黑体"/>
          <w:b/>
          <w:color w:val="000000"/>
          <w:sz w:val="32"/>
          <w:szCs w:val="32"/>
        </w:rPr>
        <w:br w:type="page" w:clear="all"/>
      </w:r>
      <w:r>
        <w:rPr>
          <w:rFonts w:hint="eastAsia"/>
          <w:b/>
          <w:bCs/>
          <w:color w:val="0070c0"/>
          <w:lang w:eastAsia="zh-CN"/>
        </w:rPr>
        <w:t xml:space="preserve">中小微企业划型标准</w:t>
      </w:r>
      <w:r>
        <w:rPr>
          <w:b/>
          <w:bCs/>
          <w:color w:val="0070c0"/>
          <w:lang w:eastAsia="zh-CN"/>
        </w:rPr>
      </w:r>
      <w:r/>
    </w:p>
    <w:p>
      <w:pPr>
        <w:pStyle w:val="945"/>
        <w:jc w:val="center"/>
        <w:rPr>
          <w:b/>
          <w:bCs/>
          <w:color w:val="0070c0"/>
          <w:lang w:eastAsia="zh-CN"/>
        </w:rPr>
      </w:pPr>
      <w:r>
        <w:rPr>
          <w:b/>
          <w:bCs/>
          <w:color w:val="0070c0"/>
          <w:lang w:eastAsia="zh-CN"/>
        </w:rPr>
      </w:r>
      <w:r/>
    </w:p>
    <w:p>
      <w:pPr>
        <w:pStyle w:val="945"/>
        <w:spacing w:before="300" w:after="452" w:line="360" w:lineRule="auto"/>
        <w:rPr>
          <w:rFonts w:ascii="宋体" w:hAnsi="宋体"/>
          <w:color w:val="666666"/>
          <w:lang w:eastAsia="zh-CN"/>
        </w:rPr>
      </w:pPr>
      <w:r>
        <w:rPr>
          <w:rFonts w:hint="eastAsia" w:ascii="宋体" w:hAnsi="宋体" w:eastAsia="等线" w:cs="仿宋"/>
          <w:b/>
          <w:color w:val="666666"/>
          <w:lang w:eastAsia="zh-CN"/>
        </w:rPr>
        <w:t xml:space="preserve">中小微企业划型标准如下：</w:t>
      </w:r>
      <w:r>
        <w:rPr>
          <w:rFonts w:ascii="宋体" w:hAnsi="宋体"/>
          <w:color w:val="666666"/>
          <w:lang w:eastAsia="zh-CN"/>
        </w:rPr>
      </w:r>
      <w:r/>
    </w:p>
    <w:tbl>
      <w:tblPr>
        <w:tblW w:w="9387" w:type="dxa"/>
        <w:tblCellSpacing w:w="15" w:type="dxa"/>
        <w:tblInd w:w="-4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pStyle w:val="945"/>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行业名称</w:t>
            </w:r>
            <w:r>
              <w:rPr>
                <w:rFonts w:hint="eastAsia" w:ascii="宋体" w:hAnsi="宋体" w:eastAsia="宋体" w:cs="宋体"/>
                <w:color w:val="666666"/>
              </w:rPr>
            </w:r>
            <w:r/>
          </w:p>
        </w:tc>
        <w:tc>
          <w:tcPr>
            <w:tcMar>
              <w:left w:w="105" w:type="dxa"/>
              <w:top w:w="0" w:type="dxa"/>
              <w:right w:w="105" w:type="dxa"/>
              <w:bottom w:w="0" w:type="dxa"/>
            </w:tcMar>
            <w:tcW w:w="1748" w:type="dxa"/>
            <w:vAlign w:val="center"/>
            <w:textDirection w:val="lrTb"/>
            <w:noWrap w:val="false"/>
          </w:tcPr>
          <w:p>
            <w:pPr>
              <w:pStyle w:val="945"/>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指标名称</w:t>
            </w:r>
            <w:r>
              <w:rPr>
                <w:rFonts w:hint="eastAsia" w:ascii="宋体" w:hAnsi="宋体" w:eastAsia="宋体" w:cs="宋体"/>
                <w:color w:val="666666"/>
              </w:rPr>
            </w:r>
            <w:r/>
          </w:p>
        </w:tc>
        <w:tc>
          <w:tcPr>
            <w:tcMar>
              <w:left w:w="105" w:type="dxa"/>
              <w:top w:w="0" w:type="dxa"/>
              <w:right w:w="105" w:type="dxa"/>
              <w:bottom w:w="0" w:type="dxa"/>
            </w:tcMar>
            <w:tcW w:w="732" w:type="dxa"/>
            <w:vAlign w:val="center"/>
            <w:textDirection w:val="lrTb"/>
            <w:noWrap w:val="false"/>
          </w:tcPr>
          <w:p>
            <w:pPr>
              <w:pStyle w:val="945"/>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计量单位</w:t>
            </w:r>
            <w:r>
              <w:rPr>
                <w:rFonts w:hint="eastAsia" w:ascii="宋体" w:hAnsi="宋体" w:eastAsia="宋体" w:cs="宋体"/>
                <w:color w:val="666666"/>
              </w:rPr>
            </w:r>
            <w:r/>
          </w:p>
        </w:tc>
        <w:tc>
          <w:tcPr>
            <w:tcMar>
              <w:left w:w="105" w:type="dxa"/>
              <w:top w:w="0" w:type="dxa"/>
              <w:right w:w="105" w:type="dxa"/>
              <w:bottom w:w="0" w:type="dxa"/>
            </w:tcMar>
            <w:tcW w:w="1922" w:type="dxa"/>
            <w:vAlign w:val="center"/>
            <w:textDirection w:val="lrTb"/>
            <w:noWrap w:val="false"/>
          </w:tcPr>
          <w:p>
            <w:pPr>
              <w:pStyle w:val="945"/>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中型</w:t>
            </w:r>
            <w:r>
              <w:rPr>
                <w:rFonts w:hint="eastAsia" w:ascii="宋体" w:hAnsi="宋体" w:eastAsia="宋体" w:cs="宋体"/>
                <w:color w:val="666666"/>
              </w:rPr>
            </w:r>
            <w:r/>
          </w:p>
        </w:tc>
        <w:tc>
          <w:tcPr>
            <w:tcMar>
              <w:left w:w="105" w:type="dxa"/>
              <w:top w:w="0" w:type="dxa"/>
              <w:right w:w="105" w:type="dxa"/>
              <w:bottom w:w="0" w:type="dxa"/>
            </w:tcMar>
            <w:tcW w:w="1739" w:type="dxa"/>
            <w:vAlign w:val="center"/>
            <w:textDirection w:val="lrTb"/>
            <w:noWrap w:val="false"/>
          </w:tcPr>
          <w:p>
            <w:pPr>
              <w:pStyle w:val="945"/>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小型</w:t>
            </w:r>
            <w:r>
              <w:rPr>
                <w:rFonts w:hint="eastAsia" w:ascii="宋体" w:hAnsi="宋体" w:eastAsia="宋体" w:cs="宋体"/>
                <w:color w:val="666666"/>
              </w:rPr>
            </w:r>
            <w:r/>
          </w:p>
        </w:tc>
        <w:tc>
          <w:tcPr>
            <w:tcMar>
              <w:left w:w="105" w:type="dxa"/>
              <w:top w:w="0" w:type="dxa"/>
              <w:right w:w="105" w:type="dxa"/>
              <w:bottom w:w="0" w:type="dxa"/>
            </w:tcMar>
            <w:tcW w:w="1545" w:type="dxa"/>
            <w:vAlign w:val="center"/>
            <w:textDirection w:val="lrTb"/>
            <w:noWrap w:val="false"/>
          </w:tcPr>
          <w:p>
            <w:pPr>
              <w:pStyle w:val="945"/>
              <w:ind w:firstLine="420"/>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微型</w:t>
            </w:r>
            <w:r>
              <w:rPr>
                <w:rFonts w:hint="eastAsia" w:ascii="宋体" w:hAnsi="宋体" w:eastAsia="宋体" w:cs="宋体"/>
                <w:color w:val="666666"/>
              </w:rPr>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945"/>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租赁和商务服务业</w:t>
            </w:r>
            <w:r>
              <w:rPr>
                <w:rFonts w:hint="eastAsia" w:ascii="宋体" w:hAnsi="宋体" w:eastAsia="宋体" w:cs="宋体"/>
                <w:color w:val="666666"/>
              </w:rPr>
            </w:r>
            <w:r/>
          </w:p>
        </w:tc>
        <w:tc>
          <w:tcPr>
            <w:tcMar>
              <w:left w:w="105" w:type="dxa"/>
              <w:top w:w="0" w:type="dxa"/>
              <w:right w:w="105" w:type="dxa"/>
              <w:bottom w:w="0" w:type="dxa"/>
            </w:tcMar>
            <w:tcW w:w="1748" w:type="dxa"/>
            <w:vAlign w:val="center"/>
            <w:textDirection w:val="lrTb"/>
            <w:noWrap w:val="false"/>
          </w:tcPr>
          <w:p>
            <w:pPr>
              <w:pStyle w:val="945"/>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从业人员（X）</w:t>
            </w:r>
            <w:r>
              <w:rPr>
                <w:rFonts w:hint="eastAsia" w:ascii="宋体" w:hAnsi="宋体" w:eastAsia="宋体" w:cs="宋体"/>
                <w:color w:val="666666"/>
              </w:rPr>
            </w:r>
            <w:r/>
          </w:p>
        </w:tc>
        <w:tc>
          <w:tcPr>
            <w:tcMar>
              <w:left w:w="105" w:type="dxa"/>
              <w:top w:w="0" w:type="dxa"/>
              <w:right w:w="105" w:type="dxa"/>
              <w:bottom w:w="0" w:type="dxa"/>
            </w:tcMar>
            <w:tcW w:w="732" w:type="dxa"/>
            <w:vAlign w:val="center"/>
            <w:textDirection w:val="lrTb"/>
            <w:noWrap w:val="false"/>
          </w:tcPr>
          <w:p>
            <w:pPr>
              <w:pStyle w:val="945"/>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人</w:t>
            </w:r>
            <w:r>
              <w:rPr>
                <w:rFonts w:hint="eastAsia" w:ascii="宋体" w:hAnsi="宋体" w:eastAsia="宋体" w:cs="宋体"/>
                <w:color w:val="666666"/>
              </w:rPr>
            </w:r>
            <w:r/>
          </w:p>
        </w:tc>
        <w:tc>
          <w:tcPr>
            <w:tcMar>
              <w:left w:w="105" w:type="dxa"/>
              <w:top w:w="0" w:type="dxa"/>
              <w:right w:w="105" w:type="dxa"/>
              <w:bottom w:w="0" w:type="dxa"/>
            </w:tcMar>
            <w:tcW w:w="1922" w:type="dxa"/>
            <w:vAlign w:val="center"/>
            <w:textDirection w:val="lrTb"/>
            <w:noWrap w:val="false"/>
          </w:tcPr>
          <w:p>
            <w:pPr>
              <w:pStyle w:val="945"/>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100≤X＜300</w:t>
            </w:r>
            <w:r>
              <w:rPr>
                <w:rFonts w:hint="eastAsia" w:ascii="宋体" w:hAnsi="宋体" w:eastAsia="宋体" w:cs="宋体"/>
                <w:color w:val="666666"/>
              </w:rPr>
            </w:r>
            <w:r/>
          </w:p>
        </w:tc>
        <w:tc>
          <w:tcPr>
            <w:tcMar>
              <w:left w:w="105" w:type="dxa"/>
              <w:top w:w="0" w:type="dxa"/>
              <w:right w:w="105" w:type="dxa"/>
              <w:bottom w:w="0" w:type="dxa"/>
            </w:tcMar>
            <w:tcW w:w="1739" w:type="dxa"/>
            <w:vAlign w:val="center"/>
            <w:textDirection w:val="lrTb"/>
            <w:noWrap w:val="false"/>
          </w:tcPr>
          <w:p>
            <w:pPr>
              <w:pStyle w:val="945"/>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10≤X＜100</w:t>
            </w:r>
            <w:r>
              <w:rPr>
                <w:rFonts w:hint="eastAsia" w:ascii="宋体" w:hAnsi="宋体" w:eastAsia="宋体" w:cs="宋体"/>
                <w:color w:val="666666"/>
              </w:rPr>
            </w:r>
            <w:r/>
          </w:p>
        </w:tc>
        <w:tc>
          <w:tcPr>
            <w:tcMar>
              <w:left w:w="105" w:type="dxa"/>
              <w:top w:w="0" w:type="dxa"/>
              <w:right w:w="105" w:type="dxa"/>
              <w:bottom w:w="0" w:type="dxa"/>
            </w:tcMar>
            <w:tcW w:w="1545" w:type="dxa"/>
            <w:vAlign w:val="center"/>
            <w:textDirection w:val="lrTb"/>
            <w:noWrap w:val="false"/>
          </w:tcPr>
          <w:p>
            <w:pPr>
              <w:pStyle w:val="945"/>
              <w:ind w:firstLine="420"/>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X＜10</w:t>
            </w:r>
            <w:r>
              <w:rPr>
                <w:rFonts w:hint="eastAsia" w:ascii="宋体" w:hAnsi="宋体" w:eastAsia="宋体" w:cs="宋体"/>
                <w:color w:val="666666"/>
              </w:rPr>
            </w:r>
            <w:r/>
          </w:p>
        </w:tc>
      </w:tr>
      <w:tr>
        <w:trPr>
          <w:tblCellSpacing w:w="15" w:type="dxa"/>
          <w:trHeight w:val="225"/>
        </w:trPr>
        <w:tc>
          <w:tcPr>
            <w:tcW w:w="1491" w:type="dxa"/>
            <w:vAlign w:val="center"/>
            <w:vMerge w:val="continue"/>
            <w:textDirection w:val="lrTb"/>
            <w:noWrap w:val="false"/>
          </w:tcPr>
          <w:p>
            <w:pPr>
              <w:pStyle w:val="945"/>
              <w:jc w:val="center"/>
              <w:rPr>
                <w:rFonts w:hint="eastAsia" w:ascii="宋体" w:hAnsi="宋体" w:eastAsia="宋体" w:cs="宋体"/>
                <w:color w:val="666666"/>
              </w:rPr>
            </w:pPr>
            <w:r>
              <w:rPr>
                <w:rFonts w:hint="eastAsia" w:ascii="宋体" w:hAnsi="宋体" w:eastAsia="宋体" w:cs="宋体"/>
                <w:color w:val="666666"/>
              </w:rPr>
            </w:r>
            <w:r/>
          </w:p>
        </w:tc>
        <w:tc>
          <w:tcPr>
            <w:tcMar>
              <w:left w:w="105" w:type="dxa"/>
              <w:top w:w="0" w:type="dxa"/>
              <w:right w:w="105" w:type="dxa"/>
              <w:bottom w:w="0" w:type="dxa"/>
            </w:tcMar>
            <w:tcW w:w="1748" w:type="dxa"/>
            <w:vAlign w:val="center"/>
            <w:textDirection w:val="lrTb"/>
            <w:noWrap w:val="false"/>
          </w:tcPr>
          <w:p>
            <w:pPr>
              <w:pStyle w:val="945"/>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资产总额（Z）</w:t>
            </w:r>
            <w:r>
              <w:rPr>
                <w:rFonts w:hint="eastAsia" w:ascii="宋体" w:hAnsi="宋体" w:eastAsia="宋体" w:cs="宋体"/>
                <w:color w:val="666666"/>
              </w:rPr>
            </w:r>
            <w:r/>
          </w:p>
        </w:tc>
        <w:tc>
          <w:tcPr>
            <w:tcMar>
              <w:left w:w="105" w:type="dxa"/>
              <w:top w:w="0" w:type="dxa"/>
              <w:right w:w="105" w:type="dxa"/>
              <w:bottom w:w="0" w:type="dxa"/>
            </w:tcMar>
            <w:tcW w:w="732" w:type="dxa"/>
            <w:vAlign w:val="center"/>
            <w:textDirection w:val="lrTb"/>
            <w:noWrap w:val="false"/>
          </w:tcPr>
          <w:p>
            <w:pPr>
              <w:pStyle w:val="945"/>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万元</w:t>
            </w:r>
            <w:r>
              <w:rPr>
                <w:rFonts w:hint="eastAsia" w:ascii="宋体" w:hAnsi="宋体" w:eastAsia="宋体" w:cs="宋体"/>
                <w:color w:val="666666"/>
              </w:rPr>
            </w:r>
            <w:r/>
          </w:p>
        </w:tc>
        <w:tc>
          <w:tcPr>
            <w:tcMar>
              <w:left w:w="105" w:type="dxa"/>
              <w:top w:w="0" w:type="dxa"/>
              <w:right w:w="105" w:type="dxa"/>
              <w:bottom w:w="0" w:type="dxa"/>
            </w:tcMar>
            <w:tcW w:w="1922" w:type="dxa"/>
            <w:vAlign w:val="center"/>
            <w:textDirection w:val="lrTb"/>
            <w:noWrap w:val="false"/>
          </w:tcPr>
          <w:p>
            <w:pPr>
              <w:pStyle w:val="945"/>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8000≤Z＜120000</w:t>
            </w:r>
            <w:r>
              <w:rPr>
                <w:rFonts w:hint="eastAsia" w:ascii="宋体" w:hAnsi="宋体" w:eastAsia="宋体" w:cs="宋体"/>
                <w:color w:val="666666"/>
              </w:rPr>
            </w:r>
            <w:r/>
          </w:p>
        </w:tc>
        <w:tc>
          <w:tcPr>
            <w:tcMar>
              <w:left w:w="105" w:type="dxa"/>
              <w:top w:w="0" w:type="dxa"/>
              <w:right w:w="105" w:type="dxa"/>
              <w:bottom w:w="0" w:type="dxa"/>
            </w:tcMar>
            <w:tcW w:w="1739" w:type="dxa"/>
            <w:vAlign w:val="center"/>
            <w:textDirection w:val="lrTb"/>
            <w:noWrap w:val="false"/>
          </w:tcPr>
          <w:p>
            <w:pPr>
              <w:pStyle w:val="945"/>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100≤Z＜8000</w:t>
            </w:r>
            <w:r>
              <w:rPr>
                <w:rFonts w:hint="eastAsia" w:ascii="宋体" w:hAnsi="宋体" w:eastAsia="宋体" w:cs="宋体"/>
                <w:color w:val="666666"/>
              </w:rPr>
            </w:r>
            <w:r/>
          </w:p>
        </w:tc>
        <w:tc>
          <w:tcPr>
            <w:tcMar>
              <w:left w:w="105" w:type="dxa"/>
              <w:top w:w="0" w:type="dxa"/>
              <w:right w:w="105" w:type="dxa"/>
              <w:bottom w:w="0" w:type="dxa"/>
            </w:tcMar>
            <w:tcW w:w="1545" w:type="dxa"/>
            <w:vAlign w:val="center"/>
            <w:textDirection w:val="lrTb"/>
            <w:noWrap w:val="false"/>
          </w:tcPr>
          <w:p>
            <w:pPr>
              <w:pStyle w:val="945"/>
              <w:ind w:firstLine="420"/>
              <w:jc w:val="center"/>
              <w:spacing w:after="150" w:line="360" w:lineRule="auto"/>
              <w:rPr>
                <w:rFonts w:hint="eastAsia" w:ascii="宋体" w:hAnsi="宋体" w:eastAsia="宋体" w:cs="宋体"/>
                <w:color w:val="666666"/>
              </w:rPr>
            </w:pPr>
            <w:r>
              <w:rPr>
                <w:rFonts w:hint="eastAsia" w:ascii="宋体" w:hAnsi="宋体" w:eastAsia="宋体" w:cs="宋体"/>
                <w:b/>
                <w:color w:val="666666"/>
              </w:rPr>
              <w:t xml:space="preserve">Y＜100</w:t>
            </w:r>
            <w:r>
              <w:rPr>
                <w:rFonts w:hint="eastAsia" w:ascii="宋体" w:hAnsi="宋体" w:eastAsia="宋体" w:cs="宋体"/>
                <w:color w:val="666666"/>
              </w:rPr>
            </w:r>
            <w:r/>
          </w:p>
        </w:tc>
      </w:tr>
    </w:tbl>
    <w:p>
      <w:pPr>
        <w:pStyle w:val="945"/>
        <w:ind w:firstLine="810"/>
        <w:spacing w:before="300" w:after="452" w:line="360" w:lineRule="auto"/>
        <w:rPr>
          <w:rFonts w:ascii="宋体" w:hAnsi="宋体"/>
          <w:color w:val="666666"/>
          <w:lang w:eastAsia="zh-CN"/>
        </w:rPr>
      </w:pPr>
      <w:r>
        <w:rPr>
          <w:rFonts w:hint="eastAsia" w:ascii="宋体" w:hAnsi="宋体" w:eastAsia="等线" w:cs="仿宋"/>
          <w:b/>
          <w:color w:val="666666"/>
          <w:lang w:eastAsia="zh-CN"/>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color w:val="666666"/>
          <w:lang w:eastAsia="zh-CN"/>
        </w:rPr>
      </w:r>
      <w:r/>
    </w:p>
    <w:p>
      <w:pPr>
        <w:pStyle w:val="945"/>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十、残疾人福利性单位声明函</w:t>
      </w:r>
      <w:r>
        <w:rPr>
          <w:rFonts w:hint="eastAsia" w:ascii="黑体" w:hAnsi="黑体" w:eastAsia="黑体"/>
          <w:b/>
          <w:color w:val="000000"/>
          <w:sz w:val="32"/>
          <w:szCs w:val="32"/>
        </w:rPr>
      </w:r>
      <w:r/>
    </w:p>
    <w:p>
      <w:pPr>
        <w:pStyle w:val="945"/>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项目采购活动由本单位提供服务。</w:t>
      </w:r>
      <w:r>
        <w:rPr>
          <w:rFonts w:hint="eastAsia" w:ascii="宋体" w:hAnsi="宋体"/>
          <w:color w:val="000000"/>
          <w:sz w:val="24"/>
        </w:rPr>
      </w:r>
      <w:r/>
    </w:p>
    <w:p>
      <w:pPr>
        <w:pStyle w:val="945"/>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45"/>
        <w:ind w:firstLine="480"/>
        <w:spacing w:line="588" w:lineRule="exact"/>
        <w:rPr>
          <w:rFonts w:hint="eastAsia" w:ascii="宋体" w:hAnsi="宋体"/>
          <w:color w:val="000000"/>
          <w:sz w:val="24"/>
        </w:rPr>
      </w:pPr>
      <w:r>
        <w:rPr>
          <w:rFonts w:hint="eastAsia" w:ascii="宋体" w:hAnsi="宋体"/>
          <w:color w:val="000000"/>
          <w:sz w:val="24"/>
        </w:rPr>
      </w:r>
      <w:r/>
    </w:p>
    <w:p>
      <w:pPr>
        <w:pStyle w:val="945"/>
        <w:ind w:firstLine="480"/>
        <w:spacing w:line="588" w:lineRule="exact"/>
        <w:rPr>
          <w:rFonts w:ascii="宋体" w:hAnsi="宋体"/>
          <w:color w:val="000000"/>
          <w:sz w:val="24"/>
        </w:rPr>
      </w:pPr>
      <w:r>
        <w:rPr>
          <w:rFonts w:hint="eastAsia" w:ascii="宋体" w:hAnsi="宋体"/>
          <w:color w:val="000000"/>
          <w:sz w:val="24"/>
        </w:rPr>
        <w:t xml:space="preserve">（备注：1、供应商如不提供此声明函，价格将不做相应扣除。2、中标人为残疾人福利单位的，此声明函将随中标结果同时公告，接受社会监督）</w:t>
      </w:r>
      <w:r>
        <w:rPr>
          <w:rFonts w:ascii="宋体" w:hAnsi="宋体"/>
          <w:color w:val="000000"/>
          <w:sz w:val="24"/>
        </w:rPr>
      </w:r>
      <w:r/>
    </w:p>
    <w:p>
      <w:pPr>
        <w:pStyle w:val="945"/>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945"/>
        <w:ind w:right="1559" w:firstLine="624"/>
        <w:jc w:val="center"/>
        <w:keepLines w:val="0"/>
        <w:keepNext w:val="0"/>
        <w:pageBreakBefore w:val="0"/>
        <w:spacing w:line="588" w:lineRule="exact"/>
        <w:widowControl w:val="off"/>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w:t>
      </w:r>
      <w:r>
        <w:rPr>
          <w:rFonts w:hint="eastAsia" w:ascii="宋体" w:hAnsi="宋体"/>
          <w:color w:val="000000"/>
          <w:sz w:val="24"/>
          <w:lang w:val="en-US" w:eastAsia="zh-CN"/>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945"/>
        <w:ind w:right="1560" w:firstLine="480"/>
        <w:jc w:val="center"/>
        <w:spacing w:line="588" w:lineRule="exact"/>
        <w:tabs>
          <w:tab w:val="left" w:pos="4860" w:leader="none"/>
        </w:tabs>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945"/>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十一、联合体协议（参考格式）</w:t>
      </w:r>
      <w:r>
        <w:rPr>
          <w:rFonts w:ascii="黑体" w:hAnsi="黑体" w:eastAsia="黑体"/>
          <w:b/>
          <w:color w:val="000000"/>
          <w:sz w:val="32"/>
          <w:szCs w:val="32"/>
        </w:rPr>
      </w:r>
      <w:r/>
    </w:p>
    <w:p>
      <w:pPr>
        <w:pStyle w:val="945"/>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45"/>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w:t>
      </w:r>
      <w:r>
        <w:rPr>
          <w:rFonts w:hint="eastAsia" w:ascii="宋体" w:hAnsi="宋体"/>
          <w:color w:val="000000"/>
          <w:sz w:val="24"/>
          <w:lang w:eastAsia="zh-CN"/>
        </w:rPr>
        <w:t xml:space="preserve">扬州中科项目管理有限公司</w:t>
      </w:r>
      <w:r>
        <w:rPr>
          <w:rFonts w:hint="eastAsia" w:ascii="宋体" w:hAnsi="宋体"/>
          <w:color w:val="000000"/>
          <w:sz w:val="24"/>
        </w:rPr>
        <w:t xml:space="preserve">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45"/>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45"/>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945"/>
        <w:ind w:firstLine="645"/>
        <w:spacing w:line="560" w:lineRule="exact"/>
        <w:rPr>
          <w:rFonts w:hint="eastAsia" w:ascii="宋体" w:hAnsi="宋体"/>
          <w:color w:val="000000"/>
          <w:sz w:val="24"/>
        </w:rPr>
      </w:pPr>
      <w:r>
        <w:rPr>
          <w:rFonts w:hint="eastAsia" w:ascii="宋体" w:hAnsi="宋体"/>
          <w:color w:val="000000"/>
          <w:sz w:val="24"/>
        </w:rPr>
      </w:r>
      <w:r/>
    </w:p>
    <w:p>
      <w:pPr>
        <w:pStyle w:val="945"/>
        <w:ind w:firstLine="645"/>
        <w:spacing w:line="560" w:lineRule="exac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rPr>
          <w:rFonts w:ascii="宋体" w:hAnsi="宋体"/>
          <w:color w:val="000000"/>
          <w:sz w:val="24"/>
        </w:rPr>
      </w:r>
      <w:r/>
    </w:p>
    <w:p>
      <w:pPr>
        <w:pStyle w:val="945"/>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945"/>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rPr>
          <w:rFonts w:ascii="宋体" w:hAnsi="宋体"/>
          <w:color w:val="000000"/>
          <w:sz w:val="24"/>
        </w:rPr>
      </w:r>
      <w:r/>
    </w:p>
    <w:p>
      <w:pPr>
        <w:pStyle w:val="945"/>
        <w:ind w:firstLine="645"/>
        <w:spacing w:line="56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日期：</w:t>
      </w:r>
      <w:r>
        <w:rPr>
          <w:rFonts w:ascii="宋体" w:hAnsi="宋体"/>
          <w:color w:val="000000"/>
          <w:sz w:val="24"/>
        </w:rPr>
      </w:r>
      <w:r/>
    </w:p>
    <w:p>
      <w:pPr>
        <w:pStyle w:val="945"/>
        <w:spacing w:line="460" w:lineRule="exact"/>
        <w:rPr>
          <w:rFonts w:hint="eastAsia" w:ascii="宋体" w:hAnsi="宋体"/>
          <w:bCs/>
          <w:color w:val="000000"/>
          <w:sz w:val="24"/>
        </w:rPr>
      </w:pPr>
      <w:r>
        <w:rPr>
          <w:rFonts w:hint="eastAsia" w:ascii="宋体" w:hAnsi="宋体"/>
          <w:bCs/>
          <w:color w:val="000000"/>
          <w:sz w:val="24"/>
        </w:rPr>
      </w:r>
      <w:r/>
    </w:p>
    <w:p>
      <w:pPr>
        <w:pStyle w:val="948"/>
        <w:rPr>
          <w:rFonts w:hint="eastAsia" w:ascii="宋体" w:hAnsi="宋体"/>
          <w:bCs w:val="0"/>
          <w:color w:val="000000"/>
          <w:sz w:val="24"/>
        </w:rPr>
        <w:outlineLvl w:val="9"/>
      </w:pPr>
      <w:r>
        <w:rPr>
          <w:rFonts w:hint="eastAsia" w:ascii="宋体" w:hAnsi="宋体"/>
          <w:bCs w:val="0"/>
          <w:color w:val="000000"/>
          <w:sz w:val="24"/>
        </w:rPr>
      </w:r>
      <w:r/>
    </w:p>
    <w:p>
      <w:pPr>
        <w:pStyle w:val="945"/>
        <w:rPr>
          <w:rFonts w:hint="eastAsia"/>
          <w:color w:val="000000"/>
        </w:rPr>
      </w:pPr>
      <w:r>
        <w:rPr>
          <w:rFonts w:hint="eastAsia"/>
          <w:color w:val="000000"/>
        </w:rPr>
      </w:r>
      <w:r/>
    </w:p>
    <w:p>
      <w:pPr>
        <w:pStyle w:val="945"/>
        <w:spacing w:line="460" w:lineRule="exact"/>
        <w:rPr>
          <w:rFonts w:hint="eastAsia" w:ascii="宋体" w:hAnsi="宋体"/>
          <w:bCs/>
          <w:color w:val="000000"/>
          <w:sz w:val="24"/>
        </w:rPr>
      </w:pPr>
      <w:r>
        <w:rPr>
          <w:rFonts w:hint="eastAsia" w:ascii="宋体" w:hAnsi="宋体"/>
          <w:bCs/>
          <w:color w:val="000000"/>
          <w:sz w:val="24"/>
        </w:rPr>
      </w:r>
      <w:r/>
    </w:p>
    <w:p>
      <w:pPr>
        <w:pStyle w:val="945"/>
        <w:rPr>
          <w:rFonts w:hint="eastAsia"/>
          <w:color w:val="000000"/>
        </w:rPr>
      </w:pPr>
      <w:r>
        <w:rPr>
          <w:rFonts w:hint="eastAsia"/>
          <w:color w:val="000000"/>
        </w:rPr>
      </w:r>
      <w:r/>
    </w:p>
    <w:p>
      <w:pPr>
        <w:pStyle w:val="945"/>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十二、投标分项报价表</w:t>
      </w:r>
      <w:r>
        <w:rPr>
          <w:rFonts w:hint="eastAsia" w:ascii="黑体" w:hAnsi="黑体" w:eastAsia="黑体"/>
          <w:b/>
          <w:color w:val="000000"/>
          <w:sz w:val="32"/>
          <w:szCs w:val="32"/>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74"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8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924"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03"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61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79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948" w:type="dxa"/>
            <w:vAlign w:val="center"/>
            <w:vMerge w:val="continue"/>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74"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8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924"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1203"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61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79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74"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8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74"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8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74"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8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945"/>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274" w:type="dxa"/>
            <w:vAlign w:val="center"/>
            <w:textDirection w:val="lrTb"/>
            <w:noWrap w:val="false"/>
          </w:tcPr>
          <w:p>
            <w:pPr>
              <w:pStyle w:val="945"/>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28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24"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03"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1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8"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7255" w:type="dxa"/>
            <w:vAlign w:val="center"/>
            <w:textDirection w:val="lrTb"/>
            <w:noWrap w:val="false"/>
          </w:tcPr>
          <w:p>
            <w:pPr>
              <w:pStyle w:val="945"/>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798" w:type="dxa"/>
            <w:vAlign w:val="top"/>
            <w:textDirection w:val="lrTb"/>
            <w:noWrap w:val="false"/>
          </w:tcPr>
          <w:p>
            <w:pPr>
              <w:pStyle w:val="945"/>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945"/>
        <w:rPr>
          <w:rFonts w:hint="eastAsia" w:ascii="宋体" w:hAnsi="宋体"/>
          <w:color w:val="000000"/>
          <w:sz w:val="24"/>
          <w:szCs w:val="24"/>
        </w:rPr>
      </w:pPr>
      <w:r>
        <w:rPr>
          <w:rFonts w:hint="eastAsia" w:ascii="宋体" w:hAnsi="宋体"/>
          <w:color w:val="000000"/>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color w:val="000000"/>
          <w:sz w:val="24"/>
          <w:szCs w:val="24"/>
        </w:rPr>
      </w:r>
      <w:r/>
    </w:p>
    <w:p>
      <w:pPr>
        <w:pStyle w:val="945"/>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45"/>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十三、技术要求响应及偏离表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945"/>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945"/>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bl>
    <w:p>
      <w:pPr>
        <w:pStyle w:val="945"/>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945"/>
        <w:jc w:val="center"/>
        <w:rPr>
          <w:rFonts w:hint="eastAsia" w:ascii="黑体" w:hAnsi="黑体" w:eastAsia="黑体"/>
          <w:b/>
          <w:color w:val="000000"/>
          <w:sz w:val="32"/>
          <w:szCs w:val="32"/>
        </w:rPr>
      </w:pPr>
      <w:r/>
      <w:bookmarkEnd w:id="214"/>
      <w:r/>
      <w:bookmarkStart w:id="218" w:name="_Hlt26955054"/>
      <w:r/>
      <w:bookmarkEnd w:id="218"/>
      <w:r>
        <w:rPr>
          <w:rFonts w:hint="eastAsia" w:ascii="黑体" w:hAnsi="黑体" w:eastAsia="黑体"/>
          <w:b/>
          <w:color w:val="000000"/>
          <w:sz w:val="32"/>
          <w:szCs w:val="32"/>
        </w:rPr>
        <w:t xml:space="preserve">十四、商务要求响应及偏离表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945"/>
              <w:jc w:val="center"/>
              <w:rPr>
                <w:rFonts w:hint="eastAsia" w:ascii="宋体" w:hAnsi="宋体"/>
                <w:color w:val="000000"/>
                <w:sz w:val="24"/>
                <w:szCs w:val="24"/>
              </w:rPr>
            </w:pPr>
            <w:r/>
            <w:bookmarkStart w:id="219" w:name="_Hlt24879081"/>
            <w:r/>
            <w:bookmarkEnd w:id="219"/>
            <w:r/>
            <w:bookmarkStart w:id="220" w:name="_Hlt26609391"/>
            <w:r/>
            <w:bookmarkEnd w:id="220"/>
            <w:r/>
            <w:bookmarkStart w:id="221" w:name="_Hlt26671372"/>
            <w:r/>
            <w:bookmarkEnd w:id="221"/>
            <w:r/>
            <w:bookmarkStart w:id="222" w:name="_Hlt26782999"/>
            <w:r/>
            <w:bookmarkEnd w:id="222"/>
            <w:r/>
            <w:bookmarkStart w:id="223" w:name="_Hlt26955064"/>
            <w:r/>
            <w:bookmarkEnd w:id="223"/>
            <w:r/>
            <w:bookmarkStart w:id="224" w:name="_Hlt26671343"/>
            <w:r/>
            <w:bookmarkEnd w:id="224"/>
            <w:r/>
            <w:bookmarkStart w:id="225" w:name="_Hlt26580838"/>
            <w:r/>
            <w:bookmarkEnd w:id="225"/>
            <w:r/>
            <w:bookmarkStart w:id="226" w:name="_Hlt26955056"/>
            <w:r/>
            <w:bookmarkEnd w:id="226"/>
            <w:r>
              <w:rPr>
                <w:rFonts w:hint="eastAsia" w:ascii="宋体" w:hAnsi="宋体"/>
                <w:color w:val="000000"/>
                <w:sz w:val="24"/>
                <w:szCs w:val="24"/>
              </w:rPr>
              <w:t xml:space="preserve">序号</w:t>
            </w:r>
            <w:r>
              <w:rPr>
                <w:rFonts w:hint="eastAsia" w:ascii="宋体" w:hAnsi="宋体"/>
                <w:color w:val="000000"/>
                <w:sz w:val="24"/>
                <w:szCs w:val="24"/>
              </w:rPr>
            </w:r>
            <w:r/>
          </w:p>
        </w:tc>
        <w:tc>
          <w:tcPr>
            <w:tcW w:w="2688" w:type="dxa"/>
            <w:vAlign w:val="center"/>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83" w:type="dxa"/>
            <w:vAlign w:val="center"/>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2" w:type="dxa"/>
            <w:vAlign w:val="center"/>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614" w:type="dxa"/>
            <w:vAlign w:val="center"/>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945"/>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68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688"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2883"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302"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c>
          <w:tcPr>
            <w:tcW w:w="1614" w:type="dxa"/>
            <w:vAlign w:val="top"/>
            <w:textDirection w:val="lrTb"/>
            <w:noWrap w:val="false"/>
          </w:tcPr>
          <w:p>
            <w:pPr>
              <w:pStyle w:val="945"/>
              <w:jc w:val="center"/>
              <w:rPr>
                <w:rFonts w:hint="eastAsia" w:ascii="宋体" w:hAnsi="宋体"/>
                <w:color w:val="000000"/>
                <w:sz w:val="24"/>
                <w:szCs w:val="24"/>
              </w:rPr>
            </w:pPr>
            <w:r>
              <w:rPr>
                <w:rFonts w:hint="eastAsia" w:ascii="宋体" w:hAnsi="宋体"/>
                <w:color w:val="000000"/>
                <w:sz w:val="24"/>
                <w:szCs w:val="24"/>
              </w:rPr>
            </w:r>
            <w:r/>
          </w:p>
        </w:tc>
      </w:tr>
    </w:tbl>
    <w:p>
      <w:pPr>
        <w:pStyle w:val="945"/>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945"/>
        <w:spacing w:line="480" w:lineRule="auto"/>
        <w:rPr>
          <w:rFonts w:hint="eastAsia" w:ascii="宋体" w:hAnsi="宋体"/>
          <w:color w:val="000000"/>
          <w:sz w:val="24"/>
        </w:rPr>
      </w:pPr>
      <w:r>
        <w:rPr>
          <w:rFonts w:hint="eastAsia" w:ascii="宋体" w:hAnsi="宋体"/>
          <w:color w:val="000000"/>
          <w:sz w:val="24"/>
        </w:rPr>
      </w:r>
      <w:r/>
    </w:p>
    <w:p>
      <w:pPr>
        <w:pStyle w:val="945"/>
        <w:rPr>
          <w:rFonts w:hint="eastAsia" w:ascii="黑体" w:hAnsi="黑体" w:eastAsia="黑体"/>
          <w:b/>
          <w:color w:val="000000"/>
          <w:sz w:val="32"/>
          <w:szCs w:val="32"/>
        </w:rPr>
      </w:pPr>
      <w:r/>
      <w:bookmarkEnd w:id="202"/>
      <w:r/>
      <w:bookmarkEnd w:id="203"/>
      <w:r>
        <w:rPr>
          <w:rFonts w:hint="eastAsia" w:ascii="黑体" w:hAnsi="黑体" w:eastAsia="黑体"/>
          <w:b/>
          <w:color w:val="000000"/>
          <w:sz w:val="32"/>
          <w:szCs w:val="32"/>
        </w:rPr>
      </w:r>
      <w:r/>
    </w:p>
    <w:p>
      <w:pPr>
        <w:pStyle w:val="1021"/>
        <w:rPr>
          <w:rFonts w:hint="eastAsia"/>
          <w:color w:val="000000"/>
        </w:rPr>
      </w:pPr>
      <w:r>
        <w:rPr>
          <w:rFonts w:hint="eastAsia"/>
          <w:color w:val="000000"/>
        </w:rPr>
      </w:r>
      <w:r/>
    </w:p>
    <w:p>
      <w:pPr>
        <w:pStyle w:val="945"/>
        <w:rPr>
          <w:rFonts w:hint="eastAsia" w:ascii="黑体" w:hAnsi="黑体" w:eastAsia="黑体"/>
          <w:b/>
          <w:color w:val="000000"/>
          <w:sz w:val="32"/>
          <w:szCs w:val="32"/>
        </w:rPr>
      </w:pPr>
      <w:r>
        <w:rPr>
          <w:rFonts w:hint="eastAsia" w:ascii="黑体" w:hAnsi="黑体" w:eastAsia="黑体"/>
          <w:b/>
          <w:color w:val="000000"/>
          <w:sz w:val="32"/>
          <w:szCs w:val="32"/>
        </w:rPr>
      </w:r>
      <w:r/>
    </w:p>
    <w:p>
      <w:pPr>
        <w:pStyle w:val="945"/>
        <w:rPr>
          <w:rFonts w:hint="eastAsia" w:eastAsia="仿宋_GB2312"/>
          <w:color w:val="000000"/>
          <w:sz w:val="24"/>
          <w:szCs w:val="20"/>
        </w:rPr>
      </w:pPr>
      <w:r>
        <w:rPr>
          <w:rFonts w:hint="eastAsia" w:ascii="黑体" w:hAnsi="黑体" w:eastAsia="黑体"/>
          <w:b/>
          <w:i/>
          <w:color w:val="000000"/>
          <w:sz w:val="32"/>
          <w:szCs w:val="32"/>
          <w:u w:val="single"/>
        </w:rPr>
        <w:t xml:space="preserve">十五、开标一览表</w:t>
      </w:r>
      <w:r>
        <w:rPr>
          <w:rFonts w:hint="eastAsia" w:eastAsia="仿宋_GB2312"/>
          <w:color w:val="000000"/>
          <w:sz w:val="24"/>
          <w:szCs w:val="20"/>
        </w:rPr>
      </w:r>
      <w:r/>
    </w:p>
    <w:p>
      <w:pPr>
        <w:pStyle w:val="945"/>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945"/>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45"/>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45"/>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1032"/>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945"/>
        <w:rPr>
          <w:rFonts w:ascii="宋体" w:hAnsi="宋体"/>
          <w:color w:val="000000"/>
          <w:sz w:val="24"/>
          <w:szCs w:val="24"/>
        </w:rPr>
      </w:pPr>
      <w:r>
        <w:rPr>
          <w:rFonts w:ascii="宋体" w:hAnsi="宋体"/>
          <w:color w:val="000000"/>
          <w:sz w:val="24"/>
          <w:szCs w:val="24"/>
        </w:rPr>
      </w:r>
      <w:r/>
    </w:p>
    <w:p>
      <w:pPr>
        <w:pStyle w:val="945"/>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rPr>
      </w:r>
      <w:r/>
    </w:p>
    <w:p>
      <w:pPr>
        <w:pStyle w:val="945"/>
        <w:ind w:firstLine="480"/>
        <w:rPr>
          <w:rFonts w:hint="eastAsia" w:ascii="宋体" w:hAnsi="宋体"/>
          <w:color w:val="000000"/>
          <w:sz w:val="24"/>
          <w:szCs w:val="24"/>
        </w:rPr>
      </w:pPr>
      <w:r>
        <w:rPr>
          <w:rFonts w:hint="eastAsia" w:ascii="宋体" w:hAnsi="宋体"/>
          <w:color w:val="000000"/>
          <w:sz w:val="24"/>
          <w:szCs w:val="24"/>
        </w:rPr>
      </w:r>
      <w:r/>
    </w:p>
    <w:p>
      <w:pPr>
        <w:pStyle w:val="945"/>
        <w:jc w:val="center"/>
        <w:rPr>
          <w:rFonts w:hint="eastAsia" w:ascii="黑体" w:hAnsi="黑体" w:eastAsia="黑体"/>
          <w:b/>
          <w:iCs/>
          <w:color w:val="000000"/>
          <w:sz w:val="32"/>
          <w:szCs w:val="32"/>
        </w:rPr>
      </w:pPr>
      <w:r>
        <w:rPr>
          <w:rFonts w:hint="eastAsia" w:ascii="黑体" w:hAnsi="黑体" w:eastAsia="黑体"/>
          <w:b/>
          <w:iCs/>
          <w:color w:val="000000"/>
          <w:sz w:val="32"/>
          <w:szCs w:val="32"/>
        </w:rPr>
      </w:r>
      <w:r/>
    </w:p>
    <w:p>
      <w:pPr>
        <w:pStyle w:val="945"/>
        <w:jc w:val="center"/>
        <w:rPr>
          <w:rFonts w:hint="eastAsia" w:ascii="黑体" w:hAnsi="黑体" w:eastAsia="黑体"/>
          <w:b/>
          <w:iCs/>
          <w:color w:val="000000"/>
          <w:sz w:val="32"/>
          <w:szCs w:val="32"/>
        </w:rPr>
      </w:pPr>
      <w:r>
        <w:rPr>
          <w:rFonts w:hint="eastAsia" w:ascii="黑体" w:hAnsi="黑体" w:eastAsia="黑体"/>
          <w:b/>
          <w:iCs/>
          <w:color w:val="000000"/>
          <w:sz w:val="32"/>
          <w:szCs w:val="32"/>
        </w:rPr>
      </w:r>
      <w:r/>
    </w:p>
    <w:p>
      <w:pPr>
        <w:pStyle w:val="945"/>
        <w:jc w:val="center"/>
        <w:rPr>
          <w:rFonts w:hint="eastAsia" w:ascii="黑体" w:hAnsi="黑体" w:eastAsia="黑体"/>
          <w:b/>
          <w:iCs/>
          <w:color w:val="000000"/>
          <w:sz w:val="32"/>
          <w:szCs w:val="32"/>
        </w:rPr>
      </w:pPr>
      <w:r>
        <w:rPr>
          <w:rFonts w:hint="eastAsia" w:ascii="黑体" w:hAnsi="黑体" w:eastAsia="黑体"/>
          <w:b/>
          <w:iCs/>
          <w:color w:val="000000"/>
          <w:sz w:val="32"/>
          <w:szCs w:val="32"/>
        </w:rPr>
      </w:r>
      <w:r/>
    </w:p>
    <w:p>
      <w:pPr>
        <w:pStyle w:val="945"/>
        <w:jc w:val="center"/>
        <w:rPr>
          <w:rFonts w:ascii="黑体" w:hAnsi="黑体" w:eastAsia="黑体"/>
          <w:b/>
          <w:iCs/>
          <w:color w:val="000000"/>
          <w:sz w:val="32"/>
          <w:szCs w:val="32"/>
        </w:rPr>
      </w:pPr>
      <w:r>
        <w:rPr>
          <w:rFonts w:hint="eastAsia" w:ascii="黑体" w:hAnsi="黑体" w:eastAsia="黑体"/>
          <w:b/>
          <w:iCs/>
          <w:color w:val="000000"/>
          <w:sz w:val="32"/>
          <w:szCs w:val="32"/>
        </w:rPr>
        <w:t xml:space="preserve">十六、主要标的信息</w:t>
      </w:r>
      <w:r>
        <w:rPr>
          <w:rFonts w:ascii="黑体" w:hAnsi="黑体" w:eastAsia="黑体"/>
          <w:b/>
          <w:iCs/>
          <w:color w:val="000000"/>
          <w:sz w:val="32"/>
          <w:szCs w:val="32"/>
        </w:rPr>
      </w:r>
      <w:r/>
    </w:p>
    <w:p>
      <w:pPr>
        <w:pStyle w:val="945"/>
        <w:jc w:val="center"/>
        <w:spacing w:before="312" w:line="360" w:lineRule="auto"/>
        <w:rPr>
          <w:rFonts w:ascii="宋体" w:hAnsi="宋体"/>
          <w:b/>
          <w:color w:val="000000"/>
        </w:rPr>
      </w:pPr>
      <w:r>
        <w:rPr>
          <w:rFonts w:hint="eastAsia" w:ascii="宋体" w:hAnsi="宋体"/>
          <w:b/>
          <w:color w:val="000000"/>
        </w:rPr>
        <w:t xml:space="preserve">主要标的信息（中标后将公示）</w:t>
      </w:r>
      <w:r>
        <w:rPr>
          <w:rFonts w:ascii="宋体" w:hAnsi="宋体"/>
          <w:b/>
          <w:color w:val="000000"/>
        </w:rPr>
      </w:r>
      <w:r/>
    </w:p>
    <w:p>
      <w:pPr>
        <w:pStyle w:val="945"/>
        <w:spacing w:after="312" w:line="360" w:lineRule="auto"/>
        <w:rPr>
          <w:rFonts w:ascii="宋体" w:hAnsi="宋体"/>
          <w:b/>
          <w:color w:val="000000"/>
        </w:rPr>
      </w:pPr>
      <w:r>
        <w:rPr>
          <w:rFonts w:hint="eastAsia" w:ascii="宋体" w:hAnsi="宋体"/>
          <w:color w:val="000000"/>
        </w:rPr>
        <w:t xml:space="preserve">投标人全称：</w:t>
      </w:r>
      <w:r>
        <w:rPr>
          <w:rFonts w:ascii="宋体" w:hAnsi="宋体"/>
          <w:b/>
          <w:color w:val="000000"/>
        </w:rPr>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45"/>
              <w:jc w:val="center"/>
              <w:rPr>
                <w:rFonts w:ascii="宋体" w:hAnsi="宋体" w:cs="宋体"/>
                <w:color w:val="000000"/>
              </w:rPr>
            </w:pPr>
            <w:r>
              <w:rPr>
                <w:rFonts w:hint="eastAsia" w:ascii="宋体" w:hAnsi="宋体" w:cs="宋体"/>
                <w:color w:val="000000"/>
              </w:rPr>
              <w:t xml:space="preserve">货物类</w:t>
            </w:r>
            <w:r>
              <w:rPr>
                <w:rFonts w:ascii="宋体" w:hAnsi="宋体" w:cs="宋体"/>
                <w:color w:val="000000"/>
              </w:rPr>
            </w:r>
            <w:r/>
          </w:p>
        </w:tc>
        <w:tc>
          <w:tcPr>
            <w:tcW w:w="3780" w:type="dxa"/>
            <w:vAlign w:val="top"/>
            <w:textDirection w:val="lrTb"/>
            <w:noWrap w:val="false"/>
          </w:tcPr>
          <w:p>
            <w:pPr>
              <w:pStyle w:val="945"/>
              <w:jc w:val="center"/>
              <w:rPr>
                <w:rFonts w:ascii="宋体" w:hAnsi="宋体" w:cs="宋体"/>
                <w:color w:val="000000"/>
              </w:rPr>
            </w:pPr>
            <w:r>
              <w:rPr>
                <w:rFonts w:hint="eastAsia" w:ascii="宋体" w:hAnsi="宋体" w:cs="宋体"/>
                <w:color w:val="000000"/>
              </w:rPr>
              <w:t xml:space="preserve">服务类</w:t>
            </w:r>
            <w:r>
              <w:rPr>
                <w:rFonts w:ascii="宋体" w:hAnsi="宋体" w:cs="宋体"/>
                <w:color w:val="000000"/>
              </w:rPr>
            </w:r>
            <w:r/>
          </w:p>
        </w:tc>
      </w:tr>
      <w:tr>
        <w:trPr>
          <w:trHeight w:val="3810"/>
        </w:trPr>
        <w:tc>
          <w:tcPr>
            <w:tcW w:w="3901" w:type="dxa"/>
            <w:vAlign w:val="top"/>
            <w:textDirection w:val="lrTb"/>
            <w:noWrap w:val="false"/>
          </w:tcPr>
          <w:p>
            <w:pPr>
              <w:pStyle w:val="945"/>
              <w:spacing w:line="360" w:lineRule="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945"/>
              <w:spacing w:line="360" w:lineRule="auto"/>
              <w:rPr>
                <w:rFonts w:ascii="宋体" w:hAnsi="宋体" w:cs="宋体"/>
                <w:color w:val="000000"/>
              </w:rPr>
            </w:pPr>
            <w:r>
              <w:rPr>
                <w:rFonts w:hint="eastAsia" w:ascii="宋体" w:hAnsi="宋体" w:cs="宋体"/>
                <w:color w:val="000000"/>
              </w:rPr>
              <w:t xml:space="preserve">品牌（如有）：</w:t>
            </w:r>
            <w:r>
              <w:rPr>
                <w:rFonts w:ascii="宋体" w:hAnsi="宋体" w:cs="宋体"/>
                <w:color w:val="000000"/>
              </w:rPr>
            </w:r>
            <w:r/>
          </w:p>
          <w:p>
            <w:pPr>
              <w:pStyle w:val="945"/>
              <w:spacing w:line="360" w:lineRule="auto"/>
              <w:rPr>
                <w:rFonts w:ascii="宋体" w:hAnsi="宋体" w:cs="宋体"/>
                <w:color w:val="000000"/>
              </w:rPr>
            </w:pPr>
            <w:r>
              <w:rPr>
                <w:rFonts w:hint="eastAsia" w:ascii="宋体" w:hAnsi="宋体" w:cs="宋体"/>
                <w:color w:val="000000"/>
              </w:rPr>
              <w:t xml:space="preserve">规格型号：</w:t>
            </w:r>
            <w:r>
              <w:rPr>
                <w:rFonts w:ascii="宋体" w:hAnsi="宋体" w:cs="宋体"/>
                <w:color w:val="000000"/>
              </w:rPr>
            </w:r>
            <w:r/>
          </w:p>
          <w:p>
            <w:pPr>
              <w:pStyle w:val="945"/>
              <w:spacing w:line="360" w:lineRule="auto"/>
              <w:rPr>
                <w:rFonts w:ascii="宋体" w:hAnsi="宋体" w:cs="宋体"/>
                <w:color w:val="000000"/>
              </w:rPr>
            </w:pPr>
            <w:r>
              <w:rPr>
                <w:rFonts w:hint="eastAsia" w:ascii="宋体" w:hAnsi="宋体" w:cs="宋体"/>
                <w:color w:val="000000"/>
              </w:rPr>
              <w:t xml:space="preserve">数量：</w:t>
            </w:r>
            <w:r>
              <w:rPr>
                <w:rFonts w:ascii="宋体" w:hAnsi="宋体" w:cs="宋体"/>
                <w:color w:val="000000"/>
              </w:rPr>
            </w:r>
            <w:r/>
          </w:p>
          <w:p>
            <w:pPr>
              <w:pStyle w:val="945"/>
              <w:spacing w:line="360" w:lineRule="auto"/>
              <w:rPr>
                <w:rFonts w:ascii="宋体" w:hAnsi="宋体" w:cs="宋体"/>
                <w:color w:val="000000"/>
              </w:rPr>
            </w:pPr>
            <w:r>
              <w:rPr>
                <w:rFonts w:hint="eastAsia" w:ascii="宋体" w:hAnsi="宋体" w:cs="宋体"/>
                <w:color w:val="000000"/>
              </w:rPr>
              <w:t xml:space="preserve">单价：</w:t>
            </w:r>
            <w:r>
              <w:rPr>
                <w:rFonts w:ascii="宋体" w:hAnsi="宋体" w:cs="宋体"/>
                <w:color w:val="000000"/>
              </w:rPr>
            </w:r>
            <w:r/>
          </w:p>
        </w:tc>
        <w:tc>
          <w:tcPr>
            <w:tcW w:w="3780" w:type="dxa"/>
            <w:vAlign w:val="top"/>
            <w:textDirection w:val="lrTb"/>
            <w:noWrap w:val="false"/>
          </w:tcPr>
          <w:p>
            <w:pPr>
              <w:pStyle w:val="945"/>
              <w:spacing w:line="360" w:lineRule="auto"/>
              <w:rPr>
                <w:rFonts w:ascii="宋体" w:hAnsi="宋体" w:cs="宋体"/>
                <w:color w:val="000000"/>
              </w:rPr>
            </w:pPr>
            <w:r>
              <w:rPr>
                <w:rFonts w:hint="eastAsia" w:ascii="宋体" w:hAnsi="宋体" w:cs="宋体"/>
                <w:color w:val="000000"/>
              </w:rPr>
              <w:t xml:space="preserve">名称：</w:t>
            </w:r>
            <w:r>
              <w:rPr>
                <w:rFonts w:ascii="宋体" w:hAnsi="宋体" w:cs="宋体"/>
                <w:color w:val="000000"/>
              </w:rPr>
            </w:r>
            <w:r/>
          </w:p>
          <w:p>
            <w:pPr>
              <w:pStyle w:val="945"/>
              <w:spacing w:line="360" w:lineRule="auto"/>
              <w:rPr>
                <w:rFonts w:ascii="宋体" w:hAnsi="宋体" w:cs="宋体"/>
                <w:color w:val="000000"/>
              </w:rPr>
            </w:pPr>
            <w:r>
              <w:rPr>
                <w:rFonts w:hint="eastAsia" w:ascii="宋体" w:hAnsi="宋体" w:cs="宋体"/>
                <w:color w:val="000000"/>
              </w:rPr>
              <w:t xml:space="preserve">服务范围：</w:t>
            </w:r>
            <w:r>
              <w:rPr>
                <w:rFonts w:ascii="宋体" w:hAnsi="宋体" w:cs="宋体"/>
                <w:color w:val="000000"/>
              </w:rPr>
            </w:r>
            <w:r/>
          </w:p>
          <w:p>
            <w:pPr>
              <w:pStyle w:val="945"/>
              <w:spacing w:line="360" w:lineRule="auto"/>
              <w:rPr>
                <w:rFonts w:ascii="宋体" w:hAnsi="宋体" w:cs="宋体"/>
                <w:color w:val="000000"/>
                <w:u w:val="single"/>
              </w:rPr>
            </w:pPr>
            <w:r>
              <w:rPr>
                <w:rFonts w:hint="eastAsia" w:ascii="宋体" w:hAnsi="宋体" w:cs="宋体"/>
                <w:color w:val="000000"/>
              </w:rPr>
              <w:t xml:space="preserve">服务要求：</w:t>
            </w:r>
            <w:r>
              <w:rPr>
                <w:rFonts w:ascii="宋体" w:hAnsi="宋体" w:cs="宋体"/>
                <w:color w:val="000000"/>
                <w:u w:val="single"/>
              </w:rPr>
            </w:r>
            <w:r/>
          </w:p>
          <w:p>
            <w:pPr>
              <w:pStyle w:val="945"/>
              <w:spacing w:line="360" w:lineRule="auto"/>
              <w:rPr>
                <w:rFonts w:ascii="宋体" w:hAnsi="宋体" w:cs="宋体"/>
                <w:color w:val="000000"/>
                <w:u w:val="single"/>
              </w:rPr>
            </w:pPr>
            <w:r>
              <w:rPr>
                <w:rFonts w:hint="eastAsia" w:ascii="宋体" w:hAnsi="宋体" w:cs="宋体"/>
                <w:color w:val="000000"/>
              </w:rPr>
              <w:t xml:space="preserve">服务时间：</w:t>
            </w:r>
            <w:r>
              <w:rPr>
                <w:rFonts w:ascii="宋体" w:hAnsi="宋体" w:cs="宋体"/>
                <w:color w:val="000000"/>
                <w:u w:val="single"/>
              </w:rPr>
            </w:r>
            <w:r/>
          </w:p>
          <w:p>
            <w:pPr>
              <w:pStyle w:val="945"/>
              <w:spacing w:line="360" w:lineRule="auto"/>
              <w:rPr>
                <w:rFonts w:ascii="宋体" w:hAnsi="宋体" w:cs="宋体"/>
                <w:color w:val="000000"/>
              </w:rPr>
            </w:pPr>
            <w:r>
              <w:rPr>
                <w:rFonts w:hint="eastAsia" w:ascii="宋体" w:hAnsi="宋体" w:cs="宋体"/>
                <w:color w:val="000000"/>
              </w:rPr>
              <w:t xml:space="preserve">服务标准：</w:t>
            </w:r>
            <w:r>
              <w:rPr>
                <w:rFonts w:ascii="宋体" w:hAnsi="宋体" w:cs="宋体"/>
                <w:color w:val="000000"/>
              </w:rPr>
            </w:r>
            <w:r/>
          </w:p>
        </w:tc>
      </w:tr>
    </w:tbl>
    <w:p>
      <w:pPr>
        <w:pStyle w:val="945"/>
        <w:ind w:firstLine="480"/>
        <w:rPr>
          <w:rFonts w:hint="eastAsia" w:ascii="宋体" w:hAnsi="宋体"/>
          <w:color w:val="000000"/>
          <w:sz w:val="24"/>
          <w:szCs w:val="24"/>
        </w:rPr>
      </w:pPr>
      <w:r>
        <w:rPr>
          <w:rFonts w:hint="eastAsia" w:ascii="宋体" w:hAnsi="宋体"/>
          <w:color w:val="000000"/>
          <w:sz w:val="24"/>
          <w:szCs w:val="24"/>
        </w:rPr>
      </w:r>
      <w:r/>
    </w:p>
    <w:p>
      <w:pPr>
        <w:pStyle w:val="945"/>
        <w:ind w:firstLine="480"/>
        <w:rPr>
          <w:rFonts w:hint="eastAsia" w:ascii="宋体" w:hAnsi="宋体"/>
          <w:color w:val="000000"/>
          <w:sz w:val="24"/>
          <w:szCs w:val="24"/>
        </w:rPr>
      </w:pPr>
      <w:r>
        <w:rPr>
          <w:rFonts w:hint="eastAsia" w:ascii="宋体" w:hAnsi="宋体"/>
          <w:color w:val="000000"/>
          <w:sz w:val="24"/>
          <w:szCs w:val="24"/>
        </w:rPr>
      </w:r>
      <w:r/>
    </w:p>
    <w:p>
      <w:pPr>
        <w:pStyle w:val="945"/>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45"/>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符合性审查响应对照表</w:t>
      </w:r>
      <w:r>
        <w:rPr>
          <w:color w:val="000000"/>
        </w:rPr>
      </w:r>
      <w:r/>
    </w:p>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rPr>
          <w:color w:val="000000"/>
        </w:rPr>
      </w:r>
      <w:r/>
    </w:p>
    <w:tbl>
      <w:tblPr>
        <w:tblStyle w:val="101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4840"/>
        <w:gridCol w:w="1531"/>
        <w:gridCol w:w="1177"/>
      </w:tblGrid>
      <w:tr>
        <w:trPr>
          <w:trHeight w:val="882"/>
        </w:trPr>
        <w:tc>
          <w:tcPr>
            <w:tcMar>
              <w:left w:w="108" w:type="dxa"/>
              <w:top w:w="0" w:type="dxa"/>
              <w:right w:w="108" w:type="dxa"/>
              <w:bottom w:w="0" w:type="dxa"/>
            </w:tcMar>
            <w:tcW w:w="595" w:type="dxa"/>
            <w:vAlign w:val="center"/>
            <w:textDirection w:val="lrTb"/>
            <w:noWrap w:val="false"/>
          </w:tcPr>
          <w:p>
            <w:pPr>
              <w:pStyle w:val="945"/>
              <w:ind w:left="0" w:right="0" w:firstLine="0"/>
              <w:jc w:val="center"/>
              <w:spacing w:before="0" w:after="0" w:line="2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序号</w:t>
            </w:r>
            <w:r>
              <w:rPr>
                <w:color w:val="000000"/>
              </w:rPr>
            </w:r>
            <w:r/>
          </w:p>
        </w:tc>
        <w:tc>
          <w:tcPr>
            <w:tcMar>
              <w:left w:w="108" w:type="dxa"/>
              <w:top w:w="0" w:type="dxa"/>
              <w:right w:w="108" w:type="dxa"/>
              <w:bottom w:w="0" w:type="dxa"/>
            </w:tcMar>
            <w:tcW w:w="4840" w:type="dxa"/>
            <w:vAlign w:val="center"/>
            <w:textDirection w:val="lrTb"/>
            <w:noWrap w:val="false"/>
          </w:tcPr>
          <w:p>
            <w:pPr>
              <w:pStyle w:val="945"/>
              <w:ind w:left="0" w:right="0" w:firstLine="0"/>
              <w:jc w:val="center"/>
              <w:spacing w:before="0" w:after="0" w:line="2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符合性审查响应内容</w:t>
            </w:r>
            <w:r>
              <w:rPr>
                <w:color w:val="000000"/>
              </w:rPr>
            </w:r>
            <w:r/>
          </w:p>
        </w:tc>
        <w:tc>
          <w:tcPr>
            <w:tcMar>
              <w:left w:w="108" w:type="dxa"/>
              <w:top w:w="0" w:type="dxa"/>
              <w:right w:w="108" w:type="dxa"/>
              <w:bottom w:w="0" w:type="dxa"/>
            </w:tcMar>
            <w:tcW w:w="1531" w:type="dxa"/>
            <w:vAlign w:val="center"/>
            <w:textDirection w:val="lrTb"/>
            <w:noWrap w:val="false"/>
          </w:tcPr>
          <w:p>
            <w:pPr>
              <w:pStyle w:val="945"/>
              <w:ind w:left="0" w:right="0" w:firstLine="0"/>
              <w:jc w:val="center"/>
              <w:spacing w:before="0" w:after="0" w:line="2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是否响应</w:t>
            </w:r>
            <w:r>
              <w:rPr>
                <w:color w:val="000000"/>
              </w:rPr>
            </w:r>
            <w:r/>
          </w:p>
          <w:p>
            <w:pPr>
              <w:pStyle w:val="945"/>
              <w:ind w:left="0" w:right="0" w:firstLine="0"/>
              <w:jc w:val="center"/>
              <w:spacing w:before="0" w:after="0" w:line="2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（填是或者否）</w:t>
            </w:r>
            <w:r>
              <w:rPr>
                <w:color w:val="000000"/>
              </w:rPr>
            </w:r>
            <w:r/>
          </w:p>
        </w:tc>
        <w:tc>
          <w:tcPr>
            <w:tcMar>
              <w:left w:w="108" w:type="dxa"/>
              <w:top w:w="0" w:type="dxa"/>
              <w:right w:w="108" w:type="dxa"/>
              <w:bottom w:w="0" w:type="dxa"/>
            </w:tcMar>
            <w:tcW w:w="1177" w:type="dxa"/>
            <w:vAlign w:val="center"/>
            <w:textDirection w:val="lrTb"/>
            <w:noWrap w:val="false"/>
          </w:tcPr>
          <w:p>
            <w:pPr>
              <w:pStyle w:val="945"/>
              <w:ind w:left="0" w:right="0" w:firstLine="0"/>
              <w:jc w:val="center"/>
              <w:spacing w:before="0" w:after="0" w:line="23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响应情况</w:t>
            </w:r>
            <w:r>
              <w:rPr>
                <w:color w:val="000000"/>
              </w:rPr>
            </w:r>
            <w:r/>
          </w:p>
        </w:tc>
      </w:tr>
      <w:tr>
        <w:trPr>
          <w:trHeight w:val="585"/>
        </w:trPr>
        <w:tc>
          <w:tcPr>
            <w:tcMar>
              <w:left w:w="108" w:type="dxa"/>
              <w:top w:w="0" w:type="dxa"/>
              <w:right w:w="108" w:type="dxa"/>
              <w:bottom w:w="0" w:type="dxa"/>
            </w:tcMar>
            <w:tcW w:w="595" w:type="dxa"/>
            <w:vAlign w:val="center"/>
            <w:textDirection w:val="lrTb"/>
            <w:noWrap w:val="false"/>
          </w:tcPr>
          <w:p>
            <w:pPr>
              <w:pStyle w:val="945"/>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w:t>
            </w:r>
            <w:r>
              <w:rPr>
                <w:color w:val="000000"/>
              </w:rPr>
            </w:r>
            <w:r/>
          </w:p>
        </w:tc>
        <w:tc>
          <w:tcPr>
            <w:tcMar>
              <w:left w:w="108" w:type="dxa"/>
              <w:top w:w="0" w:type="dxa"/>
              <w:right w:w="108" w:type="dxa"/>
              <w:bottom w:w="0" w:type="dxa"/>
            </w:tcMar>
            <w:tcW w:w="4840" w:type="dxa"/>
            <w:vAlign w:val="center"/>
            <w:textDirection w:val="lrTb"/>
            <w:noWrap w:val="false"/>
          </w:tcPr>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采购需求中必须满足采购文件第四章项目需求中的实质性要求（即加斜体下划线内容，每条详细列出）</w:t>
            </w:r>
            <w:r>
              <w:rPr>
                <w:color w:val="000000"/>
              </w:rPr>
            </w:r>
            <w:r/>
          </w:p>
        </w:tc>
        <w:tc>
          <w:tcPr>
            <w:tcMar>
              <w:left w:w="108" w:type="dxa"/>
              <w:top w:w="0" w:type="dxa"/>
              <w:right w:w="108" w:type="dxa"/>
              <w:bottom w:w="0" w:type="dxa"/>
            </w:tcMar>
            <w:tcW w:w="1531" w:type="dxa"/>
            <w:vAlign w:val="center"/>
            <w:textDirection w:val="lrTb"/>
            <w:noWrap w:val="false"/>
          </w:tcPr>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rPr>
                <w:color w:val="000000"/>
              </w:rPr>
            </w:r>
            <w:r/>
          </w:p>
        </w:tc>
        <w:tc>
          <w:tcPr>
            <w:tcMar>
              <w:left w:w="108" w:type="dxa"/>
              <w:top w:w="0" w:type="dxa"/>
              <w:right w:w="108" w:type="dxa"/>
              <w:bottom w:w="0" w:type="dxa"/>
            </w:tcMar>
            <w:tcW w:w="1177" w:type="dxa"/>
            <w:vAlign w:val="center"/>
            <w:textDirection w:val="lrTb"/>
            <w:noWrap w:val="false"/>
          </w:tcPr>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rPr>
                <w:color w:val="000000"/>
              </w:rPr>
            </w:r>
            <w:r/>
          </w:p>
        </w:tc>
      </w:tr>
      <w:tr>
        <w:trPr>
          <w:trHeight w:val="585"/>
        </w:trPr>
        <w:tc>
          <w:tcPr>
            <w:tcMar>
              <w:left w:w="108" w:type="dxa"/>
              <w:top w:w="0" w:type="dxa"/>
              <w:right w:w="108" w:type="dxa"/>
              <w:bottom w:w="0" w:type="dxa"/>
            </w:tcMar>
            <w:tcW w:w="595" w:type="dxa"/>
            <w:vAlign w:val="center"/>
            <w:textDirection w:val="lrTb"/>
            <w:noWrap w:val="false"/>
          </w:tcPr>
          <w:p>
            <w:pPr>
              <w:pStyle w:val="945"/>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rPr>
                <w:color w:val="000000"/>
              </w:rPr>
            </w:r>
            <w:r/>
          </w:p>
        </w:tc>
        <w:tc>
          <w:tcPr>
            <w:tcMar>
              <w:left w:w="108" w:type="dxa"/>
              <w:top w:w="0" w:type="dxa"/>
              <w:right w:w="108" w:type="dxa"/>
              <w:bottom w:w="0" w:type="dxa"/>
            </w:tcMar>
            <w:tcW w:w="4840" w:type="dxa"/>
            <w:vAlign w:val="center"/>
            <w:textDirection w:val="lrTb"/>
            <w:noWrap w:val="false"/>
          </w:tcPr>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c>
          <w:tcPr>
            <w:tcMar>
              <w:left w:w="108" w:type="dxa"/>
              <w:top w:w="0" w:type="dxa"/>
              <w:right w:w="108" w:type="dxa"/>
              <w:bottom w:w="0" w:type="dxa"/>
            </w:tcMar>
            <w:tcW w:w="1177" w:type="dxa"/>
            <w:vAlign w:val="center"/>
            <w:textDirection w:val="lrTb"/>
            <w:noWrap w:val="false"/>
          </w:tcPr>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r>
      <w:tr>
        <w:trPr>
          <w:trHeight w:val="585"/>
        </w:trPr>
        <w:tc>
          <w:tcPr>
            <w:tcMar>
              <w:left w:w="108" w:type="dxa"/>
              <w:top w:w="0" w:type="dxa"/>
              <w:right w:w="108" w:type="dxa"/>
              <w:bottom w:w="0" w:type="dxa"/>
            </w:tcMar>
            <w:tcW w:w="595" w:type="dxa"/>
            <w:vAlign w:val="center"/>
            <w:textDirection w:val="lrTb"/>
            <w:noWrap w:val="false"/>
          </w:tcPr>
          <w:p>
            <w:pPr>
              <w:pStyle w:val="945"/>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rPr>
                <w:color w:val="000000"/>
              </w:rPr>
            </w:r>
            <w:r/>
          </w:p>
        </w:tc>
        <w:tc>
          <w:tcPr>
            <w:tcMar>
              <w:left w:w="108" w:type="dxa"/>
              <w:top w:w="0" w:type="dxa"/>
              <w:right w:w="108" w:type="dxa"/>
              <w:bottom w:w="0" w:type="dxa"/>
            </w:tcMar>
            <w:tcW w:w="4840" w:type="dxa"/>
            <w:vAlign w:val="center"/>
            <w:textDirection w:val="lrTb"/>
            <w:noWrap w:val="false"/>
          </w:tcPr>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c>
          <w:tcPr>
            <w:tcMar>
              <w:left w:w="108" w:type="dxa"/>
              <w:top w:w="0" w:type="dxa"/>
              <w:right w:w="108" w:type="dxa"/>
              <w:bottom w:w="0" w:type="dxa"/>
            </w:tcMar>
            <w:tcW w:w="1177" w:type="dxa"/>
            <w:vAlign w:val="center"/>
            <w:textDirection w:val="lrTb"/>
            <w:noWrap w:val="false"/>
          </w:tcPr>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r>
      <w:tr>
        <w:trPr>
          <w:trHeight w:val="417"/>
        </w:trPr>
        <w:tc>
          <w:tcPr>
            <w:tcMar>
              <w:left w:w="108" w:type="dxa"/>
              <w:top w:w="0" w:type="dxa"/>
              <w:right w:w="108" w:type="dxa"/>
              <w:bottom w:w="0" w:type="dxa"/>
            </w:tcMar>
            <w:tcW w:w="595" w:type="dxa"/>
            <w:vAlign w:val="center"/>
            <w:textDirection w:val="lrTb"/>
            <w:noWrap w:val="false"/>
          </w:tcPr>
          <w:p>
            <w:pPr>
              <w:pStyle w:val="945"/>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rPr>
                <w:color w:val="000000"/>
              </w:rPr>
            </w:r>
            <w:r/>
          </w:p>
        </w:tc>
        <w:tc>
          <w:tcPr>
            <w:tcMar>
              <w:left w:w="108" w:type="dxa"/>
              <w:top w:w="0" w:type="dxa"/>
              <w:right w:w="108" w:type="dxa"/>
              <w:bottom w:w="0" w:type="dxa"/>
            </w:tcMar>
            <w:tcW w:w="4840" w:type="dxa"/>
            <w:vAlign w:val="center"/>
            <w:textDirection w:val="lrTb"/>
            <w:noWrap w:val="false"/>
          </w:tcPr>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c>
          <w:tcPr>
            <w:tcMar>
              <w:left w:w="108" w:type="dxa"/>
              <w:top w:w="0" w:type="dxa"/>
              <w:right w:w="108" w:type="dxa"/>
              <w:bottom w:w="0" w:type="dxa"/>
            </w:tcMar>
            <w:tcW w:w="1177" w:type="dxa"/>
            <w:vAlign w:val="center"/>
            <w:textDirection w:val="lrTb"/>
            <w:noWrap w:val="false"/>
          </w:tcPr>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r>
      <w:tr>
        <w:trPr>
          <w:trHeight w:val="780"/>
        </w:trPr>
        <w:tc>
          <w:tcPr>
            <w:tcMar>
              <w:left w:w="108" w:type="dxa"/>
              <w:top w:w="0" w:type="dxa"/>
              <w:right w:w="108" w:type="dxa"/>
              <w:bottom w:w="0" w:type="dxa"/>
            </w:tcMar>
            <w:tcW w:w="595" w:type="dxa"/>
            <w:vAlign w:val="center"/>
            <w:textDirection w:val="lrTb"/>
            <w:noWrap w:val="false"/>
          </w:tcPr>
          <w:p>
            <w:pPr>
              <w:pStyle w:val="945"/>
              <w:ind w:left="0" w:right="0" w:firstLine="0"/>
              <w:jc w:val="center"/>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rPr>
                <w:color w:val="000000"/>
              </w:rPr>
            </w:r>
            <w:r/>
          </w:p>
        </w:tc>
        <w:tc>
          <w:tcPr>
            <w:tcMar>
              <w:left w:w="108" w:type="dxa"/>
              <w:top w:w="0" w:type="dxa"/>
              <w:right w:w="108" w:type="dxa"/>
              <w:bottom w:w="0" w:type="dxa"/>
            </w:tcMar>
            <w:tcW w:w="4840" w:type="dxa"/>
            <w:vAlign w:val="center"/>
            <w:textDirection w:val="lrTb"/>
            <w:noWrap w:val="false"/>
          </w:tcPr>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color w:val="000000"/>
              </w:rPr>
            </w:r>
            <w:r/>
          </w:p>
        </w:tc>
        <w:tc>
          <w:tcPr>
            <w:tcMar>
              <w:left w:w="108" w:type="dxa"/>
              <w:top w:w="0" w:type="dxa"/>
              <w:right w:w="108" w:type="dxa"/>
              <w:bottom w:w="0" w:type="dxa"/>
            </w:tcMar>
            <w:tcW w:w="1531" w:type="dxa"/>
            <w:vAlign w:val="center"/>
            <w:textDirection w:val="lrTb"/>
            <w:noWrap w:val="false"/>
          </w:tcPr>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c>
          <w:tcPr>
            <w:tcMar>
              <w:left w:w="108" w:type="dxa"/>
              <w:top w:w="0" w:type="dxa"/>
              <w:right w:w="108" w:type="dxa"/>
              <w:bottom w:w="0" w:type="dxa"/>
            </w:tcMar>
            <w:tcW w:w="1177" w:type="dxa"/>
            <w:vAlign w:val="center"/>
            <w:textDirection w:val="lrTb"/>
            <w:noWrap w:val="false"/>
          </w:tcPr>
          <w:p>
            <w:pPr>
              <w:pStyle w:val="945"/>
              <w:ind w:left="0" w:right="0" w:firstLine="0"/>
              <w:jc w:val="both"/>
              <w:spacing w:before="0" w:after="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rPr>
                <w:color w:val="000000"/>
              </w:rPr>
            </w:r>
            <w:r/>
          </w:p>
        </w:tc>
      </w:tr>
    </w:tbl>
    <w:p>
      <w:pPr>
        <w:pStyle w:val="945"/>
        <w:rPr>
          <w:rFonts w:hint="eastAsia" w:ascii="宋体" w:hAnsi="宋体" w:cs="仿宋"/>
          <w:b/>
          <w:bCs/>
          <w:color w:val="000000"/>
          <w:sz w:val="32"/>
          <w:szCs w:val="32"/>
        </w:rPr>
      </w:pPr>
      <w:r>
        <w:rPr>
          <w:rFonts w:hint="eastAsia" w:ascii="宋体" w:hAnsi="宋体" w:cs="仿宋"/>
          <w:b/>
          <w:bCs/>
          <w:color w:val="000000"/>
          <w:sz w:val="32"/>
          <w:szCs w:val="32"/>
        </w:rPr>
      </w:r>
      <w:r/>
    </w:p>
    <w:p>
      <w:pPr>
        <w:pStyle w:val="1021"/>
        <w:rPr>
          <w:rFonts w:hint="eastAsia" w:ascii="宋体" w:hAnsi="宋体" w:cs="仿宋"/>
          <w:b/>
          <w:bCs/>
          <w:color w:val="000000"/>
          <w:sz w:val="32"/>
          <w:szCs w:val="32"/>
        </w:rPr>
      </w:pPr>
      <w:r>
        <w:rPr>
          <w:rFonts w:hint="eastAsia" w:ascii="宋体" w:hAnsi="宋体" w:cs="仿宋"/>
          <w:b/>
          <w:bCs/>
          <w:color w:val="000000"/>
          <w:sz w:val="32"/>
          <w:szCs w:val="32"/>
        </w:rPr>
      </w:r>
      <w:r/>
    </w:p>
    <w:p>
      <w:pPr>
        <w:pStyle w:val="1021"/>
        <w:rPr>
          <w:rFonts w:hint="eastAsia" w:ascii="宋体" w:hAnsi="宋体" w:cs="仿宋"/>
          <w:b/>
          <w:bCs/>
          <w:color w:val="000000"/>
          <w:sz w:val="32"/>
          <w:szCs w:val="32"/>
        </w:rPr>
      </w:pPr>
      <w:r>
        <w:rPr>
          <w:rFonts w:hint="eastAsia" w:ascii="宋体" w:hAnsi="宋体" w:cs="仿宋"/>
          <w:b/>
          <w:bCs/>
          <w:color w:val="000000"/>
          <w:sz w:val="32"/>
          <w:szCs w:val="32"/>
        </w:rPr>
      </w:r>
      <w:r/>
    </w:p>
    <w:p>
      <w:pPr>
        <w:pStyle w:val="945"/>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45"/>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4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4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4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4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45"/>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4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4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45"/>
        <w:ind w:firstLine="480"/>
        <w:jc w:val="left"/>
        <w:keepLines w:val="0"/>
        <w:keepNext/>
        <w:pageBreakBefore w:val="0"/>
        <w:spacing w:line="4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hint="eastAsia" w:ascii="宋体" w:hAnsi="宋体"/>
          <w:color w:val="000000"/>
          <w:sz w:val="24"/>
          <w:szCs w:val="24"/>
        </w:rPr>
      </w:r>
      <w:r/>
    </w:p>
    <w:p>
      <w:pPr>
        <w:pStyle w:val="945"/>
        <w:ind w:firstLine="480"/>
        <w:jc w:val="left"/>
        <w:keepLines w:val="0"/>
        <w:keepNext/>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45"/>
        <w:ind w:firstLine="480"/>
        <w:jc w:val="left"/>
        <w:keepLines w:val="0"/>
        <w:keepNext/>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945"/>
        <w:ind w:firstLine="480"/>
        <w:jc w:val="left"/>
        <w:keepLines w:val="0"/>
        <w:keepNext/>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45"/>
        <w:ind w:firstLine="480"/>
        <w:jc w:val="left"/>
        <w:keepLines w:val="0"/>
        <w:keepNext/>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45"/>
        <w:ind w:firstLine="480"/>
        <w:jc w:val="left"/>
        <w:keepLines w:val="0"/>
        <w:keepNext/>
        <w:pageBreakBefore w:val="0"/>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59"/>
        <w:rPr>
          <w:rFonts w:hint="eastAsia"/>
          <w:color w:val="000000"/>
          <w:sz w:val="24"/>
          <w:szCs w:val="24"/>
        </w:rPr>
      </w:pPr>
      <w:r>
        <w:rPr>
          <w:rFonts w:hint="eastAsia"/>
          <w:color w:val="000000"/>
          <w:sz w:val="24"/>
          <w:szCs w:val="24"/>
        </w:rPr>
      </w:r>
      <w:r/>
    </w:p>
    <w:p>
      <w:pPr>
        <w:pStyle w:val="959"/>
        <w:rPr>
          <w:color w:val="000000"/>
          <w:sz w:val="24"/>
          <w:szCs w:val="24"/>
        </w:rPr>
      </w:pPr>
      <w:r>
        <w:rPr>
          <w:color w:val="000000"/>
          <w:sz w:val="24"/>
          <w:szCs w:val="24"/>
        </w:rPr>
      </w:r>
      <w:r/>
    </w:p>
    <w:sectPr>
      <w:headerReference w:type="default" r:id="rId10"/>
      <w:footerReference w:type="default" r:id="rId12"/>
      <w:footerReference w:type="even" r:id="rId13"/>
      <w:footnotePr/>
      <w:endnotePr/>
      <w:type w:val="nextPage"/>
      <w:pgSz w:w="11906" w:h="16838" w:orient="portrait"/>
      <w:pgMar w:top="1701" w:right="1701" w:bottom="1701" w:left="1701" w:header="96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4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4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5"/>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center" w:pos="4153" w:leader="none"/>
        <w:tab w:val="right" w:pos="8306" w:leader="none"/>
      </w:tabs>
      <w:rPr>
        <w:rStyle w:val="1017"/>
      </w:rPr>
      <w:framePr w:wrap="around" w:vAnchor="text" w:hAnchor="margin" w:xAlign="center" w:y="1"/>
    </w:pPr>
    <w:r>
      <w:fldChar w:fldCharType="begin"/>
    </w:r>
    <w:r>
      <w:rPr>
        <w:rStyle w:val="1017"/>
      </w:rPr>
      <w:instrText xml:space="preserve">PAGE  </w:instrText>
    </w:r>
    <w:r>
      <w:fldChar w:fldCharType="separate"/>
    </w:r>
    <w:r>
      <w:rPr>
        <w:rStyle w:val="1017"/>
      </w:rPr>
      <w:t xml:space="preserve">1</w:t>
    </w:r>
    <w:r>
      <w:fldChar w:fldCharType="end"/>
    </w:r>
    <w:r>
      <w:rPr>
        <w:rStyle w:val="1017"/>
      </w:rPr>
    </w:r>
    <w:r/>
  </w:p>
  <w:p>
    <w:pPr>
      <w:pStyle w:val="99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both"/>
      <w:spacing w:before="120" w:after="120" w:line="240" w:lineRule="auto"/>
      <w:tabs>
        <w:tab w:val="center" w:pos="4153" w:leader="none"/>
        <w:tab w:val="right" w:pos="8306" w:leader="none"/>
      </w:tabs>
      <w:rPr>
        <w:lang w:val="en-US"/>
      </w:rPr>
      <w:pBdr>
        <w:bottom w:val="single" w:color="000000" w:sz="4" w:space="1"/>
      </w:pBdr>
    </w:pPr>
    <w:r>
      <w:rPr>
        <w:rFonts w:hint="eastAsia" w:ascii="宋体" w:hAnsi="宋体" w:eastAsia="宋体" w:cs="宋体"/>
        <w:lang w:val="en-US" w:eastAsia="zh-CN"/>
      </w:rPr>
      <w:t xml:space="preserve">JSZC-321003-YZZK-G2024-0009号</w:t>
    </w:r>
    <w:r>
      <w:rPr>
        <w:rFonts w:hint="eastAsia"/>
        <w:lang w:val="en-US" w:eastAsia="zh-CN"/>
      </w:rPr>
      <w:t xml:space="preserve">                                        扬州中科项目管理有限公司</w:t>
    </w:r>
    <w:r>
      <w:rPr>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both"/>
      <w:spacing w:before="120" w:after="120" w:line="240" w:lineRule="auto"/>
      <w:tabs>
        <w:tab w:val="center" w:pos="4153" w:leader="none"/>
        <w:tab w:val="right" w:pos="8306" w:leader="none"/>
      </w:tabs>
      <w:rPr>
        <w:lang w:val="en-US"/>
      </w:rPr>
      <w:pBdr>
        <w:bottom w:val="single" w:color="000000" w:sz="4" w:space="1"/>
      </w:pBdr>
    </w:pPr>
    <w:r>
      <w:rPr>
        <w:rFonts w:hint="eastAsia" w:ascii="宋体" w:hAnsi="宋体" w:eastAsia="宋体" w:cs="宋体"/>
        <w:lang w:val="en-US" w:eastAsia="zh-CN"/>
      </w:rPr>
      <w:t xml:space="preserve">JSZC-321003-YZZK-G2024-0009号</w:t>
    </w:r>
    <w:r>
      <w:rPr>
        <w:rFonts w:hint="eastAsia"/>
        <w:lang w:val="en-US" w:eastAsia="zh-CN"/>
      </w:rPr>
      <w:t xml:space="preserve">                                        扬州中科项目管理有限公司</w:t>
    </w:r>
    <w:r>
      <w:rPr>
        <w:lang w:val="en-US"/>
      </w:rPr>
    </w:r>
    <w:r/>
  </w:p>
  <w:p>
    <w:pPr>
      <w:pStyle w:val="99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4"/>
      <w:isLgl w:val="false"/>
      <w:suff w:val="tab"/>
      <w:lvlText w:val="附录%1."/>
      <w:lvlJc w:val="left"/>
      <w:pPr>
        <w:pStyle w:val="94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1"/>
      <w:isLgl w:val="false"/>
      <w:suff w:val="tab"/>
      <w:lvlText w:val="%1."/>
      <w:lvlJc w:val="left"/>
      <w:pPr>
        <w:pStyle w:val="945"/>
        <w:ind w:left="709" w:hanging="709"/>
        <w:tabs>
          <w:tab w:val="num" w:pos="709" w:leader="none"/>
        </w:tabs>
      </w:pPr>
      <w:rPr>
        <w:rFonts w:hint="eastAsia"/>
      </w:rPr>
    </w:lvl>
    <w:lvl w:ilvl="1">
      <w:start w:val="1"/>
      <w:numFmt w:val="decimal"/>
      <w:isLgl w:val="false"/>
      <w:suff w:val="tab"/>
      <w:lvlText w:val="%1.%2"/>
      <w:lvlJc w:val="left"/>
      <w:pPr>
        <w:pStyle w:val="945"/>
        <w:ind w:left="709" w:hanging="709"/>
        <w:tabs>
          <w:tab w:val="num" w:pos="709" w:leader="none"/>
        </w:tabs>
      </w:pPr>
      <w:rPr>
        <w:rFonts w:hint="eastAsia"/>
      </w:rPr>
    </w:lvl>
    <w:lvl w:ilvl="2">
      <w:start w:val="1"/>
      <w:numFmt w:val="decimal"/>
      <w:isLgl w:val="false"/>
      <w:suff w:val="tab"/>
      <w:lvlText w:val="%1.%2.%3."/>
      <w:lvlJc w:val="left"/>
      <w:pPr>
        <w:pStyle w:val="945"/>
        <w:ind w:left="425" w:hanging="425"/>
        <w:tabs>
          <w:tab w:val="num" w:pos="425" w:leader="none"/>
        </w:tabs>
      </w:pPr>
      <w:rPr>
        <w:rFonts w:hint="eastAsia"/>
      </w:rPr>
    </w:lvl>
    <w:lvl w:ilvl="3">
      <w:start w:val="1"/>
      <w:numFmt w:val="decimal"/>
      <w:isLgl w:val="false"/>
      <w:suff w:val="tab"/>
      <w:lvlText w:val="%1.%2.%3.%4."/>
      <w:lvlJc w:val="left"/>
      <w:pPr>
        <w:pStyle w:val="945"/>
        <w:ind w:left="851" w:hanging="851"/>
        <w:tabs>
          <w:tab w:val="num" w:pos="851" w:leader="none"/>
        </w:tabs>
      </w:pPr>
      <w:rPr>
        <w:rFonts w:hint="eastAsia"/>
      </w:rPr>
    </w:lvl>
    <w:lvl w:ilvl="4">
      <w:start w:val="1"/>
      <w:numFmt w:val="decimal"/>
      <w:isLgl w:val="false"/>
      <w:suff w:val="tab"/>
      <w:lvlText w:val="%1.%2.%3.%4.%5."/>
      <w:lvlJc w:val="left"/>
      <w:pPr>
        <w:pStyle w:val="945"/>
        <w:ind w:left="992" w:hanging="992"/>
        <w:tabs>
          <w:tab w:val="num" w:pos="992" w:leader="none"/>
        </w:tabs>
      </w:pPr>
      <w:rPr>
        <w:rFonts w:hint="eastAsia"/>
      </w:rPr>
    </w:lvl>
    <w:lvl w:ilvl="5">
      <w:start w:val="1"/>
      <w:numFmt w:val="decimal"/>
      <w:isLgl w:val="false"/>
      <w:suff w:val="tab"/>
      <w:lvlText w:val="%1.%2.%3.%4.%5.%6."/>
      <w:lvlJc w:val="left"/>
      <w:pPr>
        <w:pStyle w:val="945"/>
        <w:ind w:left="1134" w:hanging="1134"/>
        <w:tabs>
          <w:tab w:val="num" w:pos="1134" w:leader="none"/>
        </w:tabs>
      </w:pPr>
      <w:rPr>
        <w:rFonts w:hint="eastAsia"/>
      </w:rPr>
    </w:lvl>
    <w:lvl w:ilvl="6">
      <w:start w:val="1"/>
      <w:numFmt w:val="decimal"/>
      <w:isLgl w:val="false"/>
      <w:suff w:val="tab"/>
      <w:lvlText w:val="%1.%2.%3.%4.%5.%6.%7."/>
      <w:lvlJc w:val="left"/>
      <w:pPr>
        <w:pStyle w:val="945"/>
        <w:ind w:left="1276" w:hanging="1276"/>
        <w:tabs>
          <w:tab w:val="num" w:pos="1276" w:leader="none"/>
        </w:tabs>
      </w:pPr>
      <w:rPr>
        <w:rFonts w:hint="eastAsia"/>
      </w:rPr>
    </w:lvl>
    <w:lvl w:ilvl="7">
      <w:start w:val="1"/>
      <w:numFmt w:val="decimal"/>
      <w:isLgl w:val="false"/>
      <w:suff w:val="tab"/>
      <w:lvlText w:val="%1.%2.%3.%4.%5.%6.%7.%8."/>
      <w:lvlJc w:val="left"/>
      <w:pPr>
        <w:pStyle w:val="945"/>
        <w:ind w:left="1418" w:hanging="1418"/>
        <w:tabs>
          <w:tab w:val="num" w:pos="1418" w:leader="none"/>
        </w:tabs>
      </w:pPr>
      <w:rPr>
        <w:rFonts w:hint="eastAsia"/>
      </w:rPr>
    </w:lvl>
    <w:lvl w:ilvl="8">
      <w:start w:val="1"/>
      <w:numFmt w:val="decimal"/>
      <w:isLgl w:val="false"/>
      <w:suff w:val="tab"/>
      <w:lvlText w:val="%1.%2.%3.%4.%5.%6.%7.%8.%9."/>
      <w:lvlJc w:val="left"/>
      <w:pPr>
        <w:pStyle w:val="945"/>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45"/>
        <w:ind w:left="0" w:firstLine="0"/>
      </w:pPr>
      <w:rPr>
        <w:rFonts w:hint="eastAsia"/>
      </w:rPr>
    </w:lvl>
    <w:lvl w:ilvl="1">
      <w:start w:val="1"/>
      <w:numFmt w:val="decimal"/>
      <w:isLgl w:val="false"/>
      <w:suff w:val="nothing"/>
      <w:lvlText w:val="%2、"/>
      <w:lvlJc w:val="left"/>
      <w:pPr>
        <w:pStyle w:val="945"/>
        <w:ind w:left="0" w:firstLine="0"/>
      </w:pPr>
      <w:rPr>
        <w:rFonts w:hint="eastAsia"/>
      </w:rPr>
    </w:lvl>
    <w:lvl w:ilvl="2">
      <w:start w:val="1"/>
      <w:numFmt w:val="decimal"/>
      <w:isLgl w:val="false"/>
      <w:suff w:val="nothing"/>
      <w:lvlText w:val="%2.%3 "/>
      <w:lvlJc w:val="left"/>
      <w:pPr>
        <w:pStyle w:val="945"/>
        <w:ind w:left="0" w:firstLine="0"/>
      </w:pPr>
      <w:rPr>
        <w:rFonts w:hint="eastAsia"/>
      </w:rPr>
    </w:lvl>
    <w:lvl w:ilvl="3">
      <w:start w:val="1"/>
      <w:numFmt w:val="decimal"/>
      <w:isLgl w:val="false"/>
      <w:suff w:val="nothing"/>
      <w:lvlText w:val="%2.%3.%4 "/>
      <w:lvlJc w:val="left"/>
      <w:pPr>
        <w:pStyle w:val="945"/>
        <w:ind w:left="0" w:firstLine="0"/>
      </w:pPr>
      <w:rPr>
        <w:rFonts w:hint="eastAsia"/>
      </w:rPr>
    </w:lvl>
    <w:lvl w:ilvl="4">
      <w:start w:val="1"/>
      <w:numFmt w:val="decimal"/>
      <w:isLgl w:val="false"/>
      <w:suff w:val="nothing"/>
      <w:lvlText w:val="%2.%3.%4.%5 "/>
      <w:lvlJc w:val="left"/>
      <w:pPr>
        <w:pStyle w:val="945"/>
        <w:ind w:left="0" w:firstLine="0"/>
      </w:pPr>
      <w:rPr>
        <w:rFonts w:hint="eastAsia"/>
      </w:rPr>
    </w:lvl>
    <w:lvl w:ilvl="5">
      <w:start w:val="1"/>
      <w:numFmt w:val="decimal"/>
      <w:pStyle w:val="951"/>
      <w:isLgl w:val="false"/>
      <w:suff w:val="nothing"/>
      <w:lvlText w:val=""/>
      <w:lvlJc w:val="left"/>
      <w:pPr>
        <w:pStyle w:val="945"/>
        <w:ind w:left="0" w:firstLine="0"/>
      </w:pPr>
      <w:rPr>
        <w:rFonts w:hint="eastAsia"/>
      </w:rPr>
    </w:lvl>
    <w:lvl w:ilvl="6">
      <w:start w:val="1"/>
      <w:numFmt w:val="decimal"/>
      <w:pStyle w:val="952"/>
      <w:isLgl w:val="false"/>
      <w:suff w:val="nothing"/>
      <w:lvlText w:val=""/>
      <w:lvlJc w:val="left"/>
      <w:pPr>
        <w:pStyle w:val="945"/>
        <w:ind w:left="0" w:firstLine="0"/>
      </w:pPr>
      <w:rPr>
        <w:rFonts w:hint="eastAsia"/>
      </w:rPr>
    </w:lvl>
    <w:lvl w:ilvl="7">
      <w:start w:val="1"/>
      <w:numFmt w:val="decimal"/>
      <w:pStyle w:val="953"/>
      <w:isLgl w:val="false"/>
      <w:suff w:val="nothing"/>
      <w:lvlText w:val=""/>
      <w:lvlJc w:val="left"/>
      <w:pPr>
        <w:pStyle w:val="945"/>
        <w:ind w:left="0" w:firstLine="0"/>
      </w:pPr>
      <w:rPr>
        <w:rFonts w:hint="eastAsia"/>
      </w:rPr>
    </w:lvl>
    <w:lvl w:ilvl="8">
      <w:start w:val="1"/>
      <w:numFmt w:val="decimal"/>
      <w:pStyle w:val="954"/>
      <w:isLgl w:val="false"/>
      <w:suff w:val="nothing"/>
      <w:lvlText w:val=""/>
      <w:lvlJc w:val="left"/>
      <w:pPr>
        <w:pStyle w:val="945"/>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7">
    <w:name w:val="Heading 1"/>
    <w:basedOn w:val="945"/>
    <w:next w:val="945"/>
    <w:link w:val="768"/>
    <w:uiPriority w:val="9"/>
    <w:qFormat/>
    <w:pPr>
      <w:keepLines/>
      <w:keepNext/>
      <w:spacing w:before="480" w:after="200"/>
      <w:outlineLvl w:val="0"/>
    </w:pPr>
    <w:rPr>
      <w:rFonts w:ascii="Arial" w:hAnsi="Arial" w:eastAsia="Arial" w:cs="Arial"/>
      <w:sz w:val="40"/>
      <w:szCs w:val="40"/>
    </w:rPr>
  </w:style>
  <w:style w:type="character" w:styleId="768">
    <w:name w:val="Heading 1 Char"/>
    <w:link w:val="767"/>
    <w:uiPriority w:val="9"/>
    <w:rPr>
      <w:rFonts w:ascii="Arial" w:hAnsi="Arial" w:eastAsia="Arial" w:cs="Arial"/>
      <w:sz w:val="40"/>
      <w:szCs w:val="40"/>
    </w:rPr>
  </w:style>
  <w:style w:type="paragraph" w:styleId="769">
    <w:name w:val="Heading 2"/>
    <w:basedOn w:val="945"/>
    <w:next w:val="945"/>
    <w:link w:val="770"/>
    <w:uiPriority w:val="9"/>
    <w:unhideWhenUsed/>
    <w:qFormat/>
    <w:pPr>
      <w:keepLines/>
      <w:keepNext/>
      <w:spacing w:before="360" w:after="200"/>
      <w:outlineLvl w:val="1"/>
    </w:pPr>
    <w:rPr>
      <w:rFonts w:ascii="Arial" w:hAnsi="Arial" w:eastAsia="Arial" w:cs="Arial"/>
      <w:sz w:val="34"/>
    </w:rPr>
  </w:style>
  <w:style w:type="character" w:styleId="770">
    <w:name w:val="Heading 2 Char"/>
    <w:link w:val="769"/>
    <w:uiPriority w:val="9"/>
    <w:rPr>
      <w:rFonts w:ascii="Arial" w:hAnsi="Arial" w:eastAsia="Arial" w:cs="Arial"/>
      <w:sz w:val="34"/>
    </w:rPr>
  </w:style>
  <w:style w:type="paragraph" w:styleId="771">
    <w:name w:val="Heading 3"/>
    <w:basedOn w:val="945"/>
    <w:next w:val="945"/>
    <w:link w:val="772"/>
    <w:uiPriority w:val="9"/>
    <w:unhideWhenUsed/>
    <w:qFormat/>
    <w:pPr>
      <w:keepLines/>
      <w:keepNext/>
      <w:spacing w:before="320" w:after="200"/>
      <w:outlineLvl w:val="2"/>
    </w:pPr>
    <w:rPr>
      <w:rFonts w:ascii="Arial" w:hAnsi="Arial" w:eastAsia="Arial" w:cs="Arial"/>
      <w:sz w:val="30"/>
      <w:szCs w:val="30"/>
    </w:rPr>
  </w:style>
  <w:style w:type="character" w:styleId="772">
    <w:name w:val="Heading 3 Char"/>
    <w:link w:val="771"/>
    <w:uiPriority w:val="9"/>
    <w:rPr>
      <w:rFonts w:ascii="Arial" w:hAnsi="Arial" w:eastAsia="Arial" w:cs="Arial"/>
      <w:sz w:val="30"/>
      <w:szCs w:val="30"/>
    </w:rPr>
  </w:style>
  <w:style w:type="paragraph" w:styleId="773">
    <w:name w:val="Heading 4"/>
    <w:basedOn w:val="945"/>
    <w:next w:val="945"/>
    <w:link w:val="774"/>
    <w:uiPriority w:val="9"/>
    <w:unhideWhenUsed/>
    <w:qFormat/>
    <w:pPr>
      <w:keepLines/>
      <w:keepNext/>
      <w:spacing w:before="320" w:after="200"/>
      <w:outlineLvl w:val="3"/>
    </w:pPr>
    <w:rPr>
      <w:rFonts w:ascii="Arial" w:hAnsi="Arial" w:eastAsia="Arial" w:cs="Arial"/>
      <w:b/>
      <w:bCs/>
      <w:sz w:val="26"/>
      <w:szCs w:val="26"/>
    </w:rPr>
  </w:style>
  <w:style w:type="character" w:styleId="774">
    <w:name w:val="Heading 4 Char"/>
    <w:link w:val="773"/>
    <w:uiPriority w:val="9"/>
    <w:rPr>
      <w:rFonts w:ascii="Arial" w:hAnsi="Arial" w:eastAsia="Arial" w:cs="Arial"/>
      <w:b/>
      <w:bCs/>
      <w:sz w:val="26"/>
      <w:szCs w:val="26"/>
    </w:rPr>
  </w:style>
  <w:style w:type="paragraph" w:styleId="775">
    <w:name w:val="Heading 5"/>
    <w:basedOn w:val="945"/>
    <w:next w:val="945"/>
    <w:link w:val="776"/>
    <w:uiPriority w:val="9"/>
    <w:unhideWhenUsed/>
    <w:qFormat/>
    <w:pPr>
      <w:keepLines/>
      <w:keepNext/>
      <w:spacing w:before="320" w:after="200"/>
      <w:outlineLvl w:val="4"/>
    </w:pPr>
    <w:rPr>
      <w:rFonts w:ascii="Arial" w:hAnsi="Arial" w:eastAsia="Arial" w:cs="Arial"/>
      <w:b/>
      <w:bCs/>
      <w:sz w:val="24"/>
      <w:szCs w:val="24"/>
    </w:rPr>
  </w:style>
  <w:style w:type="character" w:styleId="776">
    <w:name w:val="Heading 5 Char"/>
    <w:link w:val="775"/>
    <w:uiPriority w:val="9"/>
    <w:rPr>
      <w:rFonts w:ascii="Arial" w:hAnsi="Arial" w:eastAsia="Arial" w:cs="Arial"/>
      <w:b/>
      <w:bCs/>
      <w:sz w:val="24"/>
      <w:szCs w:val="24"/>
    </w:rPr>
  </w:style>
  <w:style w:type="paragraph" w:styleId="777">
    <w:name w:val="Heading 6"/>
    <w:basedOn w:val="945"/>
    <w:next w:val="945"/>
    <w:link w:val="778"/>
    <w:uiPriority w:val="9"/>
    <w:unhideWhenUsed/>
    <w:qFormat/>
    <w:pPr>
      <w:keepLines/>
      <w:keepNext/>
      <w:spacing w:before="320" w:after="200"/>
      <w:outlineLvl w:val="5"/>
    </w:pPr>
    <w:rPr>
      <w:rFonts w:ascii="Arial" w:hAnsi="Arial" w:eastAsia="Arial" w:cs="Arial"/>
      <w:b/>
      <w:bCs/>
      <w:sz w:val="22"/>
      <w:szCs w:val="22"/>
    </w:rPr>
  </w:style>
  <w:style w:type="character" w:styleId="778">
    <w:name w:val="Heading 6 Char"/>
    <w:link w:val="777"/>
    <w:uiPriority w:val="9"/>
    <w:rPr>
      <w:rFonts w:ascii="Arial" w:hAnsi="Arial" w:eastAsia="Arial" w:cs="Arial"/>
      <w:b/>
      <w:bCs/>
      <w:sz w:val="22"/>
      <w:szCs w:val="22"/>
    </w:rPr>
  </w:style>
  <w:style w:type="paragraph" w:styleId="779">
    <w:name w:val="Heading 7"/>
    <w:basedOn w:val="945"/>
    <w:next w:val="945"/>
    <w:link w:val="780"/>
    <w:uiPriority w:val="9"/>
    <w:unhideWhenUsed/>
    <w:qFormat/>
    <w:pPr>
      <w:keepLines/>
      <w:keepNext/>
      <w:spacing w:before="320" w:after="200"/>
      <w:outlineLvl w:val="6"/>
    </w:pPr>
    <w:rPr>
      <w:rFonts w:ascii="Arial" w:hAnsi="Arial" w:eastAsia="Arial" w:cs="Arial"/>
      <w:b/>
      <w:bCs/>
      <w:i/>
      <w:iCs/>
      <w:sz w:val="22"/>
      <w:szCs w:val="22"/>
    </w:rPr>
  </w:style>
  <w:style w:type="character" w:styleId="780">
    <w:name w:val="Heading 7 Char"/>
    <w:link w:val="779"/>
    <w:uiPriority w:val="9"/>
    <w:rPr>
      <w:rFonts w:ascii="Arial" w:hAnsi="Arial" w:eastAsia="Arial" w:cs="Arial"/>
      <w:b/>
      <w:bCs/>
      <w:i/>
      <w:iCs/>
      <w:sz w:val="22"/>
      <w:szCs w:val="22"/>
    </w:rPr>
  </w:style>
  <w:style w:type="paragraph" w:styleId="781">
    <w:name w:val="Heading 8"/>
    <w:basedOn w:val="945"/>
    <w:next w:val="945"/>
    <w:link w:val="782"/>
    <w:uiPriority w:val="9"/>
    <w:unhideWhenUsed/>
    <w:qFormat/>
    <w:pPr>
      <w:keepLines/>
      <w:keepNext/>
      <w:spacing w:before="320" w:after="200"/>
      <w:outlineLvl w:val="7"/>
    </w:pPr>
    <w:rPr>
      <w:rFonts w:ascii="Arial" w:hAnsi="Arial" w:eastAsia="Arial" w:cs="Arial"/>
      <w:i/>
      <w:iCs/>
      <w:sz w:val="22"/>
      <w:szCs w:val="22"/>
    </w:rPr>
  </w:style>
  <w:style w:type="character" w:styleId="782">
    <w:name w:val="Heading 8 Char"/>
    <w:link w:val="781"/>
    <w:uiPriority w:val="9"/>
    <w:rPr>
      <w:rFonts w:ascii="Arial" w:hAnsi="Arial" w:eastAsia="Arial" w:cs="Arial"/>
      <w:i/>
      <w:iCs/>
      <w:sz w:val="22"/>
      <w:szCs w:val="22"/>
    </w:rPr>
  </w:style>
  <w:style w:type="paragraph" w:styleId="783">
    <w:name w:val="Heading 9"/>
    <w:basedOn w:val="945"/>
    <w:next w:val="945"/>
    <w:link w:val="784"/>
    <w:uiPriority w:val="9"/>
    <w:unhideWhenUsed/>
    <w:qFormat/>
    <w:pPr>
      <w:keepLines/>
      <w:keepNext/>
      <w:spacing w:before="320" w:after="200"/>
      <w:outlineLvl w:val="8"/>
    </w:pPr>
    <w:rPr>
      <w:rFonts w:ascii="Arial" w:hAnsi="Arial" w:eastAsia="Arial" w:cs="Arial"/>
      <w:i/>
      <w:iCs/>
      <w:sz w:val="21"/>
      <w:szCs w:val="21"/>
    </w:rPr>
  </w:style>
  <w:style w:type="character" w:styleId="784">
    <w:name w:val="Heading 9 Char"/>
    <w:link w:val="783"/>
    <w:uiPriority w:val="9"/>
    <w:rPr>
      <w:rFonts w:ascii="Arial" w:hAnsi="Arial" w:eastAsia="Arial" w:cs="Arial"/>
      <w:i/>
      <w:iCs/>
      <w:sz w:val="21"/>
      <w:szCs w:val="21"/>
    </w:rPr>
  </w:style>
  <w:style w:type="paragraph" w:styleId="785">
    <w:name w:val="List Paragraph"/>
    <w:basedOn w:val="945"/>
    <w:uiPriority w:val="34"/>
    <w:qFormat/>
    <w:pPr>
      <w:contextualSpacing/>
      <w:ind w:left="720"/>
    </w:pPr>
  </w:style>
  <w:style w:type="paragraph" w:styleId="786">
    <w:name w:val="No Spacing"/>
    <w:uiPriority w:val="1"/>
    <w:qFormat/>
    <w:pPr>
      <w:spacing w:before="0" w:after="0" w:line="240" w:lineRule="auto"/>
    </w:pPr>
  </w:style>
  <w:style w:type="paragraph" w:styleId="787">
    <w:name w:val="Title"/>
    <w:basedOn w:val="945"/>
    <w:next w:val="945"/>
    <w:link w:val="788"/>
    <w:uiPriority w:val="10"/>
    <w:qFormat/>
    <w:pPr>
      <w:contextualSpacing/>
      <w:spacing w:before="300" w:after="200"/>
    </w:pPr>
    <w:rPr>
      <w:sz w:val="48"/>
      <w:szCs w:val="48"/>
    </w:rPr>
  </w:style>
  <w:style w:type="character" w:styleId="788">
    <w:name w:val="Title Char"/>
    <w:link w:val="787"/>
    <w:uiPriority w:val="10"/>
    <w:rPr>
      <w:sz w:val="48"/>
      <w:szCs w:val="48"/>
    </w:rPr>
  </w:style>
  <w:style w:type="paragraph" w:styleId="789">
    <w:name w:val="Subtitle"/>
    <w:basedOn w:val="945"/>
    <w:next w:val="945"/>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Quote"/>
    <w:basedOn w:val="945"/>
    <w:next w:val="945"/>
    <w:link w:val="792"/>
    <w:uiPriority w:val="29"/>
    <w:qFormat/>
    <w:pPr>
      <w:ind w:left="720" w:right="720"/>
    </w:pPr>
    <w:rPr>
      <w:i/>
    </w:rPr>
  </w:style>
  <w:style w:type="character" w:styleId="792">
    <w:name w:val="Quote Char"/>
    <w:link w:val="791"/>
    <w:uiPriority w:val="29"/>
    <w:rPr>
      <w:i/>
    </w:rPr>
  </w:style>
  <w:style w:type="paragraph" w:styleId="793">
    <w:name w:val="Intense Quote"/>
    <w:basedOn w:val="945"/>
    <w:next w:val="945"/>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name w:val="Intense Quote Char"/>
    <w:link w:val="793"/>
    <w:uiPriority w:val="30"/>
    <w:rPr>
      <w:i/>
    </w:rPr>
  </w:style>
  <w:style w:type="paragraph" w:styleId="795">
    <w:name w:val="Header"/>
    <w:basedOn w:val="945"/>
    <w:link w:val="796"/>
    <w:uiPriority w:val="99"/>
    <w:unhideWhenUsed/>
    <w:pPr>
      <w:spacing w:after="0" w:line="240" w:lineRule="auto"/>
      <w:tabs>
        <w:tab w:val="center" w:pos="7143" w:leader="none"/>
        <w:tab w:val="right" w:pos="14287" w:leader="none"/>
      </w:tabs>
    </w:pPr>
  </w:style>
  <w:style w:type="character" w:styleId="796">
    <w:name w:val="Header Char"/>
    <w:link w:val="795"/>
    <w:uiPriority w:val="99"/>
  </w:style>
  <w:style w:type="paragraph" w:styleId="797">
    <w:name w:val="Footer"/>
    <w:basedOn w:val="945"/>
    <w:link w:val="800"/>
    <w:uiPriority w:val="99"/>
    <w:unhideWhenUsed/>
    <w:pPr>
      <w:spacing w:after="0" w:line="240" w:lineRule="auto"/>
      <w:tabs>
        <w:tab w:val="center" w:pos="7143" w:leader="none"/>
        <w:tab w:val="right" w:pos="14287" w:leader="none"/>
      </w:tabs>
    </w:pPr>
  </w:style>
  <w:style w:type="character" w:styleId="798">
    <w:name w:val="Footer Char"/>
    <w:link w:val="797"/>
    <w:uiPriority w:val="99"/>
  </w:style>
  <w:style w:type="paragraph" w:styleId="799">
    <w:name w:val="Caption"/>
    <w:basedOn w:val="945"/>
    <w:next w:val="945"/>
    <w:uiPriority w:val="35"/>
    <w:semiHidden/>
    <w:unhideWhenUsed/>
    <w:qFormat/>
    <w:pPr>
      <w:spacing w:line="276" w:lineRule="auto"/>
    </w:pPr>
    <w:rPr>
      <w:b/>
      <w:bCs/>
      <w:color w:val="4f81bd" w:themeColor="accent1"/>
      <w:sz w:val="18"/>
      <w:szCs w:val="18"/>
    </w:rPr>
  </w:style>
  <w:style w:type="character" w:styleId="800">
    <w:name w:val="Caption Char"/>
    <w:basedOn w:val="799"/>
    <w:link w:val="797"/>
    <w:uiPriority w:val="99"/>
  </w:style>
  <w:style w:type="table" w:styleId="8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7">
    <w:name w:val="Hyperlink"/>
    <w:uiPriority w:val="99"/>
    <w:unhideWhenUsed/>
    <w:rPr>
      <w:color w:val="0000ff" w:themeColor="hyperlink"/>
      <w:u w:val="single"/>
    </w:rPr>
  </w:style>
  <w:style w:type="paragraph" w:styleId="928">
    <w:name w:val="footnote text"/>
    <w:basedOn w:val="945"/>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uiPriority w:val="99"/>
    <w:unhideWhenUsed/>
    <w:rPr>
      <w:vertAlign w:val="superscript"/>
    </w:rPr>
  </w:style>
  <w:style w:type="paragraph" w:styleId="931">
    <w:name w:val="endnote text"/>
    <w:basedOn w:val="945"/>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uiPriority w:val="99"/>
    <w:semiHidden/>
    <w:unhideWhenUsed/>
    <w:rPr>
      <w:vertAlign w:val="superscript"/>
    </w:rPr>
  </w:style>
  <w:style w:type="paragraph" w:styleId="934">
    <w:name w:val="toc 1"/>
    <w:basedOn w:val="945"/>
    <w:next w:val="945"/>
    <w:uiPriority w:val="39"/>
    <w:unhideWhenUsed/>
    <w:pPr>
      <w:ind w:left="0" w:right="0" w:firstLine="0"/>
      <w:spacing w:after="57"/>
    </w:pPr>
  </w:style>
  <w:style w:type="paragraph" w:styleId="935">
    <w:name w:val="toc 2"/>
    <w:basedOn w:val="945"/>
    <w:next w:val="945"/>
    <w:uiPriority w:val="39"/>
    <w:unhideWhenUsed/>
    <w:pPr>
      <w:ind w:left="283" w:right="0" w:firstLine="0"/>
      <w:spacing w:after="57"/>
    </w:pPr>
  </w:style>
  <w:style w:type="paragraph" w:styleId="936">
    <w:name w:val="toc 3"/>
    <w:basedOn w:val="945"/>
    <w:next w:val="945"/>
    <w:uiPriority w:val="39"/>
    <w:unhideWhenUsed/>
    <w:pPr>
      <w:ind w:left="567" w:right="0" w:firstLine="0"/>
      <w:spacing w:after="57"/>
    </w:pPr>
  </w:style>
  <w:style w:type="paragraph" w:styleId="937">
    <w:name w:val="toc 4"/>
    <w:basedOn w:val="945"/>
    <w:next w:val="945"/>
    <w:uiPriority w:val="39"/>
    <w:unhideWhenUsed/>
    <w:pPr>
      <w:ind w:left="850" w:right="0" w:firstLine="0"/>
      <w:spacing w:after="57"/>
    </w:pPr>
  </w:style>
  <w:style w:type="paragraph" w:styleId="938">
    <w:name w:val="toc 5"/>
    <w:basedOn w:val="945"/>
    <w:next w:val="945"/>
    <w:uiPriority w:val="39"/>
    <w:unhideWhenUsed/>
    <w:pPr>
      <w:ind w:left="1134" w:right="0" w:firstLine="0"/>
      <w:spacing w:after="57"/>
    </w:pPr>
  </w:style>
  <w:style w:type="paragraph" w:styleId="939">
    <w:name w:val="toc 6"/>
    <w:basedOn w:val="945"/>
    <w:next w:val="945"/>
    <w:uiPriority w:val="39"/>
    <w:unhideWhenUsed/>
    <w:pPr>
      <w:ind w:left="1417" w:right="0" w:firstLine="0"/>
      <w:spacing w:after="57"/>
    </w:pPr>
  </w:style>
  <w:style w:type="paragraph" w:styleId="940">
    <w:name w:val="toc 7"/>
    <w:basedOn w:val="945"/>
    <w:next w:val="945"/>
    <w:uiPriority w:val="39"/>
    <w:unhideWhenUsed/>
    <w:pPr>
      <w:ind w:left="1701" w:right="0" w:firstLine="0"/>
      <w:spacing w:after="57"/>
    </w:pPr>
  </w:style>
  <w:style w:type="paragraph" w:styleId="941">
    <w:name w:val="toc 8"/>
    <w:basedOn w:val="945"/>
    <w:next w:val="945"/>
    <w:uiPriority w:val="39"/>
    <w:unhideWhenUsed/>
    <w:pPr>
      <w:ind w:left="1984" w:right="0" w:firstLine="0"/>
      <w:spacing w:after="57"/>
    </w:pPr>
  </w:style>
  <w:style w:type="paragraph" w:styleId="942">
    <w:name w:val="toc 9"/>
    <w:basedOn w:val="945"/>
    <w:next w:val="945"/>
    <w:uiPriority w:val="39"/>
    <w:unhideWhenUsed/>
    <w:pPr>
      <w:ind w:left="2268" w:right="0" w:firstLine="0"/>
      <w:spacing w:after="57"/>
    </w:pPr>
  </w:style>
  <w:style w:type="paragraph" w:styleId="943">
    <w:name w:val="TOC Heading"/>
    <w:uiPriority w:val="39"/>
    <w:unhideWhenUsed/>
  </w:style>
  <w:style w:type="paragraph" w:styleId="944">
    <w:name w:val="table of figures"/>
    <w:basedOn w:val="945"/>
    <w:next w:val="945"/>
    <w:uiPriority w:val="99"/>
    <w:unhideWhenUsed/>
    <w:pPr>
      <w:spacing w:after="0" w:afterAutospacing="0"/>
    </w:pPr>
  </w:style>
  <w:style w:type="paragraph" w:styleId="945" w:default="1">
    <w:name w:val="Normal"/>
    <w:next w:val="945"/>
    <w:link w:val="945"/>
    <w:qFormat/>
    <w:pPr>
      <w:jc w:val="both"/>
      <w:widowControl w:val="off"/>
    </w:pPr>
    <w:rPr>
      <w:rFonts w:ascii="Times New Roman" w:hAnsi="Times New Roman"/>
      <w:sz w:val="21"/>
      <w:szCs w:val="21"/>
      <w:lang w:val="en-US" w:eastAsia="zh-CN" w:bidi="ar-SA"/>
    </w:rPr>
  </w:style>
  <w:style w:type="paragraph" w:styleId="946">
    <w:name w:val="标题 1"/>
    <w:basedOn w:val="945"/>
    <w:next w:val="945"/>
    <w:link w:val="957"/>
    <w:qFormat/>
    <w:pPr>
      <w:jc w:val="center"/>
      <w:keepNext/>
      <w:outlineLvl w:val="0"/>
    </w:pPr>
    <w:rPr>
      <w:rFonts w:ascii="楷体_GB2312" w:eastAsia="楷体_GB2312"/>
      <w:sz w:val="28"/>
      <w:szCs w:val="28"/>
    </w:rPr>
  </w:style>
  <w:style w:type="paragraph" w:styleId="947">
    <w:name w:val="标题 2"/>
    <w:basedOn w:val="945"/>
    <w:next w:val="959"/>
    <w:link w:val="958"/>
    <w:qFormat/>
    <w:pPr>
      <w:jc w:val="center"/>
      <w:keepLines/>
      <w:keepNext/>
      <w:spacing w:before="260" w:after="260" w:line="416" w:lineRule="auto"/>
      <w:outlineLvl w:val="1"/>
    </w:pPr>
    <w:rPr>
      <w:rFonts w:ascii="Arial" w:hAnsi="Arial" w:eastAsia="幼圆" w:cs="Arial"/>
      <w:b/>
      <w:bCs/>
      <w:sz w:val="44"/>
      <w:szCs w:val="44"/>
    </w:rPr>
  </w:style>
  <w:style w:type="paragraph" w:styleId="948">
    <w:name w:val="标题 3"/>
    <w:basedOn w:val="945"/>
    <w:next w:val="945"/>
    <w:link w:val="961"/>
    <w:qFormat/>
    <w:pPr>
      <w:keepLines/>
      <w:keepNext/>
      <w:spacing w:before="260" w:after="260" w:line="416" w:lineRule="auto"/>
      <w:outlineLvl w:val="2"/>
    </w:pPr>
    <w:rPr>
      <w:b/>
      <w:bCs/>
      <w:sz w:val="32"/>
      <w:szCs w:val="32"/>
    </w:rPr>
  </w:style>
  <w:style w:type="paragraph" w:styleId="949">
    <w:name w:val="标题 4"/>
    <w:basedOn w:val="945"/>
    <w:next w:val="959"/>
    <w:link w:val="962"/>
    <w:qFormat/>
    <w:pPr>
      <w:keepLines/>
      <w:keepNext/>
      <w:spacing w:before="280" w:after="290" w:line="376" w:lineRule="auto"/>
      <w:outlineLvl w:val="3"/>
    </w:pPr>
    <w:rPr>
      <w:rFonts w:ascii="Arial" w:hAnsi="Arial" w:eastAsia="黑体" w:cs="Arial"/>
      <w:b/>
      <w:bCs/>
      <w:sz w:val="28"/>
      <w:szCs w:val="28"/>
    </w:rPr>
  </w:style>
  <w:style w:type="paragraph" w:styleId="950">
    <w:name w:val="标题 5"/>
    <w:basedOn w:val="945"/>
    <w:next w:val="959"/>
    <w:link w:val="963"/>
    <w:qFormat/>
    <w:pPr>
      <w:keepNext/>
      <w:outlineLvl w:val="4"/>
    </w:pPr>
    <w:rPr>
      <w:rFonts w:ascii="宋体"/>
      <w:color w:val="000000"/>
      <w:sz w:val="28"/>
      <w:szCs w:val="28"/>
    </w:rPr>
  </w:style>
  <w:style w:type="paragraph" w:styleId="951">
    <w:name w:val="标题 6"/>
    <w:basedOn w:val="945"/>
    <w:next w:val="945"/>
    <w:link w:val="964"/>
    <w:qFormat/>
    <w:pPr>
      <w:numPr>
        <w:ilvl w:val="5"/>
        <w:numId w:val="1"/>
      </w:numPr>
      <w:keepLines/>
      <w:keepNext/>
      <w:spacing w:before="240" w:after="64" w:line="320" w:lineRule="auto"/>
      <w:outlineLvl w:val="5"/>
    </w:pPr>
    <w:rPr>
      <w:rFonts w:ascii="Arial" w:hAnsi="Arial" w:eastAsia="黑体"/>
      <w:b/>
      <w:bCs/>
      <w:sz w:val="24"/>
      <w:szCs w:val="24"/>
    </w:rPr>
  </w:style>
  <w:style w:type="paragraph" w:styleId="952">
    <w:name w:val="标题 7"/>
    <w:basedOn w:val="945"/>
    <w:next w:val="945"/>
    <w:link w:val="965"/>
    <w:qFormat/>
    <w:pPr>
      <w:numPr>
        <w:ilvl w:val="6"/>
        <w:numId w:val="1"/>
      </w:numPr>
      <w:keepLines/>
      <w:keepNext/>
      <w:spacing w:before="240" w:after="64" w:line="320" w:lineRule="auto"/>
      <w:outlineLvl w:val="6"/>
    </w:pPr>
    <w:rPr>
      <w:b/>
      <w:bCs/>
      <w:sz w:val="24"/>
      <w:szCs w:val="24"/>
    </w:rPr>
  </w:style>
  <w:style w:type="paragraph" w:styleId="953">
    <w:name w:val="标题 8"/>
    <w:basedOn w:val="945"/>
    <w:next w:val="945"/>
    <w:link w:val="966"/>
    <w:qFormat/>
    <w:pPr>
      <w:numPr>
        <w:ilvl w:val="7"/>
        <w:numId w:val="1"/>
      </w:numPr>
      <w:keepLines/>
      <w:keepNext/>
      <w:spacing w:before="240" w:after="64" w:line="320" w:lineRule="auto"/>
      <w:outlineLvl w:val="7"/>
    </w:pPr>
    <w:rPr>
      <w:rFonts w:ascii="Arial" w:hAnsi="Arial" w:eastAsia="黑体"/>
      <w:sz w:val="24"/>
      <w:szCs w:val="24"/>
    </w:rPr>
  </w:style>
  <w:style w:type="paragraph" w:styleId="954">
    <w:name w:val="标题 9"/>
    <w:basedOn w:val="945"/>
    <w:next w:val="945"/>
    <w:link w:val="967"/>
    <w:qFormat/>
    <w:pPr>
      <w:numPr>
        <w:ilvl w:val="8"/>
        <w:numId w:val="1"/>
      </w:numPr>
      <w:keepLines/>
      <w:keepNext/>
      <w:spacing w:before="240" w:after="64" w:line="320" w:lineRule="auto"/>
      <w:outlineLvl w:val="8"/>
    </w:pPr>
    <w:rPr>
      <w:rFonts w:ascii="Arial" w:hAnsi="Arial" w:eastAsia="黑体"/>
    </w:rPr>
  </w:style>
  <w:style w:type="character" w:styleId="955">
    <w:name w:val="默认段落字体"/>
    <w:next w:val="955"/>
    <w:link w:val="945"/>
    <w:uiPriority w:val="1"/>
    <w:unhideWhenUsed/>
  </w:style>
  <w:style w:type="table" w:styleId="956">
    <w:name w:val="普通表格"/>
    <w:next w:val="956"/>
    <w:link w:val="945"/>
    <w:uiPriority w:val="99"/>
    <w:unhideWhenUsed/>
    <w:tblPr/>
  </w:style>
  <w:style w:type="character" w:styleId="957">
    <w:name w:val="标题 1 Char"/>
    <w:next w:val="957"/>
    <w:link w:val="946"/>
    <w:rPr>
      <w:rFonts w:ascii="楷体_GB2312" w:hAnsi="Times New Roman" w:eastAsia="楷体_GB2312" w:cs="Times New Roman"/>
      <w:sz w:val="28"/>
      <w:szCs w:val="28"/>
    </w:rPr>
  </w:style>
  <w:style w:type="character" w:styleId="958">
    <w:name w:val="标题 2 Char"/>
    <w:next w:val="958"/>
    <w:link w:val="947"/>
    <w:rPr>
      <w:rFonts w:ascii="Arial" w:hAnsi="Arial" w:eastAsia="幼圆" w:cs="Arial"/>
      <w:b/>
      <w:bCs/>
      <w:sz w:val="44"/>
      <w:szCs w:val="44"/>
    </w:rPr>
  </w:style>
  <w:style w:type="paragraph" w:styleId="959">
    <w:name w:val="正文缩进"/>
    <w:basedOn w:val="945"/>
    <w:next w:val="945"/>
    <w:link w:val="960"/>
    <w:pPr>
      <w:ind w:firstLine="420"/>
    </w:pPr>
  </w:style>
  <w:style w:type="character" w:styleId="960">
    <w:name w:val="正文缩进 Char"/>
    <w:next w:val="960"/>
    <w:link w:val="959"/>
    <w:rPr>
      <w:rFonts w:ascii="Times New Roman" w:hAnsi="Times New Roman" w:eastAsia="宋体" w:cs="Times New Roman"/>
      <w:szCs w:val="21"/>
    </w:rPr>
  </w:style>
  <w:style w:type="character" w:styleId="961">
    <w:name w:val="标题 3 Char"/>
    <w:next w:val="961"/>
    <w:link w:val="948"/>
    <w:rPr>
      <w:rFonts w:ascii="Times New Roman" w:hAnsi="Times New Roman" w:eastAsia="宋体" w:cs="Times New Roman"/>
      <w:b/>
      <w:bCs/>
      <w:sz w:val="32"/>
      <w:szCs w:val="32"/>
    </w:rPr>
  </w:style>
  <w:style w:type="character" w:styleId="962">
    <w:name w:val="标题 4 Char"/>
    <w:next w:val="962"/>
    <w:link w:val="949"/>
    <w:rPr>
      <w:rFonts w:ascii="Arial" w:hAnsi="Arial" w:eastAsia="黑体" w:cs="Arial"/>
      <w:b/>
      <w:bCs/>
      <w:sz w:val="28"/>
      <w:szCs w:val="28"/>
    </w:rPr>
  </w:style>
  <w:style w:type="character" w:styleId="963">
    <w:name w:val="标题 5 Char"/>
    <w:next w:val="963"/>
    <w:link w:val="950"/>
    <w:rPr>
      <w:rFonts w:ascii="宋体" w:hAnsi="Times New Roman" w:eastAsia="宋体" w:cs="Times New Roman"/>
      <w:color w:val="000000"/>
      <w:sz w:val="28"/>
      <w:szCs w:val="28"/>
    </w:rPr>
  </w:style>
  <w:style w:type="character" w:styleId="964">
    <w:name w:val="标题 6 Char"/>
    <w:next w:val="964"/>
    <w:link w:val="951"/>
    <w:rPr>
      <w:rFonts w:ascii="Arial" w:hAnsi="Arial" w:eastAsia="黑体" w:cs="Times New Roman"/>
      <w:b/>
      <w:bCs/>
      <w:sz w:val="24"/>
      <w:szCs w:val="24"/>
    </w:rPr>
  </w:style>
  <w:style w:type="character" w:styleId="965">
    <w:name w:val="标题 7 Char"/>
    <w:next w:val="965"/>
    <w:link w:val="952"/>
    <w:rPr>
      <w:rFonts w:ascii="Times New Roman" w:hAnsi="Times New Roman" w:eastAsia="宋体" w:cs="Times New Roman"/>
      <w:b/>
      <w:bCs/>
      <w:sz w:val="24"/>
      <w:szCs w:val="24"/>
    </w:rPr>
  </w:style>
  <w:style w:type="character" w:styleId="966">
    <w:name w:val="标题 8 Char"/>
    <w:next w:val="966"/>
    <w:link w:val="953"/>
    <w:rPr>
      <w:rFonts w:ascii="Arial" w:hAnsi="Arial" w:eastAsia="黑体" w:cs="Times New Roman"/>
      <w:sz w:val="24"/>
      <w:szCs w:val="24"/>
    </w:rPr>
  </w:style>
  <w:style w:type="character" w:styleId="967">
    <w:name w:val="标题 9 Char"/>
    <w:next w:val="967"/>
    <w:link w:val="954"/>
    <w:rPr>
      <w:rFonts w:ascii="Arial" w:hAnsi="Arial" w:eastAsia="黑体" w:cs="Times New Roman"/>
      <w:szCs w:val="21"/>
    </w:rPr>
  </w:style>
  <w:style w:type="paragraph" w:styleId="968">
    <w:name w:val="列表 3"/>
    <w:basedOn w:val="945"/>
    <w:next w:val="968"/>
    <w:link w:val="945"/>
    <w:pPr>
      <w:ind w:left="100" w:hanging="200"/>
    </w:pPr>
  </w:style>
  <w:style w:type="paragraph" w:styleId="969">
    <w:name w:val="目录 7"/>
    <w:basedOn w:val="945"/>
    <w:next w:val="945"/>
    <w:link w:val="945"/>
    <w:semiHidden/>
    <w:pPr>
      <w:ind w:left="1260"/>
      <w:jc w:val="left"/>
    </w:pPr>
  </w:style>
  <w:style w:type="paragraph" w:styleId="970">
    <w:name w:val="文档结构图"/>
    <w:basedOn w:val="945"/>
    <w:next w:val="970"/>
    <w:link w:val="971"/>
    <w:semiHidden/>
    <w:pPr>
      <w:shd w:val="clear" w:color="auto" w:fill="000080"/>
    </w:pPr>
  </w:style>
  <w:style w:type="character" w:styleId="971">
    <w:name w:val="文档结构图 Char"/>
    <w:next w:val="971"/>
    <w:link w:val="970"/>
    <w:semiHidden/>
    <w:rPr>
      <w:rFonts w:ascii="Times New Roman" w:hAnsi="Times New Roman" w:eastAsia="宋体" w:cs="Times New Roman"/>
      <w:szCs w:val="21"/>
      <w:shd w:val="clear" w:color="auto" w:fill="000080"/>
    </w:rPr>
  </w:style>
  <w:style w:type="paragraph" w:styleId="972">
    <w:name w:val="批注文字"/>
    <w:basedOn w:val="945"/>
    <w:next w:val="972"/>
    <w:link w:val="973"/>
    <w:semiHidden/>
    <w:pPr>
      <w:jc w:val="left"/>
    </w:pPr>
  </w:style>
  <w:style w:type="character" w:styleId="973">
    <w:name w:val="批注文字 Char"/>
    <w:next w:val="973"/>
    <w:link w:val="972"/>
    <w:semiHidden/>
    <w:rPr>
      <w:rFonts w:ascii="Times New Roman" w:hAnsi="Times New Roman" w:eastAsia="宋体" w:cs="Times New Roman"/>
      <w:szCs w:val="21"/>
    </w:rPr>
  </w:style>
  <w:style w:type="paragraph" w:styleId="974">
    <w:name w:val="正文文本 3"/>
    <w:basedOn w:val="945"/>
    <w:next w:val="974"/>
    <w:link w:val="975"/>
    <w:rPr>
      <w:rFonts w:ascii="仿宋_GB2312" w:hAnsi="Arial" w:eastAsia="仿宋_GB2312"/>
      <w:sz w:val="32"/>
      <w:szCs w:val="32"/>
    </w:rPr>
  </w:style>
  <w:style w:type="character" w:styleId="975">
    <w:name w:val="正文文本 3 Char"/>
    <w:next w:val="975"/>
    <w:link w:val="974"/>
    <w:rPr>
      <w:rFonts w:ascii="仿宋_GB2312" w:hAnsi="Arial" w:eastAsia="仿宋_GB2312" w:cs="Times New Roman"/>
      <w:sz w:val="32"/>
      <w:szCs w:val="32"/>
    </w:rPr>
  </w:style>
  <w:style w:type="paragraph" w:styleId="976">
    <w:name w:val="正文文本"/>
    <w:basedOn w:val="945"/>
    <w:next w:val="976"/>
    <w:link w:val="977"/>
    <w:rPr>
      <w:rFonts w:ascii="楷体_GB2312" w:hAnsi="Arial" w:eastAsia="楷体_GB2312"/>
      <w:sz w:val="28"/>
      <w:szCs w:val="28"/>
    </w:rPr>
  </w:style>
  <w:style w:type="character" w:styleId="977">
    <w:name w:val="正文文本 Char"/>
    <w:next w:val="977"/>
    <w:link w:val="976"/>
    <w:rPr>
      <w:rFonts w:ascii="楷体_GB2312" w:hAnsi="Arial" w:eastAsia="楷体_GB2312" w:cs="Times New Roman"/>
      <w:sz w:val="28"/>
      <w:szCs w:val="28"/>
    </w:rPr>
  </w:style>
  <w:style w:type="paragraph" w:styleId="978">
    <w:name w:val="正文文本缩进"/>
    <w:basedOn w:val="945"/>
    <w:next w:val="978"/>
    <w:link w:val="979"/>
    <w:pPr>
      <w:ind w:firstLine="645"/>
    </w:pPr>
    <w:rPr>
      <w:rFonts w:ascii="楷体_GB2312" w:eastAsia="楷体_GB2312"/>
      <w:sz w:val="32"/>
      <w:szCs w:val="32"/>
    </w:rPr>
  </w:style>
  <w:style w:type="character" w:styleId="979">
    <w:name w:val="正文文本缩进 Char"/>
    <w:next w:val="979"/>
    <w:link w:val="978"/>
    <w:rPr>
      <w:rFonts w:ascii="楷体_GB2312" w:hAnsi="Times New Roman" w:eastAsia="楷体_GB2312" w:cs="Times New Roman"/>
      <w:sz w:val="32"/>
      <w:szCs w:val="32"/>
    </w:rPr>
  </w:style>
  <w:style w:type="paragraph" w:styleId="980">
    <w:name w:val="列表 2"/>
    <w:basedOn w:val="945"/>
    <w:next w:val="980"/>
    <w:link w:val="945"/>
    <w:pPr>
      <w:ind w:left="100" w:hanging="200"/>
    </w:pPr>
  </w:style>
  <w:style w:type="paragraph" w:styleId="981">
    <w:name w:val="目录 5"/>
    <w:basedOn w:val="945"/>
    <w:next w:val="945"/>
    <w:link w:val="945"/>
    <w:semiHidden/>
    <w:pPr>
      <w:ind w:left="840"/>
      <w:jc w:val="left"/>
    </w:pPr>
  </w:style>
  <w:style w:type="paragraph" w:styleId="982">
    <w:name w:val="目录 3"/>
    <w:basedOn w:val="945"/>
    <w:next w:val="945"/>
    <w:link w:val="945"/>
    <w:semiHidden/>
    <w:pPr>
      <w:ind w:left="420"/>
      <w:jc w:val="left"/>
    </w:pPr>
    <w:rPr>
      <w:i/>
      <w:iCs/>
      <w:szCs w:val="24"/>
    </w:rPr>
  </w:style>
  <w:style w:type="paragraph" w:styleId="983">
    <w:name w:val="纯文本"/>
    <w:basedOn w:val="945"/>
    <w:next w:val="959"/>
    <w:link w:val="984"/>
    <w:rPr>
      <w:rFonts w:ascii="宋体" w:hAnsi="Courier New" w:cs="Courier New"/>
    </w:rPr>
  </w:style>
  <w:style w:type="character" w:styleId="984">
    <w:name w:val="纯文本 Char"/>
    <w:next w:val="984"/>
    <w:link w:val="983"/>
    <w:rPr>
      <w:rFonts w:ascii="宋体" w:hAnsi="Courier New" w:eastAsia="宋体" w:cs="Courier New"/>
      <w:szCs w:val="21"/>
    </w:rPr>
  </w:style>
  <w:style w:type="paragraph" w:styleId="985">
    <w:name w:val="目录 8"/>
    <w:basedOn w:val="945"/>
    <w:next w:val="945"/>
    <w:link w:val="945"/>
    <w:semiHidden/>
    <w:pPr>
      <w:ind w:left="1470"/>
      <w:jc w:val="left"/>
    </w:pPr>
  </w:style>
  <w:style w:type="paragraph" w:styleId="986">
    <w:name w:val="日期"/>
    <w:basedOn w:val="945"/>
    <w:next w:val="945"/>
    <w:link w:val="987"/>
    <w:rPr>
      <w:sz w:val="24"/>
      <w:szCs w:val="24"/>
    </w:rPr>
  </w:style>
  <w:style w:type="character" w:styleId="987">
    <w:name w:val="日期 Char"/>
    <w:next w:val="987"/>
    <w:link w:val="986"/>
    <w:rPr>
      <w:rFonts w:ascii="Times New Roman" w:hAnsi="Times New Roman" w:eastAsia="宋体" w:cs="Times New Roman"/>
      <w:sz w:val="24"/>
      <w:szCs w:val="24"/>
    </w:rPr>
  </w:style>
  <w:style w:type="paragraph" w:styleId="988">
    <w:name w:val="正文文本缩进 2"/>
    <w:basedOn w:val="945"/>
    <w:next w:val="988"/>
    <w:link w:val="989"/>
    <w:pPr>
      <w:ind w:left="630" w:firstLine="645"/>
    </w:pPr>
    <w:rPr>
      <w:rFonts w:ascii="Arial" w:hAnsi="Arial" w:eastAsia="仿宋_GB2312" w:cs="Arial"/>
      <w:sz w:val="32"/>
      <w:szCs w:val="32"/>
    </w:rPr>
  </w:style>
  <w:style w:type="character" w:styleId="989">
    <w:name w:val="正文文本缩进 2 Char"/>
    <w:next w:val="989"/>
    <w:link w:val="988"/>
    <w:rPr>
      <w:rFonts w:ascii="Arial" w:hAnsi="Arial" w:eastAsia="仿宋_GB2312" w:cs="Arial"/>
      <w:sz w:val="32"/>
      <w:szCs w:val="32"/>
    </w:rPr>
  </w:style>
  <w:style w:type="paragraph" w:styleId="990">
    <w:name w:val="批注框文本"/>
    <w:basedOn w:val="945"/>
    <w:next w:val="990"/>
    <w:link w:val="991"/>
    <w:semiHidden/>
    <w:rPr>
      <w:sz w:val="18"/>
      <w:szCs w:val="18"/>
    </w:rPr>
  </w:style>
  <w:style w:type="character" w:styleId="991">
    <w:name w:val="批注框文本 Char"/>
    <w:next w:val="991"/>
    <w:link w:val="990"/>
    <w:semiHidden/>
    <w:rPr>
      <w:rFonts w:ascii="Times New Roman" w:hAnsi="Times New Roman" w:eastAsia="宋体" w:cs="Times New Roman"/>
      <w:sz w:val="18"/>
      <w:szCs w:val="18"/>
    </w:rPr>
  </w:style>
  <w:style w:type="paragraph" w:styleId="992">
    <w:name w:val="页脚"/>
    <w:basedOn w:val="945"/>
    <w:next w:val="992"/>
    <w:link w:val="993"/>
    <w:pPr>
      <w:jc w:val="left"/>
      <w:tabs>
        <w:tab w:val="center" w:pos="4153" w:leader="none"/>
        <w:tab w:val="right" w:pos="8306" w:leader="none"/>
      </w:tabs>
    </w:pPr>
    <w:rPr>
      <w:sz w:val="18"/>
      <w:szCs w:val="18"/>
    </w:rPr>
  </w:style>
  <w:style w:type="character" w:styleId="993">
    <w:name w:val="页脚 Char"/>
    <w:next w:val="993"/>
    <w:link w:val="992"/>
    <w:rPr>
      <w:rFonts w:ascii="Times New Roman" w:hAnsi="Times New Roman" w:eastAsia="宋体" w:cs="Times New Roman"/>
      <w:sz w:val="18"/>
      <w:szCs w:val="18"/>
    </w:rPr>
  </w:style>
  <w:style w:type="paragraph" w:styleId="994">
    <w:name w:val="页眉"/>
    <w:basedOn w:val="945"/>
    <w:next w:val="994"/>
    <w:link w:val="995"/>
    <w:pPr>
      <w:jc w:val="center"/>
      <w:tabs>
        <w:tab w:val="center" w:pos="4153" w:leader="none"/>
        <w:tab w:val="right" w:pos="8306" w:leader="none"/>
      </w:tabs>
      <w:pBdr>
        <w:bottom w:val="single" w:color="000000" w:sz="6" w:space="1"/>
      </w:pBdr>
    </w:pPr>
    <w:rPr>
      <w:sz w:val="18"/>
      <w:szCs w:val="18"/>
    </w:rPr>
  </w:style>
  <w:style w:type="character" w:styleId="995">
    <w:name w:val="页眉 Char"/>
    <w:next w:val="995"/>
    <w:link w:val="994"/>
    <w:rPr>
      <w:rFonts w:ascii="Times New Roman" w:hAnsi="Times New Roman" w:eastAsia="宋体" w:cs="Times New Roman"/>
      <w:sz w:val="18"/>
      <w:szCs w:val="18"/>
    </w:rPr>
  </w:style>
  <w:style w:type="paragraph" w:styleId="996">
    <w:name w:val="目录 1"/>
    <w:basedOn w:val="945"/>
    <w:next w:val="945"/>
    <w:link w:val="945"/>
    <w:semiHidden/>
    <w:pPr>
      <w:jc w:val="left"/>
      <w:spacing w:before="120" w:after="120" w:line="400" w:lineRule="exact"/>
      <w:tabs>
        <w:tab w:val="right" w:pos="8720" w:leader="dot"/>
      </w:tabs>
    </w:pPr>
    <w:rPr>
      <w:rFonts w:ascii="宋体" w:hAnsi="宋体"/>
      <w:caps/>
      <w:sz w:val="24"/>
      <w:szCs w:val="24"/>
    </w:rPr>
  </w:style>
  <w:style w:type="paragraph" w:styleId="997">
    <w:name w:val="目录 4"/>
    <w:basedOn w:val="945"/>
    <w:next w:val="945"/>
    <w:link w:val="945"/>
    <w:semiHidden/>
    <w:pPr>
      <w:ind w:left="630"/>
      <w:jc w:val="left"/>
    </w:pPr>
  </w:style>
  <w:style w:type="paragraph" w:styleId="998">
    <w:name w:val="列表"/>
    <w:basedOn w:val="945"/>
    <w:next w:val="998"/>
    <w:link w:val="945"/>
    <w:pPr>
      <w:ind w:left="200" w:hanging="200"/>
    </w:pPr>
  </w:style>
  <w:style w:type="paragraph" w:styleId="999">
    <w:name w:val="目录 6"/>
    <w:basedOn w:val="945"/>
    <w:next w:val="945"/>
    <w:link w:val="945"/>
    <w:semiHidden/>
    <w:pPr>
      <w:ind w:left="1050"/>
      <w:jc w:val="left"/>
    </w:pPr>
  </w:style>
  <w:style w:type="paragraph" w:styleId="1000">
    <w:name w:val="正文文本缩进 3"/>
    <w:basedOn w:val="945"/>
    <w:next w:val="1000"/>
    <w:link w:val="1001"/>
    <w:pPr>
      <w:ind w:left="645" w:firstLine="645"/>
    </w:pPr>
    <w:rPr>
      <w:rFonts w:ascii="Arial" w:hAnsi="Arial" w:eastAsia="仿宋_GB2312" w:cs="Arial"/>
      <w:color w:val="ffff00"/>
      <w:sz w:val="32"/>
      <w:szCs w:val="32"/>
    </w:rPr>
  </w:style>
  <w:style w:type="character" w:styleId="1001">
    <w:name w:val="正文文本缩进 3 Char"/>
    <w:next w:val="1001"/>
    <w:link w:val="1000"/>
    <w:rPr>
      <w:rFonts w:ascii="Arial" w:hAnsi="Arial" w:eastAsia="仿宋_GB2312" w:cs="Arial"/>
      <w:color w:val="ffff00"/>
      <w:sz w:val="32"/>
      <w:szCs w:val="32"/>
    </w:rPr>
  </w:style>
  <w:style w:type="paragraph" w:styleId="1002">
    <w:name w:val="图表目录"/>
    <w:basedOn w:val="945"/>
    <w:next w:val="945"/>
    <w:link w:val="945"/>
    <w:semiHidden/>
    <w:pPr>
      <w:ind w:left="840" w:hanging="420"/>
    </w:pPr>
  </w:style>
  <w:style w:type="paragraph" w:styleId="1003">
    <w:name w:val="目录 2"/>
    <w:basedOn w:val="945"/>
    <w:next w:val="945"/>
    <w:link w:val="945"/>
    <w:semiHidden/>
    <w:pPr>
      <w:ind w:left="210"/>
      <w:jc w:val="left"/>
    </w:pPr>
    <w:rPr>
      <w:smallCaps/>
      <w:szCs w:val="24"/>
    </w:rPr>
  </w:style>
  <w:style w:type="paragraph" w:styleId="1004">
    <w:name w:val="目录 9"/>
    <w:basedOn w:val="945"/>
    <w:next w:val="945"/>
    <w:link w:val="945"/>
    <w:semiHidden/>
    <w:pPr>
      <w:ind w:left="1680"/>
      <w:jc w:val="left"/>
    </w:pPr>
  </w:style>
  <w:style w:type="paragraph" w:styleId="1005">
    <w:name w:val="正文文本 2"/>
    <w:basedOn w:val="945"/>
    <w:next w:val="1005"/>
    <w:link w:val="1006"/>
    <w:pPr>
      <w:jc w:val="center"/>
      <w:widowControl/>
    </w:pPr>
    <w:rPr>
      <w:rFonts w:ascii="楷体_GB2312" w:eastAsia="楷体_GB2312"/>
      <w:sz w:val="28"/>
      <w:szCs w:val="28"/>
    </w:rPr>
  </w:style>
  <w:style w:type="character" w:styleId="1006">
    <w:name w:val="正文文本 2 Char"/>
    <w:next w:val="1006"/>
    <w:link w:val="1005"/>
    <w:rPr>
      <w:rFonts w:ascii="楷体_GB2312" w:hAnsi="Times New Roman" w:eastAsia="楷体_GB2312" w:cs="Times New Roman"/>
      <w:sz w:val="28"/>
      <w:szCs w:val="28"/>
    </w:rPr>
  </w:style>
  <w:style w:type="paragraph" w:styleId="1007">
    <w:name w:val="普通(网站)"/>
    <w:basedOn w:val="945"/>
    <w:next w:val="1007"/>
    <w:link w:val="945"/>
    <w:uiPriority w:val="99"/>
    <w:pPr>
      <w:jc w:val="left"/>
      <w:spacing w:before="100" w:beforeAutospacing="1" w:after="100" w:afterAutospacing="1"/>
      <w:widowControl/>
    </w:pPr>
    <w:rPr>
      <w:rFonts w:ascii="宋体" w:hAnsi="宋体" w:cs="宋体"/>
      <w:sz w:val="24"/>
      <w:szCs w:val="24"/>
    </w:rPr>
  </w:style>
  <w:style w:type="paragraph" w:styleId="1008">
    <w:name w:val="索引 1"/>
    <w:basedOn w:val="945"/>
    <w:next w:val="945"/>
    <w:link w:val="945"/>
    <w:semiHidden/>
    <w:pPr>
      <w:spacing w:line="240" w:lineRule="atLeast"/>
    </w:pPr>
    <w:rPr>
      <w:b/>
      <w:bCs/>
    </w:rPr>
  </w:style>
  <w:style w:type="paragraph" w:styleId="1009">
    <w:name w:val="批注主题"/>
    <w:basedOn w:val="972"/>
    <w:next w:val="972"/>
    <w:link w:val="1010"/>
    <w:semiHidden/>
    <w:rPr>
      <w:b/>
      <w:bCs/>
    </w:rPr>
  </w:style>
  <w:style w:type="character" w:styleId="1010">
    <w:name w:val="批注主题 Char"/>
    <w:next w:val="1010"/>
    <w:link w:val="1009"/>
    <w:semiHidden/>
    <w:rPr>
      <w:rFonts w:ascii="Times New Roman" w:hAnsi="Times New Roman" w:eastAsia="宋体" w:cs="Times New Roman"/>
      <w:b/>
      <w:bCs/>
      <w:szCs w:val="21"/>
    </w:rPr>
  </w:style>
  <w:style w:type="paragraph" w:styleId="1011">
    <w:name w:val="正文首行缩进"/>
    <w:basedOn w:val="976"/>
    <w:next w:val="1011"/>
    <w:link w:val="1012"/>
    <w:pPr>
      <w:ind w:firstLine="200"/>
      <w:spacing w:line="360" w:lineRule="auto"/>
    </w:pPr>
    <w:rPr>
      <w:rFonts w:ascii="仿宋_GB2312" w:eastAsia="仿宋_GB2312"/>
      <w:sz w:val="30"/>
      <w:szCs w:val="30"/>
    </w:rPr>
  </w:style>
  <w:style w:type="character" w:styleId="1012">
    <w:name w:val="正文首行缩进 Char"/>
    <w:next w:val="1012"/>
    <w:link w:val="1011"/>
    <w:rPr>
      <w:rFonts w:ascii="仿宋_GB2312" w:hAnsi="Times New Roman" w:eastAsia="仿宋_GB2312" w:cs="Times New Roman"/>
      <w:sz w:val="30"/>
      <w:szCs w:val="30"/>
    </w:rPr>
  </w:style>
  <w:style w:type="paragraph" w:styleId="1013">
    <w:name w:val="正文首行缩进 2"/>
    <w:basedOn w:val="978"/>
    <w:next w:val="1013"/>
    <w:link w:val="1014"/>
    <w:pPr>
      <w:ind w:firstLine="420"/>
      <w:spacing w:line="360" w:lineRule="auto"/>
    </w:pPr>
    <w:rPr>
      <w:rFonts w:ascii="宋体" w:hAnsi="宋体" w:eastAsia="宋体"/>
      <w:sz w:val="21"/>
      <w:szCs w:val="20"/>
    </w:rPr>
  </w:style>
  <w:style w:type="character" w:styleId="1014">
    <w:name w:val="正文首行缩进 2 Char"/>
    <w:next w:val="1014"/>
    <w:link w:val="1013"/>
    <w:rPr>
      <w:rFonts w:ascii="宋体" w:hAnsi="宋体" w:eastAsia="宋体" w:cs="Times New Roman"/>
      <w:sz w:val="32"/>
      <w:szCs w:val="20"/>
    </w:rPr>
  </w:style>
  <w:style w:type="table" w:styleId="1015">
    <w:name w:val="网格型"/>
    <w:basedOn w:val="956"/>
    <w:next w:val="1015"/>
    <w:link w:val="945"/>
    <w:pPr>
      <w:jc w:val="both"/>
      <w:widowControl w:val="off"/>
    </w:pPr>
    <w:rPr>
      <w:rFonts w:ascii="Times New Roman" w:hAnsi="Times New Roman" w:eastAsia="宋体" w:cs="Times New Roman"/>
      <w:sz w:val="20"/>
      <w:szCs w:val="20"/>
    </w:rPr>
    <w:tblPr/>
  </w:style>
  <w:style w:type="character" w:styleId="1016">
    <w:name w:val="要点"/>
    <w:next w:val="1016"/>
    <w:link w:val="945"/>
    <w:qFormat/>
    <w:rPr>
      <w:b/>
      <w:bCs/>
    </w:rPr>
  </w:style>
  <w:style w:type="character" w:styleId="1017">
    <w:name w:val="页码"/>
    <w:next w:val="1017"/>
    <w:link w:val="945"/>
  </w:style>
  <w:style w:type="character" w:styleId="1018">
    <w:name w:val="已访问的超链接"/>
    <w:next w:val="1018"/>
    <w:link w:val="945"/>
    <w:rPr>
      <w:color w:val="800080"/>
      <w:u w:val="single"/>
    </w:rPr>
  </w:style>
  <w:style w:type="character" w:styleId="1019">
    <w:name w:val="超链接"/>
    <w:next w:val="1019"/>
    <w:link w:val="945"/>
    <w:rPr>
      <w:color w:val="0000ff"/>
      <w:u w:val="single"/>
    </w:rPr>
  </w:style>
  <w:style w:type="character" w:styleId="1020">
    <w:name w:val="批注引用"/>
    <w:next w:val="1020"/>
    <w:link w:val="945"/>
    <w:semiHidden/>
    <w:rPr>
      <w:sz w:val="21"/>
      <w:szCs w:val="21"/>
    </w:rPr>
  </w:style>
  <w:style w:type="paragraph" w:styleId="1021">
    <w:name w:val="正文1"/>
    <w:next w:val="1021"/>
    <w:link w:val="945"/>
    <w:uiPriority w:val="99"/>
    <w:semiHidden/>
    <w:qFormat/>
    <w:rPr>
      <w:rFonts w:ascii="Times New Roman" w:hAnsi="Times New Roman" w:eastAsia="Times New Roman" w:cs="Times New Roman"/>
      <w:sz w:val="24"/>
      <w:szCs w:val="24"/>
      <w:lang w:val="en-US" w:eastAsia="zh-CN" w:bidi="ar-SA"/>
    </w:rPr>
  </w:style>
  <w:style w:type="character" w:styleId="1022">
    <w:name w:val="font5 Char"/>
    <w:next w:val="1022"/>
    <w:link w:val="945"/>
    <w:rPr>
      <w:rFonts w:ascii="宋体" w:hAnsi="宋体" w:eastAsia="宋体"/>
      <w:sz w:val="28"/>
      <w:szCs w:val="28"/>
      <w:lang w:val="en-US" w:eastAsia="zh-CN" w:bidi="ar-SA"/>
    </w:rPr>
  </w:style>
  <w:style w:type="character" w:styleId="1023">
    <w:name w:val="二级目录 Char"/>
    <w:next w:val="1023"/>
    <w:link w:val="1024"/>
    <w:rPr>
      <w:b/>
      <w:sz w:val="30"/>
      <w:szCs w:val="28"/>
    </w:rPr>
  </w:style>
  <w:style w:type="paragraph" w:styleId="1024">
    <w:name w:val="二级目录"/>
    <w:next w:val="945"/>
    <w:link w:val="1023"/>
    <w:pPr>
      <w:numPr>
        <w:ilvl w:val="0"/>
        <w:numId w:val="2"/>
      </w:numPr>
      <w:tabs>
        <w:tab w:val="left" w:pos="907" w:leader="none"/>
        <w:tab w:val="left" w:pos="1145" w:leader="none"/>
      </w:tabs>
      <w:outlineLvl w:val="1"/>
    </w:pPr>
    <w:rPr>
      <w:b/>
      <w:sz w:val="30"/>
      <w:szCs w:val="28"/>
      <w:lang w:val="en-US" w:eastAsia="zh-CN" w:bidi="ar-SA"/>
    </w:rPr>
  </w:style>
  <w:style w:type="character" w:styleId="1025">
    <w:name w:val="列出段落 Char,Bullet List Char,numbered Char,FooterText Char,List Paragraph1 Char,Paragraphe de liste1 Char"/>
    <w:next w:val="1025"/>
    <w:link w:val="1026"/>
    <w:rPr>
      <w:rFonts w:ascii="Calibri" w:hAnsi="Calibri"/>
      <w:sz w:val="24"/>
      <w:szCs w:val="24"/>
      <w:lang w:eastAsia="en-US" w:bidi="en-US"/>
    </w:rPr>
  </w:style>
  <w:style w:type="paragraph" w:styleId="1026">
    <w:name w:val="列出段落1"/>
    <w:basedOn w:val="945"/>
    <w:next w:val="1026"/>
    <w:link w:val="1025"/>
    <w:qFormat/>
    <w:pPr>
      <w:contextualSpacing/>
      <w:ind w:left="720"/>
      <w:jc w:val="left"/>
      <w:widowControl/>
    </w:pPr>
    <w:rPr>
      <w:rFonts w:ascii="Calibri" w:hAnsi="Calibri" w:eastAsia="宋体" w:cs="Times New Roman"/>
      <w:sz w:val="24"/>
      <w:szCs w:val="24"/>
      <w:lang w:eastAsia="en-US" w:bidi="en-US"/>
    </w:rPr>
  </w:style>
  <w:style w:type="paragraph" w:styleId="1027">
    <w:name w:val="Body Text(ch)"/>
    <w:basedOn w:val="945"/>
    <w:next w:val="976"/>
    <w:link w:val="945"/>
    <w:pPr>
      <w:spacing w:after="120"/>
    </w:pPr>
    <w:rPr>
      <w:rFonts w:ascii="宋体" w:hAnsi="Arial"/>
      <w:bCs/>
      <w:iCs/>
      <w:szCs w:val="24"/>
    </w:rPr>
  </w:style>
  <w:style w:type="paragraph" w:styleId="1028">
    <w:name w:val="xl27"/>
    <w:basedOn w:val="945"/>
    <w:next w:val="1028"/>
    <w:link w:val="9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name w:val="xl26"/>
    <w:basedOn w:val="945"/>
    <w:next w:val="1029"/>
    <w:link w:val="94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0">
    <w:name w:val="Char"/>
    <w:basedOn w:val="945"/>
    <w:next w:val="1030"/>
    <w:link w:val="945"/>
    <w:pPr>
      <w:ind w:firstLine="200"/>
      <w:tabs>
        <w:tab w:val="left" w:pos="360" w:leader="none"/>
      </w:tabs>
    </w:pPr>
    <w:rPr>
      <w:sz w:val="28"/>
      <w:szCs w:val="30"/>
    </w:rPr>
  </w:style>
  <w:style w:type="paragraph" w:styleId="1031">
    <w:name w:val=" Char"/>
    <w:basedOn w:val="970"/>
    <w:next w:val="1031"/>
    <w:link w:val="945"/>
    <w:rPr>
      <w:rFonts w:ascii="Tahoma" w:hAnsi="Tahoma"/>
      <w:sz w:val="24"/>
      <w:szCs w:val="24"/>
    </w:rPr>
  </w:style>
  <w:style w:type="paragraph" w:styleId="1032">
    <w:name w:val="普通正文"/>
    <w:basedOn w:val="945"/>
    <w:next w:val="1032"/>
    <w:link w:val="945"/>
    <w:pPr>
      <w:ind w:firstLine="480"/>
      <w:jc w:val="left"/>
      <w:spacing w:before="120" w:after="120" w:line="360" w:lineRule="auto"/>
    </w:pPr>
    <w:rPr>
      <w:rFonts w:ascii="Arial" w:hAnsi="Arial"/>
      <w:sz w:val="24"/>
      <w:szCs w:val="24"/>
    </w:rPr>
  </w:style>
  <w:style w:type="paragraph" w:styleId="1033">
    <w:name w:val="table_lines"/>
    <w:basedOn w:val="945"/>
    <w:next w:val="1033"/>
    <w:link w:val="945"/>
    <w:pPr>
      <w:jc w:val="left"/>
      <w:widowControl/>
    </w:pPr>
    <w:rPr>
      <w:sz w:val="20"/>
      <w:szCs w:val="20"/>
      <w:lang w:val="de-DE" w:eastAsia="de-DE"/>
    </w:rPr>
  </w:style>
  <w:style w:type="paragraph" w:styleId="1034">
    <w:name w:val="附录1"/>
    <w:next w:val="1034"/>
    <w:link w:val="94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5">
    <w:name w:val="font7"/>
    <w:basedOn w:val="945"/>
    <w:next w:val="1035"/>
    <w:link w:val="945"/>
    <w:pPr>
      <w:jc w:val="left"/>
      <w:spacing w:before="100" w:beforeAutospacing="1" w:after="100" w:afterAutospacing="1"/>
      <w:widowControl/>
    </w:pPr>
    <w:rPr>
      <w:rFonts w:hint="eastAsia" w:ascii="宋体" w:hAnsi="宋体"/>
      <w:sz w:val="18"/>
      <w:szCs w:val="18"/>
    </w:rPr>
  </w:style>
  <w:style w:type="paragraph" w:styleId="1036">
    <w:name w:val=" Char Char Char Char"/>
    <w:basedOn w:val="970"/>
    <w:next w:val="1036"/>
    <w:link w:val="945"/>
    <w:pPr>
      <w:spacing w:line="360" w:lineRule="auto"/>
    </w:pPr>
    <w:rPr>
      <w:rFonts w:ascii="Tahoma" w:hAnsi="Tahoma"/>
      <w:sz w:val="24"/>
      <w:szCs w:val="24"/>
    </w:rPr>
  </w:style>
  <w:style w:type="paragraph" w:styleId="1037">
    <w:name w:val="列出段落"/>
    <w:basedOn w:val="945"/>
    <w:next w:val="1037"/>
    <w:link w:val="945"/>
    <w:qFormat/>
    <w:pPr>
      <w:contextualSpacing/>
      <w:ind w:left="720"/>
      <w:jc w:val="left"/>
      <w:widowControl/>
    </w:pPr>
    <w:rPr>
      <w:rFonts w:ascii="Calibri" w:hAnsi="Calibri"/>
      <w:sz w:val="24"/>
      <w:szCs w:val="24"/>
      <w:lang w:eastAsia="en-US" w:bidi="en-US"/>
    </w:rPr>
  </w:style>
  <w:style w:type="paragraph" w:styleId="1038">
    <w:name w:val="4"/>
    <w:basedOn w:val="945"/>
    <w:next w:val="1000"/>
    <w:link w:val="945"/>
    <w:pPr>
      <w:ind w:firstLine="420"/>
      <w:spacing w:line="360" w:lineRule="auto"/>
    </w:pPr>
    <w:rPr>
      <w:color w:val="ff0000"/>
      <w:sz w:val="24"/>
      <w:szCs w:val="24"/>
    </w:rPr>
  </w:style>
  <w:style w:type="paragraph" w:styleId="1039">
    <w:name w:val="普通 (Web)"/>
    <w:basedOn w:val="945"/>
    <w:next w:val="1039"/>
    <w:link w:val="945"/>
    <w:pPr>
      <w:jc w:val="left"/>
      <w:spacing w:before="100" w:beforeAutospacing="1" w:after="100" w:afterAutospacing="1"/>
      <w:widowControl/>
    </w:pPr>
    <w:rPr>
      <w:rFonts w:ascii="宋体" w:hAnsi="宋体"/>
      <w:sz w:val="24"/>
      <w:szCs w:val="24"/>
    </w:rPr>
  </w:style>
  <w:style w:type="paragraph" w:styleId="1040">
    <w:name w:val=" Char Char Char Char Char Char Char Char Char Char"/>
    <w:basedOn w:val="945"/>
    <w:next w:val="1040"/>
    <w:link w:val="945"/>
    <w:pPr>
      <w:spacing w:line="360" w:lineRule="auto"/>
    </w:pPr>
    <w:rPr>
      <w:sz w:val="24"/>
      <w:szCs w:val="20"/>
    </w:rPr>
  </w:style>
  <w:style w:type="paragraph" w:styleId="1041">
    <w:name w:val="样式1"/>
    <w:basedOn w:val="945"/>
    <w:next w:val="1041"/>
    <w:link w:val="945"/>
    <w:pPr>
      <w:numPr>
        <w:ilvl w:val="0"/>
        <w:numId w:val="3"/>
      </w:numPr>
      <w:tabs>
        <w:tab w:val="left" w:pos="709" w:leader="none"/>
      </w:tabs>
    </w:pPr>
    <w:rPr>
      <w:rFonts w:ascii="宋体" w:hAnsi="宋体"/>
    </w:rPr>
  </w:style>
  <w:style w:type="paragraph" w:styleId="1042">
    <w:name w:val="font6"/>
    <w:basedOn w:val="945"/>
    <w:next w:val="1042"/>
    <w:link w:val="945"/>
    <w:pPr>
      <w:jc w:val="left"/>
      <w:spacing w:before="100" w:beforeAutospacing="1" w:after="100" w:afterAutospacing="1"/>
      <w:widowControl/>
    </w:pPr>
    <w:rPr>
      <w:rFonts w:hint="eastAsia" w:ascii="宋体" w:hAnsi="宋体"/>
      <w:sz w:val="28"/>
      <w:szCs w:val="28"/>
      <w:u w:val="single"/>
    </w:rPr>
  </w:style>
  <w:style w:type="paragraph" w:styleId="1043">
    <w:name w:val="xl25"/>
    <w:basedOn w:val="945"/>
    <w:next w:val="1043"/>
    <w:link w:val="94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4">
    <w:name w:val="图标"/>
    <w:basedOn w:val="945"/>
    <w:next w:val="945"/>
    <w:link w:val="94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5">
    <w:name w:val="标题3"/>
    <w:basedOn w:val="945"/>
    <w:next w:val="945"/>
    <w:link w:val="945"/>
    <w:pPr>
      <w:ind w:firstLine="624"/>
      <w:spacing w:line="590" w:lineRule="atLeast"/>
    </w:pPr>
    <w:rPr>
      <w:rFonts w:ascii="方正黑体_GBK" w:eastAsia="方正黑体_GBK"/>
      <w:sz w:val="32"/>
      <w:szCs w:val="32"/>
    </w:rPr>
  </w:style>
  <w:style w:type="paragraph" w:styleId="1046">
    <w:name w:val="xl24"/>
    <w:basedOn w:val="945"/>
    <w:next w:val="1046"/>
    <w:link w:val="94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7">
    <w:name w:val="xl29"/>
    <w:basedOn w:val="945"/>
    <w:next w:val="1047"/>
    <w:link w:val="94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8">
    <w:name w:val="Char Char Char Char Char Char Char Char"/>
    <w:basedOn w:val="945"/>
    <w:next w:val="1048"/>
    <w:link w:val="945"/>
    <w:pPr>
      <w:jc w:val="left"/>
      <w:spacing w:after="160" w:line="240" w:lineRule="exact"/>
      <w:widowControl/>
    </w:pPr>
    <w:rPr>
      <w:rFonts w:ascii="Verdana" w:hAnsi="Verdana"/>
      <w:sz w:val="20"/>
      <w:szCs w:val="20"/>
      <w:lang w:eastAsia="en-US"/>
    </w:rPr>
  </w:style>
  <w:style w:type="paragraph" w:styleId="1049">
    <w:name w:val="xl28"/>
    <w:basedOn w:val="945"/>
    <w:next w:val="1049"/>
    <w:link w:val="94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0">
    <w:name w:val=" Char Char Char Char Char Char Char Char"/>
    <w:basedOn w:val="945"/>
    <w:next w:val="1050"/>
    <w:link w:val="945"/>
    <w:pPr>
      <w:jc w:val="left"/>
      <w:spacing w:after="160" w:line="240" w:lineRule="exact"/>
      <w:widowControl/>
    </w:pPr>
    <w:rPr>
      <w:rFonts w:ascii="Verdana" w:hAnsi="Verdana"/>
      <w:sz w:val="20"/>
      <w:szCs w:val="20"/>
      <w:lang w:eastAsia="en-US"/>
    </w:rPr>
  </w:style>
  <w:style w:type="paragraph" w:styleId="1051">
    <w:name w:val="xl30"/>
    <w:basedOn w:val="945"/>
    <w:next w:val="1051"/>
    <w:link w:val="945"/>
    <w:pPr>
      <w:jc w:val="center"/>
      <w:spacing w:before="100" w:beforeAutospacing="1" w:after="100" w:afterAutospacing="1"/>
      <w:widowControl/>
    </w:pPr>
    <w:rPr>
      <w:rFonts w:ascii="宋体" w:hAnsi="宋体"/>
      <w:b/>
      <w:bCs/>
      <w:sz w:val="36"/>
      <w:szCs w:val="36"/>
    </w:rPr>
  </w:style>
  <w:style w:type="paragraph" w:styleId="1052">
    <w:name w:val="Char Char Char Char"/>
    <w:basedOn w:val="970"/>
    <w:next w:val="1052"/>
    <w:link w:val="945"/>
    <w:pPr>
      <w:spacing w:line="360" w:lineRule="auto"/>
    </w:pPr>
    <w:rPr>
      <w:rFonts w:ascii="Tahoma" w:hAnsi="Tahoma"/>
      <w:sz w:val="24"/>
      <w:szCs w:val="24"/>
    </w:rPr>
  </w:style>
  <w:style w:type="paragraph" w:styleId="1053">
    <w:name w:val="table_1stline"/>
    <w:basedOn w:val="945"/>
    <w:next w:val="1053"/>
    <w:link w:val="945"/>
    <w:pPr>
      <w:jc w:val="left"/>
      <w:spacing w:before="120"/>
      <w:widowControl/>
    </w:pPr>
    <w:rPr>
      <w:bCs/>
      <w:sz w:val="20"/>
      <w:szCs w:val="20"/>
      <w:lang w:val="de-DE" w:eastAsia="de-DE"/>
    </w:rPr>
  </w:style>
  <w:style w:type="paragraph" w:styleId="1054">
    <w:name w:val="font5"/>
    <w:basedOn w:val="945"/>
    <w:next w:val="1054"/>
    <w:link w:val="945"/>
    <w:pPr>
      <w:jc w:val="left"/>
      <w:spacing w:before="100" w:beforeAutospacing="1" w:after="100" w:afterAutospacing="1"/>
      <w:widowControl/>
    </w:pPr>
    <w:rPr>
      <w:rFonts w:hint="eastAsia" w:ascii="宋体" w:hAnsi="宋体"/>
      <w:sz w:val="28"/>
      <w:szCs w:val="28"/>
    </w:rPr>
  </w:style>
  <w:style w:type="paragraph" w:styleId="1055">
    <w:name w:val="标题1"/>
    <w:basedOn w:val="945"/>
    <w:next w:val="945"/>
    <w:link w:val="94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6">
    <w:name w:val="修订"/>
    <w:next w:val="1056"/>
    <w:link w:val="945"/>
    <w:uiPriority w:val="99"/>
    <w:semiHidden/>
    <w:rPr>
      <w:rFonts w:ascii="Times New Roman" w:hAnsi="Times New Roman"/>
      <w:sz w:val="21"/>
      <w:szCs w:val="21"/>
      <w:lang w:val="en-US" w:eastAsia="zh-CN" w:bidi="ar-SA"/>
    </w:rPr>
  </w:style>
  <w:style w:type="paragraph" w:styleId="1057">
    <w:name w:val="无间隔"/>
    <w:next w:val="1057"/>
    <w:link w:val="945"/>
    <w:uiPriority w:val="99"/>
    <w:qFormat/>
    <w:pPr>
      <w:jc w:val="both"/>
      <w:widowControl w:val="off"/>
    </w:pPr>
    <w:rPr>
      <w:rFonts w:ascii="Times New Roman" w:hAnsi="Times New Roman"/>
      <w:sz w:val="21"/>
      <w:szCs w:val="21"/>
      <w:lang w:val="en-US" w:eastAsia="zh-CN" w:bidi="ar-SA"/>
    </w:rPr>
  </w:style>
  <w:style w:type="paragraph" w:styleId="1058">
    <w:name w:val="正文（缩进）"/>
    <w:basedOn w:val="945"/>
    <w:next w:val="1059"/>
    <w:link w:val="945"/>
    <w:qFormat/>
    <w:pPr>
      <w:ind w:firstLine="200"/>
      <w:spacing w:line="360" w:lineRule="auto"/>
    </w:pPr>
    <w:rPr>
      <w:rFonts w:ascii="宋体" w:hAnsi="宋体"/>
      <w:szCs w:val="28"/>
    </w:rPr>
  </w:style>
  <w:style w:type="paragraph" w:styleId="1059">
    <w:name w:val="Char Char Char Char Char Char Char Char Char"/>
    <w:basedOn w:val="945"/>
    <w:next w:val="1060"/>
    <w:link w:val="945"/>
    <w:uiPriority w:val="99"/>
    <w:qFormat/>
    <w:pPr>
      <w:ind w:left="360" w:firstLine="5784"/>
    </w:pPr>
  </w:style>
  <w:style w:type="paragraph" w:styleId="1060">
    <w:name w:val="正文文本 21"/>
    <w:basedOn w:val="945"/>
    <w:next w:val="1061"/>
    <w:link w:val="945"/>
    <w:uiPriority w:val="99"/>
    <w:qFormat/>
    <w:pPr>
      <w:ind w:left="720" w:firstLine="5680"/>
      <w:widowControl/>
    </w:pPr>
  </w:style>
  <w:style w:type="paragraph" w:styleId="1061">
    <w:name w:val="默认段落字体 Para Char Char Char Char Char Char Char"/>
    <w:basedOn w:val="945"/>
    <w:next w:val="1062"/>
    <w:link w:val="945"/>
    <w:uiPriority w:val="99"/>
    <w:qFormat/>
    <w:pPr>
      <w:ind w:firstLine="200"/>
    </w:pPr>
    <w:rPr>
      <w:rFonts w:cs="Arial"/>
    </w:rPr>
  </w:style>
  <w:style w:type="paragraph" w:styleId="1062">
    <w:name w:val="样式 首行缩进:  2 字符"/>
    <w:basedOn w:val="945"/>
    <w:next w:val="1063"/>
    <w:link w:val="945"/>
    <w:uiPriority w:val="99"/>
    <w:qFormat/>
    <w:pPr>
      <w:ind w:left="480" w:firstLine="5856"/>
      <w:spacing w:line="360" w:lineRule="auto"/>
    </w:pPr>
  </w:style>
  <w:style w:type="paragraph" w:styleId="1063">
    <w:name w:val="样式 段后: 0.25 行"/>
    <w:basedOn w:val="945"/>
    <w:next w:val="1064"/>
    <w:link w:val="945"/>
    <w:uiPriority w:val="99"/>
    <w:qFormat/>
    <w:pPr>
      <w:ind w:left="420" w:firstLine="5796"/>
      <w:spacing w:line="300" w:lineRule="auto"/>
      <w:widowControl/>
    </w:pPr>
  </w:style>
  <w:style w:type="paragraph" w:styleId="1064">
    <w:name w:val="正文 New New New New New New New New New New New New New New"/>
    <w:next w:val="1065"/>
    <w:link w:val="945"/>
    <w:uiPriority w:val="99"/>
    <w:qFormat/>
    <w:pPr>
      <w:ind w:firstLine="2048"/>
      <w:jc w:val="both"/>
      <w:widowControl w:val="off"/>
    </w:pPr>
    <w:rPr>
      <w:rFonts w:ascii="Calibri" w:hAnsi="Calibri" w:eastAsia="宋体" w:cs="Times New Roman"/>
      <w:lang w:val="en-US" w:eastAsia="zh-CN" w:bidi="ar-SA"/>
    </w:rPr>
  </w:style>
  <w:style w:type="paragraph" w:styleId="1065">
    <w:name w:val="目录 91"/>
    <w:basedOn w:val="945"/>
    <w:next w:val="945"/>
    <w:link w:val="945"/>
    <w:semiHidden/>
    <w:qFormat/>
    <w:pPr>
      <w:ind w:left="1680"/>
      <w:jc w:val="left"/>
    </w:pPr>
  </w:style>
  <w:style w:type="paragraph" w:styleId="1066">
    <w:name w:val="段"/>
    <w:next w:val="945"/>
    <w:link w:val="945"/>
    <w:qFormat/>
    <w:pPr>
      <w:ind w:firstLine="200"/>
      <w:jc w:val="both"/>
    </w:pPr>
    <w:rPr>
      <w:rFonts w:ascii="宋体" w:hAnsi="Times New Roman" w:eastAsia="宋体" w:cs="Times New Roman"/>
      <w:sz w:val="21"/>
      <w:lang w:val="en-US" w:eastAsia="zh-CN" w:bidi="ar-SA"/>
    </w:rPr>
  </w:style>
  <w:style w:type="paragraph" w:styleId="1067">
    <w:name w:val="WPSOffice手动目录 1"/>
    <w:next w:val="1067"/>
    <w:link w:val="945"/>
    <w:rPr>
      <w:sz w:val="20"/>
      <w:szCs w:val="20"/>
    </w:rPr>
  </w:style>
  <w:style w:type="paragraph" w:styleId="1068">
    <w:name w:val="扬州正文"/>
    <w:basedOn w:val="945"/>
    <w:next w:val="1068"/>
    <w:link w:val="945"/>
    <w:qFormat/>
    <w:pPr>
      <w:ind w:firstLine="640"/>
      <w:spacing w:line="580" w:lineRule="exact"/>
    </w:pPr>
    <w:rPr>
      <w:rFonts w:eastAsia="方正仿宋_GBK"/>
      <w:sz w:val="32"/>
    </w:rPr>
  </w:style>
  <w:style w:type="character" w:styleId="1069">
    <w:name w:val="font01"/>
    <w:basedOn w:val="955"/>
    <w:next w:val="1069"/>
    <w:link w:val="945"/>
    <w:qFormat/>
    <w:rPr>
      <w:rFonts w:hint="eastAsia" w:ascii="宋体" w:hAnsi="宋体" w:eastAsia="宋体" w:cs="宋体"/>
      <w:color w:val="000000"/>
      <w:sz w:val="22"/>
      <w:szCs w:val="22"/>
      <w:u w:val="none"/>
    </w:rPr>
  </w:style>
  <w:style w:type="character" w:styleId="1070">
    <w:name w:val="font41"/>
    <w:basedOn w:val="955"/>
    <w:next w:val="1070"/>
    <w:link w:val="945"/>
    <w:qFormat/>
    <w:rPr>
      <w:rFonts w:hint="eastAsia" w:ascii="方正仿宋_GBK" w:hAnsi="方正仿宋_GBK" w:eastAsia="方正仿宋_GBK" w:cs="方正仿宋_GBK"/>
      <w:b/>
      <w:bCs/>
      <w:color w:val="000000"/>
      <w:sz w:val="24"/>
      <w:szCs w:val="24"/>
      <w:u w:val="none"/>
      <w:vertAlign w:val="superscript"/>
    </w:rPr>
  </w:style>
  <w:style w:type="character" w:styleId="1071">
    <w:name w:val="font21"/>
    <w:basedOn w:val="955"/>
    <w:next w:val="1071"/>
    <w:link w:val="945"/>
    <w:qFormat/>
    <w:rPr>
      <w:rFonts w:hint="eastAsia" w:ascii="方正仿宋_GBK" w:hAnsi="方正仿宋_GBK" w:eastAsia="方正仿宋_GBK" w:cs="方正仿宋_GBK"/>
      <w:b/>
      <w:bCs/>
      <w:color w:val="000000"/>
      <w:sz w:val="24"/>
      <w:szCs w:val="24"/>
      <w:u w:val="none"/>
    </w:rPr>
  </w:style>
  <w:style w:type="paragraph" w:styleId="1072">
    <w:name w:val="Default"/>
    <w:next w:val="1072"/>
    <w:link w:val="945"/>
    <w:uiPriority w:val="99"/>
    <w:semiHidden/>
    <w:qFormat/>
    <w:pPr>
      <w:widowControl w:val="off"/>
    </w:pPr>
    <w:rPr>
      <w:rFonts w:ascii="Times New Roman" w:hAnsi="Times New Roman" w:eastAsia="宋体" w:cs="Calibri"/>
      <w:color w:val="000000"/>
      <w:sz w:val="24"/>
      <w:szCs w:val="24"/>
      <w:lang w:val="en-US" w:eastAsia="zh-CN" w:bidi="ar-SA"/>
    </w:rPr>
  </w:style>
  <w:style w:type="paragraph" w:styleId="1073">
    <w:name w:val="首行缩进"/>
    <w:next w:val="1073"/>
    <w:link w:val="945"/>
    <w:qFormat/>
    <w:pPr>
      <w:ind w:firstLine="480"/>
      <w:jc w:val="both"/>
      <w:widowControl w:val="off"/>
    </w:pPr>
    <w:rPr>
      <w:rFonts w:ascii="Calibri" w:hAnsi="Calibri" w:eastAsia="宋体" w:cs="Times New Roman"/>
      <w:sz w:val="21"/>
      <w:szCs w:val="22"/>
      <w:lang w:val="zh-CN" w:eastAsia="zh-CN" w:bidi="ar-SA"/>
    </w:rPr>
  </w:style>
  <w:style w:type="character" w:styleId="1074" w:default="1">
    <w:name w:val="Default Paragraph Font"/>
    <w:uiPriority w:val="1"/>
    <w:semiHidden/>
    <w:unhideWhenUsed/>
  </w:style>
  <w:style w:type="numbering" w:styleId="1075" w:default="1">
    <w:name w:val="No List"/>
    <w:uiPriority w:val="99"/>
    <w:semiHidden/>
    <w:unhideWhenUsed/>
  </w:style>
  <w:style w:type="table" w:styleId="10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王涛</cp:lastModifiedBy>
  <cp:revision>6</cp:revision>
  <dcterms:created xsi:type="dcterms:W3CDTF">2023-03-16T02:16:00Z</dcterms:created>
  <dcterms:modified xsi:type="dcterms:W3CDTF">2024-12-02T07:52:24Z</dcterms:modified>
</cp:coreProperties>
</file>