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F4160">
      <w:pPr>
        <w:ind w:firstLine="1040" w:firstLineChars="200"/>
        <w:jc w:val="center"/>
        <w:rPr>
          <w:rFonts w:ascii="Times New Roman" w:hAnsi="Times New Roman" w:eastAsia="黑体" w:cs="Times New Roman"/>
          <w:color w:val="auto"/>
          <w:sz w:val="52"/>
          <w:szCs w:val="20"/>
        </w:rPr>
      </w:pPr>
    </w:p>
    <w:p w14:paraId="37DBAD7E">
      <w:pPr>
        <w:ind w:firstLine="1040" w:firstLineChars="200"/>
        <w:jc w:val="center"/>
        <w:rPr>
          <w:rFonts w:ascii="Times New Roman" w:hAnsi="Times New Roman" w:eastAsia="黑体" w:cs="Times New Roman"/>
          <w:color w:val="auto"/>
          <w:sz w:val="52"/>
          <w:szCs w:val="20"/>
        </w:rPr>
      </w:pPr>
    </w:p>
    <w:p w14:paraId="795F36E5">
      <w:pPr>
        <w:ind w:firstLine="1040" w:firstLineChars="200"/>
        <w:jc w:val="center"/>
        <w:rPr>
          <w:rFonts w:ascii="Times New Roman" w:hAnsi="Times New Roman" w:eastAsia="黑体" w:cs="Times New Roman"/>
          <w:color w:val="auto"/>
          <w:sz w:val="52"/>
          <w:szCs w:val="20"/>
        </w:rPr>
      </w:pPr>
    </w:p>
    <w:p w14:paraId="010977B6">
      <w:pPr>
        <w:jc w:val="center"/>
        <w:rPr>
          <w:rFonts w:ascii="Times New Roman" w:hAnsi="Times New Roman" w:eastAsia="黑体" w:cs="Times New Roman"/>
          <w:color w:val="auto"/>
          <w:sz w:val="52"/>
          <w:szCs w:val="20"/>
        </w:rPr>
      </w:pPr>
      <w:r>
        <w:rPr>
          <w:rFonts w:hint="eastAsia" w:ascii="Times New Roman" w:hAnsi="Times New Roman" w:eastAsia="黑体" w:cs="Times New Roman"/>
          <w:color w:val="auto"/>
          <w:sz w:val="52"/>
          <w:szCs w:val="20"/>
        </w:rPr>
        <w:t>海安市政府采购合同</w:t>
      </w:r>
    </w:p>
    <w:p w14:paraId="32CAFF61">
      <w:pPr>
        <w:ind w:firstLine="315"/>
        <w:rPr>
          <w:rFonts w:ascii="黑体" w:hAnsi="Times New Roman" w:eastAsia="黑体" w:cs="Times New Roman"/>
          <w:b/>
          <w:color w:val="auto"/>
          <w:sz w:val="32"/>
          <w:szCs w:val="32"/>
        </w:rPr>
      </w:pPr>
    </w:p>
    <w:p w14:paraId="7E6D75C5">
      <w:pPr>
        <w:ind w:firstLine="1606" w:firstLineChars="500"/>
        <w:rPr>
          <w:rFonts w:ascii="黑体" w:hAnsi="Times New Roman" w:eastAsia="黑体" w:cs="Times New Roman"/>
          <w:b/>
          <w:color w:val="auto"/>
          <w:sz w:val="32"/>
          <w:szCs w:val="32"/>
        </w:rPr>
      </w:pPr>
    </w:p>
    <w:p w14:paraId="136B761D">
      <w:pPr>
        <w:rPr>
          <w:rFonts w:ascii="黑体" w:hAnsi="Times New Roman" w:eastAsia="黑体" w:cs="Times New Roman"/>
          <w:b/>
          <w:color w:val="auto"/>
          <w:sz w:val="36"/>
          <w:szCs w:val="20"/>
        </w:rPr>
      </w:pPr>
    </w:p>
    <w:p w14:paraId="29770C06">
      <w:pPr>
        <w:ind w:firstLine="1918"/>
        <w:rPr>
          <w:rFonts w:ascii="黑体" w:hAnsi="Times New Roman" w:eastAsia="黑体" w:cs="Times New Roman"/>
          <w:b/>
          <w:color w:val="auto"/>
          <w:sz w:val="36"/>
          <w:szCs w:val="20"/>
        </w:rPr>
      </w:pPr>
    </w:p>
    <w:p w14:paraId="7EE8B373">
      <w:pPr>
        <w:spacing w:line="700" w:lineRule="exact"/>
        <w:ind w:firstLine="723" w:firstLineChars="200"/>
        <w:rPr>
          <w:rFonts w:ascii="黑体" w:hAnsi="Times New Roman" w:eastAsia="黑体" w:cs="Times New Roman"/>
          <w:b/>
          <w:color w:val="auto"/>
          <w:sz w:val="36"/>
          <w:szCs w:val="20"/>
          <w:u w:val="single"/>
        </w:rPr>
      </w:pPr>
      <w:r>
        <w:rPr>
          <w:rFonts w:hint="eastAsia" w:ascii="黑体" w:hAnsi="Times New Roman" w:eastAsia="黑体" w:cs="Times New Roman"/>
          <w:b/>
          <w:color w:val="auto"/>
          <w:sz w:val="36"/>
          <w:szCs w:val="20"/>
        </w:rPr>
        <w:t>项目名称：</w:t>
      </w:r>
      <w:r>
        <w:rPr>
          <w:rFonts w:hint="eastAsia" w:ascii="黑体" w:hAnsi="Times New Roman" w:eastAsia="黑体" w:cs="Times New Roman"/>
          <w:b/>
          <w:color w:val="auto"/>
          <w:sz w:val="36"/>
          <w:szCs w:val="20"/>
          <w:u w:val="single"/>
        </w:rPr>
        <w:t>海安经济技术开发区建筑工程2025年专家安全技术服务项目</w:t>
      </w:r>
    </w:p>
    <w:p w14:paraId="74DE2433">
      <w:pPr>
        <w:spacing w:line="700" w:lineRule="exact"/>
        <w:ind w:firstLine="723" w:firstLineChars="200"/>
        <w:rPr>
          <w:rFonts w:ascii="黑体" w:hAnsi="Times New Roman" w:eastAsia="黑体" w:cs="Times New Roman"/>
          <w:b/>
          <w:color w:val="auto"/>
          <w:sz w:val="36"/>
          <w:szCs w:val="20"/>
          <w:u w:val="single"/>
        </w:rPr>
      </w:pPr>
      <w:r>
        <w:rPr>
          <w:rFonts w:hint="eastAsia" w:ascii="黑体" w:hAnsi="Times New Roman" w:eastAsia="黑体" w:cs="Times New Roman"/>
          <w:b/>
          <w:color w:val="auto"/>
          <w:sz w:val="36"/>
          <w:szCs w:val="20"/>
        </w:rPr>
        <w:t>采购单位：</w:t>
      </w:r>
      <w:r>
        <w:rPr>
          <w:rFonts w:hint="eastAsia" w:ascii="黑体" w:hAnsi="Times New Roman" w:eastAsia="黑体" w:cs="Times New Roman"/>
          <w:b/>
          <w:color w:val="auto"/>
          <w:sz w:val="36"/>
          <w:szCs w:val="20"/>
          <w:u w:val="single"/>
        </w:rPr>
        <w:t>海安经济技术开发区管理委员会</w:t>
      </w:r>
    </w:p>
    <w:p w14:paraId="07CF577C">
      <w:pPr>
        <w:spacing w:line="700" w:lineRule="exact"/>
        <w:ind w:firstLine="723" w:firstLineChars="200"/>
        <w:rPr>
          <w:rFonts w:ascii="黑体" w:hAnsi="Times New Roman" w:eastAsia="黑体" w:cs="Times New Roman"/>
          <w:b/>
          <w:color w:val="auto"/>
          <w:sz w:val="36"/>
          <w:szCs w:val="20"/>
        </w:rPr>
      </w:pPr>
      <w:r>
        <w:rPr>
          <w:rFonts w:hint="eastAsia" w:ascii="黑体" w:hAnsi="Times New Roman" w:eastAsia="黑体" w:cs="Times New Roman"/>
          <w:b/>
          <w:color w:val="auto"/>
          <w:sz w:val="36"/>
          <w:szCs w:val="20"/>
        </w:rPr>
        <w:t>供 应 商：</w:t>
      </w:r>
      <w:r>
        <w:rPr>
          <w:rFonts w:hint="eastAsia" w:ascii="黑体" w:hAnsi="Times New Roman" w:eastAsia="黑体" w:cs="Times New Roman"/>
          <w:b/>
          <w:color w:val="auto"/>
          <w:sz w:val="36"/>
          <w:szCs w:val="20"/>
          <w:u w:val="single"/>
        </w:rPr>
        <w:t xml:space="preserve">                        </w:t>
      </w:r>
    </w:p>
    <w:p w14:paraId="146CC1F0">
      <w:pPr>
        <w:ind w:firstLine="1916"/>
        <w:rPr>
          <w:rFonts w:ascii="黑体" w:hAnsi="Times New Roman" w:eastAsia="黑体" w:cs="Times New Roman"/>
          <w:b/>
          <w:color w:val="auto"/>
          <w:sz w:val="36"/>
          <w:szCs w:val="20"/>
        </w:rPr>
      </w:pPr>
    </w:p>
    <w:p w14:paraId="16844B53">
      <w:pPr>
        <w:ind w:firstLine="1916"/>
        <w:rPr>
          <w:rFonts w:ascii="黑体" w:hAnsi="Times New Roman" w:eastAsia="黑体" w:cs="Times New Roman"/>
          <w:b/>
          <w:color w:val="auto"/>
          <w:sz w:val="36"/>
          <w:szCs w:val="20"/>
        </w:rPr>
      </w:pPr>
    </w:p>
    <w:p w14:paraId="585524C3">
      <w:pPr>
        <w:ind w:firstLine="1916"/>
        <w:rPr>
          <w:rFonts w:ascii="黑体" w:hAnsi="Times New Roman" w:eastAsia="黑体" w:cs="Times New Roman"/>
          <w:b/>
          <w:color w:val="auto"/>
          <w:sz w:val="36"/>
          <w:szCs w:val="20"/>
        </w:rPr>
      </w:pPr>
    </w:p>
    <w:p w14:paraId="676CFE21">
      <w:pPr>
        <w:pStyle w:val="11"/>
        <w:rPr>
          <w:rFonts w:ascii="黑体" w:hAnsi="Times New Roman" w:eastAsia="黑体" w:cs="Times New Roman"/>
          <w:b/>
          <w:color w:val="auto"/>
          <w:sz w:val="36"/>
          <w:szCs w:val="20"/>
        </w:rPr>
      </w:pPr>
    </w:p>
    <w:p w14:paraId="7F68CF4C">
      <w:pPr>
        <w:pStyle w:val="11"/>
        <w:rPr>
          <w:rFonts w:ascii="黑体" w:hAnsi="Times New Roman" w:eastAsia="黑体" w:cs="Times New Roman"/>
          <w:b/>
          <w:color w:val="auto"/>
          <w:sz w:val="36"/>
          <w:szCs w:val="20"/>
        </w:rPr>
      </w:pPr>
    </w:p>
    <w:p w14:paraId="729E2C74">
      <w:pPr>
        <w:pStyle w:val="11"/>
        <w:rPr>
          <w:rFonts w:ascii="黑体" w:hAnsi="Times New Roman" w:eastAsia="黑体" w:cs="Times New Roman"/>
          <w:b/>
          <w:color w:val="auto"/>
          <w:sz w:val="36"/>
          <w:szCs w:val="20"/>
        </w:rPr>
      </w:pPr>
    </w:p>
    <w:p w14:paraId="05B147B4">
      <w:pPr>
        <w:snapToGrid w:val="0"/>
        <w:spacing w:before="156" w:beforeLines="50" w:after="156" w:afterLines="50"/>
        <w:jc w:val="center"/>
        <w:outlineLvl w:val="0"/>
        <w:rPr>
          <w:rFonts w:ascii="黑体" w:hAnsi="黑体" w:eastAsia="黑体" w:cs="Times New Roman"/>
          <w:color w:val="auto"/>
          <w:sz w:val="30"/>
          <w:szCs w:val="21"/>
        </w:rPr>
      </w:pPr>
      <w:r>
        <w:rPr>
          <w:rFonts w:hint="eastAsia" w:ascii="黑体" w:hAnsi="Times New Roman" w:eastAsia="黑体" w:cs="Times New Roman"/>
          <w:b/>
          <w:color w:val="auto"/>
          <w:sz w:val="36"/>
          <w:szCs w:val="20"/>
        </w:rPr>
        <w:t>签订日期：</w:t>
      </w:r>
      <w:r>
        <w:rPr>
          <w:rFonts w:hint="eastAsia" w:ascii="黑体" w:hAnsi="Times New Roman" w:eastAsia="黑体" w:cs="Times New Roman"/>
          <w:b/>
          <w:color w:val="auto"/>
          <w:sz w:val="36"/>
          <w:szCs w:val="20"/>
          <w:u w:val="single"/>
        </w:rPr>
        <w:t xml:space="preserve"> 2025</w:t>
      </w:r>
      <w:r>
        <w:rPr>
          <w:rFonts w:hint="eastAsia" w:ascii="黑体" w:hAnsi="Times New Roman" w:eastAsia="黑体" w:cs="Times New Roman"/>
          <w:b/>
          <w:color w:val="auto"/>
          <w:sz w:val="36"/>
          <w:szCs w:val="20"/>
        </w:rPr>
        <w:t>年</w:t>
      </w:r>
      <w:r>
        <w:rPr>
          <w:rFonts w:hint="eastAsia" w:ascii="黑体" w:hAnsi="Times New Roman" w:eastAsia="黑体" w:cs="Times New Roman"/>
          <w:b/>
          <w:color w:val="auto"/>
          <w:sz w:val="36"/>
          <w:szCs w:val="20"/>
          <w:u w:val="single"/>
        </w:rPr>
        <w:t xml:space="preserve">   </w:t>
      </w:r>
      <w:r>
        <w:rPr>
          <w:rFonts w:hint="eastAsia" w:ascii="黑体" w:hAnsi="Times New Roman" w:eastAsia="黑体" w:cs="Times New Roman"/>
          <w:b/>
          <w:color w:val="auto"/>
          <w:sz w:val="36"/>
          <w:szCs w:val="20"/>
        </w:rPr>
        <w:t>月</w:t>
      </w:r>
      <w:r>
        <w:rPr>
          <w:rFonts w:hint="eastAsia" w:ascii="黑体" w:hAnsi="Times New Roman" w:eastAsia="黑体" w:cs="Times New Roman"/>
          <w:b/>
          <w:color w:val="auto"/>
          <w:sz w:val="36"/>
          <w:szCs w:val="20"/>
          <w:u w:val="single"/>
        </w:rPr>
        <w:t xml:space="preserve">   </w:t>
      </w:r>
      <w:r>
        <w:rPr>
          <w:rFonts w:hint="eastAsia" w:ascii="黑体" w:hAnsi="Times New Roman" w:eastAsia="黑体" w:cs="Times New Roman"/>
          <w:b/>
          <w:color w:val="auto"/>
          <w:sz w:val="36"/>
          <w:szCs w:val="20"/>
        </w:rPr>
        <w:t>日</w:t>
      </w:r>
    </w:p>
    <w:p w14:paraId="11D767F9">
      <w:pPr>
        <w:rPr>
          <w:rFonts w:ascii="黑体" w:hAnsi="黑体" w:eastAsia="黑体" w:cs="Times New Roman"/>
          <w:color w:val="auto"/>
          <w:sz w:val="30"/>
          <w:szCs w:val="21"/>
        </w:rPr>
      </w:pPr>
      <w:r>
        <w:rPr>
          <w:rFonts w:hint="eastAsia" w:ascii="黑体" w:hAnsi="黑体" w:eastAsia="黑体" w:cs="Times New Roman"/>
          <w:color w:val="auto"/>
          <w:sz w:val="30"/>
          <w:szCs w:val="21"/>
        </w:rPr>
        <w:br w:type="page"/>
      </w:r>
    </w:p>
    <w:p w14:paraId="1ABC346D">
      <w:pPr>
        <w:snapToGrid w:val="0"/>
        <w:spacing w:line="360" w:lineRule="auto"/>
        <w:ind w:firstLine="600" w:firstLineChars="200"/>
        <w:jc w:val="center"/>
        <w:outlineLvl w:val="0"/>
        <w:rPr>
          <w:rFonts w:ascii="黑体" w:hAnsi="黑体" w:eastAsia="黑体" w:cs="Times New Roman"/>
          <w:bCs/>
          <w:color w:val="auto"/>
          <w:sz w:val="30"/>
          <w:szCs w:val="20"/>
        </w:rPr>
      </w:pPr>
      <w:r>
        <w:rPr>
          <w:rFonts w:hint="eastAsia" w:ascii="黑体" w:hAnsi="黑体" w:eastAsia="黑体" w:cs="Times New Roman"/>
          <w:color w:val="auto"/>
          <w:sz w:val="30"/>
          <w:szCs w:val="21"/>
        </w:rPr>
        <w:t>海安市政府采购合同（合同编号）</w:t>
      </w:r>
    </w:p>
    <w:p w14:paraId="7A46DD54">
      <w:pPr>
        <w:snapToGrid w:val="0"/>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项目名称：</w:t>
      </w:r>
      <w:r>
        <w:rPr>
          <w:rFonts w:hint="eastAsia" w:ascii="宋体" w:hAnsi="宋体" w:eastAsia="宋体" w:cs="Times New Roman"/>
          <w:color w:val="auto"/>
          <w:sz w:val="24"/>
          <w:szCs w:val="24"/>
        </w:rPr>
        <w:t>海安经济技术开发区建筑工程2025年专家安全技术服务项目</w:t>
      </w:r>
    </w:p>
    <w:p w14:paraId="53AC88E3">
      <w:pPr>
        <w:snapToGrid w:val="0"/>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项目编号：</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 xml:space="preserve"> </w:t>
      </w:r>
    </w:p>
    <w:p w14:paraId="0458F9ED">
      <w:pPr>
        <w:snapToGrid w:val="0"/>
        <w:spacing w:line="360" w:lineRule="auto"/>
        <w:rPr>
          <w:rFonts w:ascii="宋体" w:hAnsi="宋体" w:eastAsia="宋体" w:cs="Times New Roman"/>
          <w:color w:val="auto"/>
          <w:sz w:val="24"/>
          <w:szCs w:val="24"/>
          <w:u w:val="single"/>
        </w:rPr>
      </w:pPr>
      <w:r>
        <w:rPr>
          <w:rFonts w:ascii="宋体" w:hAnsi="宋体" w:eastAsia="宋体" w:cs="Times New Roman"/>
          <w:color w:val="auto"/>
          <w:sz w:val="24"/>
          <w:szCs w:val="24"/>
        </w:rPr>
        <w:t>甲方：（买方）</w:t>
      </w:r>
      <w:r>
        <w:rPr>
          <w:rFonts w:hint="eastAsia" w:ascii="宋体" w:hAnsi="宋体" w:eastAsia="宋体" w:cs="Times New Roman"/>
          <w:color w:val="auto"/>
          <w:sz w:val="24"/>
          <w:szCs w:val="24"/>
          <w:u w:val="single"/>
        </w:rPr>
        <w:t>海安经济技术开发区管理委员会</w:t>
      </w:r>
    </w:p>
    <w:p w14:paraId="517F3713">
      <w:pPr>
        <w:snapToGrid w:val="0"/>
        <w:spacing w:line="360" w:lineRule="auto"/>
        <w:rPr>
          <w:rFonts w:ascii="宋体" w:hAnsi="宋体" w:eastAsia="宋体" w:cs="Times New Roman"/>
          <w:color w:val="auto"/>
          <w:sz w:val="24"/>
          <w:szCs w:val="24"/>
          <w:u w:val="single"/>
        </w:rPr>
      </w:pPr>
      <w:r>
        <w:rPr>
          <w:rFonts w:ascii="宋体" w:hAnsi="宋体" w:eastAsia="宋体" w:cs="Times New Roman"/>
          <w:color w:val="auto"/>
          <w:sz w:val="24"/>
          <w:szCs w:val="24"/>
        </w:rPr>
        <w:t>乙方：（卖方）</w:t>
      </w:r>
      <w:r>
        <w:rPr>
          <w:rFonts w:hint="eastAsia" w:ascii="宋体" w:hAnsi="宋体" w:eastAsia="宋体" w:cs="Times New Roman"/>
          <w:color w:val="auto"/>
          <w:sz w:val="24"/>
          <w:szCs w:val="24"/>
          <w:u w:val="single"/>
        </w:rPr>
        <w:t xml:space="preserve">                           </w:t>
      </w:r>
    </w:p>
    <w:p w14:paraId="2C0BEF6F">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根据《中华人民共和国民法典》《中华人民共和国政府采购法》等法律法规的规定以及</w:t>
      </w:r>
      <w:r>
        <w:rPr>
          <w:rFonts w:hint="eastAsia" w:ascii="宋体" w:hAnsi="宋体" w:eastAsia="宋体" w:cs="Times New Roman"/>
          <w:color w:val="auto"/>
          <w:sz w:val="24"/>
          <w:szCs w:val="24"/>
          <w:u w:val="single"/>
        </w:rPr>
        <w:t>海安经济技术开发区建筑工程2025年专家安全技术服务</w:t>
      </w:r>
      <w:r>
        <w:rPr>
          <w:rFonts w:hint="eastAsia" w:ascii="宋体" w:hAnsi="宋体" w:eastAsia="宋体" w:cs="Times New Roman"/>
          <w:color w:val="auto"/>
          <w:sz w:val="24"/>
          <w:szCs w:val="24"/>
        </w:rPr>
        <w:t>项目采购结果，甲乙双方遵循平等、自愿、公平、诚实信用的原则，就</w:t>
      </w:r>
      <w:r>
        <w:rPr>
          <w:rFonts w:hint="eastAsia" w:ascii="宋体" w:hAnsi="宋体" w:eastAsia="宋体" w:cs="Times New Roman"/>
          <w:color w:val="auto"/>
          <w:sz w:val="24"/>
          <w:szCs w:val="24"/>
          <w:u w:val="single"/>
        </w:rPr>
        <w:t>海安经济技术开发区建筑工程2025年专家安全技术服务</w:t>
      </w:r>
      <w:r>
        <w:rPr>
          <w:rFonts w:hint="eastAsia" w:ascii="宋体" w:hAnsi="宋体" w:eastAsia="宋体" w:cs="Times New Roman"/>
          <w:color w:val="auto"/>
          <w:sz w:val="24"/>
          <w:szCs w:val="24"/>
        </w:rPr>
        <w:t>项目事宜经双方协商一致，订立本合同。</w:t>
      </w:r>
    </w:p>
    <w:p w14:paraId="67A5384D">
      <w:pPr>
        <w:snapToGrid w:val="0"/>
        <w:spacing w:line="360" w:lineRule="auto"/>
        <w:ind w:firstLine="482" w:firstLineChars="200"/>
        <w:rPr>
          <w:rFonts w:ascii="宋体" w:hAnsi="宋体" w:eastAsia="宋体" w:cs="Times New Roman"/>
          <w:b/>
          <w:color w:val="auto"/>
          <w:sz w:val="24"/>
          <w:szCs w:val="24"/>
        </w:rPr>
      </w:pPr>
      <w:r>
        <w:rPr>
          <w:rFonts w:ascii="宋体" w:hAnsi="宋体" w:eastAsia="宋体" w:cs="Times New Roman"/>
          <w:b/>
          <w:color w:val="auto"/>
          <w:sz w:val="24"/>
          <w:szCs w:val="24"/>
        </w:rPr>
        <w:t>一、</w:t>
      </w:r>
      <w:r>
        <w:rPr>
          <w:rFonts w:hint="eastAsia" w:ascii="宋体" w:hAnsi="宋体" w:eastAsia="宋体" w:cs="Times New Roman"/>
          <w:b/>
          <w:color w:val="auto"/>
          <w:sz w:val="24"/>
          <w:szCs w:val="24"/>
        </w:rPr>
        <w:t>合同</w:t>
      </w:r>
      <w:r>
        <w:rPr>
          <w:rFonts w:ascii="宋体" w:hAnsi="宋体" w:eastAsia="宋体" w:cs="Times New Roman"/>
          <w:b/>
          <w:color w:val="auto"/>
          <w:sz w:val="24"/>
          <w:szCs w:val="24"/>
        </w:rPr>
        <w:t>内容</w:t>
      </w:r>
    </w:p>
    <w:p w14:paraId="193BF23C">
      <w:pPr>
        <w:snapToGrid w:val="0"/>
        <w:spacing w:line="360" w:lineRule="auto"/>
        <w:ind w:firstLine="480" w:firstLineChars="200"/>
        <w:rPr>
          <w:rFonts w:ascii="宋体" w:hAnsi="宋体" w:eastAsia="宋体" w:cs="Times New Roman"/>
          <w:color w:val="auto"/>
          <w:sz w:val="24"/>
          <w:szCs w:val="24"/>
        </w:rPr>
      </w:pPr>
      <w:r>
        <w:rPr>
          <w:rFonts w:ascii="宋体" w:hAnsi="宋体" w:eastAsia="宋体" w:cs="Times New Roman"/>
          <w:color w:val="auto"/>
          <w:sz w:val="24"/>
          <w:szCs w:val="24"/>
        </w:rPr>
        <w:t xml:space="preserve">1.1 </w:t>
      </w:r>
      <w:r>
        <w:rPr>
          <w:rFonts w:hint="eastAsia" w:ascii="宋体" w:hAnsi="宋体" w:eastAsia="宋体" w:cs="Times New Roman"/>
          <w:color w:val="auto"/>
          <w:sz w:val="24"/>
          <w:szCs w:val="24"/>
        </w:rPr>
        <w:t>标的</w:t>
      </w:r>
      <w:r>
        <w:rPr>
          <w:rFonts w:ascii="宋体" w:hAnsi="宋体" w:eastAsia="宋体" w:cs="Times New Roman"/>
          <w:color w:val="auto"/>
          <w:sz w:val="24"/>
          <w:szCs w:val="24"/>
        </w:rPr>
        <w:t>名称：</w:t>
      </w:r>
      <w:r>
        <w:rPr>
          <w:rFonts w:hint="eastAsia" w:ascii="宋体" w:hAnsi="宋体" w:eastAsia="宋体" w:cs="Times New Roman"/>
          <w:color w:val="auto"/>
          <w:sz w:val="24"/>
          <w:szCs w:val="24"/>
        </w:rPr>
        <w:t>海安经济技术开发区建筑工程2025年专家安全技术服务项目</w:t>
      </w:r>
    </w:p>
    <w:p w14:paraId="63389750">
      <w:pPr>
        <w:snapToGrid w:val="0"/>
        <w:spacing w:line="360" w:lineRule="auto"/>
        <w:ind w:firstLine="480" w:firstLineChars="200"/>
        <w:rPr>
          <w:rFonts w:ascii="宋体" w:hAnsi="宋体" w:eastAsia="宋体" w:cs="Times New Roman"/>
          <w:color w:val="auto"/>
          <w:sz w:val="24"/>
          <w:szCs w:val="24"/>
        </w:rPr>
      </w:pPr>
      <w:r>
        <w:rPr>
          <w:rFonts w:ascii="宋体" w:hAnsi="宋体" w:eastAsia="宋体" w:cs="Times New Roman"/>
          <w:color w:val="auto"/>
          <w:sz w:val="24"/>
          <w:szCs w:val="24"/>
        </w:rPr>
        <w:t>1.2</w:t>
      </w:r>
      <w:r>
        <w:rPr>
          <w:rFonts w:hint="eastAsia" w:ascii="宋体" w:hAnsi="宋体" w:eastAsia="宋体" w:cs="Times New Roman"/>
          <w:color w:val="auto"/>
          <w:sz w:val="24"/>
          <w:szCs w:val="24"/>
        </w:rPr>
        <w:t>标的质量：符合甲方要求</w:t>
      </w:r>
    </w:p>
    <w:p w14:paraId="1C5A234F">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1.3 服务内容及范围：</w:t>
      </w:r>
    </w:p>
    <w:p w14:paraId="74CDBE82">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（1）协助开发区主要领导、分管领导、安全职能科室履行安全职责，如实、准确做好相应记录，保证主要领导、分管领导、安全职能科室履职、尽责有据可查。</w:t>
      </w:r>
    </w:p>
    <w:p w14:paraId="19A4DC3D">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①协助开发区每月组织一次安全生产全面检查，并分析安全生产中存在的问题，做好安全隐患检查记录以及隐患闭环资料；</w:t>
      </w:r>
    </w:p>
    <w:p w14:paraId="458BD2FD">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②协助组织每年至少一次事故应急救援演练，做好应急救援演练方案、过程影像文字记录和评估等资料；</w:t>
      </w:r>
    </w:p>
    <w:p w14:paraId="31BC0691">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③协助开发区各部门做好本部门安全职责履行工作。</w:t>
      </w:r>
    </w:p>
    <w:p w14:paraId="5E2DAB32">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（2）根据要求，每季度进行一次安全教育培训服务，包括安全生产、施工相关法律法规和标准、规章制度、安全生产责任制等。</w:t>
      </w:r>
    </w:p>
    <w:p w14:paraId="427F6307">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①每个季度邀请相应领域专家组织安全教育培训，并做好相应的影像文字记录工作。</w:t>
      </w:r>
    </w:p>
    <w:p w14:paraId="76294CDA">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（3）配合开发区建设局制定、完善各项安全生产规章制度，并跟踪督促安全隐患整改、闭环。</w:t>
      </w:r>
    </w:p>
    <w:p w14:paraId="3AA2EE91">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①协助制定开发区建设局安全生产方针和安全生产目标，签订安全目标责任书；</w:t>
      </w:r>
    </w:p>
    <w:p w14:paraId="0F309945">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②协助制定开发区建设局安全生产组织架构，完成岗位安全责任制的签订和协助组织安全生产领导小组的会议；</w:t>
      </w:r>
    </w:p>
    <w:p w14:paraId="2318AF20">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③协助制定开发区建设局安全规章制度和年度安全投入方案；</w:t>
      </w:r>
    </w:p>
    <w:p w14:paraId="6196AAE3">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④协助做好开发区建设局安全生产隐患排查和治理工作；</w:t>
      </w:r>
    </w:p>
    <w:p w14:paraId="30D59D99">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⑤每年根据最新法律法规修编应急预案；</w:t>
      </w:r>
    </w:p>
    <w:p w14:paraId="7EB4609E">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⑥协助做好每年安全月各项安全工作开展和落实等。</w:t>
      </w:r>
    </w:p>
    <w:p w14:paraId="776F9181">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（4）配合开发区建设局做好各级主管部门的安全检查、年度考核等工作。</w:t>
      </w:r>
    </w:p>
    <w:p w14:paraId="321139C4">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①协助及时做好住建局（建管局）、应急管理局、城管局以及其他主管部门日常安全检查和相应节点的安全生产材料上报工作；</w:t>
      </w:r>
    </w:p>
    <w:p w14:paraId="6E3E2473">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②协助做好住建局（建管局）、应急管理局、城管局以及其他主管部门年度安全考核工作。</w:t>
      </w:r>
    </w:p>
    <w:p w14:paraId="2B7B3498">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（5）配合开发区建设局做好安全创新工作及安全突发事件的处理。</w:t>
      </w:r>
    </w:p>
    <w:p w14:paraId="2E712A0D">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（6）配合开发区建设局进行安全检查。</w:t>
      </w:r>
    </w:p>
    <w:p w14:paraId="1A9E8174">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（7）配合开发区建设局做好节假日、重点时期安全检查。</w:t>
      </w:r>
    </w:p>
    <w:p w14:paraId="5496CD83">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（8）上述未尽事宜的服务内容须服从采购人的安排。</w:t>
      </w:r>
    </w:p>
    <w:p w14:paraId="7482EC05">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（9）</w:t>
      </w:r>
      <w:r>
        <w:rPr>
          <w:rFonts w:hint="eastAsia" w:ascii="宋体" w:hAnsi="宋体" w:eastAsia="宋体" w:cs="Times New Roman"/>
          <w:color w:val="auto"/>
          <w:sz w:val="24"/>
          <w:szCs w:val="24"/>
        </w:rPr>
        <w:t>开展施工现场安全巡查服务并形成问题清单和规范整改建议</w:t>
      </w:r>
      <w:r>
        <w:rPr>
          <w:rFonts w:hint="eastAsia" w:ascii="宋体" w:hAnsi="宋体" w:eastAsia="宋体" w:cs="Times New Roman"/>
          <w:color w:val="auto"/>
          <w:sz w:val="24"/>
          <w:szCs w:val="24"/>
        </w:rPr>
        <w:t>。</w:t>
      </w:r>
    </w:p>
    <w:p w14:paraId="14E58E4E">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①按计划对所有施工现场进行安全生产隐患排查服务并</w:t>
      </w:r>
      <w:r>
        <w:rPr>
          <w:rFonts w:hint="eastAsia" w:ascii="宋体" w:hAnsi="宋体" w:eastAsia="宋体" w:cs="Times New Roman"/>
          <w:color w:val="auto"/>
          <w:sz w:val="24"/>
          <w:szCs w:val="24"/>
          <w:lang w:eastAsia="zh-CN"/>
        </w:rPr>
        <w:t>下达</w:t>
      </w:r>
      <w:r>
        <w:rPr>
          <w:rFonts w:hint="eastAsia" w:ascii="宋体" w:hAnsi="宋体" w:eastAsia="宋体" w:cs="Times New Roman"/>
          <w:color w:val="auto"/>
          <w:sz w:val="24"/>
          <w:szCs w:val="24"/>
        </w:rPr>
        <w:t>整改通知单；</w:t>
      </w:r>
    </w:p>
    <w:p w14:paraId="616F537C">
      <w:pPr>
        <w:spacing w:line="360" w:lineRule="auto"/>
        <w:ind w:firstLine="482"/>
        <w:rPr>
          <w:rFonts w:ascii="宋体" w:hAnsi="宋体" w:eastAsia="宋体" w:cs="Times New Roman"/>
          <w:color w:val="auto"/>
          <w:sz w:val="24"/>
          <w:szCs w:val="24"/>
        </w:rPr>
      </w:pPr>
      <w:r>
        <w:rPr>
          <w:rFonts w:hint="eastAsia" w:ascii="宋体" w:hAnsi="宋体" w:eastAsia="宋体" w:cs="Times New Roman"/>
          <w:color w:val="auto"/>
          <w:sz w:val="24"/>
          <w:szCs w:val="24"/>
        </w:rPr>
        <w:t>②每月对所有施工单位所有安全台账资料进行检查；</w:t>
      </w:r>
    </w:p>
    <w:p w14:paraId="34F6C427">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③对塔吊、升降机等大型机械组织专家专项检查；</w:t>
      </w:r>
    </w:p>
    <w:p w14:paraId="1D7A4240">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④检查项目危大（超危）工程的安全措施落实情况；</w:t>
      </w:r>
    </w:p>
    <w:p w14:paraId="43D09C19">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⑤每月检查各方责任主体合同安全条款履约情况；</w:t>
      </w:r>
    </w:p>
    <w:p w14:paraId="54A69153">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⑥对各项目安全隐患跟踪复查，闭环管理；</w:t>
      </w:r>
    </w:p>
    <w:p w14:paraId="09F97742">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⑦及时上报安全检查情况、安全工作简报、安全工作计划、安全检查总结资料；</w:t>
      </w:r>
    </w:p>
    <w:p w14:paraId="708F7EAA">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⑧每季度分析安全领域分析重点，并提出解决方案。</w:t>
      </w:r>
    </w:p>
    <w:p w14:paraId="1CEEACAD">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（10）</w:t>
      </w:r>
      <w:r>
        <w:rPr>
          <w:rFonts w:hint="eastAsia" w:ascii="宋体" w:hAnsi="宋体" w:eastAsia="宋体" w:cs="Times New Roman"/>
          <w:color w:val="auto"/>
          <w:sz w:val="24"/>
          <w:szCs w:val="24"/>
        </w:rPr>
        <w:t>配合</w:t>
      </w:r>
      <w:r>
        <w:rPr>
          <w:rFonts w:hint="eastAsia" w:ascii="宋体" w:hAnsi="宋体" w:eastAsia="宋体" w:cs="Times New Roman"/>
          <w:color w:val="auto"/>
          <w:sz w:val="24"/>
          <w:szCs w:val="24"/>
        </w:rPr>
        <w:t>文明施工检查</w:t>
      </w:r>
    </w:p>
    <w:p w14:paraId="2117DC8D">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1）根据国家、省、市大气污染防治决策部署以及《江苏省工程建设标准建筑工地扬尘防治标准》要求，对各项目进行扬尘管控检查，对发现的扬尘隐患实行闭环管理。</w:t>
      </w:r>
    </w:p>
    <w:p w14:paraId="416CA9AE">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①按计划对所有施工现场进行文明施工检查；</w:t>
      </w:r>
    </w:p>
    <w:p w14:paraId="7C7097D2">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②组织相应领域专家对所有施工现场文明施工检查进行检查并</w:t>
      </w:r>
      <w:r>
        <w:rPr>
          <w:rFonts w:hint="eastAsia" w:ascii="宋体" w:hAnsi="宋体" w:eastAsia="宋体" w:cs="Times New Roman"/>
          <w:color w:val="auto"/>
          <w:sz w:val="24"/>
          <w:szCs w:val="24"/>
          <w:lang w:eastAsia="zh-CN"/>
        </w:rPr>
        <w:t>下达</w:t>
      </w:r>
      <w:r>
        <w:rPr>
          <w:rFonts w:hint="eastAsia" w:ascii="宋体" w:hAnsi="宋体" w:eastAsia="宋体" w:cs="Times New Roman"/>
          <w:color w:val="auto"/>
          <w:sz w:val="24"/>
          <w:szCs w:val="24"/>
        </w:rPr>
        <w:t>整改通知单；</w:t>
      </w:r>
    </w:p>
    <w:p w14:paraId="2FB48301">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③对各项目文明施工隐患跟踪复查，闭环管理；</w:t>
      </w:r>
    </w:p>
    <w:p w14:paraId="5FEF1BB4">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④及时上报文明施工检查情况、工作简报、工作计划、检查总结资料；</w:t>
      </w:r>
    </w:p>
    <w:p w14:paraId="55DC98F7">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2）检查各项目现场围挡、封闭管理、施工场地、材料堆放、现场宿舍、现场防火、治安综合治理、生活设施、保健急救等措施落实情况。</w:t>
      </w:r>
    </w:p>
    <w:p w14:paraId="4D43248F">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（11）</w:t>
      </w:r>
      <w:r>
        <w:rPr>
          <w:rFonts w:hint="eastAsia" w:ascii="宋体" w:hAnsi="宋体" w:eastAsia="宋体" w:cs="Times New Roman"/>
          <w:color w:val="auto"/>
          <w:sz w:val="24"/>
          <w:szCs w:val="24"/>
        </w:rPr>
        <w:t>配合</w:t>
      </w:r>
      <w:r>
        <w:rPr>
          <w:rFonts w:hint="eastAsia" w:ascii="宋体" w:hAnsi="宋体" w:eastAsia="宋体" w:cs="Times New Roman"/>
          <w:color w:val="auto"/>
          <w:sz w:val="24"/>
          <w:szCs w:val="24"/>
        </w:rPr>
        <w:t>燃气日常检查、既有建筑安全检查</w:t>
      </w:r>
    </w:p>
    <w:p w14:paraId="440D3E9D">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1）定期对开发区内燃气使用进行安全隐患排查。</w:t>
      </w:r>
    </w:p>
    <w:p w14:paraId="5A7D0B8C">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2）定期对开发区既有建筑安全生产情况进行检查</w:t>
      </w:r>
    </w:p>
    <w:p w14:paraId="42470995">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1.4服务方式：</w:t>
      </w:r>
      <w:r>
        <w:rPr>
          <w:rFonts w:hint="eastAsia" w:ascii="宋体" w:hAnsi="宋体" w:eastAsia="宋体" w:cs="Times New Roman"/>
          <w:color w:val="auto"/>
          <w:sz w:val="24"/>
          <w:szCs w:val="24"/>
        </w:rPr>
        <w:t>合同签订后，乙方根据甲方安全工作要点提交第三方安全技术服务项目工作细化方案，方案经甲方确认后乙方自行组织专业人员力量和设备设施开始进场工作，具体以甲方指令为准。</w:t>
      </w:r>
    </w:p>
    <w:p w14:paraId="5E41FE94">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1.5履行时间（期限）：合同签订之日起一年（2025年8月20日</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2026年8月19日）。</w:t>
      </w:r>
    </w:p>
    <w:p w14:paraId="1ACB5A7A">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1.6履行地点：</w:t>
      </w:r>
    </w:p>
    <w:p w14:paraId="4B491B7A">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（1）立发办事处区域专家安全技术服务（采购包1）：在建建筑工程项目</w:t>
      </w:r>
      <w:r>
        <w:rPr>
          <w:rFonts w:hint="eastAsia" w:ascii="宋体" w:hAnsi="宋体" w:eastAsia="宋体" w:cs="Times New Roman"/>
          <w:color w:val="auto"/>
          <w:sz w:val="24"/>
          <w:szCs w:val="24"/>
        </w:rPr>
        <w:t>不低于</w:t>
      </w:r>
      <w:r>
        <w:rPr>
          <w:rFonts w:hint="eastAsia" w:ascii="宋体" w:hAnsi="宋体" w:eastAsia="宋体" w:cs="Times New Roman"/>
          <w:color w:val="auto"/>
          <w:sz w:val="24"/>
          <w:szCs w:val="24"/>
        </w:rPr>
        <w:t>60个，燃气、既有建筑及自建房等。</w:t>
      </w:r>
    </w:p>
    <w:p w14:paraId="39AFC46A">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（2）西场办事处区域专家安全技术服务（采购包2）：在建建筑工程项目</w:t>
      </w:r>
      <w:r>
        <w:rPr>
          <w:rFonts w:hint="eastAsia" w:ascii="宋体" w:hAnsi="宋体" w:eastAsia="宋体" w:cs="Times New Roman"/>
          <w:color w:val="auto"/>
          <w:sz w:val="24"/>
          <w:szCs w:val="24"/>
        </w:rPr>
        <w:t>不低于</w:t>
      </w:r>
      <w:r>
        <w:rPr>
          <w:rFonts w:hint="eastAsia" w:ascii="宋体" w:hAnsi="宋体" w:eastAsia="宋体" w:cs="Times New Roman"/>
          <w:color w:val="auto"/>
          <w:sz w:val="24"/>
          <w:szCs w:val="24"/>
        </w:rPr>
        <w:t>60个，燃气、既有建筑及自建房等。</w:t>
      </w:r>
    </w:p>
    <w:p w14:paraId="398D31BA">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（3）洋蛮河办事处区域专家安全技术服务（采购包3）：在建建筑工程项目</w:t>
      </w:r>
      <w:r>
        <w:rPr>
          <w:rFonts w:hint="eastAsia" w:ascii="宋体" w:hAnsi="宋体" w:eastAsia="宋体" w:cs="Times New Roman"/>
          <w:color w:val="auto"/>
          <w:sz w:val="24"/>
          <w:szCs w:val="24"/>
        </w:rPr>
        <w:t>不低于</w:t>
      </w:r>
      <w:r>
        <w:rPr>
          <w:rFonts w:hint="eastAsia" w:ascii="宋体" w:hAnsi="宋体" w:eastAsia="宋体" w:cs="Times New Roman"/>
          <w:color w:val="auto"/>
          <w:sz w:val="24"/>
          <w:szCs w:val="24"/>
        </w:rPr>
        <w:t>60个，燃气、既有建筑及自建房等。</w:t>
      </w:r>
    </w:p>
    <w:p w14:paraId="0108E8F3">
      <w:pPr>
        <w:snapToGrid w:val="0"/>
        <w:spacing w:line="360" w:lineRule="auto"/>
        <w:ind w:firstLine="482" w:firstLineChars="200"/>
        <w:rPr>
          <w:rFonts w:ascii="宋体" w:hAnsi="宋体" w:eastAsia="宋体" w:cs="Times New Roman"/>
          <w:b/>
          <w:color w:val="auto"/>
          <w:sz w:val="24"/>
          <w:szCs w:val="24"/>
        </w:rPr>
      </w:pPr>
      <w:r>
        <w:rPr>
          <w:rFonts w:ascii="宋体" w:hAnsi="宋体" w:eastAsia="宋体" w:cs="Times New Roman"/>
          <w:b/>
          <w:color w:val="auto"/>
          <w:sz w:val="24"/>
          <w:szCs w:val="24"/>
        </w:rPr>
        <w:t>二、合同金额</w:t>
      </w:r>
    </w:p>
    <w:p w14:paraId="67268B45">
      <w:pPr>
        <w:snapToGrid w:val="0"/>
        <w:spacing w:line="360" w:lineRule="auto"/>
        <w:ind w:firstLine="480" w:firstLineChars="200"/>
        <w:rPr>
          <w:rFonts w:ascii="宋体" w:hAnsi="宋体" w:eastAsia="宋体" w:cs="Courier New"/>
          <w:color w:val="auto"/>
          <w:sz w:val="24"/>
          <w:szCs w:val="24"/>
        </w:rPr>
      </w:pPr>
      <w:r>
        <w:rPr>
          <w:rFonts w:ascii="宋体" w:hAnsi="宋体" w:eastAsia="宋体" w:cs="Courier New"/>
          <w:color w:val="auto"/>
          <w:sz w:val="24"/>
          <w:szCs w:val="24"/>
        </w:rPr>
        <w:t>2.1 本合同金额为（大写）：</w:t>
      </w:r>
      <w:r>
        <w:rPr>
          <w:rFonts w:hint="eastAsia" w:ascii="宋体" w:hAnsi="宋体" w:eastAsia="宋体" w:cs="Courier New"/>
          <w:color w:val="auto"/>
          <w:sz w:val="24"/>
          <w:szCs w:val="24"/>
          <w:u w:val="single"/>
        </w:rPr>
        <w:t xml:space="preserve">          </w:t>
      </w:r>
      <w:r>
        <w:rPr>
          <w:rFonts w:ascii="宋体" w:hAnsi="宋体" w:eastAsia="宋体" w:cs="Courier New"/>
          <w:color w:val="auto"/>
          <w:sz w:val="24"/>
          <w:szCs w:val="24"/>
        </w:rPr>
        <w:t>（</w:t>
      </w:r>
      <w:r>
        <w:rPr>
          <w:rFonts w:hint="eastAsia" w:ascii="宋体" w:hAnsi="宋体" w:eastAsia="宋体" w:cs="Courier New"/>
          <w:color w:val="auto"/>
          <w:sz w:val="24"/>
          <w:szCs w:val="24"/>
          <w:u w:val="single"/>
        </w:rPr>
        <w:t xml:space="preserve">         </w:t>
      </w:r>
      <w:r>
        <w:rPr>
          <w:rFonts w:ascii="宋体" w:hAnsi="宋体" w:eastAsia="宋体" w:cs="Courier New"/>
          <w:color w:val="auto"/>
          <w:sz w:val="24"/>
          <w:szCs w:val="24"/>
        </w:rPr>
        <w:t>元）</w:t>
      </w:r>
      <w:r>
        <w:rPr>
          <w:rFonts w:ascii="宋体" w:hAnsi="宋体" w:eastAsia="宋体" w:cs="Times New Roman"/>
          <w:color w:val="auto"/>
          <w:sz w:val="24"/>
          <w:szCs w:val="24"/>
        </w:rPr>
        <w:t>人民币</w:t>
      </w:r>
      <w:r>
        <w:rPr>
          <w:rFonts w:ascii="宋体" w:hAnsi="宋体" w:eastAsia="宋体" w:cs="Courier New"/>
          <w:color w:val="auto"/>
          <w:sz w:val="24"/>
          <w:szCs w:val="24"/>
        </w:rPr>
        <w:t>。</w:t>
      </w:r>
    </w:p>
    <w:p w14:paraId="57EC5BF2">
      <w:pPr>
        <w:snapToGrid w:val="0"/>
        <w:spacing w:line="360" w:lineRule="auto"/>
        <w:ind w:firstLine="482" w:firstLineChars="200"/>
        <w:rPr>
          <w:rFonts w:ascii="宋体" w:hAnsi="宋体" w:eastAsia="宋体" w:cs="Times New Roman"/>
          <w:b/>
          <w:color w:val="auto"/>
          <w:sz w:val="24"/>
          <w:szCs w:val="24"/>
        </w:rPr>
      </w:pPr>
      <w:r>
        <w:rPr>
          <w:rFonts w:ascii="宋体" w:hAnsi="宋体" w:eastAsia="宋体" w:cs="Times New Roman"/>
          <w:b/>
          <w:color w:val="auto"/>
          <w:sz w:val="24"/>
          <w:szCs w:val="24"/>
        </w:rPr>
        <w:t>三、技术资料</w:t>
      </w:r>
    </w:p>
    <w:p w14:paraId="5301FD64">
      <w:pPr>
        <w:snapToGrid w:val="0"/>
        <w:spacing w:line="360" w:lineRule="auto"/>
        <w:ind w:firstLine="480" w:firstLineChars="200"/>
        <w:rPr>
          <w:rFonts w:ascii="宋体" w:hAnsi="宋体" w:eastAsia="宋体" w:cs="Courier New"/>
          <w:color w:val="auto"/>
          <w:sz w:val="24"/>
          <w:szCs w:val="24"/>
        </w:rPr>
      </w:pPr>
      <w:r>
        <w:rPr>
          <w:rFonts w:ascii="宋体" w:hAnsi="宋体" w:eastAsia="宋体" w:cs="Courier New"/>
          <w:color w:val="auto"/>
          <w:sz w:val="24"/>
          <w:szCs w:val="24"/>
        </w:rPr>
        <w:t>3.</w:t>
      </w:r>
      <w:r>
        <w:rPr>
          <w:rFonts w:hint="eastAsia" w:ascii="宋体" w:hAnsi="宋体" w:eastAsia="宋体" w:cs="Courier New"/>
          <w:color w:val="auto"/>
          <w:sz w:val="24"/>
          <w:szCs w:val="24"/>
        </w:rPr>
        <w:t xml:space="preserve">1 </w:t>
      </w:r>
      <w:r>
        <w:rPr>
          <w:rFonts w:ascii="宋体" w:hAnsi="宋体" w:eastAsia="宋体" w:cs="Courier New"/>
          <w:color w:val="auto"/>
          <w:sz w:val="24"/>
          <w:szCs w:val="24"/>
        </w:rPr>
        <w:t>乙方应按采购文件规定的时间向甲方提供服务</w:t>
      </w:r>
      <w:r>
        <w:rPr>
          <w:rFonts w:hint="eastAsia" w:ascii="宋体" w:hAnsi="宋体" w:eastAsia="宋体" w:cs="Courier New"/>
          <w:color w:val="auto"/>
          <w:sz w:val="24"/>
          <w:szCs w:val="24"/>
        </w:rPr>
        <w:t>（包含与服务相关的产品）</w:t>
      </w:r>
      <w:r>
        <w:rPr>
          <w:rFonts w:ascii="宋体" w:hAnsi="宋体" w:eastAsia="宋体" w:cs="Courier New"/>
          <w:color w:val="auto"/>
          <w:sz w:val="24"/>
          <w:szCs w:val="24"/>
        </w:rPr>
        <w:t>的有关技术资料。</w:t>
      </w:r>
    </w:p>
    <w:p w14:paraId="2E97F01B">
      <w:pPr>
        <w:snapToGrid w:val="0"/>
        <w:spacing w:line="360" w:lineRule="auto"/>
        <w:ind w:firstLine="480" w:firstLineChars="200"/>
        <w:rPr>
          <w:rFonts w:ascii="宋体" w:hAnsi="宋体" w:eastAsia="宋体" w:cs="Courier New"/>
          <w:color w:val="auto"/>
          <w:sz w:val="24"/>
          <w:szCs w:val="24"/>
        </w:rPr>
      </w:pPr>
      <w:r>
        <w:rPr>
          <w:rFonts w:ascii="宋体" w:hAnsi="宋体" w:eastAsia="宋体" w:cs="Courier New"/>
          <w:color w:val="auto"/>
          <w:sz w:val="24"/>
          <w:szCs w:val="24"/>
        </w:rPr>
        <w:t>3.2</w:t>
      </w:r>
      <w:r>
        <w:rPr>
          <w:rFonts w:hint="eastAsia" w:ascii="宋体" w:hAnsi="宋体" w:eastAsia="宋体" w:cs="Courier New"/>
          <w:color w:val="auto"/>
          <w:sz w:val="24"/>
          <w:szCs w:val="24"/>
        </w:rPr>
        <w:t>未事先征得</w:t>
      </w:r>
      <w:r>
        <w:rPr>
          <w:rFonts w:ascii="宋体" w:hAnsi="宋体" w:eastAsia="宋体" w:cs="Courier New"/>
          <w:color w:val="auto"/>
          <w:sz w:val="24"/>
          <w:szCs w:val="24"/>
        </w:rPr>
        <w:t>甲方</w:t>
      </w:r>
      <w:r>
        <w:rPr>
          <w:rFonts w:hint="eastAsia" w:ascii="宋体" w:hAnsi="宋体" w:eastAsia="宋体" w:cs="Courier New"/>
          <w:color w:val="auto"/>
          <w:sz w:val="24"/>
          <w:szCs w:val="24"/>
        </w:rPr>
        <w:t>书面</w:t>
      </w:r>
      <w:r>
        <w:rPr>
          <w:rFonts w:ascii="宋体" w:hAnsi="宋体" w:eastAsia="宋体" w:cs="Courier New"/>
          <w:color w:val="auto"/>
          <w:sz w:val="24"/>
          <w:szCs w:val="24"/>
        </w:rPr>
        <w:t>同意</w:t>
      </w:r>
      <w:r>
        <w:rPr>
          <w:rFonts w:ascii="宋体" w:hAnsi="宋体" w:eastAsia="宋体" w:cs="Courier New"/>
          <w:color w:val="auto"/>
          <w:sz w:val="24"/>
          <w:szCs w:val="24"/>
        </w:rPr>
        <w:t>，乙方不得将由甲方提供的有关合同或任何合同条文或资料提供给与履行本合同无关的任何其他人。即使向履行本合同有关的人员提供，也应注意保密并限于履行合同的必需范围。</w:t>
      </w:r>
    </w:p>
    <w:p w14:paraId="23CD72E9">
      <w:pPr>
        <w:snapToGrid w:val="0"/>
        <w:spacing w:line="360" w:lineRule="auto"/>
        <w:ind w:firstLine="482" w:firstLineChars="200"/>
        <w:rPr>
          <w:rFonts w:ascii="宋体" w:hAnsi="宋体" w:eastAsia="宋体" w:cs="Times New Roman"/>
          <w:b/>
          <w:color w:val="auto"/>
          <w:sz w:val="24"/>
          <w:szCs w:val="24"/>
        </w:rPr>
      </w:pPr>
      <w:r>
        <w:rPr>
          <w:rFonts w:ascii="宋体" w:hAnsi="宋体" w:eastAsia="宋体" w:cs="Times New Roman"/>
          <w:b/>
          <w:color w:val="auto"/>
          <w:sz w:val="24"/>
          <w:szCs w:val="24"/>
        </w:rPr>
        <w:t>四、知识产权</w:t>
      </w:r>
    </w:p>
    <w:p w14:paraId="22CB3C92">
      <w:pPr>
        <w:snapToGrid w:val="0"/>
        <w:spacing w:line="360" w:lineRule="auto"/>
        <w:ind w:firstLine="480" w:firstLineChars="200"/>
        <w:rPr>
          <w:rFonts w:ascii="宋体" w:hAnsi="宋体" w:eastAsia="宋体" w:cs="Courier New"/>
          <w:color w:val="auto"/>
          <w:sz w:val="24"/>
          <w:szCs w:val="24"/>
        </w:rPr>
      </w:pPr>
      <w:r>
        <w:rPr>
          <w:rFonts w:ascii="宋体" w:hAnsi="宋体" w:eastAsia="宋体" w:cs="Courier New"/>
          <w:color w:val="auto"/>
          <w:sz w:val="24"/>
          <w:szCs w:val="24"/>
        </w:rPr>
        <w:t>4.1</w:t>
      </w:r>
      <w:r>
        <w:rPr>
          <w:rFonts w:hint="eastAsia" w:ascii="宋体" w:hAnsi="宋体" w:eastAsia="宋体" w:cs="Courier New"/>
          <w:color w:val="auto"/>
          <w:sz w:val="24"/>
          <w:szCs w:val="24"/>
        </w:rPr>
        <w:t xml:space="preserve"> </w:t>
      </w:r>
      <w:r>
        <w:rPr>
          <w:rFonts w:ascii="宋体" w:hAnsi="宋体" w:eastAsia="宋体" w:cs="Courier New"/>
          <w:color w:val="auto"/>
          <w:sz w:val="24"/>
          <w:szCs w:val="24"/>
        </w:rPr>
        <w:t>乙</w:t>
      </w:r>
      <w:r>
        <w:rPr>
          <w:rFonts w:hint="eastAsia" w:ascii="宋体" w:hAnsi="宋体" w:eastAsia="宋体" w:cs="Courier New"/>
          <w:color w:val="auto"/>
          <w:sz w:val="24"/>
          <w:szCs w:val="24"/>
        </w:rPr>
        <w:t>方应保证甲方在使用、接受本合同服务（包含与服务相关的产品）或其任何一部分时不受第三方提出侵犯其专利权、著作权（版权）、商标等知识产权的起诉。一旦出现侵权，由乙方负全部责任。</w:t>
      </w:r>
    </w:p>
    <w:p w14:paraId="5E634BFB">
      <w:pPr>
        <w:snapToGrid w:val="0"/>
        <w:spacing w:line="360" w:lineRule="auto"/>
        <w:ind w:firstLine="482" w:firstLineChars="200"/>
        <w:rPr>
          <w:rFonts w:ascii="宋体" w:hAnsi="宋体" w:eastAsia="宋体" w:cs="Times New Roman"/>
          <w:b/>
          <w:color w:val="auto"/>
          <w:sz w:val="24"/>
          <w:szCs w:val="24"/>
        </w:rPr>
      </w:pPr>
      <w:r>
        <w:rPr>
          <w:rFonts w:ascii="宋体" w:hAnsi="宋体" w:eastAsia="宋体" w:cs="Times New Roman"/>
          <w:b/>
          <w:color w:val="auto"/>
          <w:sz w:val="24"/>
          <w:szCs w:val="24"/>
        </w:rPr>
        <w:t>五、产权担保</w:t>
      </w:r>
    </w:p>
    <w:p w14:paraId="3EC8D472">
      <w:pPr>
        <w:snapToGrid w:val="0"/>
        <w:spacing w:line="360" w:lineRule="auto"/>
        <w:ind w:firstLine="480" w:firstLineChars="200"/>
        <w:rPr>
          <w:rFonts w:ascii="宋体" w:hAnsi="宋体" w:eastAsia="宋体" w:cs="Courier New"/>
          <w:color w:val="auto"/>
          <w:sz w:val="24"/>
          <w:szCs w:val="24"/>
          <w:u w:val="single"/>
        </w:rPr>
      </w:pPr>
      <w:r>
        <w:rPr>
          <w:rFonts w:ascii="宋体" w:hAnsi="宋体" w:eastAsia="宋体" w:cs="Courier New"/>
          <w:color w:val="auto"/>
          <w:sz w:val="24"/>
          <w:szCs w:val="24"/>
        </w:rPr>
        <w:t>5.1 乙方保证所交付的</w:t>
      </w:r>
      <w:r>
        <w:rPr>
          <w:rFonts w:hint="eastAsia" w:ascii="宋体" w:hAnsi="宋体" w:eastAsia="宋体" w:cs="Courier New"/>
          <w:color w:val="auto"/>
          <w:sz w:val="24"/>
          <w:szCs w:val="24"/>
        </w:rPr>
        <w:t>服务（包含与服务相关的产品）</w:t>
      </w:r>
      <w:r>
        <w:rPr>
          <w:rFonts w:ascii="宋体" w:hAnsi="宋体" w:eastAsia="宋体" w:cs="Courier New"/>
          <w:color w:val="auto"/>
          <w:sz w:val="24"/>
          <w:szCs w:val="24"/>
        </w:rPr>
        <w:t>的所有权完全属于乙方且无任何抵押、查封等产权瑕疵。</w:t>
      </w:r>
    </w:p>
    <w:p w14:paraId="0CDE166A">
      <w:pPr>
        <w:snapToGrid w:val="0"/>
        <w:spacing w:line="360" w:lineRule="auto"/>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六、合同转包</w:t>
      </w:r>
    </w:p>
    <w:p w14:paraId="0A87E333">
      <w:pPr>
        <w:snapToGrid w:val="0"/>
        <w:spacing w:line="360" w:lineRule="auto"/>
        <w:ind w:firstLine="480" w:firstLineChars="200"/>
        <w:rPr>
          <w:rFonts w:ascii="宋体" w:hAnsi="宋体" w:eastAsia="宋体" w:cs="Courier New"/>
          <w:color w:val="auto"/>
          <w:sz w:val="24"/>
          <w:szCs w:val="24"/>
        </w:rPr>
      </w:pPr>
      <w:r>
        <w:rPr>
          <w:rFonts w:hint="eastAsia" w:ascii="宋体" w:hAnsi="宋体" w:eastAsia="宋体" w:cs="Courier New"/>
          <w:color w:val="auto"/>
          <w:sz w:val="24"/>
          <w:szCs w:val="24"/>
        </w:rPr>
        <w:t>6.1 乙方不得将合同标的转包给他人履行。</w:t>
      </w:r>
    </w:p>
    <w:p w14:paraId="57BA23B4">
      <w:pPr>
        <w:snapToGrid w:val="0"/>
        <w:spacing w:line="360" w:lineRule="auto"/>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七</w:t>
      </w:r>
      <w:r>
        <w:rPr>
          <w:rFonts w:ascii="宋体" w:hAnsi="宋体" w:eastAsia="宋体" w:cs="Times New Roman"/>
          <w:b/>
          <w:color w:val="auto"/>
          <w:sz w:val="24"/>
          <w:szCs w:val="24"/>
        </w:rPr>
        <w:t>、</w:t>
      </w:r>
      <w:r>
        <w:rPr>
          <w:rFonts w:hint="eastAsia" w:ascii="宋体" w:hAnsi="宋体" w:eastAsia="宋体" w:cs="Times New Roman"/>
          <w:b/>
          <w:color w:val="auto"/>
          <w:sz w:val="24"/>
          <w:szCs w:val="24"/>
        </w:rPr>
        <w:t>合同款项</w:t>
      </w:r>
      <w:r>
        <w:rPr>
          <w:rFonts w:ascii="宋体" w:hAnsi="宋体" w:eastAsia="宋体" w:cs="Times New Roman"/>
          <w:b/>
          <w:color w:val="auto"/>
          <w:sz w:val="24"/>
          <w:szCs w:val="24"/>
        </w:rPr>
        <w:t>支付</w:t>
      </w:r>
    </w:p>
    <w:p w14:paraId="6F224D78">
      <w:pPr>
        <w:snapToGrid w:val="0"/>
        <w:spacing w:line="360" w:lineRule="auto"/>
        <w:ind w:firstLine="560" w:firstLineChars="200"/>
        <w:rPr>
          <w:rFonts w:ascii="宋体" w:hAnsi="宋体" w:eastAsia="宋体" w:cs="Courier New"/>
          <w:color w:val="auto"/>
          <w:sz w:val="24"/>
          <w:szCs w:val="24"/>
        </w:rPr>
      </w:pPr>
      <w:r>
        <w:rPr>
          <w:rFonts w:hint="eastAsia" w:ascii="仿宋" w:hAnsi="仿宋" w:eastAsia="仿宋" w:cs="宋体"/>
          <w:bCs/>
          <w:color w:val="auto"/>
          <w:sz w:val="28"/>
          <w:szCs w:val="28"/>
        </w:rPr>
        <w:t>7.1</w:t>
      </w:r>
      <w:r>
        <w:rPr>
          <w:rFonts w:hint="eastAsia" w:ascii="宋体" w:hAnsi="宋体" w:eastAsia="宋体" w:cs="Courier New"/>
          <w:color w:val="auto"/>
          <w:sz w:val="24"/>
          <w:szCs w:val="24"/>
        </w:rPr>
        <w:t>签订合同后90日内预付合同价的30%，余款根据甲方月度考核得分（详见《第三方安全技术服务月度考核评分表》）支付安全服务费，每半年支付一次，付完为止。</w:t>
      </w:r>
    </w:p>
    <w:p w14:paraId="2FE1AB3B">
      <w:pPr>
        <w:snapToGrid w:val="0"/>
        <w:spacing w:line="360" w:lineRule="auto"/>
        <w:ind w:firstLine="480" w:firstLineChars="200"/>
        <w:rPr>
          <w:rFonts w:ascii="宋体" w:hAnsi="宋体" w:eastAsia="宋体" w:cs="Times New Roman"/>
          <w:b/>
          <w:color w:val="auto"/>
          <w:sz w:val="24"/>
          <w:szCs w:val="24"/>
        </w:rPr>
      </w:pPr>
      <w:r>
        <w:rPr>
          <w:rFonts w:hint="eastAsia" w:ascii="宋体" w:hAnsi="宋体" w:eastAsia="宋体" w:cs="Courier New"/>
          <w:color w:val="auto"/>
          <w:sz w:val="24"/>
          <w:szCs w:val="24"/>
        </w:rPr>
        <w:t>7.2乙方根据甲方的开票要求出具合法有效的增值税专用发票，甲方收到乙方出具的发票后，由甲方按相关财务支付规定及相关要求办理支付手续</w:t>
      </w:r>
      <w:r>
        <w:rPr>
          <w:rFonts w:hint="eastAsia" w:ascii="宋体" w:hAnsi="宋体" w:eastAsia="宋体" w:cs="Times New Roman"/>
          <w:bCs/>
          <w:color w:val="auto"/>
          <w:sz w:val="24"/>
          <w:szCs w:val="24"/>
        </w:rPr>
        <w:t>。</w:t>
      </w:r>
    </w:p>
    <w:p w14:paraId="746672DF">
      <w:pPr>
        <w:snapToGrid w:val="0"/>
        <w:spacing w:line="360" w:lineRule="auto"/>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八、税费</w:t>
      </w:r>
    </w:p>
    <w:p w14:paraId="5C1DA7C8">
      <w:pPr>
        <w:snapToGrid w:val="0"/>
        <w:spacing w:line="360" w:lineRule="auto"/>
        <w:ind w:firstLine="480" w:firstLineChars="200"/>
        <w:rPr>
          <w:rFonts w:ascii="宋体" w:hAnsi="宋体" w:eastAsia="仿宋_GB2312" w:cs="Times New Roman"/>
          <w:color w:val="auto"/>
          <w:sz w:val="24"/>
          <w:szCs w:val="24"/>
        </w:rPr>
      </w:pPr>
      <w:r>
        <w:rPr>
          <w:rFonts w:hint="eastAsia" w:ascii="宋体" w:hAnsi="宋体" w:eastAsia="宋体" w:cs="Times New Roman"/>
          <w:color w:val="auto"/>
          <w:sz w:val="24"/>
          <w:szCs w:val="24"/>
        </w:rPr>
        <w:t>8</w:t>
      </w:r>
      <w:r>
        <w:rPr>
          <w:rFonts w:ascii="宋体" w:hAnsi="宋体" w:eastAsia="宋体" w:cs="Times New Roman"/>
          <w:color w:val="auto"/>
          <w:sz w:val="24"/>
          <w:szCs w:val="24"/>
        </w:rPr>
        <w:t>.1</w:t>
      </w:r>
      <w:r>
        <w:rPr>
          <w:rFonts w:hint="eastAsia" w:ascii="宋体" w:hAnsi="宋体" w:eastAsia="宋体" w:cs="Times New Roman"/>
          <w:color w:val="auto"/>
          <w:sz w:val="24"/>
          <w:szCs w:val="24"/>
        </w:rPr>
        <w:t xml:space="preserve"> 本合同执行中相关的一切税费均由乙方负担。</w:t>
      </w:r>
    </w:p>
    <w:p w14:paraId="22138EB4">
      <w:pPr>
        <w:snapToGrid w:val="0"/>
        <w:spacing w:line="360" w:lineRule="auto"/>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九</w:t>
      </w:r>
      <w:r>
        <w:rPr>
          <w:rFonts w:ascii="宋体" w:hAnsi="宋体" w:eastAsia="宋体" w:cs="Times New Roman"/>
          <w:b/>
          <w:color w:val="auto"/>
          <w:sz w:val="24"/>
          <w:szCs w:val="24"/>
        </w:rPr>
        <w:t>、</w:t>
      </w:r>
      <w:r>
        <w:rPr>
          <w:rFonts w:hint="eastAsia" w:ascii="宋体" w:hAnsi="宋体" w:eastAsia="宋体" w:cs="Times New Roman"/>
          <w:b/>
          <w:color w:val="auto"/>
          <w:sz w:val="24"/>
          <w:szCs w:val="24"/>
        </w:rPr>
        <w:t>项目</w:t>
      </w:r>
      <w:r>
        <w:rPr>
          <w:rFonts w:ascii="宋体" w:hAnsi="宋体" w:eastAsia="宋体" w:cs="Times New Roman"/>
          <w:b/>
          <w:color w:val="auto"/>
          <w:sz w:val="24"/>
          <w:szCs w:val="24"/>
        </w:rPr>
        <w:t>验收</w:t>
      </w:r>
    </w:p>
    <w:p w14:paraId="4527864E">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9.1项目完成后，乙方须按照采购文件内容及要求，按国家、行业或企业等标准，提供相应的服务内容及交付成果。</w:t>
      </w:r>
    </w:p>
    <w:p w14:paraId="2B1EF653">
      <w:pPr>
        <w:snapToGrid w:val="0"/>
        <w:spacing w:line="360" w:lineRule="auto"/>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十</w:t>
      </w:r>
      <w:r>
        <w:rPr>
          <w:rFonts w:ascii="宋体" w:hAnsi="宋体" w:eastAsia="宋体" w:cs="Times New Roman"/>
          <w:b/>
          <w:color w:val="auto"/>
          <w:sz w:val="24"/>
          <w:szCs w:val="24"/>
        </w:rPr>
        <w:t>、违约责任</w:t>
      </w:r>
    </w:p>
    <w:p w14:paraId="642FC1C7">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10.1在合同生效后，甲方拒绝履行义务和责任时，应向乙方赔偿合同总价款的2%，作为违约金。</w:t>
      </w:r>
    </w:p>
    <w:p w14:paraId="0DE38984">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10.2乙方不得将</w:t>
      </w:r>
      <w:r>
        <w:rPr>
          <w:rFonts w:hint="eastAsia" w:ascii="宋体" w:hAnsi="宋体" w:eastAsia="宋体" w:cs="Times New Roman"/>
          <w:color w:val="auto"/>
          <w:sz w:val="24"/>
          <w:szCs w:val="24"/>
        </w:rPr>
        <w:t>服务内容及范围的</w:t>
      </w:r>
      <w:r>
        <w:rPr>
          <w:rFonts w:hint="eastAsia" w:ascii="宋体" w:hAnsi="宋体" w:eastAsia="宋体" w:cs="Times New Roman"/>
          <w:color w:val="auto"/>
          <w:sz w:val="24"/>
          <w:szCs w:val="24"/>
        </w:rPr>
        <w:t>工作转包给其他单位，如查实转包，乙方承担合同总价款的5%的违约金，甲方有权单方解除合同；</w:t>
      </w:r>
    </w:p>
    <w:p w14:paraId="76ECFED6">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10.3乙方提供的服务不能满足甲方要求的，除扣除相应服务费外，还应向甲方支付合同总价款5%的违约金，乙方应继续履行服务，直至达到甲方要求；</w:t>
      </w:r>
    </w:p>
    <w:p w14:paraId="293E3624">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10.4 每年度安全教育培训服务四次，每缺少一次</w:t>
      </w:r>
      <w:r>
        <w:rPr>
          <w:rFonts w:hint="eastAsia" w:ascii="宋体" w:hAnsi="宋体" w:eastAsia="宋体" w:cs="Times New Roman"/>
          <w:color w:val="auto"/>
          <w:sz w:val="24"/>
          <w:szCs w:val="24"/>
        </w:rPr>
        <w:t>在合同总价款中</w:t>
      </w:r>
      <w:r>
        <w:rPr>
          <w:rFonts w:hint="eastAsia" w:ascii="宋体" w:hAnsi="宋体" w:eastAsia="宋体" w:cs="Times New Roman"/>
          <w:color w:val="auto"/>
          <w:sz w:val="24"/>
          <w:szCs w:val="24"/>
        </w:rPr>
        <w:t>扣除1000元；进行安全生产隐患排查过程中应发现而未发现的安全隐患，被</w:t>
      </w:r>
      <w:r>
        <w:rPr>
          <w:rFonts w:hint="eastAsia" w:ascii="宋体" w:hAnsi="宋体" w:eastAsia="宋体" w:cs="Times New Roman"/>
          <w:color w:val="auto"/>
          <w:sz w:val="24"/>
          <w:szCs w:val="24"/>
          <w:lang w:eastAsia="zh-CN"/>
        </w:rPr>
        <w:t>其他</w:t>
      </w:r>
      <w:r>
        <w:rPr>
          <w:rFonts w:hint="eastAsia" w:ascii="宋体" w:hAnsi="宋体" w:eastAsia="宋体" w:cs="Times New Roman"/>
          <w:color w:val="auto"/>
          <w:sz w:val="24"/>
          <w:szCs w:val="24"/>
        </w:rPr>
        <w:t>采购包安全专家互查</w:t>
      </w:r>
      <w:r>
        <w:rPr>
          <w:rFonts w:hint="eastAsia" w:ascii="宋体" w:hAnsi="宋体" w:eastAsia="宋体" w:cs="Times New Roman"/>
          <w:color w:val="auto"/>
          <w:sz w:val="24"/>
          <w:szCs w:val="24"/>
        </w:rPr>
        <w:t>或经甲方</w:t>
      </w:r>
      <w:r>
        <w:rPr>
          <w:rFonts w:hint="eastAsia" w:ascii="宋体" w:hAnsi="宋体" w:eastAsia="宋体" w:cs="Times New Roman"/>
          <w:color w:val="auto"/>
          <w:sz w:val="24"/>
          <w:szCs w:val="24"/>
        </w:rPr>
        <w:t>发现，发现一处</w:t>
      </w:r>
      <w:r>
        <w:rPr>
          <w:rFonts w:hint="eastAsia" w:ascii="宋体" w:hAnsi="宋体" w:eastAsia="宋体" w:cs="Times New Roman"/>
          <w:color w:val="auto"/>
          <w:sz w:val="24"/>
          <w:szCs w:val="24"/>
        </w:rPr>
        <w:t>在合同总价款中</w:t>
      </w:r>
      <w:r>
        <w:rPr>
          <w:rFonts w:hint="eastAsia" w:ascii="宋体" w:hAnsi="宋体" w:eastAsia="宋体" w:cs="Times New Roman"/>
          <w:color w:val="auto"/>
          <w:sz w:val="24"/>
          <w:szCs w:val="24"/>
        </w:rPr>
        <w:t>扣除1000元，</w:t>
      </w:r>
      <w:r>
        <w:rPr>
          <w:rFonts w:hint="eastAsia" w:ascii="宋体" w:hAnsi="宋体" w:eastAsia="宋体" w:cs="Times New Roman"/>
          <w:color w:val="auto"/>
          <w:sz w:val="24"/>
          <w:szCs w:val="24"/>
        </w:rPr>
        <w:t>互查发现的</w:t>
      </w:r>
      <w:r>
        <w:rPr>
          <w:rFonts w:hint="eastAsia" w:ascii="宋体" w:hAnsi="宋体" w:eastAsia="宋体" w:cs="Times New Roman"/>
          <w:color w:val="auto"/>
          <w:sz w:val="24"/>
          <w:szCs w:val="24"/>
        </w:rPr>
        <w:t>用于奖励给互查单位；每季度未对塔吊、升降机等大型机械专家专项检查，出具检查报告，发现一次</w:t>
      </w:r>
      <w:r>
        <w:rPr>
          <w:rFonts w:hint="eastAsia" w:ascii="宋体" w:hAnsi="宋体" w:eastAsia="宋体" w:cs="Times New Roman"/>
          <w:color w:val="auto"/>
          <w:sz w:val="24"/>
          <w:szCs w:val="24"/>
        </w:rPr>
        <w:t>在合同总价款中</w:t>
      </w:r>
      <w:r>
        <w:rPr>
          <w:rFonts w:hint="eastAsia" w:ascii="宋体" w:hAnsi="宋体" w:eastAsia="宋体" w:cs="Times New Roman"/>
          <w:color w:val="auto"/>
          <w:sz w:val="24"/>
          <w:szCs w:val="24"/>
        </w:rPr>
        <w:t>扣除1000元。</w:t>
      </w:r>
    </w:p>
    <w:p w14:paraId="509F9D4D">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10.5乙方如未能排查到隐患（应当发现而未发现的），发生一般事故</w:t>
      </w:r>
      <w:r>
        <w:rPr>
          <w:rFonts w:hint="eastAsia" w:ascii="宋体" w:hAnsi="宋体" w:eastAsia="宋体" w:cs="Times New Roman"/>
          <w:color w:val="auto"/>
          <w:sz w:val="24"/>
          <w:szCs w:val="24"/>
        </w:rPr>
        <w:t>在合同总价款中扣除</w:t>
      </w:r>
      <w:r>
        <w:rPr>
          <w:rFonts w:hint="eastAsia" w:ascii="宋体" w:hAnsi="宋体" w:eastAsia="宋体" w:cs="Times New Roman"/>
          <w:color w:val="auto"/>
          <w:sz w:val="24"/>
          <w:szCs w:val="24"/>
        </w:rPr>
        <w:t>1万元，较大及以上事故</w:t>
      </w:r>
      <w:r>
        <w:rPr>
          <w:rFonts w:hint="eastAsia" w:ascii="宋体" w:hAnsi="宋体" w:eastAsia="宋体" w:cs="Times New Roman"/>
          <w:color w:val="auto"/>
          <w:sz w:val="24"/>
          <w:szCs w:val="24"/>
        </w:rPr>
        <w:t>在合同总价款中扣除</w:t>
      </w:r>
      <w:r>
        <w:rPr>
          <w:rFonts w:hint="eastAsia" w:ascii="宋体" w:hAnsi="宋体" w:eastAsia="宋体" w:cs="Times New Roman"/>
          <w:color w:val="auto"/>
          <w:sz w:val="24"/>
          <w:szCs w:val="24"/>
        </w:rPr>
        <w:t>10万元。</w:t>
      </w:r>
    </w:p>
    <w:p w14:paraId="1FC884AD">
      <w:pPr>
        <w:spacing w:line="360" w:lineRule="auto"/>
        <w:ind w:firstLine="360" w:firstLineChars="150"/>
        <w:rPr>
          <w:rFonts w:ascii="宋体" w:hAnsi="宋体" w:eastAsia="宋体" w:cs="Courier New"/>
          <w:color w:val="auto"/>
          <w:sz w:val="24"/>
          <w:szCs w:val="24"/>
        </w:rPr>
      </w:pPr>
      <w:r>
        <w:rPr>
          <w:rFonts w:hint="eastAsia" w:ascii="宋体" w:hAnsi="宋体" w:eastAsia="宋体" w:cs="Courier New"/>
          <w:color w:val="auto"/>
          <w:sz w:val="24"/>
          <w:szCs w:val="24"/>
        </w:rPr>
        <w:t>10</w:t>
      </w:r>
      <w:r>
        <w:rPr>
          <w:rFonts w:ascii="宋体" w:hAnsi="宋体" w:eastAsia="宋体" w:cs="Courier New"/>
          <w:color w:val="auto"/>
          <w:sz w:val="24"/>
          <w:szCs w:val="24"/>
        </w:rPr>
        <w:t>.</w:t>
      </w:r>
      <w:r>
        <w:rPr>
          <w:rFonts w:hint="eastAsia" w:ascii="宋体" w:hAnsi="宋体" w:eastAsia="宋体" w:cs="Courier New"/>
          <w:color w:val="auto"/>
          <w:sz w:val="24"/>
          <w:szCs w:val="24"/>
        </w:rPr>
        <w:t>6</w:t>
      </w:r>
      <w:r>
        <w:rPr>
          <w:rFonts w:ascii="宋体" w:hAnsi="宋体" w:eastAsia="宋体" w:cs="Courier New"/>
          <w:color w:val="auto"/>
          <w:sz w:val="24"/>
          <w:szCs w:val="24"/>
        </w:rPr>
        <w:t xml:space="preserve"> 乙方逾期</w:t>
      </w:r>
      <w:r>
        <w:rPr>
          <w:rFonts w:hint="eastAsia" w:ascii="宋体" w:hAnsi="宋体" w:eastAsia="宋体" w:cs="Courier New"/>
          <w:color w:val="auto"/>
          <w:sz w:val="24"/>
          <w:szCs w:val="24"/>
        </w:rPr>
        <w:t>提供服务</w:t>
      </w:r>
      <w:r>
        <w:rPr>
          <w:rFonts w:ascii="宋体" w:hAnsi="宋体" w:eastAsia="宋体" w:cs="Courier New"/>
          <w:color w:val="auto"/>
          <w:sz w:val="24"/>
          <w:szCs w:val="24"/>
        </w:rPr>
        <w:t>的，乙方应按逾期</w:t>
      </w:r>
      <w:r>
        <w:rPr>
          <w:rFonts w:hint="eastAsia" w:ascii="宋体" w:hAnsi="宋体" w:eastAsia="宋体" w:cs="Courier New"/>
          <w:color w:val="auto"/>
          <w:sz w:val="24"/>
          <w:szCs w:val="24"/>
        </w:rPr>
        <w:t>提供服</w:t>
      </w:r>
      <w:bookmarkStart w:id="1" w:name="_GoBack"/>
      <w:bookmarkEnd w:id="1"/>
      <w:r>
        <w:rPr>
          <w:rFonts w:hint="eastAsia" w:ascii="宋体" w:hAnsi="宋体" w:eastAsia="宋体" w:cs="Courier New"/>
          <w:color w:val="auto"/>
          <w:sz w:val="24"/>
          <w:szCs w:val="24"/>
        </w:rPr>
        <w:t>务合同</w:t>
      </w:r>
      <w:r>
        <w:rPr>
          <w:rFonts w:ascii="宋体" w:hAnsi="宋体" w:eastAsia="宋体" w:cs="Courier New"/>
          <w:color w:val="auto"/>
          <w:sz w:val="24"/>
          <w:szCs w:val="24"/>
        </w:rPr>
        <w:t>总额每日</w:t>
      </w:r>
      <w:r>
        <w:rPr>
          <w:rFonts w:hint="eastAsia" w:ascii="宋体" w:hAnsi="宋体" w:eastAsia="宋体" w:cs="Courier New"/>
          <w:color w:val="auto"/>
          <w:sz w:val="24"/>
          <w:szCs w:val="24"/>
          <w:u w:val="single"/>
        </w:rPr>
        <w:t xml:space="preserve"> 1% </w:t>
      </w:r>
      <w:r>
        <w:rPr>
          <w:rFonts w:ascii="宋体" w:hAnsi="宋体" w:eastAsia="宋体" w:cs="Courier New"/>
          <w:color w:val="auto"/>
          <w:sz w:val="24"/>
          <w:szCs w:val="24"/>
        </w:rPr>
        <w:t>向甲方支付违约金，由甲方从待付</w:t>
      </w:r>
      <w:r>
        <w:rPr>
          <w:rFonts w:hint="eastAsia" w:ascii="宋体" w:hAnsi="宋体" w:eastAsia="宋体" w:cs="Courier New"/>
          <w:color w:val="auto"/>
          <w:sz w:val="24"/>
          <w:szCs w:val="24"/>
        </w:rPr>
        <w:t>合同款项</w:t>
      </w:r>
      <w:r>
        <w:rPr>
          <w:rFonts w:ascii="宋体" w:hAnsi="宋体" w:eastAsia="宋体" w:cs="Courier New"/>
          <w:color w:val="auto"/>
          <w:sz w:val="24"/>
          <w:szCs w:val="24"/>
        </w:rPr>
        <w:t>中扣除。逾期超过约定日期</w:t>
      </w:r>
      <w:r>
        <w:rPr>
          <w:rFonts w:hint="eastAsia" w:ascii="宋体" w:hAnsi="宋体" w:eastAsia="宋体" w:cs="Courier New"/>
          <w:color w:val="auto"/>
          <w:sz w:val="24"/>
          <w:szCs w:val="24"/>
          <w:u w:val="single"/>
        </w:rPr>
        <w:t xml:space="preserve"> 5 </w:t>
      </w:r>
      <w:r>
        <w:rPr>
          <w:rFonts w:ascii="宋体" w:hAnsi="宋体" w:eastAsia="宋体" w:cs="Courier New"/>
          <w:color w:val="auto"/>
          <w:sz w:val="24"/>
          <w:szCs w:val="24"/>
        </w:rPr>
        <w:t>个工作日不能</w:t>
      </w:r>
      <w:r>
        <w:rPr>
          <w:rFonts w:hint="eastAsia" w:ascii="宋体" w:hAnsi="宋体" w:eastAsia="宋体" w:cs="Courier New"/>
          <w:color w:val="auto"/>
          <w:sz w:val="24"/>
          <w:szCs w:val="24"/>
        </w:rPr>
        <w:t>提供服务</w:t>
      </w:r>
      <w:r>
        <w:rPr>
          <w:rFonts w:ascii="宋体" w:hAnsi="宋体" w:eastAsia="宋体" w:cs="Courier New"/>
          <w:color w:val="auto"/>
          <w:sz w:val="24"/>
          <w:szCs w:val="24"/>
        </w:rPr>
        <w:t>的，甲方可解除本合同。</w:t>
      </w:r>
      <w:r>
        <w:rPr>
          <w:rFonts w:ascii="宋体" w:hAnsi="宋体" w:eastAsia="宋体" w:cs="Courier New"/>
          <w:color w:val="auto"/>
          <w:sz w:val="24"/>
          <w:szCs w:val="24"/>
        </w:rPr>
        <w:t>因乙方逾期</w:t>
      </w:r>
      <w:r>
        <w:rPr>
          <w:rFonts w:hint="eastAsia" w:ascii="宋体" w:hAnsi="宋体" w:eastAsia="宋体" w:cs="Courier New"/>
          <w:color w:val="auto"/>
          <w:sz w:val="24"/>
          <w:szCs w:val="24"/>
        </w:rPr>
        <w:t>提供服务</w:t>
      </w:r>
      <w:r>
        <w:rPr>
          <w:rFonts w:ascii="宋体" w:hAnsi="宋体" w:eastAsia="宋体" w:cs="Courier New"/>
          <w:color w:val="auto"/>
          <w:sz w:val="24"/>
          <w:szCs w:val="24"/>
        </w:rPr>
        <w:t>或其他违约行为导致合同解除的，</w:t>
      </w:r>
      <w:r>
        <w:rPr>
          <w:rFonts w:ascii="宋体" w:hAnsi="宋体" w:eastAsia="宋体" w:cs="Courier New"/>
          <w:color w:val="auto"/>
          <w:sz w:val="24"/>
          <w:szCs w:val="24"/>
        </w:rPr>
        <w:t>乙方应向甲方支付合同</w:t>
      </w:r>
      <w:r>
        <w:rPr>
          <w:rFonts w:hint="eastAsia" w:ascii="宋体" w:hAnsi="宋体" w:eastAsia="宋体" w:cs="Courier New"/>
          <w:color w:val="auto"/>
          <w:sz w:val="24"/>
          <w:szCs w:val="24"/>
        </w:rPr>
        <w:t>价款总额</w:t>
      </w:r>
      <w:r>
        <w:rPr>
          <w:rFonts w:hint="eastAsia" w:ascii="宋体" w:hAnsi="宋体" w:eastAsia="宋体" w:cs="Courier New"/>
          <w:color w:val="auto"/>
          <w:sz w:val="24"/>
          <w:szCs w:val="24"/>
          <w:u w:val="single"/>
        </w:rPr>
        <w:t xml:space="preserve"> 5% </w:t>
      </w:r>
      <w:r>
        <w:rPr>
          <w:rFonts w:ascii="宋体" w:hAnsi="宋体" w:eastAsia="宋体" w:cs="Courier New"/>
          <w:color w:val="auto"/>
          <w:sz w:val="24"/>
          <w:szCs w:val="24"/>
        </w:rPr>
        <w:t xml:space="preserve">的违约金。 </w:t>
      </w:r>
    </w:p>
    <w:p w14:paraId="5CEB4FF8">
      <w:pPr>
        <w:snapToGrid w:val="0"/>
        <w:spacing w:line="360" w:lineRule="auto"/>
        <w:ind w:firstLine="480" w:firstLineChars="200"/>
        <w:rPr>
          <w:rFonts w:ascii="宋体" w:hAnsi="宋体" w:eastAsia="宋体" w:cs="Courier New"/>
          <w:color w:val="auto"/>
          <w:sz w:val="24"/>
          <w:szCs w:val="24"/>
        </w:rPr>
      </w:pPr>
      <w:r>
        <w:rPr>
          <w:rFonts w:hint="eastAsia" w:ascii="宋体" w:hAnsi="宋体" w:eastAsia="宋体" w:cs="Courier New"/>
          <w:color w:val="auto"/>
          <w:sz w:val="24"/>
          <w:szCs w:val="24"/>
        </w:rPr>
        <w:t>10</w:t>
      </w:r>
      <w:r>
        <w:rPr>
          <w:rFonts w:ascii="宋体" w:hAnsi="宋体" w:eastAsia="宋体" w:cs="Courier New"/>
          <w:color w:val="auto"/>
          <w:sz w:val="24"/>
          <w:szCs w:val="24"/>
        </w:rPr>
        <w:t>.</w:t>
      </w:r>
      <w:r>
        <w:rPr>
          <w:rFonts w:hint="eastAsia" w:ascii="宋体" w:hAnsi="宋体" w:eastAsia="宋体" w:cs="Courier New"/>
          <w:color w:val="auto"/>
          <w:sz w:val="24"/>
          <w:szCs w:val="24"/>
        </w:rPr>
        <w:t>7</w:t>
      </w:r>
      <w:r>
        <w:rPr>
          <w:rFonts w:ascii="宋体" w:hAnsi="宋体" w:eastAsia="宋体" w:cs="Courier New"/>
          <w:color w:val="auto"/>
          <w:sz w:val="24"/>
          <w:szCs w:val="24"/>
        </w:rPr>
        <w:t xml:space="preserve"> 乙方</w:t>
      </w:r>
      <w:r>
        <w:rPr>
          <w:rFonts w:hint="eastAsia" w:ascii="宋体" w:hAnsi="宋体" w:eastAsia="宋体" w:cs="Courier New"/>
          <w:color w:val="auto"/>
          <w:sz w:val="24"/>
          <w:szCs w:val="24"/>
        </w:rPr>
        <w:t>所提供服务的标准</w:t>
      </w:r>
      <w:r>
        <w:rPr>
          <w:rFonts w:ascii="宋体" w:hAnsi="宋体" w:eastAsia="宋体" w:cs="Courier New"/>
          <w:color w:val="auto"/>
          <w:sz w:val="24"/>
          <w:szCs w:val="24"/>
        </w:rPr>
        <w:t>不符合合同</w:t>
      </w:r>
      <w:r>
        <w:rPr>
          <w:rFonts w:hint="eastAsia" w:ascii="宋体" w:hAnsi="宋体" w:eastAsia="宋体" w:cs="Courier New"/>
          <w:color w:val="auto"/>
          <w:sz w:val="24"/>
          <w:szCs w:val="24"/>
        </w:rPr>
        <w:t>约定</w:t>
      </w:r>
      <w:r>
        <w:rPr>
          <w:rFonts w:ascii="宋体" w:hAnsi="宋体" w:eastAsia="宋体" w:cs="Courier New"/>
          <w:color w:val="auto"/>
          <w:sz w:val="24"/>
          <w:szCs w:val="24"/>
        </w:rPr>
        <w:t>及采购文件规定标准的，甲方有权单方面解除合同</w:t>
      </w:r>
      <w:r>
        <w:rPr>
          <w:rFonts w:hint="eastAsia" w:ascii="宋体" w:hAnsi="宋体" w:eastAsia="宋体" w:cs="Courier New"/>
          <w:color w:val="auto"/>
          <w:sz w:val="24"/>
          <w:szCs w:val="24"/>
        </w:rPr>
        <w:t>，且不承担任何违约责任</w:t>
      </w:r>
      <w:r>
        <w:rPr>
          <w:rFonts w:ascii="宋体" w:hAnsi="宋体" w:eastAsia="宋体" w:cs="Courier New"/>
          <w:color w:val="auto"/>
          <w:sz w:val="24"/>
          <w:szCs w:val="24"/>
        </w:rPr>
        <w:t>。</w:t>
      </w:r>
    </w:p>
    <w:p w14:paraId="79CFF176">
      <w:pPr>
        <w:snapToGrid w:val="0"/>
        <w:spacing w:line="360" w:lineRule="auto"/>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十一</w:t>
      </w:r>
      <w:r>
        <w:rPr>
          <w:rFonts w:ascii="宋体" w:hAnsi="宋体" w:eastAsia="宋体" w:cs="Times New Roman"/>
          <w:b/>
          <w:color w:val="auto"/>
          <w:sz w:val="24"/>
          <w:szCs w:val="24"/>
        </w:rPr>
        <w:t>、不可抗力事件处理</w:t>
      </w:r>
    </w:p>
    <w:p w14:paraId="66E19DD9">
      <w:pPr>
        <w:snapToGrid w:val="0"/>
        <w:spacing w:line="360" w:lineRule="auto"/>
        <w:ind w:firstLine="480" w:firstLineChars="200"/>
        <w:rPr>
          <w:rFonts w:ascii="宋体" w:hAnsi="宋体" w:eastAsia="宋体" w:cs="Courier New"/>
          <w:color w:val="auto"/>
          <w:sz w:val="24"/>
          <w:szCs w:val="24"/>
        </w:rPr>
      </w:pPr>
      <w:r>
        <w:rPr>
          <w:rFonts w:hint="eastAsia" w:ascii="宋体" w:hAnsi="宋体" w:eastAsia="宋体" w:cs="Courier New"/>
          <w:color w:val="auto"/>
          <w:sz w:val="24"/>
          <w:szCs w:val="24"/>
        </w:rPr>
        <w:t>11</w:t>
      </w:r>
      <w:r>
        <w:rPr>
          <w:rFonts w:ascii="宋体" w:hAnsi="宋体" w:eastAsia="宋体" w:cs="Courier New"/>
          <w:color w:val="auto"/>
          <w:sz w:val="24"/>
          <w:szCs w:val="24"/>
        </w:rPr>
        <w:t>.1 在合同有效期内，任何一方因不可抗力事件导致不能履行合同，则合同履行期可延长，其延长期与不可抗力影响期相同。</w:t>
      </w:r>
    </w:p>
    <w:p w14:paraId="0E396FAF">
      <w:pPr>
        <w:snapToGrid w:val="0"/>
        <w:spacing w:line="360" w:lineRule="auto"/>
        <w:ind w:firstLine="480" w:firstLineChars="200"/>
        <w:rPr>
          <w:rFonts w:ascii="宋体" w:hAnsi="宋体" w:eastAsia="宋体" w:cs="Courier New"/>
          <w:color w:val="auto"/>
          <w:sz w:val="24"/>
          <w:szCs w:val="24"/>
        </w:rPr>
      </w:pPr>
      <w:r>
        <w:rPr>
          <w:rFonts w:hint="eastAsia" w:ascii="宋体" w:hAnsi="宋体" w:eastAsia="宋体" w:cs="Courier New"/>
          <w:color w:val="auto"/>
          <w:sz w:val="24"/>
          <w:szCs w:val="24"/>
        </w:rPr>
        <w:t>11</w:t>
      </w:r>
      <w:r>
        <w:rPr>
          <w:rFonts w:ascii="宋体" w:hAnsi="宋体" w:eastAsia="宋体" w:cs="Courier New"/>
          <w:color w:val="auto"/>
          <w:sz w:val="24"/>
          <w:szCs w:val="24"/>
        </w:rPr>
        <w:t xml:space="preserve">.2 </w:t>
      </w:r>
      <w:r>
        <w:rPr>
          <w:rFonts w:ascii="宋体" w:hAnsi="宋体" w:eastAsia="宋体" w:cs="Courier New"/>
          <w:color w:val="auto"/>
          <w:sz w:val="24"/>
          <w:szCs w:val="24"/>
        </w:rPr>
        <w:t>发生</w:t>
      </w:r>
      <w:r>
        <w:rPr>
          <w:rFonts w:ascii="宋体" w:hAnsi="宋体" w:eastAsia="宋体" w:cs="Courier New"/>
          <w:color w:val="auto"/>
          <w:sz w:val="24"/>
          <w:szCs w:val="24"/>
        </w:rPr>
        <w:t>不可抗力事件后，应立即通知对方。</w:t>
      </w:r>
    </w:p>
    <w:p w14:paraId="16AD728C">
      <w:pPr>
        <w:snapToGrid w:val="0"/>
        <w:spacing w:line="360" w:lineRule="auto"/>
        <w:ind w:firstLine="480" w:firstLineChars="200"/>
        <w:rPr>
          <w:rFonts w:ascii="宋体" w:hAnsi="宋体" w:eastAsia="宋体" w:cs="Courier New"/>
          <w:color w:val="auto"/>
          <w:sz w:val="24"/>
          <w:szCs w:val="24"/>
        </w:rPr>
      </w:pPr>
      <w:r>
        <w:rPr>
          <w:rFonts w:hint="eastAsia" w:ascii="宋体" w:hAnsi="宋体" w:eastAsia="宋体" w:cs="Courier New"/>
          <w:color w:val="auto"/>
          <w:sz w:val="24"/>
          <w:szCs w:val="24"/>
        </w:rPr>
        <w:t>11</w:t>
      </w:r>
      <w:r>
        <w:rPr>
          <w:rFonts w:ascii="宋体" w:hAnsi="宋体" w:eastAsia="宋体" w:cs="Courier New"/>
          <w:color w:val="auto"/>
          <w:sz w:val="24"/>
          <w:szCs w:val="24"/>
        </w:rPr>
        <w:t>.3 不可抗力事件延续120天以上，双方应通过友好协商，确定是否继续履行合同。</w:t>
      </w:r>
    </w:p>
    <w:p w14:paraId="3589E757">
      <w:pPr>
        <w:snapToGrid w:val="0"/>
        <w:spacing w:line="360" w:lineRule="auto"/>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十二、通知与送达条款</w:t>
      </w:r>
    </w:p>
    <w:p w14:paraId="6D048197">
      <w:pPr>
        <w:snapToGrid w:val="0"/>
        <w:spacing w:line="360" w:lineRule="auto"/>
        <w:ind w:firstLine="480" w:firstLineChars="200"/>
        <w:rPr>
          <w:rFonts w:ascii="宋体" w:hAnsi="宋体" w:eastAsia="宋体" w:cs="Courier New"/>
          <w:color w:val="auto"/>
          <w:sz w:val="24"/>
          <w:szCs w:val="24"/>
        </w:rPr>
      </w:pPr>
      <w:r>
        <w:rPr>
          <w:rFonts w:ascii="宋体" w:hAnsi="宋体" w:eastAsia="宋体" w:cs="Courier New"/>
          <w:color w:val="auto"/>
          <w:sz w:val="24"/>
          <w:szCs w:val="24"/>
        </w:rPr>
        <w:t>本合同中载明的地址、</w:t>
      </w:r>
      <w:r>
        <w:rPr>
          <w:rFonts w:hint="eastAsia" w:ascii="宋体" w:hAnsi="宋体" w:eastAsia="宋体" w:cs="Courier New"/>
          <w:color w:val="auto"/>
          <w:sz w:val="24"/>
          <w:szCs w:val="24"/>
        </w:rPr>
        <w:t>联系电话</w:t>
      </w:r>
      <w:r>
        <w:rPr>
          <w:rFonts w:ascii="宋体" w:hAnsi="宋体" w:eastAsia="宋体" w:cs="Courier New"/>
          <w:color w:val="auto"/>
          <w:sz w:val="24"/>
          <w:szCs w:val="24"/>
        </w:rPr>
        <w:t>等为本合同联系方式。双方确认该联系方式真实有效。任何一方向对方发出的有关本合同的通知，均应以该联系方式为准。收到通知一方对通知内容有异议的，应在收到通知后</w:t>
      </w:r>
      <w:r>
        <w:rPr>
          <w:rFonts w:hint="eastAsia" w:ascii="宋体" w:hAnsi="宋体" w:eastAsia="宋体" w:cs="Courier New"/>
          <w:color w:val="auto"/>
          <w:sz w:val="24"/>
          <w:szCs w:val="24"/>
        </w:rPr>
        <w:t>3</w:t>
      </w:r>
      <w:r>
        <w:rPr>
          <w:rFonts w:ascii="宋体" w:hAnsi="宋体" w:eastAsia="宋体" w:cs="Courier New"/>
          <w:color w:val="auto"/>
          <w:sz w:val="24"/>
          <w:szCs w:val="24"/>
        </w:rPr>
        <w:t>个工作日内通知对方，</w:t>
      </w:r>
      <w:r>
        <w:rPr>
          <w:rFonts w:hint="eastAsia" w:ascii="宋体" w:hAnsi="宋体" w:eastAsia="宋体" w:cs="Courier New"/>
          <w:color w:val="auto"/>
          <w:sz w:val="24"/>
          <w:szCs w:val="24"/>
        </w:rPr>
        <w:t>逾期</w:t>
      </w:r>
      <w:r>
        <w:rPr>
          <w:rFonts w:ascii="宋体" w:hAnsi="宋体" w:eastAsia="宋体" w:cs="Courier New"/>
          <w:color w:val="auto"/>
          <w:sz w:val="24"/>
          <w:szCs w:val="24"/>
        </w:rPr>
        <w:t>视为无异议。</w:t>
      </w:r>
    </w:p>
    <w:p w14:paraId="1673E23B">
      <w:pPr>
        <w:snapToGrid w:val="0"/>
        <w:spacing w:line="360" w:lineRule="auto"/>
        <w:ind w:firstLine="480" w:firstLineChars="200"/>
        <w:rPr>
          <w:rFonts w:ascii="宋体" w:hAnsi="宋体" w:eastAsia="宋体" w:cs="Courier New"/>
          <w:color w:val="auto"/>
          <w:sz w:val="24"/>
          <w:szCs w:val="24"/>
        </w:rPr>
      </w:pPr>
      <w:r>
        <w:rPr>
          <w:rFonts w:hint="eastAsia" w:ascii="宋体" w:hAnsi="宋体" w:eastAsia="宋体" w:cs="Courier New"/>
          <w:color w:val="auto"/>
          <w:sz w:val="24"/>
          <w:szCs w:val="24"/>
        </w:rPr>
        <w:t>任何一方变更本合同载明联系方式的，均应以书面形式，在变更发生后的3个工作日内通知对方。</w:t>
      </w:r>
      <w:r>
        <w:rPr>
          <w:rFonts w:hint="eastAsia" w:ascii="宋体" w:hAnsi="宋体" w:eastAsia="宋体" w:cs="Courier New"/>
          <w:color w:val="auto"/>
          <w:sz w:val="24"/>
          <w:szCs w:val="24"/>
        </w:rPr>
        <w:t>逾期通知或未通知对方，由此造成的损失，由变更联系方式的一方承担。</w:t>
      </w:r>
    </w:p>
    <w:p w14:paraId="3A05B9A4">
      <w:pPr>
        <w:snapToGrid w:val="0"/>
        <w:spacing w:line="360" w:lineRule="auto"/>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十三</w:t>
      </w:r>
      <w:r>
        <w:rPr>
          <w:rFonts w:ascii="宋体" w:hAnsi="宋体" w:eastAsia="宋体" w:cs="Times New Roman"/>
          <w:b/>
          <w:color w:val="auto"/>
          <w:sz w:val="24"/>
          <w:szCs w:val="24"/>
        </w:rPr>
        <w:t>、</w:t>
      </w:r>
      <w:r>
        <w:rPr>
          <w:rFonts w:hint="eastAsia" w:ascii="宋体" w:hAnsi="宋体" w:eastAsia="宋体" w:cs="Times New Roman"/>
          <w:b/>
          <w:color w:val="auto"/>
          <w:sz w:val="24"/>
          <w:szCs w:val="24"/>
        </w:rPr>
        <w:t>争议解决</w:t>
      </w:r>
    </w:p>
    <w:p w14:paraId="673A9EF4">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Courier New"/>
          <w:color w:val="auto"/>
          <w:sz w:val="24"/>
          <w:szCs w:val="24"/>
        </w:rPr>
        <w:t>13</w:t>
      </w:r>
      <w:r>
        <w:rPr>
          <w:rFonts w:ascii="宋体" w:hAnsi="宋体" w:eastAsia="宋体" w:cs="Courier New"/>
          <w:color w:val="auto"/>
          <w:sz w:val="24"/>
          <w:szCs w:val="24"/>
        </w:rPr>
        <w:t>.1 双方在执行合同中所发生的一切争议，应通过协商解决。</w:t>
      </w:r>
      <w:r>
        <w:rPr>
          <w:rFonts w:ascii="宋体" w:hAnsi="宋体" w:eastAsia="宋体" w:cs="Times New Roman"/>
          <w:color w:val="auto"/>
          <w:sz w:val="24"/>
          <w:szCs w:val="24"/>
        </w:rPr>
        <w:t>如协商不成，可向合同签订地</w:t>
      </w:r>
      <w:r>
        <w:rPr>
          <w:rFonts w:hint="eastAsia" w:ascii="宋体" w:hAnsi="宋体" w:eastAsia="宋体" w:cs="Times New Roman"/>
          <w:color w:val="auto"/>
          <w:sz w:val="24"/>
          <w:szCs w:val="24"/>
        </w:rPr>
        <w:t>人民</w:t>
      </w:r>
      <w:r>
        <w:rPr>
          <w:rFonts w:ascii="宋体" w:hAnsi="宋体" w:eastAsia="宋体" w:cs="Times New Roman"/>
          <w:color w:val="auto"/>
          <w:sz w:val="24"/>
          <w:szCs w:val="24"/>
        </w:rPr>
        <w:t>法院起诉，合同签订地为</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u w:val="single"/>
        </w:rPr>
        <w:t>海安</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rPr>
        <w:t>。</w:t>
      </w:r>
    </w:p>
    <w:p w14:paraId="767D7191">
      <w:pPr>
        <w:snapToGrid w:val="0"/>
        <w:spacing w:line="360" w:lineRule="auto"/>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十四、其他</w:t>
      </w:r>
    </w:p>
    <w:p w14:paraId="2751E8EC">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14.1 本合同所有附件、招标文件、投标文件、中标通知书均为合同的有效组成部分，与本合同具有同等法律效力。</w:t>
      </w:r>
    </w:p>
    <w:p w14:paraId="1ECC19CC">
      <w:pPr>
        <w:snapToGrid w:val="0"/>
        <w:spacing w:line="360" w:lineRule="auto"/>
        <w:ind w:firstLine="480" w:firstLineChars="200"/>
        <w:rPr>
          <w:rFonts w:ascii="宋体" w:hAnsi="宋体" w:eastAsia="宋体" w:cs="Courier New"/>
          <w:color w:val="auto"/>
          <w:sz w:val="24"/>
          <w:szCs w:val="24"/>
        </w:rPr>
      </w:pPr>
      <w:r>
        <w:rPr>
          <w:rFonts w:hint="eastAsia" w:ascii="宋体" w:hAnsi="宋体" w:eastAsia="宋体" w:cs="Times New Roman"/>
          <w:color w:val="auto"/>
          <w:sz w:val="24"/>
          <w:szCs w:val="24"/>
        </w:rPr>
        <w:t xml:space="preserve">14.2 </w:t>
      </w:r>
      <w:r>
        <w:rPr>
          <w:rFonts w:ascii="宋体" w:hAnsi="宋体" w:eastAsia="宋体" w:cs="Courier New"/>
          <w:color w:val="auto"/>
          <w:sz w:val="24"/>
          <w:szCs w:val="24"/>
        </w:rPr>
        <w:t>本合同未尽事宜，遵照</w:t>
      </w:r>
      <w:r>
        <w:rPr>
          <w:rFonts w:hint="eastAsia" w:ascii="宋体" w:hAnsi="宋体" w:eastAsia="宋体" w:cs="Courier New"/>
          <w:color w:val="auto"/>
          <w:sz w:val="24"/>
          <w:szCs w:val="24"/>
        </w:rPr>
        <w:t>《中华人民共和国民法典》</w:t>
      </w:r>
      <w:r>
        <w:rPr>
          <w:rFonts w:ascii="宋体" w:hAnsi="宋体" w:eastAsia="宋体" w:cs="Courier New"/>
          <w:color w:val="auto"/>
          <w:sz w:val="24"/>
          <w:szCs w:val="24"/>
        </w:rPr>
        <w:t>有关条文执行。</w:t>
      </w:r>
    </w:p>
    <w:p w14:paraId="68E94215">
      <w:pPr>
        <w:snapToGrid w:val="0"/>
        <w:spacing w:line="360" w:lineRule="auto"/>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十五</w:t>
      </w:r>
      <w:r>
        <w:rPr>
          <w:rFonts w:ascii="宋体" w:hAnsi="宋体" w:eastAsia="宋体" w:cs="Times New Roman"/>
          <w:b/>
          <w:color w:val="auto"/>
          <w:sz w:val="24"/>
          <w:szCs w:val="24"/>
        </w:rPr>
        <w:t>、合同生效</w:t>
      </w:r>
    </w:p>
    <w:p w14:paraId="48E7FC79">
      <w:pPr>
        <w:snapToGrid w:val="0"/>
        <w:spacing w:line="360" w:lineRule="auto"/>
        <w:ind w:firstLine="480" w:firstLineChars="200"/>
        <w:rPr>
          <w:rFonts w:ascii="宋体" w:hAnsi="宋体" w:eastAsia="宋体" w:cs="Courier New"/>
          <w:color w:val="auto"/>
          <w:sz w:val="24"/>
          <w:szCs w:val="24"/>
        </w:rPr>
      </w:pPr>
      <w:r>
        <w:rPr>
          <w:rFonts w:hint="eastAsia" w:ascii="宋体" w:hAnsi="宋体" w:eastAsia="宋体" w:cs="Courier New"/>
          <w:color w:val="auto"/>
          <w:sz w:val="24"/>
          <w:szCs w:val="24"/>
        </w:rPr>
        <w:t>15</w:t>
      </w:r>
      <w:r>
        <w:rPr>
          <w:rFonts w:ascii="宋体" w:hAnsi="宋体" w:eastAsia="宋体" w:cs="Courier New"/>
          <w:color w:val="auto"/>
          <w:sz w:val="24"/>
          <w:szCs w:val="24"/>
        </w:rPr>
        <w:t xml:space="preserve">.1 </w:t>
      </w:r>
      <w:r>
        <w:rPr>
          <w:rFonts w:hint="eastAsia" w:ascii="宋体" w:hAnsi="宋体" w:eastAsia="宋体" w:cs="Courier New"/>
          <w:color w:val="auto"/>
          <w:sz w:val="24"/>
          <w:szCs w:val="24"/>
        </w:rPr>
        <w:t>本</w:t>
      </w:r>
      <w:r>
        <w:rPr>
          <w:rFonts w:ascii="宋体" w:hAnsi="宋体" w:eastAsia="宋体" w:cs="Courier New"/>
          <w:color w:val="auto"/>
          <w:sz w:val="24"/>
          <w:szCs w:val="24"/>
        </w:rPr>
        <w:t>合同经双方法定代表人或授权委托代</w:t>
      </w:r>
      <w:r>
        <w:rPr>
          <w:rFonts w:hint="eastAsia" w:ascii="宋体" w:hAnsi="宋体" w:eastAsia="宋体" w:cs="Courier New"/>
          <w:color w:val="auto"/>
          <w:sz w:val="24"/>
          <w:szCs w:val="24"/>
        </w:rPr>
        <w:t>表</w:t>
      </w:r>
      <w:r>
        <w:rPr>
          <w:rFonts w:ascii="宋体" w:hAnsi="宋体" w:eastAsia="宋体" w:cs="Courier New"/>
          <w:color w:val="auto"/>
          <w:sz w:val="24"/>
          <w:szCs w:val="24"/>
        </w:rPr>
        <w:t>人签字并加盖单位公章后生效。</w:t>
      </w:r>
    </w:p>
    <w:p w14:paraId="35DAB9D9">
      <w:pPr>
        <w:snapToGrid w:val="0"/>
        <w:spacing w:line="360" w:lineRule="auto"/>
        <w:ind w:firstLine="480" w:firstLineChars="200"/>
        <w:rPr>
          <w:rFonts w:ascii="宋体" w:hAnsi="宋体" w:eastAsia="宋体" w:cs="Courier New"/>
          <w:color w:val="auto"/>
          <w:sz w:val="24"/>
          <w:szCs w:val="24"/>
        </w:rPr>
      </w:pPr>
      <w:r>
        <w:rPr>
          <w:rFonts w:hint="eastAsia" w:ascii="宋体" w:hAnsi="宋体" w:eastAsia="宋体" w:cs="Courier New"/>
          <w:color w:val="auto"/>
          <w:sz w:val="24"/>
          <w:szCs w:val="24"/>
        </w:rPr>
        <w:t>15.2</w:t>
      </w:r>
      <w:r>
        <w:rPr>
          <w:rFonts w:ascii="宋体" w:hAnsi="宋体" w:eastAsia="宋体" w:cs="Courier New"/>
          <w:color w:val="auto"/>
          <w:sz w:val="24"/>
          <w:szCs w:val="24"/>
        </w:rPr>
        <w:t xml:space="preserve"> 本合同正本一式</w:t>
      </w:r>
      <w:r>
        <w:rPr>
          <w:rFonts w:hint="eastAsia" w:ascii="宋体" w:hAnsi="宋体" w:eastAsia="宋体" w:cs="Courier New"/>
          <w:color w:val="auto"/>
          <w:sz w:val="24"/>
          <w:szCs w:val="24"/>
          <w:u w:val="single"/>
        </w:rPr>
        <w:t xml:space="preserve">     </w:t>
      </w:r>
      <w:r>
        <w:rPr>
          <w:rFonts w:ascii="宋体" w:hAnsi="宋体" w:eastAsia="宋体" w:cs="Courier New"/>
          <w:color w:val="auto"/>
          <w:sz w:val="24"/>
          <w:szCs w:val="24"/>
        </w:rPr>
        <w:t>份</w:t>
      </w:r>
      <w:r>
        <w:rPr>
          <w:rFonts w:hint="eastAsia" w:ascii="宋体" w:hAnsi="宋体" w:eastAsia="宋体" w:cs="Courier New"/>
          <w:color w:val="auto"/>
          <w:sz w:val="24"/>
          <w:szCs w:val="24"/>
        </w:rPr>
        <w:t>，甲方持</w:t>
      </w:r>
      <w:r>
        <w:rPr>
          <w:rFonts w:hint="eastAsia" w:ascii="宋体" w:hAnsi="宋体" w:eastAsia="宋体" w:cs="Courier New"/>
          <w:color w:val="auto"/>
          <w:sz w:val="24"/>
          <w:szCs w:val="24"/>
          <w:u w:val="single"/>
        </w:rPr>
        <w:t xml:space="preserve">   </w:t>
      </w:r>
      <w:r>
        <w:rPr>
          <w:rFonts w:hint="eastAsia" w:ascii="宋体" w:hAnsi="宋体" w:eastAsia="宋体" w:cs="Courier New"/>
          <w:color w:val="auto"/>
          <w:sz w:val="24"/>
          <w:szCs w:val="24"/>
        </w:rPr>
        <w:t>份，乙方持</w:t>
      </w:r>
      <w:r>
        <w:rPr>
          <w:rFonts w:hint="eastAsia" w:ascii="宋体" w:hAnsi="宋体" w:eastAsia="宋体" w:cs="Courier New"/>
          <w:color w:val="auto"/>
          <w:sz w:val="24"/>
          <w:szCs w:val="24"/>
          <w:u w:val="single"/>
        </w:rPr>
        <w:t xml:space="preserve">   </w:t>
      </w:r>
      <w:r>
        <w:rPr>
          <w:rFonts w:hint="eastAsia" w:ascii="宋体" w:hAnsi="宋体" w:eastAsia="宋体" w:cs="Courier New"/>
          <w:color w:val="auto"/>
          <w:sz w:val="24"/>
          <w:szCs w:val="24"/>
        </w:rPr>
        <w:t>份。</w:t>
      </w:r>
    </w:p>
    <w:p w14:paraId="706A3519">
      <w:pPr>
        <w:snapToGrid w:val="0"/>
        <w:spacing w:line="360" w:lineRule="auto"/>
        <w:ind w:firstLine="480" w:firstLineChars="200"/>
        <w:rPr>
          <w:rFonts w:ascii="宋体" w:hAnsi="宋体" w:eastAsia="宋体" w:cs="Courier New"/>
          <w:color w:val="auto"/>
          <w:sz w:val="24"/>
          <w:szCs w:val="24"/>
        </w:rPr>
      </w:pPr>
      <w:r>
        <w:rPr>
          <w:rFonts w:ascii="宋体" w:hAnsi="宋体" w:eastAsia="宋体" w:cs="Courier New"/>
          <w:color w:val="auto"/>
          <w:sz w:val="24"/>
          <w:szCs w:val="24"/>
        </w:rPr>
        <w:t xml:space="preserve">  </w:t>
      </w:r>
    </w:p>
    <w:p w14:paraId="28A63FBC">
      <w:pPr>
        <w:snapToGrid w:val="0"/>
        <w:spacing w:line="360" w:lineRule="auto"/>
        <w:ind w:firstLine="480" w:firstLineChars="200"/>
        <w:rPr>
          <w:rFonts w:ascii="宋体" w:hAnsi="宋体" w:eastAsia="宋体" w:cs="Courier New"/>
          <w:color w:val="auto"/>
          <w:sz w:val="24"/>
          <w:szCs w:val="24"/>
        </w:rPr>
      </w:pPr>
      <w:r>
        <w:rPr>
          <w:rFonts w:hint="eastAsia" w:ascii="宋体" w:hAnsi="宋体" w:eastAsia="宋体" w:cs="Courier New"/>
          <w:color w:val="auto"/>
          <w:sz w:val="24"/>
          <w:szCs w:val="24"/>
        </w:rPr>
        <w:t xml:space="preserve">  </w:t>
      </w:r>
      <w:r>
        <w:rPr>
          <w:rFonts w:ascii="宋体" w:hAnsi="宋体" w:eastAsia="宋体" w:cs="Courier New"/>
          <w:color w:val="auto"/>
          <w:sz w:val="24"/>
          <w:szCs w:val="24"/>
        </w:rPr>
        <w:t xml:space="preserve">甲方：                        乙方： </w:t>
      </w:r>
    </w:p>
    <w:p w14:paraId="387F38BD">
      <w:pPr>
        <w:snapToGrid w:val="0"/>
        <w:spacing w:line="360" w:lineRule="auto"/>
        <w:ind w:left="5039" w:leftChars="228" w:hanging="4560" w:hangingChars="1900"/>
        <w:rPr>
          <w:rFonts w:ascii="宋体" w:hAnsi="宋体" w:eastAsia="宋体" w:cs="Courier New"/>
          <w:color w:val="auto"/>
          <w:sz w:val="24"/>
          <w:szCs w:val="24"/>
        </w:rPr>
      </w:pPr>
      <w:r>
        <w:rPr>
          <w:rFonts w:ascii="宋体" w:hAnsi="宋体" w:eastAsia="宋体" w:cs="Courier New"/>
          <w:color w:val="auto"/>
          <w:sz w:val="24"/>
          <w:szCs w:val="24"/>
        </w:rPr>
        <w:t xml:space="preserve">  地址：</w:t>
      </w:r>
      <w:r>
        <w:rPr>
          <w:rFonts w:hint="eastAsia" w:ascii="宋体" w:hAnsi="宋体" w:eastAsia="宋体" w:cs="Courier New"/>
          <w:color w:val="auto"/>
          <w:sz w:val="24"/>
          <w:szCs w:val="24"/>
        </w:rPr>
        <w:t xml:space="preserve">                        </w:t>
      </w:r>
      <w:r>
        <w:rPr>
          <w:rFonts w:ascii="宋体" w:hAnsi="宋体" w:eastAsia="宋体" w:cs="Courier New"/>
          <w:color w:val="auto"/>
          <w:sz w:val="24"/>
          <w:szCs w:val="24"/>
        </w:rPr>
        <w:t>地址：</w:t>
      </w:r>
    </w:p>
    <w:p w14:paraId="0ABBF853">
      <w:pPr>
        <w:snapToGrid w:val="0"/>
        <w:spacing w:line="360" w:lineRule="auto"/>
        <w:ind w:firstLine="480" w:firstLineChars="200"/>
        <w:rPr>
          <w:rFonts w:ascii="宋体" w:hAnsi="宋体" w:eastAsia="宋体" w:cs="Courier New"/>
          <w:color w:val="auto"/>
          <w:sz w:val="24"/>
          <w:szCs w:val="24"/>
        </w:rPr>
      </w:pPr>
      <w:r>
        <w:rPr>
          <w:rFonts w:ascii="宋体" w:hAnsi="宋体" w:eastAsia="宋体" w:cs="Courier New"/>
          <w:color w:val="auto"/>
          <w:sz w:val="24"/>
          <w:szCs w:val="24"/>
        </w:rPr>
        <w:t xml:space="preserve">  法定代表人</w:t>
      </w:r>
      <w:r>
        <w:rPr>
          <w:rFonts w:hint="eastAsia" w:ascii="宋体" w:hAnsi="宋体" w:eastAsia="宋体" w:cs="Courier New"/>
          <w:color w:val="auto"/>
          <w:sz w:val="24"/>
          <w:szCs w:val="24"/>
        </w:rPr>
        <w:t>或授权代表</w:t>
      </w:r>
      <w:r>
        <w:rPr>
          <w:rFonts w:ascii="宋体" w:hAnsi="宋体" w:eastAsia="宋体" w:cs="Courier New"/>
          <w:color w:val="auto"/>
          <w:sz w:val="24"/>
          <w:szCs w:val="24"/>
        </w:rPr>
        <w:t>：        法定代表人</w:t>
      </w:r>
      <w:r>
        <w:rPr>
          <w:rFonts w:hint="eastAsia" w:ascii="宋体" w:hAnsi="宋体" w:eastAsia="宋体" w:cs="Courier New"/>
          <w:color w:val="auto"/>
          <w:sz w:val="24"/>
          <w:szCs w:val="24"/>
        </w:rPr>
        <w:t>或授权代表</w:t>
      </w:r>
      <w:r>
        <w:rPr>
          <w:rFonts w:ascii="宋体" w:hAnsi="宋体" w:eastAsia="宋体" w:cs="Courier New"/>
          <w:color w:val="auto"/>
          <w:sz w:val="24"/>
          <w:szCs w:val="24"/>
        </w:rPr>
        <w:t>：</w:t>
      </w:r>
    </w:p>
    <w:p w14:paraId="2036EBC7">
      <w:pPr>
        <w:snapToGrid w:val="0"/>
        <w:spacing w:line="360" w:lineRule="auto"/>
        <w:ind w:firstLine="720" w:firstLineChars="300"/>
        <w:rPr>
          <w:rFonts w:ascii="宋体" w:hAnsi="宋体" w:eastAsia="宋体" w:cs="Courier New"/>
          <w:color w:val="auto"/>
          <w:sz w:val="24"/>
          <w:szCs w:val="24"/>
        </w:rPr>
      </w:pPr>
      <w:r>
        <w:rPr>
          <w:rFonts w:hint="eastAsia" w:ascii="宋体" w:hAnsi="宋体" w:eastAsia="宋体" w:cs="Courier New"/>
          <w:color w:val="auto"/>
          <w:sz w:val="24"/>
          <w:szCs w:val="24"/>
        </w:rPr>
        <w:t>联系电话：                    联系电话：</w:t>
      </w:r>
    </w:p>
    <w:p w14:paraId="7D6C1AAB">
      <w:pPr>
        <w:snapToGrid w:val="0"/>
        <w:spacing w:line="360" w:lineRule="auto"/>
        <w:ind w:firstLine="480" w:firstLineChars="200"/>
        <w:rPr>
          <w:rFonts w:ascii="宋体" w:hAnsi="Courier New" w:eastAsia="宋体" w:cs="Courier New"/>
          <w:color w:val="auto"/>
          <w:szCs w:val="21"/>
        </w:rPr>
      </w:pPr>
      <w:r>
        <w:rPr>
          <w:rFonts w:hint="eastAsia" w:ascii="宋体" w:hAnsi="宋体" w:eastAsia="宋体" w:cs="Courier New"/>
          <w:color w:val="auto"/>
          <w:sz w:val="24"/>
          <w:szCs w:val="24"/>
        </w:rPr>
        <w:t xml:space="preserve"> </w:t>
      </w:r>
    </w:p>
    <w:p w14:paraId="1A10F864">
      <w:pPr>
        <w:snapToGrid w:val="0"/>
        <w:spacing w:line="360" w:lineRule="auto"/>
        <w:ind w:firstLine="420" w:firstLineChars="200"/>
        <w:rPr>
          <w:rFonts w:ascii="宋体" w:hAnsi="宋体" w:eastAsia="宋体" w:cs="Courier New"/>
          <w:color w:val="auto"/>
          <w:sz w:val="24"/>
          <w:szCs w:val="24"/>
        </w:rPr>
      </w:pPr>
      <w:r>
        <w:rPr>
          <w:rFonts w:hint="eastAsia" w:ascii="Times New Roman" w:hAnsi="Times New Roman" w:eastAsia="宋体" w:cs="Times New Roman"/>
          <w:color w:val="auto"/>
          <w:szCs w:val="21"/>
        </w:rPr>
        <w:t xml:space="preserve"> </w:t>
      </w:r>
      <w:r>
        <w:rPr>
          <w:rFonts w:hint="eastAsia" w:ascii="宋体" w:hAnsi="宋体" w:eastAsia="宋体" w:cs="Courier New"/>
          <w:color w:val="auto"/>
          <w:sz w:val="24"/>
          <w:szCs w:val="24"/>
        </w:rPr>
        <w:t xml:space="preserve"> </w:t>
      </w:r>
      <w:r>
        <w:rPr>
          <w:rFonts w:ascii="宋体" w:hAnsi="宋体" w:eastAsia="宋体" w:cs="Courier New"/>
          <w:color w:val="auto"/>
          <w:sz w:val="24"/>
          <w:szCs w:val="24"/>
        </w:rPr>
        <w:t>签订日期：</w:t>
      </w:r>
      <w:r>
        <w:rPr>
          <w:rFonts w:hint="eastAsia" w:ascii="宋体" w:hAnsi="宋体" w:eastAsia="宋体" w:cs="Courier New"/>
          <w:color w:val="auto"/>
          <w:sz w:val="24"/>
          <w:szCs w:val="24"/>
        </w:rPr>
        <w:t xml:space="preserve">    </w:t>
      </w:r>
      <w:r>
        <w:rPr>
          <w:rFonts w:ascii="宋体" w:hAnsi="宋体" w:eastAsia="宋体" w:cs="Courier New"/>
          <w:color w:val="auto"/>
          <w:sz w:val="24"/>
          <w:szCs w:val="24"/>
        </w:rPr>
        <w:t>年</w:t>
      </w:r>
      <w:r>
        <w:rPr>
          <w:rFonts w:hint="eastAsia" w:ascii="宋体" w:hAnsi="宋体" w:eastAsia="宋体" w:cs="Courier New"/>
          <w:color w:val="auto"/>
          <w:sz w:val="24"/>
          <w:szCs w:val="24"/>
        </w:rPr>
        <w:t xml:space="preserve">    </w:t>
      </w:r>
      <w:r>
        <w:rPr>
          <w:rFonts w:ascii="宋体" w:hAnsi="宋体" w:eastAsia="宋体" w:cs="Courier New"/>
          <w:color w:val="auto"/>
          <w:sz w:val="24"/>
          <w:szCs w:val="24"/>
        </w:rPr>
        <w:t>月</w:t>
      </w:r>
      <w:r>
        <w:rPr>
          <w:rFonts w:hint="eastAsia" w:ascii="宋体" w:hAnsi="宋体" w:eastAsia="宋体" w:cs="Courier New"/>
          <w:color w:val="auto"/>
          <w:sz w:val="24"/>
          <w:szCs w:val="24"/>
        </w:rPr>
        <w:t xml:space="preserve">     </w:t>
      </w:r>
      <w:r>
        <w:rPr>
          <w:rFonts w:ascii="宋体" w:hAnsi="宋体" w:eastAsia="宋体" w:cs="Courier New"/>
          <w:color w:val="auto"/>
          <w:sz w:val="24"/>
          <w:szCs w:val="24"/>
        </w:rPr>
        <w:t>日</w:t>
      </w:r>
      <w:bookmarkStart w:id="0" w:name="_Hlt16619369"/>
      <w:bookmarkEnd w:id="0"/>
    </w:p>
    <w:p w14:paraId="10ABAABE">
      <w:pPr>
        <w:pStyle w:val="12"/>
        <w:rPr>
          <w:color w:val="auto"/>
        </w:rPr>
      </w:pPr>
    </w:p>
    <w:p w14:paraId="162B7085">
      <w:pPr>
        <w:pStyle w:val="12"/>
        <w:rPr>
          <w:color w:val="auto"/>
        </w:rPr>
      </w:pPr>
    </w:p>
    <w:p w14:paraId="427F7F22">
      <w:pPr>
        <w:widowControl/>
        <w:jc w:val="left"/>
        <w:rPr>
          <w:color w:val="auto"/>
        </w:rPr>
      </w:pPr>
    </w:p>
    <w:p w14:paraId="3983993A">
      <w:pPr>
        <w:pStyle w:val="11"/>
        <w:rPr>
          <w:color w:val="auto"/>
        </w:rPr>
      </w:pPr>
    </w:p>
    <w:p w14:paraId="46D65D3E">
      <w:pPr>
        <w:pStyle w:val="11"/>
        <w:rPr>
          <w:color w:val="auto"/>
        </w:rPr>
      </w:pPr>
    </w:p>
    <w:p w14:paraId="01E478C6">
      <w:pPr>
        <w:pStyle w:val="11"/>
        <w:rPr>
          <w:color w:val="auto"/>
        </w:rPr>
      </w:pPr>
    </w:p>
    <w:p w14:paraId="0314D618">
      <w:pPr>
        <w:pStyle w:val="11"/>
        <w:rPr>
          <w:color w:val="auto"/>
        </w:rPr>
      </w:pPr>
    </w:p>
    <w:p w14:paraId="289262A7">
      <w:pPr>
        <w:pStyle w:val="11"/>
        <w:rPr>
          <w:color w:val="auto"/>
        </w:rPr>
      </w:pPr>
    </w:p>
    <w:p w14:paraId="459D4F58">
      <w:pPr>
        <w:pStyle w:val="11"/>
        <w:rPr>
          <w:color w:val="auto"/>
        </w:rPr>
      </w:pPr>
    </w:p>
    <w:p w14:paraId="07841481">
      <w:pPr>
        <w:pStyle w:val="11"/>
        <w:rPr>
          <w:color w:val="auto"/>
        </w:rPr>
      </w:pPr>
    </w:p>
    <w:p w14:paraId="4CAE0A90">
      <w:pPr>
        <w:pStyle w:val="11"/>
        <w:rPr>
          <w:color w:val="auto"/>
        </w:rPr>
      </w:pPr>
    </w:p>
    <w:p w14:paraId="38924226">
      <w:pPr>
        <w:widowControl/>
        <w:jc w:val="center"/>
        <w:rPr>
          <w:rFonts w:ascii="宋体" w:hAnsi="宋体" w:cs="宋体"/>
          <w:color w:val="auto"/>
          <w:sz w:val="32"/>
          <w:szCs w:val="32"/>
        </w:rPr>
      </w:pPr>
    </w:p>
    <w:p w14:paraId="01126DE9">
      <w:pPr>
        <w:widowControl/>
        <w:jc w:val="center"/>
        <w:rPr>
          <w:rFonts w:ascii="宋体" w:hAnsi="宋体" w:cs="宋体"/>
          <w:color w:val="auto"/>
          <w:sz w:val="32"/>
          <w:szCs w:val="32"/>
        </w:rPr>
      </w:pPr>
    </w:p>
    <w:p w14:paraId="5237E947">
      <w:pPr>
        <w:widowControl/>
        <w:jc w:val="center"/>
        <w:rPr>
          <w:rFonts w:ascii="宋体" w:hAnsi="宋体" w:cs="宋体"/>
          <w:color w:val="auto"/>
          <w:sz w:val="32"/>
          <w:szCs w:val="32"/>
        </w:rPr>
      </w:pPr>
    </w:p>
    <w:p w14:paraId="45FD33F1">
      <w:pPr>
        <w:widowControl/>
        <w:jc w:val="center"/>
        <w:rPr>
          <w:rFonts w:ascii="宋体" w:hAnsi="宋体" w:cs="宋体"/>
          <w:color w:val="auto"/>
          <w:sz w:val="32"/>
          <w:szCs w:val="32"/>
        </w:rPr>
      </w:pPr>
    </w:p>
    <w:p w14:paraId="1A9F4C16">
      <w:pPr>
        <w:widowControl/>
        <w:jc w:val="center"/>
        <w:rPr>
          <w:rFonts w:ascii="宋体" w:hAnsi="宋体" w:cs="宋体"/>
          <w:color w:val="auto"/>
          <w:sz w:val="32"/>
          <w:szCs w:val="32"/>
        </w:rPr>
      </w:pPr>
    </w:p>
    <w:p w14:paraId="2138DFA6">
      <w:pPr>
        <w:widowControl/>
        <w:jc w:val="center"/>
        <w:rPr>
          <w:rFonts w:ascii="宋体" w:hAnsi="宋体" w:cs="宋体"/>
          <w:color w:val="auto"/>
          <w:sz w:val="32"/>
          <w:szCs w:val="32"/>
        </w:rPr>
      </w:pPr>
    </w:p>
    <w:p w14:paraId="67D32408">
      <w:pPr>
        <w:widowControl/>
        <w:jc w:val="center"/>
        <w:rPr>
          <w:rFonts w:ascii="宋体" w:hAnsi="宋体" w:cs="宋体"/>
          <w:color w:val="auto"/>
          <w:sz w:val="32"/>
          <w:szCs w:val="32"/>
        </w:rPr>
      </w:pPr>
      <w:r>
        <w:rPr>
          <w:rFonts w:hint="eastAsia" w:ascii="宋体" w:hAnsi="宋体" w:cs="宋体"/>
          <w:color w:val="auto"/>
          <w:sz w:val="32"/>
          <w:szCs w:val="32"/>
        </w:rPr>
        <w:t>第三方安全技术服务月度考核评分表（     年   月）</w:t>
      </w:r>
    </w:p>
    <w:tbl>
      <w:tblPr>
        <w:tblStyle w:val="8"/>
        <w:tblW w:w="9168" w:type="dxa"/>
        <w:tblInd w:w="-3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1584"/>
        <w:gridCol w:w="3996"/>
        <w:gridCol w:w="1440"/>
        <w:gridCol w:w="996"/>
      </w:tblGrid>
      <w:tr w14:paraId="1FAB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736" w:type="dxa"/>
            <w:gridSpan w:val="2"/>
            <w:vAlign w:val="center"/>
          </w:tcPr>
          <w:p w14:paraId="229ED6D3">
            <w:pPr>
              <w:spacing w:line="240" w:lineRule="exact"/>
              <w:jc w:val="center"/>
              <w:rPr>
                <w:rFonts w:ascii="宋体" w:hAnsi="宋体" w:cs="宋体"/>
                <w:color w:val="auto"/>
                <w:szCs w:val="21"/>
                <w:lang w:val="zh-TW" w:eastAsia="zh-TW" w:bidi="zh-TW"/>
              </w:rPr>
            </w:pPr>
            <w:r>
              <w:rPr>
                <w:rFonts w:hint="eastAsia" w:ascii="宋体" w:hAnsi="宋体" w:cs="宋体"/>
                <w:color w:val="auto"/>
                <w:szCs w:val="21"/>
                <w:lang w:val="zh-TW" w:eastAsia="zh-TW" w:bidi="zh-TW"/>
              </w:rPr>
              <w:t>委托人名称</w:t>
            </w:r>
          </w:p>
        </w:tc>
        <w:tc>
          <w:tcPr>
            <w:tcW w:w="6432" w:type="dxa"/>
            <w:gridSpan w:val="3"/>
            <w:vAlign w:val="center"/>
          </w:tcPr>
          <w:p w14:paraId="525A4BD0">
            <w:pPr>
              <w:spacing w:line="240" w:lineRule="exact"/>
              <w:jc w:val="center"/>
              <w:rPr>
                <w:rFonts w:ascii="宋体" w:hAnsi="宋体" w:cs="宋体"/>
                <w:color w:val="auto"/>
                <w:szCs w:val="21"/>
                <w:lang w:val="zh-TW" w:eastAsia="zh-TW" w:bidi="zh-TW"/>
              </w:rPr>
            </w:pPr>
          </w:p>
        </w:tc>
      </w:tr>
      <w:tr w14:paraId="6B3C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736" w:type="dxa"/>
            <w:gridSpan w:val="2"/>
            <w:vAlign w:val="center"/>
          </w:tcPr>
          <w:p w14:paraId="036AAFEA">
            <w:pPr>
              <w:spacing w:line="240" w:lineRule="exact"/>
              <w:jc w:val="center"/>
              <w:rPr>
                <w:rFonts w:ascii="宋体" w:hAnsi="宋体" w:cs="宋体"/>
                <w:color w:val="auto"/>
                <w:szCs w:val="21"/>
                <w:lang w:val="zh-TW" w:eastAsia="zh-TW" w:bidi="zh-TW"/>
              </w:rPr>
            </w:pPr>
            <w:r>
              <w:rPr>
                <w:rFonts w:hint="eastAsia" w:ascii="宋体" w:hAnsi="宋体" w:cs="宋体"/>
                <w:color w:val="auto"/>
                <w:szCs w:val="21"/>
                <w:lang w:val="zh-TW" w:eastAsia="zh-TW" w:bidi="zh-TW"/>
              </w:rPr>
              <w:t>安全服务管理单位名称</w:t>
            </w:r>
          </w:p>
        </w:tc>
        <w:tc>
          <w:tcPr>
            <w:tcW w:w="6432" w:type="dxa"/>
            <w:gridSpan w:val="3"/>
            <w:vAlign w:val="center"/>
          </w:tcPr>
          <w:p w14:paraId="05A8AA5C">
            <w:pPr>
              <w:spacing w:line="240" w:lineRule="exact"/>
              <w:jc w:val="center"/>
              <w:rPr>
                <w:rFonts w:ascii="宋体" w:hAnsi="宋体" w:cs="宋体"/>
                <w:color w:val="auto"/>
                <w:szCs w:val="21"/>
                <w:lang w:val="zh-TW" w:eastAsia="zh-TW" w:bidi="zh-TW"/>
              </w:rPr>
            </w:pPr>
          </w:p>
        </w:tc>
      </w:tr>
      <w:tr w14:paraId="7469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52" w:type="dxa"/>
            <w:vAlign w:val="center"/>
          </w:tcPr>
          <w:p w14:paraId="45093E1B">
            <w:pPr>
              <w:spacing w:line="240" w:lineRule="exact"/>
              <w:jc w:val="center"/>
              <w:rPr>
                <w:rFonts w:ascii="宋体" w:hAnsi="宋体" w:cs="宋体"/>
                <w:color w:val="auto"/>
                <w:szCs w:val="21"/>
                <w:lang w:val="zh-TW" w:eastAsia="zh-TW" w:bidi="zh-TW"/>
              </w:rPr>
            </w:pPr>
            <w:r>
              <w:rPr>
                <w:rFonts w:hint="eastAsia" w:ascii="宋体" w:hAnsi="宋体" w:cs="宋体"/>
                <w:color w:val="auto"/>
                <w:szCs w:val="21"/>
                <w:lang w:val="zh-TW" w:eastAsia="zh-TW" w:bidi="zh-TW"/>
              </w:rPr>
              <w:t>项目</w:t>
            </w:r>
          </w:p>
        </w:tc>
        <w:tc>
          <w:tcPr>
            <w:tcW w:w="1584" w:type="dxa"/>
            <w:vAlign w:val="center"/>
          </w:tcPr>
          <w:p w14:paraId="2F6777FD">
            <w:pPr>
              <w:spacing w:line="240" w:lineRule="exact"/>
              <w:jc w:val="center"/>
              <w:rPr>
                <w:rFonts w:ascii="宋体" w:hAnsi="宋体" w:cs="宋体"/>
                <w:color w:val="auto"/>
                <w:szCs w:val="21"/>
                <w:lang w:val="zh-TW" w:eastAsia="zh-TW" w:bidi="zh-TW"/>
              </w:rPr>
            </w:pPr>
            <w:r>
              <w:rPr>
                <w:rFonts w:hint="eastAsia" w:ascii="宋体" w:hAnsi="宋体" w:cs="宋体"/>
                <w:color w:val="auto"/>
                <w:szCs w:val="21"/>
                <w:lang w:val="zh-TW" w:eastAsia="zh-TW" w:bidi="zh-TW"/>
              </w:rPr>
              <w:t>评价对象</w:t>
            </w:r>
          </w:p>
        </w:tc>
        <w:tc>
          <w:tcPr>
            <w:tcW w:w="3996" w:type="dxa"/>
            <w:vAlign w:val="center"/>
          </w:tcPr>
          <w:p w14:paraId="09C127C5">
            <w:pPr>
              <w:spacing w:line="240" w:lineRule="exact"/>
              <w:jc w:val="center"/>
              <w:rPr>
                <w:rFonts w:ascii="宋体" w:hAnsi="宋体" w:cs="宋体"/>
                <w:color w:val="auto"/>
                <w:szCs w:val="21"/>
                <w:lang w:val="zh-TW" w:eastAsia="zh-TW" w:bidi="zh-TW"/>
              </w:rPr>
            </w:pPr>
            <w:r>
              <w:rPr>
                <w:rFonts w:hint="eastAsia" w:ascii="宋体" w:hAnsi="宋体" w:cs="宋体"/>
                <w:color w:val="auto"/>
                <w:szCs w:val="21"/>
                <w:lang w:val="zh-TW" w:eastAsia="zh-TW" w:bidi="zh-TW"/>
              </w:rPr>
              <w:t>评价内容及分值（评分标准）</w:t>
            </w:r>
          </w:p>
        </w:tc>
        <w:tc>
          <w:tcPr>
            <w:tcW w:w="1440" w:type="dxa"/>
            <w:vAlign w:val="center"/>
          </w:tcPr>
          <w:p w14:paraId="4F2FF686">
            <w:pPr>
              <w:spacing w:line="240" w:lineRule="exact"/>
              <w:jc w:val="center"/>
              <w:rPr>
                <w:rFonts w:ascii="宋体" w:hAnsi="宋体" w:cs="宋体"/>
                <w:color w:val="auto"/>
                <w:szCs w:val="21"/>
                <w:lang w:val="zh-TW" w:eastAsia="zh-TW" w:bidi="zh-TW"/>
              </w:rPr>
            </w:pPr>
            <w:r>
              <w:rPr>
                <w:rFonts w:hint="eastAsia" w:ascii="宋体" w:hAnsi="宋体" w:cs="宋体"/>
                <w:color w:val="auto"/>
                <w:szCs w:val="21"/>
                <w:lang w:val="zh-TW" w:eastAsia="zh-TW" w:bidi="zh-TW"/>
              </w:rPr>
              <w:t>检查情况</w:t>
            </w:r>
          </w:p>
          <w:p w14:paraId="7DA44B72">
            <w:pPr>
              <w:spacing w:line="240" w:lineRule="exact"/>
              <w:jc w:val="center"/>
              <w:rPr>
                <w:rFonts w:ascii="宋体" w:hAnsi="宋体" w:cs="宋体"/>
                <w:color w:val="auto"/>
                <w:szCs w:val="21"/>
                <w:lang w:val="zh-TW" w:eastAsia="zh-TW" w:bidi="zh-TW"/>
              </w:rPr>
            </w:pPr>
            <w:r>
              <w:rPr>
                <w:rFonts w:hint="eastAsia" w:ascii="宋体" w:hAnsi="宋体" w:cs="宋体"/>
                <w:color w:val="auto"/>
                <w:szCs w:val="21"/>
                <w:lang w:val="zh-TW" w:eastAsia="zh-TW" w:bidi="zh-TW"/>
              </w:rPr>
              <w:t>及得分</w:t>
            </w:r>
          </w:p>
        </w:tc>
        <w:tc>
          <w:tcPr>
            <w:tcW w:w="996" w:type="dxa"/>
            <w:vAlign w:val="center"/>
          </w:tcPr>
          <w:p w14:paraId="25D47124">
            <w:pPr>
              <w:spacing w:line="240" w:lineRule="exact"/>
              <w:jc w:val="center"/>
              <w:rPr>
                <w:rFonts w:ascii="宋体" w:hAnsi="宋体" w:cs="宋体"/>
                <w:color w:val="auto"/>
                <w:szCs w:val="21"/>
                <w:lang w:val="zh-TW" w:eastAsia="zh-TW" w:bidi="zh-TW"/>
              </w:rPr>
            </w:pPr>
            <w:r>
              <w:rPr>
                <w:rFonts w:hint="eastAsia" w:ascii="宋体" w:hAnsi="宋体" w:cs="宋体"/>
                <w:color w:val="auto"/>
                <w:szCs w:val="21"/>
                <w:lang w:val="zh-TW" w:eastAsia="zh-TW" w:bidi="zh-TW"/>
              </w:rPr>
              <w:t>备注</w:t>
            </w:r>
          </w:p>
        </w:tc>
      </w:tr>
      <w:tr w14:paraId="310A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152" w:type="dxa"/>
            <w:vAlign w:val="center"/>
          </w:tcPr>
          <w:p w14:paraId="50774BB1">
            <w:pPr>
              <w:spacing w:line="240" w:lineRule="exact"/>
              <w:jc w:val="center"/>
              <w:rPr>
                <w:rFonts w:ascii="宋体" w:hAnsi="宋体" w:cs="宋体"/>
                <w:color w:val="auto"/>
                <w:szCs w:val="21"/>
                <w:lang w:val="zh-TW" w:eastAsia="zh-TW" w:bidi="zh-TW"/>
              </w:rPr>
            </w:pPr>
            <w:r>
              <w:rPr>
                <w:rFonts w:hint="eastAsia" w:ascii="宋体" w:hAnsi="宋体" w:cs="宋体"/>
                <w:color w:val="auto"/>
                <w:szCs w:val="21"/>
                <w:lang w:val="zh-TW" w:eastAsia="zh-TW" w:bidi="zh-TW"/>
              </w:rPr>
              <w:t>现场</w:t>
            </w:r>
          </w:p>
          <w:p w14:paraId="63538C44">
            <w:pPr>
              <w:spacing w:line="240" w:lineRule="exact"/>
              <w:jc w:val="center"/>
              <w:rPr>
                <w:rFonts w:ascii="宋体" w:hAnsi="宋体" w:cs="宋体"/>
                <w:color w:val="auto"/>
                <w:szCs w:val="21"/>
                <w:lang w:bidi="zh-TW"/>
              </w:rPr>
            </w:pPr>
            <w:r>
              <w:rPr>
                <w:rFonts w:hint="eastAsia" w:ascii="宋体" w:hAnsi="宋体" w:cs="宋体"/>
                <w:color w:val="auto"/>
                <w:szCs w:val="21"/>
                <w:lang w:val="zh-TW" w:eastAsia="zh-TW" w:bidi="zh-TW"/>
              </w:rPr>
              <w:t>组织</w:t>
            </w:r>
          </w:p>
        </w:tc>
        <w:tc>
          <w:tcPr>
            <w:tcW w:w="1584" w:type="dxa"/>
            <w:vAlign w:val="center"/>
          </w:tcPr>
          <w:p w14:paraId="47810CB4">
            <w:pPr>
              <w:spacing w:line="240" w:lineRule="exact"/>
              <w:jc w:val="center"/>
              <w:rPr>
                <w:rFonts w:ascii="宋体" w:hAnsi="宋体" w:cs="宋体"/>
                <w:color w:val="auto"/>
                <w:szCs w:val="21"/>
                <w:lang w:val="zh-TW" w:eastAsia="zh-TW" w:bidi="zh-TW"/>
              </w:rPr>
            </w:pPr>
            <w:r>
              <w:rPr>
                <w:rFonts w:hint="eastAsia" w:ascii="宋体" w:hAnsi="宋体" w:cs="宋体"/>
                <w:color w:val="auto"/>
                <w:szCs w:val="21"/>
                <w:lang w:val="zh-TW" w:eastAsia="zh-TW" w:bidi="zh-TW"/>
              </w:rPr>
              <w:t>人员组织</w:t>
            </w:r>
          </w:p>
          <w:p w14:paraId="488E3264">
            <w:pPr>
              <w:spacing w:line="240" w:lineRule="exact"/>
              <w:jc w:val="center"/>
              <w:rPr>
                <w:rFonts w:ascii="宋体" w:hAnsi="宋体" w:cs="宋体"/>
                <w:color w:val="auto"/>
                <w:szCs w:val="21"/>
                <w:lang w:val="zh-TW" w:eastAsia="zh-TW" w:bidi="zh-TW"/>
              </w:rPr>
            </w:pPr>
            <w:r>
              <w:rPr>
                <w:rFonts w:hint="eastAsia" w:ascii="宋体" w:hAnsi="宋体" w:cs="宋体"/>
                <w:color w:val="auto"/>
                <w:szCs w:val="21"/>
                <w:lang w:val="zh-TW" w:eastAsia="zh-TW" w:bidi="zh-TW"/>
              </w:rPr>
              <w:t>（5分）</w:t>
            </w:r>
          </w:p>
        </w:tc>
        <w:tc>
          <w:tcPr>
            <w:tcW w:w="3996" w:type="dxa"/>
            <w:vAlign w:val="center"/>
          </w:tcPr>
          <w:p w14:paraId="7F4E7010">
            <w:pPr>
              <w:spacing w:line="240" w:lineRule="exact"/>
              <w:jc w:val="left"/>
              <w:rPr>
                <w:rFonts w:ascii="宋体" w:hAnsi="宋体" w:cs="宋体"/>
                <w:color w:val="auto"/>
                <w:szCs w:val="21"/>
                <w:lang w:val="zh-TW" w:eastAsia="zh-TW" w:bidi="zh-TW"/>
              </w:rPr>
            </w:pPr>
            <w:r>
              <w:rPr>
                <w:rFonts w:hint="eastAsia" w:ascii="宋体" w:hAnsi="宋体" w:cs="宋体"/>
                <w:color w:val="auto"/>
                <w:szCs w:val="21"/>
                <w:lang w:val="zh-TW" w:eastAsia="zh-TW" w:bidi="zh-TW"/>
              </w:rPr>
              <w:t>人员是否与合同约定人员一致（变更应有书面手续）（2分，有一个不一致扣2分）。专业能否满足现场需求（不能满足扣3分）</w:t>
            </w:r>
          </w:p>
        </w:tc>
        <w:tc>
          <w:tcPr>
            <w:tcW w:w="1440" w:type="dxa"/>
            <w:vAlign w:val="center"/>
          </w:tcPr>
          <w:p w14:paraId="11031525">
            <w:pPr>
              <w:widowControl/>
              <w:spacing w:line="240" w:lineRule="exact"/>
              <w:jc w:val="center"/>
              <w:rPr>
                <w:rFonts w:ascii="宋体" w:hAnsi="宋体" w:cs="宋体"/>
                <w:color w:val="auto"/>
                <w:sz w:val="24"/>
              </w:rPr>
            </w:pPr>
          </w:p>
        </w:tc>
        <w:tc>
          <w:tcPr>
            <w:tcW w:w="996" w:type="dxa"/>
            <w:vAlign w:val="center"/>
          </w:tcPr>
          <w:p w14:paraId="5E52B4CE">
            <w:pPr>
              <w:widowControl/>
              <w:spacing w:line="240" w:lineRule="exact"/>
              <w:jc w:val="center"/>
              <w:rPr>
                <w:rFonts w:ascii="宋体" w:hAnsi="宋体" w:cs="宋体"/>
                <w:color w:val="auto"/>
                <w:sz w:val="24"/>
              </w:rPr>
            </w:pPr>
          </w:p>
        </w:tc>
      </w:tr>
      <w:tr w14:paraId="04AF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52" w:type="dxa"/>
            <w:vMerge w:val="restart"/>
            <w:vAlign w:val="center"/>
          </w:tcPr>
          <w:p w14:paraId="68D4DBE3">
            <w:pPr>
              <w:spacing w:line="240" w:lineRule="exact"/>
              <w:jc w:val="center"/>
              <w:rPr>
                <w:rFonts w:ascii="宋体" w:hAnsi="宋体" w:cs="宋体"/>
                <w:color w:val="auto"/>
                <w:szCs w:val="21"/>
                <w:lang w:val="zh-TW" w:eastAsia="zh-TW" w:bidi="zh-TW"/>
              </w:rPr>
            </w:pPr>
            <w:r>
              <w:rPr>
                <w:rFonts w:hint="eastAsia" w:ascii="宋体" w:hAnsi="宋体" w:cs="宋体"/>
                <w:color w:val="auto"/>
                <w:szCs w:val="21"/>
                <w:lang w:val="zh-TW" w:eastAsia="zh-TW" w:bidi="zh-TW"/>
              </w:rPr>
              <w:t>日常</w:t>
            </w:r>
          </w:p>
          <w:p w14:paraId="3890D7E6">
            <w:pPr>
              <w:spacing w:line="240" w:lineRule="exact"/>
              <w:jc w:val="center"/>
              <w:rPr>
                <w:rFonts w:ascii="宋体" w:hAnsi="宋体" w:cs="宋体"/>
                <w:color w:val="auto"/>
                <w:szCs w:val="21"/>
                <w:lang w:bidi="zh-TW"/>
              </w:rPr>
            </w:pPr>
            <w:r>
              <w:rPr>
                <w:rFonts w:hint="eastAsia" w:ascii="宋体" w:hAnsi="宋体" w:cs="宋体"/>
                <w:color w:val="auto"/>
                <w:szCs w:val="21"/>
                <w:lang w:val="zh-TW" w:eastAsia="zh-TW" w:bidi="zh-TW"/>
              </w:rPr>
              <w:t>检查</w:t>
            </w:r>
          </w:p>
        </w:tc>
        <w:tc>
          <w:tcPr>
            <w:tcW w:w="1584" w:type="dxa"/>
            <w:vMerge w:val="restart"/>
            <w:vAlign w:val="center"/>
          </w:tcPr>
          <w:p w14:paraId="4B10FA33">
            <w:pPr>
              <w:spacing w:line="240" w:lineRule="exact"/>
              <w:jc w:val="center"/>
              <w:rPr>
                <w:rFonts w:ascii="宋体" w:hAnsi="宋体" w:cs="宋体"/>
                <w:color w:val="auto"/>
                <w:szCs w:val="21"/>
                <w:lang w:val="zh-TW" w:eastAsia="zh-TW" w:bidi="zh-TW"/>
              </w:rPr>
            </w:pPr>
            <w:r>
              <w:rPr>
                <w:rFonts w:hint="eastAsia" w:ascii="宋体" w:hAnsi="宋体" w:cs="宋体"/>
                <w:color w:val="auto"/>
                <w:szCs w:val="21"/>
                <w:lang w:val="zh-TW" w:eastAsia="zh-TW" w:bidi="zh-TW"/>
              </w:rPr>
              <w:t>人员到位及检查情况</w:t>
            </w:r>
          </w:p>
          <w:p w14:paraId="54EF67DD">
            <w:pPr>
              <w:spacing w:line="240" w:lineRule="exact"/>
              <w:jc w:val="center"/>
              <w:rPr>
                <w:rFonts w:ascii="宋体" w:hAnsi="宋体" w:cs="宋体"/>
                <w:color w:val="auto"/>
                <w:szCs w:val="21"/>
                <w:lang w:bidi="zh-TW"/>
              </w:rPr>
            </w:pPr>
            <w:r>
              <w:rPr>
                <w:rFonts w:hint="eastAsia" w:ascii="宋体" w:hAnsi="宋体" w:cs="宋体"/>
                <w:color w:val="auto"/>
                <w:szCs w:val="21"/>
                <w:lang w:val="zh-TW" w:eastAsia="zh-TW" w:bidi="zh-TW"/>
              </w:rPr>
              <w:t>（</w:t>
            </w:r>
            <w:r>
              <w:rPr>
                <w:rFonts w:hint="eastAsia" w:ascii="宋体" w:hAnsi="宋体" w:cs="宋体"/>
                <w:color w:val="auto"/>
                <w:szCs w:val="21"/>
                <w:lang w:bidi="zh-TW"/>
              </w:rPr>
              <w:t>10</w:t>
            </w:r>
            <w:r>
              <w:rPr>
                <w:rFonts w:hint="eastAsia" w:ascii="宋体" w:hAnsi="宋体" w:cs="宋体"/>
                <w:color w:val="auto"/>
                <w:szCs w:val="21"/>
                <w:lang w:val="zh-TW" w:eastAsia="zh-TW" w:bidi="zh-TW"/>
              </w:rPr>
              <w:t>分）</w:t>
            </w:r>
          </w:p>
        </w:tc>
        <w:tc>
          <w:tcPr>
            <w:tcW w:w="3996" w:type="dxa"/>
            <w:vAlign w:val="center"/>
          </w:tcPr>
          <w:p w14:paraId="62A481E8">
            <w:pPr>
              <w:spacing w:line="240" w:lineRule="exact"/>
              <w:jc w:val="left"/>
              <w:rPr>
                <w:rFonts w:ascii="宋体" w:hAnsi="宋体" w:cs="宋体"/>
                <w:color w:val="auto"/>
                <w:szCs w:val="21"/>
                <w:lang w:bidi="zh-TW"/>
              </w:rPr>
            </w:pPr>
            <w:r>
              <w:rPr>
                <w:rFonts w:hint="eastAsia" w:ascii="宋体" w:hAnsi="宋体" w:cs="宋体"/>
                <w:color w:val="auto"/>
                <w:szCs w:val="21"/>
                <w:lang w:bidi="zh-TW"/>
              </w:rPr>
              <w:t>巡查人员是否按照合同约定和检查计划到项目进行检查（共5分，发现一次扣5分）。</w:t>
            </w:r>
          </w:p>
        </w:tc>
        <w:tc>
          <w:tcPr>
            <w:tcW w:w="1440" w:type="dxa"/>
            <w:vAlign w:val="center"/>
          </w:tcPr>
          <w:p w14:paraId="3B3A76D7">
            <w:pPr>
              <w:widowControl/>
              <w:spacing w:line="240" w:lineRule="exact"/>
              <w:jc w:val="center"/>
              <w:rPr>
                <w:rFonts w:ascii="宋体" w:hAnsi="宋体" w:cs="宋体"/>
                <w:color w:val="auto"/>
                <w:sz w:val="24"/>
              </w:rPr>
            </w:pPr>
          </w:p>
        </w:tc>
        <w:tc>
          <w:tcPr>
            <w:tcW w:w="996" w:type="dxa"/>
            <w:vAlign w:val="center"/>
          </w:tcPr>
          <w:p w14:paraId="3D2BBF56">
            <w:pPr>
              <w:widowControl/>
              <w:spacing w:line="240" w:lineRule="exact"/>
              <w:jc w:val="center"/>
              <w:rPr>
                <w:rFonts w:ascii="宋体" w:hAnsi="宋体" w:cs="宋体"/>
                <w:color w:val="auto"/>
                <w:sz w:val="24"/>
              </w:rPr>
            </w:pPr>
          </w:p>
        </w:tc>
      </w:tr>
      <w:tr w14:paraId="51713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52" w:type="dxa"/>
            <w:vMerge w:val="continue"/>
            <w:vAlign w:val="center"/>
          </w:tcPr>
          <w:p w14:paraId="59430E70">
            <w:pPr>
              <w:spacing w:line="240" w:lineRule="exact"/>
              <w:jc w:val="center"/>
              <w:rPr>
                <w:rFonts w:ascii="宋体" w:hAnsi="宋体" w:cs="宋体"/>
                <w:color w:val="auto"/>
                <w:szCs w:val="21"/>
                <w:lang w:val="zh-TW" w:eastAsia="zh-TW" w:bidi="zh-TW"/>
              </w:rPr>
            </w:pPr>
          </w:p>
        </w:tc>
        <w:tc>
          <w:tcPr>
            <w:tcW w:w="1584" w:type="dxa"/>
            <w:vMerge w:val="continue"/>
            <w:vAlign w:val="center"/>
          </w:tcPr>
          <w:p w14:paraId="2756F644">
            <w:pPr>
              <w:spacing w:line="240" w:lineRule="exact"/>
              <w:jc w:val="center"/>
              <w:rPr>
                <w:rFonts w:ascii="宋体" w:hAnsi="宋体" w:cs="宋体"/>
                <w:color w:val="auto"/>
                <w:szCs w:val="21"/>
                <w:lang w:val="zh-TW" w:eastAsia="zh-TW" w:bidi="zh-TW"/>
              </w:rPr>
            </w:pPr>
          </w:p>
        </w:tc>
        <w:tc>
          <w:tcPr>
            <w:tcW w:w="3996" w:type="dxa"/>
            <w:vAlign w:val="center"/>
          </w:tcPr>
          <w:p w14:paraId="7CC83675">
            <w:pPr>
              <w:spacing w:line="240" w:lineRule="exact"/>
              <w:jc w:val="left"/>
              <w:rPr>
                <w:rFonts w:ascii="宋体" w:hAnsi="宋体" w:cs="宋体"/>
                <w:color w:val="auto"/>
                <w:szCs w:val="21"/>
                <w:lang w:bidi="zh-TW"/>
              </w:rPr>
            </w:pPr>
            <w:r>
              <w:rPr>
                <w:rFonts w:hint="eastAsia" w:ascii="宋体" w:hAnsi="宋体" w:cs="宋体"/>
                <w:color w:val="auto"/>
                <w:szCs w:val="21"/>
                <w:lang w:bidi="zh-TW"/>
              </w:rPr>
              <w:t>驻点人员是否到岗履职（共5分，人员不在岗扣5分）</w:t>
            </w:r>
          </w:p>
        </w:tc>
        <w:tc>
          <w:tcPr>
            <w:tcW w:w="1440" w:type="dxa"/>
            <w:vAlign w:val="center"/>
          </w:tcPr>
          <w:p w14:paraId="62A9B7BE">
            <w:pPr>
              <w:spacing w:line="240" w:lineRule="exact"/>
              <w:jc w:val="center"/>
              <w:rPr>
                <w:rFonts w:ascii="宋体" w:hAnsi="宋体" w:cs="宋体"/>
                <w:color w:val="auto"/>
                <w:sz w:val="24"/>
                <w:lang w:val="zh-TW" w:eastAsia="zh-TW" w:bidi="zh-TW"/>
              </w:rPr>
            </w:pPr>
          </w:p>
        </w:tc>
        <w:tc>
          <w:tcPr>
            <w:tcW w:w="996" w:type="dxa"/>
            <w:vAlign w:val="center"/>
          </w:tcPr>
          <w:p w14:paraId="758417E9">
            <w:pPr>
              <w:spacing w:line="240" w:lineRule="exact"/>
              <w:jc w:val="center"/>
              <w:rPr>
                <w:rFonts w:ascii="宋体" w:hAnsi="宋体" w:cs="宋体"/>
                <w:color w:val="auto"/>
                <w:sz w:val="24"/>
                <w:lang w:val="zh-TW" w:eastAsia="zh-TW" w:bidi="zh-TW"/>
              </w:rPr>
            </w:pPr>
          </w:p>
        </w:tc>
      </w:tr>
      <w:tr w14:paraId="4759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152" w:type="dxa"/>
            <w:vMerge w:val="restart"/>
            <w:vAlign w:val="center"/>
          </w:tcPr>
          <w:p w14:paraId="6C5C1F7B">
            <w:pPr>
              <w:spacing w:line="240" w:lineRule="exact"/>
              <w:jc w:val="center"/>
              <w:rPr>
                <w:rFonts w:ascii="宋体" w:hAnsi="宋体" w:cs="宋体"/>
                <w:color w:val="auto"/>
                <w:szCs w:val="21"/>
                <w:lang w:bidi="zh-TW"/>
              </w:rPr>
            </w:pPr>
            <w:r>
              <w:rPr>
                <w:rFonts w:hint="eastAsia" w:ascii="宋体" w:hAnsi="宋体" w:cs="宋体"/>
                <w:color w:val="auto"/>
                <w:szCs w:val="21"/>
                <w:lang w:bidi="zh-TW"/>
              </w:rPr>
              <w:t>管理规</w:t>
            </w:r>
          </w:p>
          <w:p w14:paraId="79576A18">
            <w:pPr>
              <w:spacing w:line="240" w:lineRule="exact"/>
              <w:jc w:val="center"/>
              <w:rPr>
                <w:rFonts w:ascii="宋体" w:hAnsi="宋体" w:cs="宋体"/>
                <w:color w:val="auto"/>
                <w:szCs w:val="21"/>
                <w:lang w:bidi="zh-TW"/>
              </w:rPr>
            </w:pPr>
            <w:r>
              <w:rPr>
                <w:rFonts w:hint="eastAsia" w:ascii="宋体" w:hAnsi="宋体" w:cs="宋体"/>
                <w:color w:val="auto"/>
                <w:szCs w:val="21"/>
                <w:lang w:bidi="zh-TW"/>
              </w:rPr>
              <w:t>划或实</w:t>
            </w:r>
          </w:p>
          <w:p w14:paraId="7C23FA38">
            <w:pPr>
              <w:spacing w:line="240" w:lineRule="exact"/>
              <w:jc w:val="center"/>
              <w:rPr>
                <w:rFonts w:ascii="宋体" w:hAnsi="宋体" w:cs="宋体"/>
                <w:color w:val="auto"/>
                <w:szCs w:val="21"/>
                <w:lang w:bidi="zh-TW"/>
              </w:rPr>
            </w:pPr>
            <w:r>
              <w:rPr>
                <w:rFonts w:hint="eastAsia" w:ascii="宋体" w:hAnsi="宋体" w:cs="宋体"/>
                <w:color w:val="auto"/>
                <w:szCs w:val="21"/>
                <w:lang w:bidi="zh-TW"/>
              </w:rPr>
              <w:t>施细则</w:t>
            </w:r>
          </w:p>
        </w:tc>
        <w:tc>
          <w:tcPr>
            <w:tcW w:w="1584" w:type="dxa"/>
            <w:vMerge w:val="restart"/>
            <w:vAlign w:val="center"/>
          </w:tcPr>
          <w:p w14:paraId="0353CFED">
            <w:pPr>
              <w:spacing w:line="240" w:lineRule="exact"/>
              <w:jc w:val="center"/>
              <w:rPr>
                <w:rFonts w:ascii="宋体" w:hAnsi="宋体" w:cs="宋体"/>
                <w:color w:val="auto"/>
                <w:szCs w:val="21"/>
                <w:lang w:val="zh-TW" w:eastAsia="zh-TW" w:bidi="zh-TW"/>
              </w:rPr>
            </w:pPr>
            <w:r>
              <w:rPr>
                <w:rFonts w:hint="eastAsia" w:ascii="宋体" w:hAnsi="宋体" w:cs="宋体"/>
                <w:color w:val="auto"/>
                <w:szCs w:val="21"/>
                <w:lang w:val="zh-TW" w:eastAsia="zh-TW" w:bidi="zh-TW"/>
              </w:rPr>
              <w:t>内容（20分）</w:t>
            </w:r>
          </w:p>
        </w:tc>
        <w:tc>
          <w:tcPr>
            <w:tcW w:w="3996" w:type="dxa"/>
            <w:vAlign w:val="center"/>
          </w:tcPr>
          <w:p w14:paraId="748DDA55">
            <w:pPr>
              <w:spacing w:line="240" w:lineRule="exact"/>
              <w:jc w:val="left"/>
              <w:rPr>
                <w:rFonts w:ascii="宋体" w:hAnsi="宋体" w:cs="宋体"/>
                <w:color w:val="auto"/>
                <w:szCs w:val="21"/>
                <w:lang w:eastAsia="zh-TW" w:bidi="zh-TW"/>
              </w:rPr>
            </w:pPr>
            <w:r>
              <w:rPr>
                <w:rFonts w:hint="eastAsia" w:ascii="宋体" w:hAnsi="宋体" w:cs="宋体"/>
                <w:color w:val="auto"/>
                <w:szCs w:val="21"/>
                <w:lang w:eastAsia="zh-TW" w:bidi="zh-TW"/>
              </w:rPr>
              <w:t>配合完成开发区建设局相关安全资料及上级来文的执行。（共15分，未按要求完成扣1分/次）</w:t>
            </w:r>
          </w:p>
        </w:tc>
        <w:tc>
          <w:tcPr>
            <w:tcW w:w="1440" w:type="dxa"/>
            <w:vAlign w:val="center"/>
          </w:tcPr>
          <w:p w14:paraId="3089FD8A">
            <w:pPr>
              <w:widowControl/>
              <w:spacing w:line="240" w:lineRule="exact"/>
              <w:jc w:val="center"/>
              <w:rPr>
                <w:rFonts w:ascii="宋体" w:hAnsi="宋体" w:cs="宋体"/>
                <w:color w:val="auto"/>
                <w:sz w:val="24"/>
                <w:lang w:eastAsia="zh-TW"/>
              </w:rPr>
            </w:pPr>
          </w:p>
        </w:tc>
        <w:tc>
          <w:tcPr>
            <w:tcW w:w="996" w:type="dxa"/>
            <w:vAlign w:val="center"/>
          </w:tcPr>
          <w:p w14:paraId="01029256">
            <w:pPr>
              <w:widowControl/>
              <w:spacing w:line="240" w:lineRule="exact"/>
              <w:jc w:val="center"/>
              <w:rPr>
                <w:rFonts w:ascii="宋体" w:hAnsi="宋体" w:cs="宋体"/>
                <w:color w:val="auto"/>
                <w:sz w:val="24"/>
                <w:lang w:eastAsia="zh-TW"/>
              </w:rPr>
            </w:pPr>
          </w:p>
        </w:tc>
      </w:tr>
      <w:tr w14:paraId="17B2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52" w:type="dxa"/>
            <w:vMerge w:val="continue"/>
            <w:vAlign w:val="center"/>
          </w:tcPr>
          <w:p w14:paraId="089F107E">
            <w:pPr>
              <w:spacing w:line="240" w:lineRule="exact"/>
              <w:jc w:val="center"/>
              <w:rPr>
                <w:rFonts w:ascii="宋体" w:hAnsi="宋体" w:cs="宋体"/>
                <w:color w:val="auto"/>
                <w:szCs w:val="21"/>
                <w:lang w:eastAsia="zh-TW" w:bidi="zh-TW"/>
              </w:rPr>
            </w:pPr>
          </w:p>
        </w:tc>
        <w:tc>
          <w:tcPr>
            <w:tcW w:w="1584" w:type="dxa"/>
            <w:vMerge w:val="continue"/>
            <w:vAlign w:val="center"/>
          </w:tcPr>
          <w:p w14:paraId="7D52C378">
            <w:pPr>
              <w:spacing w:line="240" w:lineRule="exact"/>
              <w:jc w:val="center"/>
              <w:rPr>
                <w:rFonts w:ascii="宋体" w:hAnsi="宋体" w:cs="宋体"/>
                <w:color w:val="auto"/>
                <w:szCs w:val="21"/>
                <w:lang w:eastAsia="zh-TW" w:bidi="zh-TW"/>
              </w:rPr>
            </w:pPr>
          </w:p>
        </w:tc>
        <w:tc>
          <w:tcPr>
            <w:tcW w:w="3996" w:type="dxa"/>
            <w:vAlign w:val="center"/>
          </w:tcPr>
          <w:p w14:paraId="0A8ECA7B">
            <w:pPr>
              <w:spacing w:line="240" w:lineRule="exact"/>
              <w:jc w:val="left"/>
              <w:rPr>
                <w:rFonts w:ascii="宋体" w:hAnsi="宋体" w:cs="宋体"/>
                <w:color w:val="auto"/>
                <w:szCs w:val="21"/>
                <w:lang w:bidi="zh-TW"/>
              </w:rPr>
            </w:pPr>
            <w:r>
              <w:rPr>
                <w:rFonts w:hint="eastAsia" w:ascii="宋体" w:hAnsi="宋体" w:cs="宋体"/>
                <w:color w:val="auto"/>
                <w:szCs w:val="21"/>
                <w:lang w:bidi="zh-TW"/>
              </w:rPr>
              <w:t>已实施或将实施工程是否有相关内容。制定标准是否正确，考核方法是否恰当（共5分，基本符合扣0.5分/项，不符扣1分/项）</w:t>
            </w:r>
          </w:p>
        </w:tc>
        <w:tc>
          <w:tcPr>
            <w:tcW w:w="1440" w:type="dxa"/>
            <w:vAlign w:val="center"/>
          </w:tcPr>
          <w:p w14:paraId="293E93D5">
            <w:pPr>
              <w:widowControl/>
              <w:spacing w:line="240" w:lineRule="exact"/>
              <w:jc w:val="center"/>
              <w:rPr>
                <w:rFonts w:ascii="宋体" w:hAnsi="宋体" w:cs="宋体"/>
                <w:color w:val="auto"/>
                <w:sz w:val="24"/>
              </w:rPr>
            </w:pPr>
          </w:p>
        </w:tc>
        <w:tc>
          <w:tcPr>
            <w:tcW w:w="996" w:type="dxa"/>
            <w:vAlign w:val="center"/>
          </w:tcPr>
          <w:p w14:paraId="0D3A3795">
            <w:pPr>
              <w:widowControl/>
              <w:spacing w:line="240" w:lineRule="exact"/>
              <w:jc w:val="center"/>
              <w:rPr>
                <w:rFonts w:ascii="宋体" w:hAnsi="宋体" w:cs="宋体"/>
                <w:color w:val="auto"/>
                <w:sz w:val="24"/>
              </w:rPr>
            </w:pPr>
          </w:p>
        </w:tc>
      </w:tr>
      <w:tr w14:paraId="6A59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152" w:type="dxa"/>
            <w:vMerge w:val="restart"/>
            <w:vAlign w:val="center"/>
          </w:tcPr>
          <w:p w14:paraId="185DFC52">
            <w:pPr>
              <w:spacing w:line="240" w:lineRule="exact"/>
              <w:jc w:val="center"/>
              <w:rPr>
                <w:rFonts w:ascii="宋体" w:hAnsi="宋体" w:cs="宋体"/>
                <w:color w:val="auto"/>
                <w:szCs w:val="21"/>
                <w:lang w:bidi="zh-TW"/>
              </w:rPr>
            </w:pPr>
            <w:r>
              <w:rPr>
                <w:rFonts w:hint="eastAsia" w:ascii="宋体" w:hAnsi="宋体" w:cs="宋体"/>
                <w:color w:val="auto"/>
                <w:szCs w:val="21"/>
                <w:lang w:bidi="zh-TW"/>
              </w:rPr>
              <w:t>安全巡查报告</w:t>
            </w:r>
          </w:p>
        </w:tc>
        <w:tc>
          <w:tcPr>
            <w:tcW w:w="1584" w:type="dxa"/>
            <w:vMerge w:val="restart"/>
            <w:vAlign w:val="center"/>
          </w:tcPr>
          <w:p w14:paraId="08F5E5BA">
            <w:pPr>
              <w:spacing w:line="240" w:lineRule="exact"/>
              <w:jc w:val="center"/>
              <w:rPr>
                <w:rFonts w:ascii="宋体" w:hAnsi="宋体" w:cs="宋体"/>
                <w:color w:val="auto"/>
                <w:szCs w:val="21"/>
                <w:lang w:bidi="zh-TW"/>
              </w:rPr>
            </w:pPr>
            <w:r>
              <w:rPr>
                <w:rFonts w:hint="eastAsia" w:ascii="宋体" w:hAnsi="宋体" w:cs="宋体"/>
                <w:color w:val="auto"/>
                <w:szCs w:val="21"/>
                <w:lang w:bidi="zh-TW"/>
              </w:rPr>
              <w:t>日报、周报、月报及安全专项会议</w:t>
            </w:r>
          </w:p>
          <w:p w14:paraId="77936B9E">
            <w:pPr>
              <w:spacing w:line="240" w:lineRule="exact"/>
              <w:jc w:val="center"/>
              <w:rPr>
                <w:rFonts w:ascii="宋体" w:hAnsi="宋体" w:cs="宋体"/>
                <w:color w:val="auto"/>
                <w:szCs w:val="21"/>
                <w:lang w:bidi="zh-TW"/>
              </w:rPr>
            </w:pPr>
            <w:r>
              <w:rPr>
                <w:rFonts w:hint="eastAsia" w:ascii="宋体" w:hAnsi="宋体" w:cs="宋体"/>
                <w:color w:val="auto"/>
                <w:szCs w:val="21"/>
                <w:lang w:bidi="zh-TW"/>
              </w:rPr>
              <w:t>（20分）</w:t>
            </w:r>
          </w:p>
        </w:tc>
        <w:tc>
          <w:tcPr>
            <w:tcW w:w="3996" w:type="dxa"/>
            <w:vAlign w:val="center"/>
          </w:tcPr>
          <w:p w14:paraId="678C8EF4">
            <w:pPr>
              <w:spacing w:line="240" w:lineRule="exact"/>
              <w:jc w:val="left"/>
              <w:rPr>
                <w:rFonts w:ascii="宋体" w:hAnsi="宋体" w:cs="宋体"/>
                <w:color w:val="auto"/>
                <w:szCs w:val="21"/>
                <w:lang w:bidi="zh-TW"/>
              </w:rPr>
            </w:pPr>
            <w:r>
              <w:rPr>
                <w:rFonts w:hint="eastAsia" w:ascii="宋体" w:hAnsi="宋体" w:cs="宋体"/>
                <w:color w:val="auto"/>
                <w:szCs w:val="21"/>
                <w:lang w:bidi="zh-TW"/>
              </w:rPr>
              <w:t>安全巡查日报</w:t>
            </w:r>
            <w:r>
              <w:rPr>
                <w:rFonts w:hint="eastAsia" w:ascii="宋体" w:hAnsi="宋体" w:cs="宋体"/>
                <w:color w:val="auto"/>
                <w:szCs w:val="21"/>
                <w:lang w:val="zh-TW" w:eastAsia="zh-TW" w:bidi="zh-TW"/>
              </w:rPr>
              <w:t>、</w:t>
            </w:r>
            <w:r>
              <w:rPr>
                <w:rFonts w:hint="eastAsia" w:ascii="宋体" w:hAnsi="宋体" w:cs="宋体"/>
                <w:color w:val="auto"/>
                <w:szCs w:val="21"/>
                <w:lang w:bidi="zh-TW"/>
              </w:rPr>
              <w:t>周报、</w:t>
            </w:r>
            <w:r>
              <w:rPr>
                <w:rFonts w:hint="eastAsia" w:ascii="宋体" w:hAnsi="宋体" w:cs="宋体"/>
                <w:color w:val="auto"/>
                <w:szCs w:val="21"/>
                <w:lang w:val="zh-TW" w:eastAsia="zh-TW" w:bidi="zh-TW"/>
              </w:rPr>
              <w:t>月报</w:t>
            </w:r>
            <w:r>
              <w:rPr>
                <w:rFonts w:hint="eastAsia" w:ascii="宋体" w:hAnsi="宋体" w:cs="宋体"/>
                <w:color w:val="auto"/>
                <w:szCs w:val="21"/>
                <w:lang w:bidi="zh-TW"/>
              </w:rPr>
              <w:t>及安全专项会议</w:t>
            </w:r>
            <w:r>
              <w:rPr>
                <w:rFonts w:hint="eastAsia" w:ascii="宋体" w:hAnsi="宋体" w:cs="宋体"/>
                <w:color w:val="auto"/>
                <w:szCs w:val="21"/>
                <w:lang w:val="zh-TW" w:eastAsia="zh-TW" w:bidi="zh-TW"/>
              </w:rPr>
              <w:t>是否按时（共15分，缺扣5</w:t>
            </w:r>
            <w:r>
              <w:rPr>
                <w:rFonts w:hint="eastAsia" w:ascii="宋体" w:hAnsi="宋体" w:cs="宋体"/>
                <w:color w:val="auto"/>
                <w:szCs w:val="21"/>
                <w:lang w:val="zh-TW" w:eastAsia="zh-CN" w:bidi="zh-TW"/>
              </w:rPr>
              <w:t>分</w:t>
            </w:r>
            <w:r>
              <w:rPr>
                <w:rFonts w:hint="eastAsia" w:ascii="宋体" w:hAnsi="宋体" w:cs="宋体"/>
                <w:color w:val="auto"/>
                <w:szCs w:val="21"/>
                <w:lang w:val="zh-TW" w:eastAsia="zh-TW" w:bidi="zh-TW"/>
              </w:rPr>
              <w:t>/项，不及时扣2分/项）</w:t>
            </w:r>
          </w:p>
        </w:tc>
        <w:tc>
          <w:tcPr>
            <w:tcW w:w="1440" w:type="dxa"/>
            <w:vAlign w:val="center"/>
          </w:tcPr>
          <w:p w14:paraId="14D1B002">
            <w:pPr>
              <w:widowControl/>
              <w:spacing w:line="240" w:lineRule="exact"/>
              <w:jc w:val="center"/>
              <w:rPr>
                <w:rFonts w:ascii="宋体" w:hAnsi="宋体" w:cs="宋体"/>
                <w:color w:val="auto"/>
                <w:sz w:val="24"/>
              </w:rPr>
            </w:pPr>
          </w:p>
        </w:tc>
        <w:tc>
          <w:tcPr>
            <w:tcW w:w="996" w:type="dxa"/>
            <w:vAlign w:val="center"/>
          </w:tcPr>
          <w:p w14:paraId="07C343EB">
            <w:pPr>
              <w:widowControl/>
              <w:spacing w:line="240" w:lineRule="exact"/>
              <w:jc w:val="center"/>
              <w:rPr>
                <w:rFonts w:ascii="宋体" w:hAnsi="宋体" w:cs="宋体"/>
                <w:color w:val="auto"/>
                <w:sz w:val="24"/>
              </w:rPr>
            </w:pPr>
          </w:p>
        </w:tc>
      </w:tr>
      <w:tr w14:paraId="045F6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52" w:type="dxa"/>
            <w:vMerge w:val="continue"/>
            <w:vAlign w:val="center"/>
          </w:tcPr>
          <w:p w14:paraId="423BBA95">
            <w:pPr>
              <w:spacing w:line="240" w:lineRule="exact"/>
              <w:jc w:val="left"/>
              <w:rPr>
                <w:rFonts w:ascii="宋体" w:hAnsi="宋体" w:cs="宋体"/>
                <w:color w:val="auto"/>
                <w:szCs w:val="21"/>
                <w:lang w:bidi="zh-TW"/>
              </w:rPr>
            </w:pPr>
          </w:p>
        </w:tc>
        <w:tc>
          <w:tcPr>
            <w:tcW w:w="1584" w:type="dxa"/>
            <w:vMerge w:val="continue"/>
            <w:vAlign w:val="center"/>
          </w:tcPr>
          <w:p w14:paraId="1031DF43">
            <w:pPr>
              <w:spacing w:line="240" w:lineRule="exact"/>
              <w:jc w:val="left"/>
              <w:rPr>
                <w:rFonts w:ascii="宋体" w:hAnsi="宋体" w:cs="宋体"/>
                <w:color w:val="auto"/>
                <w:szCs w:val="21"/>
                <w:lang w:bidi="zh-TW"/>
              </w:rPr>
            </w:pPr>
          </w:p>
        </w:tc>
        <w:tc>
          <w:tcPr>
            <w:tcW w:w="3996" w:type="dxa"/>
            <w:vAlign w:val="center"/>
          </w:tcPr>
          <w:p w14:paraId="4D944ADC">
            <w:pPr>
              <w:spacing w:line="240" w:lineRule="exact"/>
              <w:jc w:val="left"/>
              <w:rPr>
                <w:rFonts w:ascii="宋体" w:hAnsi="宋体" w:cs="宋体"/>
                <w:color w:val="auto"/>
                <w:szCs w:val="21"/>
                <w:lang w:bidi="zh-TW"/>
              </w:rPr>
            </w:pPr>
            <w:r>
              <w:rPr>
                <w:rFonts w:hint="eastAsia" w:ascii="宋体" w:hAnsi="宋体" w:cs="宋体"/>
                <w:color w:val="auto"/>
                <w:szCs w:val="21"/>
                <w:lang w:val="zh-TW" w:eastAsia="zh-TW" w:bidi="zh-TW"/>
              </w:rPr>
              <w:t>内容是否完整（共5分，扣1分/ 项）</w:t>
            </w:r>
          </w:p>
        </w:tc>
        <w:tc>
          <w:tcPr>
            <w:tcW w:w="1440" w:type="dxa"/>
            <w:vAlign w:val="center"/>
          </w:tcPr>
          <w:p w14:paraId="46CA771F">
            <w:pPr>
              <w:widowControl/>
              <w:spacing w:line="240" w:lineRule="exact"/>
              <w:jc w:val="center"/>
              <w:rPr>
                <w:rFonts w:ascii="宋体" w:hAnsi="宋体" w:cs="宋体"/>
                <w:color w:val="auto"/>
                <w:sz w:val="24"/>
              </w:rPr>
            </w:pPr>
          </w:p>
        </w:tc>
        <w:tc>
          <w:tcPr>
            <w:tcW w:w="996" w:type="dxa"/>
            <w:vAlign w:val="center"/>
          </w:tcPr>
          <w:p w14:paraId="587B022C">
            <w:pPr>
              <w:widowControl/>
              <w:spacing w:line="240" w:lineRule="exact"/>
              <w:jc w:val="center"/>
              <w:rPr>
                <w:rFonts w:ascii="宋体" w:hAnsi="宋体" w:cs="宋体"/>
                <w:color w:val="auto"/>
                <w:sz w:val="24"/>
              </w:rPr>
            </w:pPr>
          </w:p>
        </w:tc>
      </w:tr>
      <w:tr w14:paraId="413A3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52" w:type="dxa"/>
            <w:vMerge w:val="restart"/>
            <w:vAlign w:val="center"/>
          </w:tcPr>
          <w:p w14:paraId="76B62ADE">
            <w:pPr>
              <w:spacing w:line="240" w:lineRule="exact"/>
              <w:jc w:val="center"/>
              <w:rPr>
                <w:rFonts w:ascii="宋体" w:hAnsi="宋体" w:cs="宋体"/>
                <w:color w:val="auto"/>
                <w:szCs w:val="21"/>
                <w:lang w:val="zh-TW" w:eastAsia="zh-TW" w:bidi="zh-TW"/>
              </w:rPr>
            </w:pPr>
            <w:r>
              <w:rPr>
                <w:rFonts w:hint="eastAsia" w:ascii="宋体" w:hAnsi="宋体" w:cs="宋体"/>
                <w:color w:val="auto"/>
                <w:szCs w:val="21"/>
                <w:lang w:val="zh-TW" w:eastAsia="zh-TW" w:bidi="zh-TW"/>
              </w:rPr>
              <w:t>安全文</w:t>
            </w:r>
          </w:p>
          <w:p w14:paraId="1A4B3D22">
            <w:pPr>
              <w:spacing w:line="240" w:lineRule="exact"/>
              <w:jc w:val="center"/>
              <w:rPr>
                <w:rFonts w:ascii="宋体" w:hAnsi="宋体" w:cs="宋体"/>
                <w:color w:val="auto"/>
                <w:szCs w:val="21"/>
                <w:lang w:bidi="zh-TW"/>
              </w:rPr>
            </w:pPr>
            <w:r>
              <w:rPr>
                <w:rFonts w:hint="eastAsia" w:ascii="宋体" w:hAnsi="宋体" w:cs="宋体"/>
                <w:color w:val="auto"/>
                <w:szCs w:val="21"/>
                <w:lang w:val="zh-TW" w:eastAsia="zh-TW" w:bidi="zh-TW"/>
              </w:rPr>
              <w:t>明施工</w:t>
            </w:r>
          </w:p>
        </w:tc>
        <w:tc>
          <w:tcPr>
            <w:tcW w:w="1584" w:type="dxa"/>
            <w:vMerge w:val="restart"/>
            <w:vAlign w:val="center"/>
          </w:tcPr>
          <w:p w14:paraId="55A2B8A8">
            <w:pPr>
              <w:spacing w:line="240" w:lineRule="exact"/>
              <w:jc w:val="center"/>
              <w:rPr>
                <w:rFonts w:ascii="宋体" w:hAnsi="宋体" w:cs="宋体"/>
                <w:color w:val="auto"/>
                <w:szCs w:val="21"/>
                <w:lang w:bidi="zh-TW"/>
              </w:rPr>
            </w:pPr>
            <w:r>
              <w:rPr>
                <w:rFonts w:hint="eastAsia" w:ascii="宋体" w:hAnsi="宋体" w:cs="宋体"/>
                <w:color w:val="auto"/>
                <w:szCs w:val="21"/>
                <w:lang w:bidi="zh-TW"/>
              </w:rPr>
              <w:t>安全、文明施工情况</w:t>
            </w:r>
          </w:p>
          <w:p w14:paraId="6BA99A19">
            <w:pPr>
              <w:spacing w:line="240" w:lineRule="exact"/>
              <w:jc w:val="center"/>
              <w:rPr>
                <w:rFonts w:ascii="宋体" w:hAnsi="宋体" w:cs="宋体"/>
                <w:color w:val="auto"/>
                <w:szCs w:val="21"/>
                <w:lang w:bidi="zh-TW"/>
              </w:rPr>
            </w:pPr>
            <w:r>
              <w:rPr>
                <w:rFonts w:hint="eastAsia" w:ascii="宋体" w:hAnsi="宋体" w:cs="宋体"/>
                <w:color w:val="auto"/>
                <w:szCs w:val="21"/>
                <w:lang w:bidi="zh-TW"/>
              </w:rPr>
              <w:t>（35分）</w:t>
            </w:r>
          </w:p>
        </w:tc>
        <w:tc>
          <w:tcPr>
            <w:tcW w:w="3996" w:type="dxa"/>
            <w:vAlign w:val="center"/>
          </w:tcPr>
          <w:p w14:paraId="752FE255">
            <w:pPr>
              <w:spacing w:line="240" w:lineRule="exact"/>
              <w:jc w:val="left"/>
              <w:rPr>
                <w:rFonts w:ascii="宋体" w:hAnsi="宋体" w:cs="宋体"/>
                <w:color w:val="auto"/>
                <w:sz w:val="24"/>
                <w:lang w:bidi="zh-TW"/>
              </w:rPr>
            </w:pPr>
            <w:r>
              <w:rPr>
                <w:rFonts w:hint="eastAsia" w:ascii="宋体" w:hAnsi="宋体" w:cs="宋体"/>
                <w:color w:val="auto"/>
                <w:szCs w:val="21"/>
                <w:lang w:val="zh-TW" w:eastAsia="zh-TW" w:bidi="zh-TW"/>
              </w:rPr>
              <w:t>未发现</w:t>
            </w:r>
            <w:r>
              <w:rPr>
                <w:rFonts w:hint="eastAsia" w:ascii="宋体" w:hAnsi="宋体" w:cs="宋体"/>
                <w:color w:val="auto"/>
                <w:szCs w:val="21"/>
                <w:lang w:bidi="zh-TW"/>
              </w:rPr>
              <w:t>现</w:t>
            </w:r>
            <w:r>
              <w:rPr>
                <w:rFonts w:hint="eastAsia" w:ascii="宋体" w:hAnsi="宋体" w:cs="宋体"/>
                <w:color w:val="auto"/>
                <w:szCs w:val="21"/>
                <w:lang w:val="zh-TW" w:eastAsia="zh-TW" w:bidi="zh-TW"/>
              </w:rPr>
              <w:t>场存在安全事故隐患（计5 分,存在一处安全隐患扣1分，扣完为止）</w:t>
            </w:r>
          </w:p>
        </w:tc>
        <w:tc>
          <w:tcPr>
            <w:tcW w:w="1440" w:type="dxa"/>
            <w:vAlign w:val="center"/>
          </w:tcPr>
          <w:p w14:paraId="4D093928">
            <w:pPr>
              <w:widowControl/>
              <w:spacing w:line="240" w:lineRule="exact"/>
              <w:jc w:val="center"/>
              <w:rPr>
                <w:rFonts w:ascii="宋体" w:hAnsi="宋体" w:cs="宋体"/>
                <w:color w:val="auto"/>
                <w:sz w:val="24"/>
              </w:rPr>
            </w:pPr>
          </w:p>
        </w:tc>
        <w:tc>
          <w:tcPr>
            <w:tcW w:w="996" w:type="dxa"/>
            <w:vAlign w:val="center"/>
          </w:tcPr>
          <w:p w14:paraId="1EB0ACBA">
            <w:pPr>
              <w:widowControl/>
              <w:spacing w:line="240" w:lineRule="exact"/>
              <w:jc w:val="center"/>
              <w:rPr>
                <w:rFonts w:ascii="宋体" w:hAnsi="宋体" w:cs="宋体"/>
                <w:color w:val="auto"/>
                <w:sz w:val="24"/>
              </w:rPr>
            </w:pPr>
          </w:p>
        </w:tc>
      </w:tr>
      <w:tr w14:paraId="1D4F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152" w:type="dxa"/>
            <w:vMerge w:val="continue"/>
            <w:vAlign w:val="center"/>
          </w:tcPr>
          <w:p w14:paraId="60C2060B">
            <w:pPr>
              <w:spacing w:line="240" w:lineRule="exact"/>
              <w:jc w:val="center"/>
              <w:rPr>
                <w:rFonts w:ascii="宋体" w:hAnsi="宋体" w:cs="宋体"/>
                <w:color w:val="auto"/>
                <w:szCs w:val="21"/>
                <w:lang w:val="zh-TW" w:eastAsia="zh-TW" w:bidi="zh-TW"/>
              </w:rPr>
            </w:pPr>
          </w:p>
        </w:tc>
        <w:tc>
          <w:tcPr>
            <w:tcW w:w="1584" w:type="dxa"/>
            <w:vMerge w:val="continue"/>
            <w:vAlign w:val="center"/>
          </w:tcPr>
          <w:p w14:paraId="465C665F">
            <w:pPr>
              <w:spacing w:line="240" w:lineRule="exact"/>
              <w:jc w:val="center"/>
              <w:rPr>
                <w:rFonts w:ascii="宋体" w:hAnsi="宋体" w:cs="宋体"/>
                <w:color w:val="auto"/>
                <w:szCs w:val="21"/>
                <w:lang w:val="zh-TW" w:eastAsia="zh-TW" w:bidi="zh-TW"/>
              </w:rPr>
            </w:pPr>
          </w:p>
        </w:tc>
        <w:tc>
          <w:tcPr>
            <w:tcW w:w="3996" w:type="dxa"/>
            <w:vAlign w:val="center"/>
          </w:tcPr>
          <w:p w14:paraId="18CF45E7">
            <w:pPr>
              <w:spacing w:line="240" w:lineRule="exact"/>
              <w:jc w:val="left"/>
              <w:rPr>
                <w:rFonts w:ascii="宋体" w:hAnsi="宋体" w:cs="宋体"/>
                <w:color w:val="auto"/>
                <w:sz w:val="24"/>
                <w:lang w:bidi="zh-TW"/>
              </w:rPr>
            </w:pPr>
            <w:r>
              <w:rPr>
                <w:rFonts w:hint="eastAsia" w:ascii="宋体" w:hAnsi="宋体" w:cs="宋体"/>
                <w:color w:val="auto"/>
                <w:szCs w:val="21"/>
                <w:lang w:bidi="zh-TW"/>
              </w:rPr>
              <w:t>根据工程进度，未检查项目危大（超危）工程的安全措施落实情况，及时提出整改措施并跟踪整改落实情况的</w:t>
            </w:r>
            <w:r>
              <w:rPr>
                <w:rFonts w:hint="eastAsia" w:ascii="宋体" w:hAnsi="宋体" w:cs="宋体"/>
                <w:color w:val="auto"/>
                <w:szCs w:val="21"/>
                <w:lang w:val="zh-TW" w:eastAsia="zh-TW" w:bidi="zh-TW"/>
              </w:rPr>
              <w:t>（计</w:t>
            </w:r>
            <w:r>
              <w:rPr>
                <w:rFonts w:hint="eastAsia" w:ascii="宋体" w:hAnsi="宋体" w:cs="宋体"/>
                <w:color w:val="auto"/>
                <w:szCs w:val="21"/>
                <w:lang w:bidi="zh-TW"/>
              </w:rPr>
              <w:t>15</w:t>
            </w:r>
            <w:r>
              <w:rPr>
                <w:rFonts w:hint="eastAsia" w:ascii="宋体" w:hAnsi="宋体" w:cs="宋体"/>
                <w:color w:val="auto"/>
                <w:szCs w:val="21"/>
                <w:lang w:val="zh-TW" w:eastAsia="zh-TW" w:bidi="zh-TW"/>
              </w:rPr>
              <w:t>分）</w:t>
            </w:r>
          </w:p>
        </w:tc>
        <w:tc>
          <w:tcPr>
            <w:tcW w:w="1440" w:type="dxa"/>
            <w:vAlign w:val="center"/>
          </w:tcPr>
          <w:p w14:paraId="37CF7B18">
            <w:pPr>
              <w:widowControl/>
              <w:spacing w:line="240" w:lineRule="exact"/>
              <w:jc w:val="center"/>
              <w:rPr>
                <w:rFonts w:ascii="宋体" w:hAnsi="宋体" w:cs="宋体"/>
                <w:color w:val="auto"/>
                <w:sz w:val="24"/>
              </w:rPr>
            </w:pPr>
          </w:p>
        </w:tc>
        <w:tc>
          <w:tcPr>
            <w:tcW w:w="996" w:type="dxa"/>
            <w:vAlign w:val="center"/>
          </w:tcPr>
          <w:p w14:paraId="5256D4E0">
            <w:pPr>
              <w:widowControl/>
              <w:spacing w:line="240" w:lineRule="exact"/>
              <w:jc w:val="center"/>
              <w:rPr>
                <w:rFonts w:ascii="宋体" w:hAnsi="宋体" w:cs="宋体"/>
                <w:color w:val="auto"/>
                <w:sz w:val="24"/>
              </w:rPr>
            </w:pPr>
          </w:p>
        </w:tc>
      </w:tr>
      <w:tr w14:paraId="3827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152" w:type="dxa"/>
            <w:vMerge w:val="continue"/>
            <w:vAlign w:val="center"/>
          </w:tcPr>
          <w:p w14:paraId="0431D181">
            <w:pPr>
              <w:spacing w:line="240" w:lineRule="exact"/>
              <w:jc w:val="center"/>
              <w:rPr>
                <w:rFonts w:ascii="宋体" w:hAnsi="宋体" w:cs="宋体"/>
                <w:color w:val="auto"/>
                <w:szCs w:val="21"/>
                <w:lang w:val="zh-TW" w:eastAsia="zh-TW" w:bidi="zh-TW"/>
              </w:rPr>
            </w:pPr>
          </w:p>
        </w:tc>
        <w:tc>
          <w:tcPr>
            <w:tcW w:w="1584" w:type="dxa"/>
            <w:vMerge w:val="continue"/>
            <w:vAlign w:val="center"/>
          </w:tcPr>
          <w:p w14:paraId="2C8B8C39">
            <w:pPr>
              <w:spacing w:line="240" w:lineRule="exact"/>
              <w:jc w:val="center"/>
              <w:rPr>
                <w:rFonts w:ascii="宋体" w:hAnsi="宋体" w:cs="宋体"/>
                <w:color w:val="auto"/>
                <w:szCs w:val="21"/>
                <w:lang w:val="zh-TW" w:eastAsia="zh-TW" w:bidi="zh-TW"/>
              </w:rPr>
            </w:pPr>
          </w:p>
        </w:tc>
        <w:tc>
          <w:tcPr>
            <w:tcW w:w="3996" w:type="dxa"/>
            <w:vAlign w:val="center"/>
          </w:tcPr>
          <w:p w14:paraId="055CE4FA">
            <w:pPr>
              <w:spacing w:line="240" w:lineRule="exact"/>
              <w:jc w:val="left"/>
              <w:rPr>
                <w:rFonts w:ascii="宋体" w:hAnsi="宋体" w:cs="宋体"/>
                <w:color w:val="auto"/>
                <w:sz w:val="24"/>
                <w:lang w:bidi="zh-TW"/>
              </w:rPr>
            </w:pPr>
            <w:r>
              <w:rPr>
                <w:rFonts w:hint="eastAsia" w:ascii="宋体" w:hAnsi="宋体" w:cs="宋体"/>
                <w:color w:val="auto"/>
                <w:szCs w:val="21"/>
                <w:lang w:val="zh-TW" w:eastAsia="zh-TW" w:bidi="zh-TW"/>
              </w:rPr>
              <w:t>施工现场发生安全事故（计</w:t>
            </w:r>
            <w:r>
              <w:rPr>
                <w:rFonts w:hint="eastAsia" w:ascii="宋体" w:hAnsi="宋体" w:cs="宋体"/>
                <w:color w:val="auto"/>
                <w:szCs w:val="21"/>
                <w:lang w:bidi="zh-TW"/>
              </w:rPr>
              <w:t>15</w:t>
            </w:r>
            <w:r>
              <w:rPr>
                <w:rFonts w:hint="eastAsia" w:ascii="宋体" w:hAnsi="宋体" w:cs="宋体"/>
                <w:color w:val="auto"/>
                <w:szCs w:val="21"/>
                <w:lang w:val="zh-TW" w:eastAsia="zh-TW" w:bidi="zh-TW"/>
              </w:rPr>
              <w:t>分，发生安全事故考核为0分）</w:t>
            </w:r>
          </w:p>
        </w:tc>
        <w:tc>
          <w:tcPr>
            <w:tcW w:w="1440" w:type="dxa"/>
            <w:vAlign w:val="center"/>
          </w:tcPr>
          <w:p w14:paraId="0118A602">
            <w:pPr>
              <w:spacing w:line="240" w:lineRule="exact"/>
              <w:jc w:val="center"/>
              <w:rPr>
                <w:rFonts w:ascii="宋体" w:hAnsi="宋体" w:cs="宋体"/>
                <w:color w:val="auto"/>
                <w:sz w:val="24"/>
                <w:lang w:val="zh-TW" w:eastAsia="zh-TW" w:bidi="zh-TW"/>
              </w:rPr>
            </w:pPr>
          </w:p>
        </w:tc>
        <w:tc>
          <w:tcPr>
            <w:tcW w:w="996" w:type="dxa"/>
            <w:vAlign w:val="center"/>
          </w:tcPr>
          <w:p w14:paraId="53CE0C48">
            <w:pPr>
              <w:spacing w:line="240" w:lineRule="exact"/>
              <w:jc w:val="center"/>
              <w:rPr>
                <w:rFonts w:ascii="宋体" w:hAnsi="宋体" w:cs="宋体"/>
                <w:color w:val="auto"/>
                <w:sz w:val="24"/>
                <w:lang w:val="zh-TW" w:eastAsia="zh-TW" w:bidi="zh-TW"/>
              </w:rPr>
            </w:pPr>
          </w:p>
        </w:tc>
      </w:tr>
      <w:tr w14:paraId="342C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152" w:type="dxa"/>
            <w:vAlign w:val="center"/>
          </w:tcPr>
          <w:p w14:paraId="49FE22CF">
            <w:pPr>
              <w:spacing w:line="240" w:lineRule="exact"/>
              <w:jc w:val="center"/>
              <w:rPr>
                <w:rFonts w:ascii="宋体" w:hAnsi="宋体" w:cs="宋体"/>
                <w:color w:val="auto"/>
                <w:szCs w:val="21"/>
                <w:lang w:val="zh-TW" w:eastAsia="zh-TW" w:bidi="zh-TW"/>
              </w:rPr>
            </w:pPr>
            <w:r>
              <w:rPr>
                <w:rFonts w:hint="eastAsia" w:ascii="宋体" w:hAnsi="宋体" w:cs="宋体"/>
                <w:color w:val="auto"/>
                <w:szCs w:val="21"/>
                <w:lang w:val="zh-TW" w:eastAsia="zh-TW" w:bidi="zh-TW"/>
              </w:rPr>
              <w:t>安全资 料考核</w:t>
            </w:r>
          </w:p>
        </w:tc>
        <w:tc>
          <w:tcPr>
            <w:tcW w:w="1584" w:type="dxa"/>
            <w:vAlign w:val="center"/>
          </w:tcPr>
          <w:p w14:paraId="074B11E0">
            <w:pPr>
              <w:spacing w:line="240" w:lineRule="exact"/>
              <w:jc w:val="left"/>
              <w:rPr>
                <w:rFonts w:ascii="宋体" w:hAnsi="宋体" w:cs="宋体"/>
                <w:color w:val="auto"/>
                <w:szCs w:val="21"/>
                <w:lang w:val="zh-TW" w:eastAsia="zh-TW" w:bidi="zh-TW"/>
              </w:rPr>
            </w:pPr>
            <w:r>
              <w:rPr>
                <w:rFonts w:hint="eastAsia" w:ascii="宋体" w:hAnsi="宋体" w:cs="宋体"/>
                <w:color w:val="auto"/>
                <w:szCs w:val="21"/>
                <w:lang w:val="zh-TW" w:eastAsia="zh-TW" w:bidi="zh-TW"/>
              </w:rPr>
              <w:t>安全资料完整性、及时性、准确性（10分）</w:t>
            </w:r>
          </w:p>
        </w:tc>
        <w:tc>
          <w:tcPr>
            <w:tcW w:w="3996" w:type="dxa"/>
            <w:vAlign w:val="center"/>
          </w:tcPr>
          <w:p w14:paraId="7AF2CE32">
            <w:pPr>
              <w:spacing w:line="240" w:lineRule="exact"/>
              <w:jc w:val="left"/>
              <w:rPr>
                <w:rFonts w:ascii="宋体" w:hAnsi="宋体" w:cs="宋体"/>
                <w:color w:val="auto"/>
                <w:szCs w:val="21"/>
                <w:lang w:val="zh-TW" w:eastAsia="zh-TW" w:bidi="zh-TW"/>
              </w:rPr>
            </w:pPr>
            <w:r>
              <w:rPr>
                <w:rFonts w:hint="eastAsia" w:ascii="宋体" w:hAnsi="宋体" w:cs="宋体"/>
                <w:color w:val="auto"/>
                <w:szCs w:val="21"/>
                <w:lang w:val="zh-TW" w:eastAsia="zh-TW" w:bidi="zh-TW"/>
              </w:rPr>
              <w:t>资料整理不及时或存在问题未及时督促整改（发现一次扣2分，此项最多扣10分）</w:t>
            </w:r>
          </w:p>
        </w:tc>
        <w:tc>
          <w:tcPr>
            <w:tcW w:w="1440" w:type="dxa"/>
            <w:vAlign w:val="center"/>
          </w:tcPr>
          <w:p w14:paraId="0614EE91">
            <w:pPr>
              <w:widowControl/>
              <w:spacing w:line="240" w:lineRule="exact"/>
              <w:jc w:val="center"/>
              <w:rPr>
                <w:rFonts w:ascii="仿宋" w:hAnsi="仿宋" w:eastAsia="仿宋" w:cs="仿宋"/>
                <w:color w:val="auto"/>
                <w:sz w:val="24"/>
              </w:rPr>
            </w:pPr>
          </w:p>
        </w:tc>
        <w:tc>
          <w:tcPr>
            <w:tcW w:w="996" w:type="dxa"/>
            <w:vAlign w:val="center"/>
          </w:tcPr>
          <w:p w14:paraId="27DB8C6E">
            <w:pPr>
              <w:widowControl/>
              <w:spacing w:line="240" w:lineRule="exact"/>
              <w:jc w:val="center"/>
              <w:rPr>
                <w:rFonts w:ascii="仿宋" w:hAnsi="仿宋" w:eastAsia="仿宋" w:cs="仿宋"/>
                <w:color w:val="auto"/>
                <w:sz w:val="24"/>
              </w:rPr>
            </w:pPr>
          </w:p>
        </w:tc>
      </w:tr>
      <w:tr w14:paraId="54594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152" w:type="dxa"/>
            <w:shd w:val="clear" w:color="auto" w:fill="auto"/>
            <w:vAlign w:val="center"/>
          </w:tcPr>
          <w:p w14:paraId="582563E0">
            <w:pPr>
              <w:spacing w:line="240" w:lineRule="exact"/>
              <w:jc w:val="center"/>
              <w:rPr>
                <w:rFonts w:ascii="宋体" w:hAnsi="宋体" w:cs="宋体"/>
                <w:color w:val="auto"/>
                <w:szCs w:val="21"/>
                <w:lang w:val="zh-TW" w:eastAsia="zh-TW" w:bidi="zh-TW"/>
              </w:rPr>
            </w:pPr>
            <w:r>
              <w:rPr>
                <w:rFonts w:hint="eastAsia" w:ascii="宋体" w:hAnsi="宋体" w:cs="宋体"/>
                <w:color w:val="auto"/>
                <w:szCs w:val="21"/>
                <w:lang w:val="zh-TW" w:eastAsia="zh-TW" w:bidi="zh-TW"/>
              </w:rPr>
              <w:t>廉洁自 律情况</w:t>
            </w:r>
          </w:p>
        </w:tc>
        <w:tc>
          <w:tcPr>
            <w:tcW w:w="1584" w:type="dxa"/>
            <w:shd w:val="clear" w:color="auto" w:fill="auto"/>
            <w:vAlign w:val="center"/>
          </w:tcPr>
          <w:p w14:paraId="06CD5CC2">
            <w:pPr>
              <w:spacing w:line="240" w:lineRule="exact"/>
              <w:jc w:val="left"/>
              <w:rPr>
                <w:rFonts w:ascii="宋体" w:hAnsi="宋体" w:cs="宋体"/>
                <w:color w:val="auto"/>
                <w:szCs w:val="21"/>
                <w:lang w:val="zh-TW" w:eastAsia="zh-TW" w:bidi="zh-TW"/>
              </w:rPr>
            </w:pPr>
            <w:r>
              <w:rPr>
                <w:rFonts w:hint="eastAsia" w:ascii="宋体" w:hAnsi="宋体" w:cs="宋体"/>
                <w:color w:val="auto"/>
                <w:szCs w:val="21"/>
                <w:lang w:val="zh-TW" w:eastAsia="zh-TW" w:bidi="zh-TW"/>
              </w:rPr>
              <w:t>廉洁承诺书的执行情况（一票否决项）</w:t>
            </w:r>
          </w:p>
        </w:tc>
        <w:tc>
          <w:tcPr>
            <w:tcW w:w="3996" w:type="dxa"/>
            <w:shd w:val="clear" w:color="auto" w:fill="auto"/>
            <w:vAlign w:val="center"/>
          </w:tcPr>
          <w:p w14:paraId="0F2C0748">
            <w:pPr>
              <w:spacing w:line="240" w:lineRule="exact"/>
              <w:jc w:val="left"/>
              <w:rPr>
                <w:rFonts w:ascii="宋体" w:hAnsi="宋体" w:cs="宋体"/>
                <w:color w:val="auto"/>
                <w:szCs w:val="21"/>
                <w:lang w:val="zh-TW" w:eastAsia="zh-TW" w:bidi="zh-TW"/>
              </w:rPr>
            </w:pPr>
            <w:r>
              <w:rPr>
                <w:rFonts w:hint="eastAsia" w:ascii="宋体" w:hAnsi="宋体" w:cs="宋体"/>
                <w:color w:val="auto"/>
                <w:szCs w:val="21"/>
                <w:lang w:val="zh-TW" w:eastAsia="zh-TW" w:bidi="zh-TW"/>
              </w:rPr>
              <w:t>发现接受施工单位吃请或接受相关单位礼品及有价证券、参与介绍工程材料以及其他法律法规及合同中不允许的情形。（本月考核按不合格计）</w:t>
            </w:r>
          </w:p>
        </w:tc>
        <w:tc>
          <w:tcPr>
            <w:tcW w:w="1440" w:type="dxa"/>
            <w:vAlign w:val="center"/>
          </w:tcPr>
          <w:p w14:paraId="2C1A4218">
            <w:pPr>
              <w:widowControl/>
              <w:spacing w:line="240" w:lineRule="exact"/>
              <w:jc w:val="center"/>
              <w:rPr>
                <w:rFonts w:ascii="仿宋" w:hAnsi="仿宋" w:eastAsia="仿宋" w:cs="仿宋"/>
                <w:color w:val="auto"/>
                <w:sz w:val="24"/>
              </w:rPr>
            </w:pPr>
          </w:p>
        </w:tc>
        <w:tc>
          <w:tcPr>
            <w:tcW w:w="996" w:type="dxa"/>
            <w:vAlign w:val="center"/>
          </w:tcPr>
          <w:p w14:paraId="7A4B2811">
            <w:pPr>
              <w:widowControl/>
              <w:spacing w:line="240" w:lineRule="exact"/>
              <w:jc w:val="center"/>
              <w:rPr>
                <w:rFonts w:ascii="仿宋" w:hAnsi="仿宋" w:eastAsia="仿宋" w:cs="仿宋"/>
                <w:color w:val="auto"/>
                <w:sz w:val="24"/>
              </w:rPr>
            </w:pPr>
          </w:p>
        </w:tc>
      </w:tr>
      <w:tr w14:paraId="1C0E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732" w:type="dxa"/>
            <w:gridSpan w:val="3"/>
            <w:vAlign w:val="center"/>
          </w:tcPr>
          <w:p w14:paraId="5193906C">
            <w:pPr>
              <w:widowControl/>
              <w:spacing w:line="240" w:lineRule="exact"/>
              <w:jc w:val="center"/>
              <w:rPr>
                <w:rFonts w:ascii="宋体" w:hAnsi="宋体" w:cs="宋体"/>
                <w:color w:val="auto"/>
                <w:sz w:val="24"/>
                <w:lang w:val="zh-TW" w:eastAsia="zh-TW" w:bidi="zh-TW"/>
              </w:rPr>
            </w:pPr>
            <w:r>
              <w:rPr>
                <w:rFonts w:hint="eastAsia" w:ascii="宋体" w:hAnsi="宋体" w:cs="宋体"/>
                <w:color w:val="auto"/>
                <w:szCs w:val="21"/>
                <w:lang w:val="zh-TW" w:eastAsia="zh-TW" w:bidi="zh-TW"/>
              </w:rPr>
              <w:t>总得分（100分）</w:t>
            </w:r>
          </w:p>
        </w:tc>
        <w:tc>
          <w:tcPr>
            <w:tcW w:w="1440" w:type="dxa"/>
            <w:vAlign w:val="center"/>
          </w:tcPr>
          <w:p w14:paraId="485D52CE">
            <w:pPr>
              <w:widowControl/>
              <w:spacing w:line="240" w:lineRule="exact"/>
              <w:jc w:val="center"/>
              <w:rPr>
                <w:rFonts w:ascii="仿宋" w:hAnsi="仿宋" w:eastAsia="仿宋" w:cs="仿宋"/>
                <w:color w:val="auto"/>
                <w:sz w:val="28"/>
                <w:szCs w:val="28"/>
              </w:rPr>
            </w:pPr>
          </w:p>
        </w:tc>
        <w:tc>
          <w:tcPr>
            <w:tcW w:w="996" w:type="dxa"/>
            <w:vAlign w:val="center"/>
          </w:tcPr>
          <w:p w14:paraId="70A00EF0">
            <w:pPr>
              <w:widowControl/>
              <w:spacing w:line="240" w:lineRule="exact"/>
              <w:jc w:val="center"/>
              <w:rPr>
                <w:rFonts w:ascii="仿宋" w:hAnsi="仿宋" w:eastAsia="仿宋" w:cs="仿宋"/>
                <w:color w:val="auto"/>
                <w:sz w:val="28"/>
                <w:szCs w:val="28"/>
              </w:rPr>
            </w:pPr>
          </w:p>
        </w:tc>
      </w:tr>
    </w:tbl>
    <w:p w14:paraId="7CC49362">
      <w:pPr>
        <w:pStyle w:val="11"/>
        <w:ind w:firstLine="0"/>
        <w:rPr>
          <w:color w:val="auto"/>
        </w:rPr>
      </w:pPr>
      <w:r>
        <w:rPr>
          <w:rFonts w:hint="eastAsia"/>
          <w:color w:val="auto"/>
        </w:rPr>
        <w:t>注：每月考核一次，月考核得分低于90分，扣除当月安全服务费的5%；月考核得分低于80分，扣除当月安全服务费的10%；月考核分低于70分，扣除当月安全服务费的20%,同时甲方有权单方面解除合同。</w:t>
      </w:r>
    </w:p>
    <w:p w14:paraId="2169B802">
      <w:pPr>
        <w:pStyle w:val="11"/>
        <w:rPr>
          <w:color w:val="auto"/>
        </w:rPr>
      </w:pPr>
      <w:r>
        <w:rPr>
          <w:rFonts w:hint="eastAsia"/>
          <w:color w:val="auto"/>
        </w:rPr>
        <w:t>甲方（签字）：                             安全服务公司（签字）:</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06255"/>
    </w:sdtPr>
    <w:sdtContent>
      <w:p w14:paraId="0CBA3519">
        <w:pPr>
          <w:pStyle w:val="6"/>
          <w:jc w:val="center"/>
        </w:pPr>
        <w:r>
          <w:fldChar w:fldCharType="begin"/>
        </w:r>
        <w:r>
          <w:instrText xml:space="preserve"> PAGE   \* MERGEFORMAT </w:instrText>
        </w:r>
        <w:r>
          <w:fldChar w:fldCharType="separate"/>
        </w:r>
        <w:r>
          <w:rPr>
            <w:lang w:val="zh-CN"/>
          </w:rPr>
          <w:t>4</w:t>
        </w:r>
        <w:r>
          <w:rPr>
            <w:lang w:val="zh-CN"/>
          </w:rPr>
          <w:fldChar w:fldCharType="end"/>
        </w:r>
      </w:p>
    </w:sdtContent>
  </w:sdt>
  <w:p w14:paraId="1C83B45E">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4OTlhYzk1ZGU0ZDQ5MjZlZGEwYjMxODkyODgwZTEifQ=="/>
  </w:docVars>
  <w:rsids>
    <w:rsidRoot w:val="00886EE7"/>
    <w:rsid w:val="00010F4D"/>
    <w:rsid w:val="0004169E"/>
    <w:rsid w:val="000466C1"/>
    <w:rsid w:val="000A44A9"/>
    <w:rsid w:val="000F48D2"/>
    <w:rsid w:val="000F724A"/>
    <w:rsid w:val="000F7E45"/>
    <w:rsid w:val="00114998"/>
    <w:rsid w:val="00126078"/>
    <w:rsid w:val="00145468"/>
    <w:rsid w:val="00157E42"/>
    <w:rsid w:val="001635E6"/>
    <w:rsid w:val="0017279F"/>
    <w:rsid w:val="00182179"/>
    <w:rsid w:val="001C268B"/>
    <w:rsid w:val="00220C9E"/>
    <w:rsid w:val="00232E61"/>
    <w:rsid w:val="00252665"/>
    <w:rsid w:val="00281279"/>
    <w:rsid w:val="00290DC7"/>
    <w:rsid w:val="002A1038"/>
    <w:rsid w:val="002C176F"/>
    <w:rsid w:val="002C20D2"/>
    <w:rsid w:val="002D38FA"/>
    <w:rsid w:val="002D70E4"/>
    <w:rsid w:val="00312B08"/>
    <w:rsid w:val="0033592F"/>
    <w:rsid w:val="00352873"/>
    <w:rsid w:val="00383542"/>
    <w:rsid w:val="00395A05"/>
    <w:rsid w:val="003C383B"/>
    <w:rsid w:val="003F62D3"/>
    <w:rsid w:val="004048D4"/>
    <w:rsid w:val="004061F7"/>
    <w:rsid w:val="0041102A"/>
    <w:rsid w:val="00462EB7"/>
    <w:rsid w:val="00470919"/>
    <w:rsid w:val="00492527"/>
    <w:rsid w:val="004D02DE"/>
    <w:rsid w:val="004D1BE0"/>
    <w:rsid w:val="004E4C43"/>
    <w:rsid w:val="004F7FBF"/>
    <w:rsid w:val="00545633"/>
    <w:rsid w:val="00583FB4"/>
    <w:rsid w:val="005841D6"/>
    <w:rsid w:val="005A43E4"/>
    <w:rsid w:val="005C1582"/>
    <w:rsid w:val="005D17F0"/>
    <w:rsid w:val="00671346"/>
    <w:rsid w:val="00672679"/>
    <w:rsid w:val="006952ED"/>
    <w:rsid w:val="00717B25"/>
    <w:rsid w:val="00752DD0"/>
    <w:rsid w:val="007552C8"/>
    <w:rsid w:val="007624E7"/>
    <w:rsid w:val="007760AC"/>
    <w:rsid w:val="0078200B"/>
    <w:rsid w:val="007939AE"/>
    <w:rsid w:val="007A4F59"/>
    <w:rsid w:val="007B6EB8"/>
    <w:rsid w:val="007D4EC5"/>
    <w:rsid w:val="007F1AF3"/>
    <w:rsid w:val="008017BD"/>
    <w:rsid w:val="0080794E"/>
    <w:rsid w:val="008347F6"/>
    <w:rsid w:val="00865391"/>
    <w:rsid w:val="00872A28"/>
    <w:rsid w:val="00872E69"/>
    <w:rsid w:val="0088693F"/>
    <w:rsid w:val="00886EE7"/>
    <w:rsid w:val="008B16A2"/>
    <w:rsid w:val="008B5255"/>
    <w:rsid w:val="008C0B91"/>
    <w:rsid w:val="008C12E8"/>
    <w:rsid w:val="008F1BEF"/>
    <w:rsid w:val="008F4BB2"/>
    <w:rsid w:val="008F7B1E"/>
    <w:rsid w:val="009059D3"/>
    <w:rsid w:val="00922A04"/>
    <w:rsid w:val="009322C3"/>
    <w:rsid w:val="0094283C"/>
    <w:rsid w:val="0094430F"/>
    <w:rsid w:val="009541D7"/>
    <w:rsid w:val="009C13F5"/>
    <w:rsid w:val="00A56EBB"/>
    <w:rsid w:val="00A67FE0"/>
    <w:rsid w:val="00A81187"/>
    <w:rsid w:val="00AB1D66"/>
    <w:rsid w:val="00AB2271"/>
    <w:rsid w:val="00AD43B6"/>
    <w:rsid w:val="00AD5D20"/>
    <w:rsid w:val="00AE1EF1"/>
    <w:rsid w:val="00AF7DC3"/>
    <w:rsid w:val="00B01565"/>
    <w:rsid w:val="00B25698"/>
    <w:rsid w:val="00B2635D"/>
    <w:rsid w:val="00B37734"/>
    <w:rsid w:val="00B6467D"/>
    <w:rsid w:val="00B801BA"/>
    <w:rsid w:val="00BB66E2"/>
    <w:rsid w:val="00BC06B8"/>
    <w:rsid w:val="00BE4F9B"/>
    <w:rsid w:val="00BF7E88"/>
    <w:rsid w:val="00C71E13"/>
    <w:rsid w:val="00CC2A44"/>
    <w:rsid w:val="00CC6A3E"/>
    <w:rsid w:val="00CF1342"/>
    <w:rsid w:val="00CF38C2"/>
    <w:rsid w:val="00D36B15"/>
    <w:rsid w:val="00D8173E"/>
    <w:rsid w:val="00D979C5"/>
    <w:rsid w:val="00DB3826"/>
    <w:rsid w:val="00DB47AA"/>
    <w:rsid w:val="00DC36A3"/>
    <w:rsid w:val="00DD0DC6"/>
    <w:rsid w:val="00E905AF"/>
    <w:rsid w:val="00E95A0F"/>
    <w:rsid w:val="00EB167F"/>
    <w:rsid w:val="00F26F61"/>
    <w:rsid w:val="00F44984"/>
    <w:rsid w:val="00F4522F"/>
    <w:rsid w:val="00F54328"/>
    <w:rsid w:val="00F647A9"/>
    <w:rsid w:val="00FA0027"/>
    <w:rsid w:val="00FB44A3"/>
    <w:rsid w:val="00FD0A1C"/>
    <w:rsid w:val="0EAF2FEC"/>
    <w:rsid w:val="0F64150A"/>
    <w:rsid w:val="0F9F53D1"/>
    <w:rsid w:val="1444190A"/>
    <w:rsid w:val="15A308B2"/>
    <w:rsid w:val="1CF40A91"/>
    <w:rsid w:val="1EF14ED7"/>
    <w:rsid w:val="24CC7FD1"/>
    <w:rsid w:val="2AD120EB"/>
    <w:rsid w:val="2CD07D87"/>
    <w:rsid w:val="353E482E"/>
    <w:rsid w:val="362F64F8"/>
    <w:rsid w:val="36B17579"/>
    <w:rsid w:val="41EE4ADF"/>
    <w:rsid w:val="46364CA7"/>
    <w:rsid w:val="47BC742D"/>
    <w:rsid w:val="4CAB375F"/>
    <w:rsid w:val="53AC51BC"/>
    <w:rsid w:val="55A96AE9"/>
    <w:rsid w:val="585E533B"/>
    <w:rsid w:val="59EA1BD8"/>
    <w:rsid w:val="5B6D4F86"/>
    <w:rsid w:val="5BAD110F"/>
    <w:rsid w:val="6062071A"/>
    <w:rsid w:val="607466A0"/>
    <w:rsid w:val="61504A17"/>
    <w:rsid w:val="6554084E"/>
    <w:rsid w:val="66C16474"/>
    <w:rsid w:val="6B032AFA"/>
    <w:rsid w:val="6F4907EE"/>
    <w:rsid w:val="70304975"/>
    <w:rsid w:val="72E01973"/>
    <w:rsid w:val="79C93160"/>
    <w:rsid w:val="7C7A6994"/>
    <w:rsid w:val="7EF10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3">
    <w:name w:val="annotation text"/>
    <w:basedOn w:val="1"/>
    <w:autoRedefine/>
    <w:semiHidden/>
    <w:unhideWhenUsed/>
    <w:qFormat/>
    <w:uiPriority w:val="99"/>
    <w:pPr>
      <w:jc w:val="left"/>
    </w:pPr>
  </w:style>
  <w:style w:type="paragraph" w:styleId="4">
    <w:name w:val="Plain Text"/>
    <w:basedOn w:val="1"/>
    <w:link w:val="15"/>
    <w:autoRedefine/>
    <w:semiHidden/>
    <w:unhideWhenUsed/>
    <w:qFormat/>
    <w:uiPriority w:val="99"/>
    <w:rPr>
      <w:rFonts w:ascii="宋体" w:hAnsi="Courier New" w:eastAsia="宋体" w:cs="Courier New"/>
      <w:szCs w:val="21"/>
    </w:rPr>
  </w:style>
  <w:style w:type="paragraph" w:styleId="5">
    <w:name w:val="Balloon Text"/>
    <w:basedOn w:val="1"/>
    <w:link w:val="16"/>
    <w:autoRedefine/>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正文1"/>
    <w:basedOn w:val="1"/>
    <w:autoRedefine/>
    <w:qFormat/>
    <w:uiPriority w:val="0"/>
    <w:pPr>
      <w:spacing w:line="360" w:lineRule="auto"/>
      <w:ind w:firstLine="361"/>
    </w:pPr>
    <w:rPr>
      <w:rFonts w:ascii="宋体" w:hAnsi="宋体"/>
    </w:rPr>
  </w:style>
  <w:style w:type="paragraph" w:customStyle="1" w:styleId="12">
    <w:name w:val="列表段落1"/>
    <w:basedOn w:val="1"/>
    <w:autoRedefine/>
    <w:qFormat/>
    <w:uiPriority w:val="99"/>
    <w:pPr>
      <w:ind w:firstLine="420" w:firstLineChars="200"/>
    </w:pPr>
  </w:style>
  <w:style w:type="character" w:customStyle="1" w:styleId="13">
    <w:name w:val="页眉 Char"/>
    <w:basedOn w:val="10"/>
    <w:link w:val="7"/>
    <w:autoRedefine/>
    <w:qFormat/>
    <w:uiPriority w:val="99"/>
    <w:rPr>
      <w:sz w:val="18"/>
      <w:szCs w:val="18"/>
    </w:rPr>
  </w:style>
  <w:style w:type="character" w:customStyle="1" w:styleId="14">
    <w:name w:val="页脚 Char"/>
    <w:basedOn w:val="10"/>
    <w:link w:val="6"/>
    <w:autoRedefine/>
    <w:qFormat/>
    <w:uiPriority w:val="99"/>
    <w:rPr>
      <w:sz w:val="18"/>
      <w:szCs w:val="18"/>
    </w:rPr>
  </w:style>
  <w:style w:type="character" w:customStyle="1" w:styleId="15">
    <w:name w:val="纯文本 Char"/>
    <w:basedOn w:val="10"/>
    <w:link w:val="4"/>
    <w:autoRedefine/>
    <w:semiHidden/>
    <w:qFormat/>
    <w:uiPriority w:val="99"/>
    <w:rPr>
      <w:rFonts w:ascii="宋体" w:hAnsi="Courier New" w:eastAsia="宋体" w:cs="Courier New"/>
      <w:kern w:val="2"/>
      <w:sz w:val="21"/>
      <w:szCs w:val="21"/>
    </w:rPr>
  </w:style>
  <w:style w:type="character" w:customStyle="1" w:styleId="16">
    <w:name w:val="批注框文本 Char"/>
    <w:basedOn w:val="10"/>
    <w:link w:val="5"/>
    <w:autoRedefine/>
    <w:semiHidden/>
    <w:qFormat/>
    <w:uiPriority w:val="99"/>
    <w:rPr>
      <w:kern w:val="2"/>
      <w:sz w:val="18"/>
      <w:szCs w:val="18"/>
    </w:rPr>
  </w:style>
  <w:style w:type="paragraph" w:customStyle="1" w:styleId="17">
    <w:name w:val="页眉1"/>
    <w:basedOn w:val="1"/>
    <w:qFormat/>
    <w:uiPriority w:val="0"/>
    <w:pPr>
      <w:pBdr>
        <w:bottom w:val="single" w:color="000000" w:sz="6" w:space="1"/>
      </w:pBdr>
      <w:tabs>
        <w:tab w:val="center" w:pos="4153"/>
        <w:tab w:val="right" w:pos="8306"/>
      </w:tabs>
      <w:jc w:val="center"/>
    </w:pPr>
    <w:rPr>
      <w:rFonts w:ascii="Times New Roman" w:hAnsi="Times New Roman"/>
      <w:sz w:val="18"/>
      <w:szCs w:val="18"/>
    </w:rPr>
  </w:style>
  <w:style w:type="paragraph" w:customStyle="1" w:styleId="18">
    <w:name w:val="页脚1"/>
    <w:basedOn w:val="1"/>
    <w:qFormat/>
    <w:uiPriority w:val="0"/>
    <w:pPr>
      <w:tabs>
        <w:tab w:val="center" w:pos="4153"/>
        <w:tab w:val="right" w:pos="8306"/>
      </w:tabs>
      <w:jc w:val="left"/>
    </w:pPr>
    <w:rPr>
      <w:rFonts w:ascii="Times New Roman" w:hAnsi="Times New Roman"/>
      <w:sz w:val="18"/>
      <w:szCs w:val="18"/>
    </w:rPr>
  </w:style>
  <w:style w:type="character" w:customStyle="1" w:styleId="19">
    <w:name w:val="页码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8</Pages>
  <Words>3630</Words>
  <Characters>3759</Characters>
  <Lines>36</Lines>
  <Paragraphs>10</Paragraphs>
  <TotalTime>13</TotalTime>
  <ScaleCrop>false</ScaleCrop>
  <LinksUpToDate>false</LinksUpToDate>
  <CharactersWithSpaces>4023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2022-01-17T02:51:00Z</dcterms:created>
  <dc:creator>Windows User</dc:creator>
  <cp:lastModifiedBy>李毅</cp:lastModifiedBy>
  <cp:lastPrinted>2025-06-17T09:09:00Z</cp:lastPrinted>
  <dcterms:modified xsi:type="dcterms:W3CDTF">2025-07-02T03:22:16Z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04EB0BF04CFE4CD2ABEF3E8035B2F538_13</vt:lpwstr>
  </property>
  <property fmtid="{D5CDD505-2E9C-101B-9397-08002B2CF9AE}" pid="4" name="KSOTemplateDocerSaveRecord">
    <vt:lpwstr>eyJoZGlkIjoiYjA2NzRhNzNjNjFjMTU2ODJkZDA1ZjEyZWI2NjJlNjEiLCJ1c2VySWQiOiIzMTg5Mjg5MDgifQ==</vt:lpwstr>
  </property>
</Properties>
</file>