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ind w:firstLine="964"/>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643"/>
        <w:jc w:val="left"/>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2025年土壤污染重点监管单位等重点单元土壤和地下水监测项目</w:t>
      </w:r>
      <w:r/>
    </w:p>
    <w:p>
      <w:pPr>
        <w:ind w:firstLine="643"/>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项目编号：JSZC-320685-WYKJ-C2025-0054 </w:t>
      </w:r>
      <w:r>
        <w:rPr>
          <w:rFonts w:ascii="Arial" w:hAnsi="Arial"/>
          <w:b/>
          <w:bCs/>
          <w:color w:val="auto"/>
          <w:sz w:val="32"/>
          <w:szCs w:val="24"/>
          <w:highlight w:val="none"/>
        </w:rPr>
        <w:t xml:space="preserve">          </w:t>
      </w:r>
      <w:r/>
    </w:p>
    <w:p>
      <w:pPr>
        <w:ind w:firstLine="1470"/>
        <w:jc w:val="left"/>
        <w:spacing w:before="120" w:after="120" w:line="360" w:lineRule="auto"/>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采购人：</w:t>
      </w:r>
      <w:r>
        <w:rPr>
          <w:rFonts w:hint="eastAsia" w:ascii="Arial" w:hAnsi="Arial"/>
          <w:b/>
          <w:bCs/>
          <w:color w:val="auto"/>
          <w:sz w:val="32"/>
          <w:szCs w:val="24"/>
          <w:highlight w:val="none"/>
          <w:lang w:eastAsia="zh-CN"/>
        </w:rPr>
        <w:t xml:space="preserve">南通市海安生态环境局</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2025年</w:t>
      </w:r>
      <w:r>
        <w:rPr>
          <w:rFonts w:hint="eastAsia" w:ascii="Arial" w:hAnsi="Arial"/>
          <w:b/>
          <w:bCs/>
          <w:color w:val="auto"/>
          <w:sz w:val="32"/>
          <w:szCs w:val="24"/>
          <w:highlight w:val="none"/>
          <w:lang w:val="en-US" w:eastAsia="zh-CN"/>
        </w:rPr>
        <w:t xml:space="preserve">09</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17</w:t>
      </w:r>
      <w:r>
        <w:rPr>
          <w:rFonts w:hint="eastAsia" w:ascii="Arial" w:hAnsi="Arial"/>
          <w:b/>
          <w:bCs/>
          <w:color w:val="auto"/>
          <w:sz w:val="32"/>
          <w:szCs w:val="24"/>
          <w:highlight w:val="none"/>
        </w:rPr>
        <w:t xml:space="preserve">日</w:t>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left"/>
        <w:spacing w:before="120" w:after="120" w:line="360" w:lineRule="auto"/>
        <w:rPr>
          <w:rFonts w:ascii="黑体" w:hAnsi="Arial" w:eastAsia="黑体"/>
          <w:b/>
          <w:color w:val="auto"/>
          <w:sz w:val="44"/>
          <w:szCs w:val="21"/>
          <w:highlight w:val="none"/>
        </w:rPr>
      </w:pPr>
      <w:r>
        <w:rPr>
          <w:rFonts w:hint="eastAsia" w:ascii="Arial" w:hAnsi="Arial"/>
          <w:color w:val="auto"/>
          <w:sz w:val="24"/>
          <w:szCs w:val="24"/>
          <w:highlight w:val="none"/>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磋商邀请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21"/>
          <w:highlight w:val="none"/>
        </w:rPr>
        <w:t xml:space="preserve"> </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评审方法与评审标准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spacing w:line="560" w:lineRule="exact"/>
        <w:rPr>
          <w:rFonts w:ascii="黑体" w:eastAsia="黑体"/>
          <w:bCs/>
          <w:color w:val="auto"/>
          <w:sz w:val="44"/>
          <w:szCs w:val="44"/>
          <w:highlight w:val="none"/>
        </w:rPr>
        <w:outlineLvl w:val="0"/>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南通市海安生态环境局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中通服网盈科技有限公司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2025年土壤污染重点监管单位等重点单元土壤和地下水监测项目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JSZC-320685-WYKJ-C2025-0054</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)项目进行竞争性磋商采购，欢迎符合条件的供应商参加磋商。</w:t>
      </w:r>
      <w:r/>
    </w:p>
    <w:p>
      <w:pPr>
        <w:ind w:firstLine="480"/>
        <w:spacing w:line="56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lang w:eastAsia="zh-CN"/>
        </w:rPr>
        <w:t xml:space="preserve">2025年土壤污染重点监管单位等重点单元土壤和地下水监测项目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2025年</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28</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b/>
          <w:bCs/>
          <w:color w:val="auto"/>
          <w:sz w:val="32"/>
          <w:szCs w:val="32"/>
          <w:highlight w:val="none"/>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1.项目编号：JSZC-320685-WYKJ-C2025-0054  </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2025年土壤污染重点监管单位等重点单元土壤和地下水监测项目</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3.项目类型：服务</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4.项目行业：</w:t>
      </w:r>
      <w:r>
        <w:rPr>
          <w:rFonts w:hint="eastAsia" w:ascii="宋体" w:hAnsi="宋体"/>
          <w:color w:val="auto"/>
          <w:sz w:val="24"/>
          <w:szCs w:val="24"/>
          <w:highlight w:val="none"/>
          <w:lang w:eastAsia="zh-CN"/>
        </w:rPr>
        <w:t xml:space="preserve">其他未列明行业</w:t>
      </w:r>
      <w:r/>
    </w:p>
    <w:p>
      <w:pPr>
        <w:ind w:firstLine="48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万元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6.最高限价：</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万元，</w:t>
      </w:r>
      <w:r>
        <w:rPr>
          <w:rFonts w:hint="eastAsia" w:ascii="宋体" w:hAnsi="宋体"/>
          <w:b/>
          <w:bCs/>
          <w:color w:val="auto"/>
          <w:sz w:val="24"/>
          <w:szCs w:val="24"/>
          <w:highlight w:val="none"/>
        </w:rPr>
        <w:t xml:space="preserve">报价超过最高限价的将作为无效响应处理。</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bookmarkStart w:id="12" w:name="OLE_LINK1"/>
      <w:r/>
      <w:bookmarkStart w:id="13" w:name="OLE_LINK4"/>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bookmarkEnd w:id="12"/>
      <w:r/>
      <w:bookmarkEnd w:id="13"/>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bookmarkStart w:id="14" w:name="OLE_LINK5"/>
      <w:r>
        <w:rPr>
          <w:rFonts w:hint="eastAsia" w:ascii="宋体" w:hAnsi="宋体"/>
          <w:color w:val="auto"/>
          <w:sz w:val="24"/>
          <w:szCs w:val="24"/>
          <w:highlight w:val="none"/>
        </w:rPr>
        <w:t xml:space="preserve">合同履行期限：</w:t>
      </w:r>
      <w:bookmarkStart w:id="15" w:name="_Toc35393622"/>
      <w:r/>
      <w:bookmarkStart w:id="16" w:name="_Toc35393791"/>
      <w:r/>
      <w:bookmarkStart w:id="17" w:name="_Toc28359003"/>
      <w:r/>
      <w:bookmarkStart w:id="18" w:name="_Toc28359080"/>
      <w:r/>
      <w:bookmarkStart w:id="19" w:name="_Toc38985264"/>
      <w:r>
        <w:rPr>
          <w:rFonts w:hint="eastAsia" w:ascii="宋体" w:hAnsi="宋体"/>
          <w:color w:val="auto"/>
          <w:sz w:val="24"/>
          <w:szCs w:val="24"/>
          <w:highlight w:val="none"/>
        </w:rPr>
        <w:t xml:space="preserve">合同签订之日起服务期为</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半</w:t>
      </w:r>
      <w:r>
        <w:rPr>
          <w:rFonts w:hint="eastAsia" w:ascii="宋体" w:hAnsi="宋体"/>
          <w:color w:val="auto"/>
          <w:sz w:val="24"/>
          <w:szCs w:val="24"/>
          <w:highlight w:val="none"/>
        </w:rPr>
        <w:t xml:space="preserve">。</w:t>
      </w:r>
      <w:bookmarkEnd w:id="14"/>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二、申请人的资格要求：</w:t>
      </w:r>
      <w:bookmarkEnd w:id="15"/>
      <w:r/>
      <w:bookmarkEnd w:id="16"/>
      <w:r/>
      <w:bookmarkEnd w:id="17"/>
      <w:r/>
      <w:bookmarkEnd w:id="18"/>
      <w:r/>
      <w:bookmarkEnd w:id="19"/>
      <w:r/>
      <w:r/>
    </w:p>
    <w:p>
      <w:pPr>
        <w:ind w:firstLine="480"/>
        <w:spacing w:line="560" w:lineRule="exact"/>
        <w:rPr>
          <w:rFonts w:ascii="宋体" w:hAnsi="宋体"/>
          <w:color w:val="auto"/>
          <w:sz w:val="24"/>
          <w:szCs w:val="24"/>
          <w:highlight w:val="none"/>
        </w:rPr>
      </w:pPr>
      <w:r/>
      <w:bookmarkStart w:id="20" w:name="_Toc28359004"/>
      <w:r/>
      <w:bookmarkStart w:id="21" w:name="_Toc28359081"/>
      <w:r/>
      <w:bookmarkStart w:id="22" w:name="_Toc38985265"/>
      <w:r/>
      <w:bookmarkStart w:id="23" w:name="_Toc35393623"/>
      <w:r/>
      <w:bookmarkStart w:id="24"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(1)法人或者其他组织的营业执照等证明文件，自然人的身份证明（提供复印件）；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(2)上一年度的财务状况报告（提供参加本次开标前的会计报表，必须含资产负债表、利润表等证明材料，成立不满一年不需提供）；</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 具备履行合同所必需的设备和专业技术能力的证明材料（提供承诺书，格式见附件1）；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 参加政府采购活动前3年内在经营活动中没有重大违法记录的书面声明（提供承诺书，格式见附件2）；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2.落实政府采购政策需满足的资格要求：本项目为专门面向中小微企业。（须按照财库【2020】46号文要求提供中小企业声明函。格式见附件10）。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lang w:val="en-US" w:eastAsia="zh-CN"/>
        </w:rPr>
        <w:t xml:space="preserve">无</w:t>
      </w:r>
      <w:r>
        <w:rPr>
          <w:rFonts w:hint="eastAsia" w:ascii="宋体" w:hAnsi="宋体"/>
          <w:color w:val="auto"/>
          <w:sz w:val="24"/>
          <w:szCs w:val="24"/>
          <w:highlight w:val="none"/>
          <w:lang w:eastAsia="zh-CN"/>
        </w:rPr>
        <w:t xml:space="preserve">。</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三、获取</w:t>
      </w:r>
      <w:bookmarkEnd w:id="20"/>
      <w:r/>
      <w:bookmarkEnd w:id="21"/>
      <w:r/>
      <w:bookmarkEnd w:id="22"/>
      <w:r/>
      <w:bookmarkEnd w:id="23"/>
      <w:r/>
      <w:bookmarkEnd w:id="24"/>
      <w:r>
        <w:rPr>
          <w:rFonts w:hint="eastAsia"/>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5" w:name="_Toc28359005"/>
      <w:r/>
      <w:bookmarkStart w:id="26" w:name="_Toc28359082"/>
      <w:r/>
      <w:bookmarkStart w:id="27" w:name="_Toc35393793"/>
      <w:r/>
      <w:bookmarkStart w:id="28" w:name="_Toc38985266"/>
      <w:r/>
      <w:bookmarkStart w:id="29" w:name="_Toc35393624"/>
      <w:r>
        <w:rPr>
          <w:rFonts w:hint="eastAsia" w:ascii="宋体" w:hAnsi="宋体" w:cs="宋体"/>
          <w:color w:val="auto"/>
          <w:sz w:val="24"/>
          <w:szCs w:val="24"/>
          <w:highlight w:val="none"/>
        </w:rPr>
        <w:t xml:space="preserve">1.时间：2025年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日至2025年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日（提供期限自本公告发布之日起不得少于5个工作日）。</w:t>
      </w:r>
      <w:bookmarkStart w:id="195" w:name="_GoBack"/>
      <w:r/>
      <w:bookmarkEnd w:id="195"/>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四、提交</w:t>
      </w:r>
      <w:bookmarkEnd w:id="25"/>
      <w:r/>
      <w:bookmarkEnd w:id="26"/>
      <w:r>
        <w:rPr>
          <w:rFonts w:hint="eastAsia"/>
          <w:b/>
          <w:bCs/>
          <w:color w:val="auto"/>
          <w:sz w:val="32"/>
          <w:szCs w:val="32"/>
          <w:highlight w:val="none"/>
        </w:rPr>
        <w:t xml:space="preserve">响应文件截止时间</w:t>
      </w:r>
      <w:bookmarkEnd w:id="27"/>
      <w:r/>
      <w:bookmarkEnd w:id="28"/>
      <w:r/>
      <w:bookmarkEnd w:id="29"/>
      <w:r/>
      <w:r/>
    </w:p>
    <w:p>
      <w:pPr>
        <w:ind w:firstLine="480"/>
        <w:spacing w:line="560" w:lineRule="exact"/>
        <w:rPr>
          <w:rFonts w:ascii="宋体" w:hAnsi="宋体" w:cs="宋体"/>
          <w:color w:val="auto"/>
          <w:sz w:val="24"/>
          <w:szCs w:val="24"/>
          <w:highlight w:val="none"/>
        </w:rPr>
      </w:pPr>
      <w:r>
        <w:rPr>
          <w:rFonts w:hint="eastAsia" w:ascii="宋体" w:hAnsi="宋体"/>
          <w:bCs/>
          <w:color w:val="auto"/>
          <w:sz w:val="24"/>
          <w:szCs w:val="24"/>
          <w:highlight w:val="none"/>
          <w:u w:val="single"/>
        </w:rPr>
        <w:t xml:space="preserve">1.2025年</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28</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b/>
          <w:bCs/>
          <w:color w:val="auto"/>
          <w:sz w:val="32"/>
          <w:szCs w:val="32"/>
          <w:highlight w:val="none"/>
        </w:rPr>
        <w:outlineLvl w:val="2"/>
      </w:pPr>
      <w:r/>
      <w:bookmarkStart w:id="30" w:name="_Toc28359007"/>
      <w:r/>
      <w:bookmarkStart w:id="31" w:name="_Toc35393625"/>
      <w:r/>
      <w:bookmarkStart w:id="32" w:name="_Toc35393794"/>
      <w:r/>
      <w:bookmarkStart w:id="33" w:name="_Toc28359084"/>
      <w:r/>
      <w:bookmarkStart w:id="34" w:name="_Toc38985267"/>
      <w:r>
        <w:rPr>
          <w:rFonts w:hint="eastAsia"/>
          <w:b/>
          <w:bCs/>
          <w:color w:val="auto"/>
          <w:sz w:val="32"/>
          <w:szCs w:val="32"/>
          <w:highlight w:val="none"/>
        </w:rPr>
        <w:t xml:space="preserve">五、公告期限</w:t>
      </w:r>
      <w:bookmarkEnd w:id="30"/>
      <w:r/>
      <w:bookmarkEnd w:id="31"/>
      <w:r/>
      <w:bookmarkEnd w:id="32"/>
      <w:r/>
      <w:bookmarkEnd w:id="33"/>
      <w:r/>
      <w:bookmarkEnd w:id="34"/>
      <w:r/>
      <w:r/>
    </w:p>
    <w:p>
      <w:pPr>
        <w:ind w:firstLine="480"/>
        <w:spacing w:line="560" w:lineRule="exact"/>
        <w:rPr>
          <w:rFonts w:ascii="宋体" w:hAnsi="宋体" w:cs="宋体"/>
          <w:color w:val="auto"/>
          <w:sz w:val="24"/>
          <w:szCs w:val="24"/>
          <w:highlight w:val="none"/>
        </w:rPr>
      </w:pPr>
      <w:r/>
      <w:bookmarkStart w:id="35" w:name="_Toc35393795"/>
      <w:r/>
      <w:bookmarkStart w:id="36" w:name="_Toc38985268"/>
      <w:r/>
      <w:bookmarkStart w:id="37" w:name="_Toc35393626"/>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六、其他补充事宜</w:t>
      </w:r>
      <w:bookmarkEnd w:id="35"/>
      <w:r/>
      <w:bookmarkEnd w:id="36"/>
      <w:r/>
      <w:bookmarkEnd w:id="37"/>
      <w:r/>
      <w:r/>
    </w:p>
    <w:p>
      <w:pPr>
        <w:ind w:firstLine="480"/>
        <w:spacing w:line="560" w:lineRule="exact"/>
        <w:rPr>
          <w:rFonts w:ascii="宋体" w:hAnsi="宋体" w:cs="宋体"/>
          <w:color w:val="auto"/>
          <w:sz w:val="24"/>
          <w:szCs w:val="24"/>
          <w:highlight w:val="none"/>
        </w:rPr>
      </w:pPr>
      <w:r/>
      <w:bookmarkStart w:id="38" w:name="OLE_LINK7"/>
      <w:r/>
      <w:bookmarkStart w:id="39" w:name="OLE_LINK6"/>
      <w:r>
        <w:rPr>
          <w:rFonts w:hint="eastAsia" w:ascii="宋体" w:hAnsi="宋体" w:cs="宋体"/>
          <w:color w:val="auto"/>
          <w:sz w:val="24"/>
          <w:szCs w:val="24"/>
          <w:highlight w:val="none"/>
        </w:rPr>
        <w:t xml:space="preserve">1.投标保证金：免收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bookmarkEnd w:id="38"/>
      <w:r/>
      <w:bookmarkEnd w:id="39"/>
      <w:r/>
      <w:r/>
    </w:p>
    <w:p>
      <w:pPr>
        <w:ind w:firstLine="498"/>
        <w:keepLines/>
        <w:keepNext/>
        <w:spacing w:line="560" w:lineRule="exact"/>
        <w:rPr>
          <w:b/>
          <w:bCs/>
          <w:color w:val="auto"/>
          <w:sz w:val="32"/>
          <w:szCs w:val="32"/>
          <w:highlight w:val="none"/>
        </w:rPr>
        <w:outlineLvl w:val="2"/>
      </w:pPr>
      <w:r/>
      <w:bookmarkStart w:id="40" w:name="_Toc38985269"/>
      <w:r/>
      <w:bookmarkStart w:id="41" w:name="_Toc28359008"/>
      <w:r/>
      <w:bookmarkStart w:id="42" w:name="_Toc35393627"/>
      <w:r/>
      <w:bookmarkStart w:id="43" w:name="_Toc35393796"/>
      <w:r/>
      <w:bookmarkStart w:id="44" w:name="_Toc28359085"/>
      <w:r>
        <w:rPr>
          <w:rFonts w:hint="eastAsia"/>
          <w:b/>
          <w:bCs/>
          <w:color w:val="auto"/>
          <w:sz w:val="32"/>
          <w:szCs w:val="32"/>
          <w:highlight w:val="none"/>
        </w:rPr>
        <w:t xml:space="preserve">七、本次磋商联系方式</w:t>
      </w:r>
      <w:bookmarkEnd w:id="40"/>
      <w:r/>
      <w:bookmarkEnd w:id="41"/>
      <w:r/>
      <w:bookmarkEnd w:id="42"/>
      <w:r/>
      <w:bookmarkEnd w:id="43"/>
      <w:r/>
      <w:bookmarkEnd w:id="44"/>
      <w:r/>
      <w:r/>
    </w:p>
    <w:p>
      <w:pPr>
        <w:jc w:val="left"/>
        <w:spacing w:line="560" w:lineRule="exact"/>
        <w:widowControl/>
        <w:rPr>
          <w:rFonts w:ascii="宋体" w:hAnsi="宋体"/>
          <w:color w:val="auto"/>
          <w:sz w:val="24"/>
          <w:szCs w:val="24"/>
          <w:highlight w:val="none"/>
        </w:rPr>
      </w:pPr>
      <w:r>
        <w:rPr>
          <w:rFonts w:hint="eastAsia" w:ascii="仿宋" w:hAnsi="仿宋" w:eastAsia="仿宋" w:cs="宋体"/>
          <w:color w:val="auto"/>
          <w:sz w:val="28"/>
          <w:szCs w:val="28"/>
          <w:highlight w:val="none"/>
        </w:rPr>
        <w:t xml:space="preserve">　　　</w:t>
      </w:r>
      <w:bookmarkStart w:id="45" w:name="_Toc28359010"/>
      <w:r/>
      <w:bookmarkStart w:id="46" w:name="_Toc28359087"/>
      <w:r>
        <w:rPr>
          <w:rFonts w:hint="eastAsia" w:ascii="宋体" w:hAnsi="宋体" w:cs="宋体"/>
          <w:color w:val="auto"/>
          <w:sz w:val="24"/>
          <w:szCs w:val="24"/>
          <w:highlight w:val="none"/>
        </w:rPr>
        <w:t xml:space="preserve">1.采购人信息</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南通市海安生态环境局</w:t>
      </w:r>
      <w:r>
        <w:rPr>
          <w:rFonts w:ascii="宋体" w:hAnsi="宋体"/>
          <w:color w:val="auto"/>
          <w:sz w:val="24"/>
          <w:szCs w:val="24"/>
          <w:highlight w:val="none"/>
        </w:rPr>
        <w:t xml:space="preserve"> </w:t>
      </w:r>
      <w:r/>
    </w:p>
    <w:p>
      <w:pPr>
        <w:ind w:left="1079" w:hanging="300"/>
        <w:jc w:val="left"/>
        <w:keepLines w:val="0"/>
        <w:keepNext w:val="0"/>
        <w:pageBreakBefore w:val="0"/>
        <w:spacing w:line="56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地址：海安</w:t>
      </w:r>
      <w:r>
        <w:rPr>
          <w:rFonts w:hint="eastAsia" w:ascii="宋体" w:hAnsi="宋体"/>
          <w:color w:val="auto"/>
          <w:sz w:val="24"/>
          <w:szCs w:val="24"/>
          <w:highlight w:val="none"/>
          <w:lang w:val="en-US" w:eastAsia="zh-CN"/>
        </w:rPr>
        <w:t xml:space="preserve">高新区镇南路428号1号楼5楼</w:t>
      </w:r>
      <w:r/>
    </w:p>
    <w:p>
      <w:pPr>
        <w:ind w:left="1079" w:hanging="300"/>
        <w:jc w:val="left"/>
        <w:keepLines w:val="0"/>
        <w:keepNext w:val="0"/>
        <w:pageBreakBefore w:val="0"/>
        <w:spacing w:line="560" w:lineRule="exact"/>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韩颖</w:t>
      </w:r>
      <w:r/>
    </w:p>
    <w:p>
      <w:pPr>
        <w:ind w:left="1079" w:hanging="300"/>
        <w:jc w:val="left"/>
        <w:keepLines w:val="0"/>
        <w:keepNext w:val="0"/>
        <w:pageBreakBefore w:val="0"/>
        <w:spacing w:line="56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bookmarkStart w:id="47" w:name="_Toc28359086"/>
      <w:r/>
      <w:bookmarkStart w:id="48" w:name="_Toc28359009"/>
      <w:r>
        <w:rPr>
          <w:rFonts w:hint="eastAsia" w:ascii="宋体" w:hAnsi="宋体"/>
          <w:color w:val="auto"/>
          <w:sz w:val="24"/>
          <w:szCs w:val="24"/>
          <w:highlight w:val="none"/>
          <w:lang w:val="en-US" w:eastAsia="zh-CN"/>
        </w:rPr>
        <w:t xml:space="preserve">0513-88917225</w:t>
      </w:r>
      <w:bookmarkEnd w:id="47"/>
      <w:r/>
      <w:bookmarkEnd w:id="48"/>
      <w:r/>
      <w:r/>
    </w:p>
    <w:p>
      <w:pPr>
        <w:ind w:firstLine="720"/>
        <w:jc w:val="left"/>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olor w:val="auto"/>
          <w:szCs w:val="21"/>
          <w:highlight w:val="none"/>
        </w:rPr>
        <w:t xml:space="preserve"> </w:t>
      </w:r>
      <w:r>
        <w:rPr>
          <w:rFonts w:hint="eastAsia" w:ascii="宋体" w:hAnsi="宋体" w:cs="宋体"/>
          <w:color w:val="auto"/>
          <w:sz w:val="24"/>
          <w:szCs w:val="24"/>
          <w:highlight w:val="none"/>
        </w:rPr>
        <w:t xml:space="preserve">采购代理机构信息</w:t>
      </w:r>
      <w:r/>
    </w:p>
    <w:p>
      <w:pPr>
        <w:ind w:firstLine="720"/>
        <w:keepLines w:val="0"/>
        <w:keepNext w:val="0"/>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中通服网盈科技有限公司</w:t>
      </w:r>
      <w:r/>
    </w:p>
    <w:p>
      <w:pPr>
        <w:ind w:firstLine="720"/>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地  址：海安市海安开发区通榆中路89号春秋置业7楼</w:t>
      </w:r>
      <w:r/>
    </w:p>
    <w:p>
      <w:pPr>
        <w:ind w:firstLine="720"/>
        <w:keepLines w:val="0"/>
        <w:keepNext w:val="0"/>
        <w:pageBreakBefore w:val="0"/>
        <w:spacing w:line="56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张茹、朱益龙、顾蓉蓉</w:t>
      </w:r>
      <w:r/>
    </w:p>
    <w:p>
      <w:pPr>
        <w:ind w:firstLine="720"/>
        <w:keepLines w:val="0"/>
        <w:keepNext w:val="0"/>
        <w:pageBreakBefore w:val="0"/>
        <w:spacing w:line="56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15262723081/17312321099</w:t>
      </w:r>
      <w:r/>
    </w:p>
    <w:p>
      <w:pPr>
        <w:ind w:firstLine="72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left="0" w:right="0" w:firstLine="720"/>
        <w:jc w:val="both"/>
        <w:keepLines w:val="0"/>
        <w:keepNext w:val="0"/>
        <w:pageBreakBefore w:val="0"/>
        <w:spacing w:before="0" w:beforeAutospacing="0" w:after="0" w:afterAutospacing="0" w:line="56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olor w:val="auto"/>
          <w:sz w:val="24"/>
          <w:szCs w:val="24"/>
          <w:highlight w:val="none"/>
        </w:rPr>
        <w:t xml:space="preserve">磋商文件制作人</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15262723081</w:t>
      </w:r>
      <w:r/>
    </w:p>
    <w:p>
      <w:pPr>
        <w:ind w:left="0" w:right="0" w:firstLine="720"/>
        <w:jc w:val="both"/>
        <w:keepLines w:val="0"/>
        <w:keepNext w:val="0"/>
        <w:pageBreakBefore w:val="0"/>
        <w:spacing w:before="0" w:beforeAutospacing="0" w:after="0" w:afterAutospacing="0" w:line="560" w:lineRule="exact"/>
        <w:widowControl w:val="off"/>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rPr>
        <w:t xml:space="preserve">项目磋商经办人：</w:t>
      </w:r>
      <w:r>
        <w:rPr>
          <w:rFonts w:hint="eastAsia" w:ascii="宋体" w:hAnsi="宋体"/>
          <w:color w:val="auto"/>
          <w:sz w:val="24"/>
          <w:szCs w:val="24"/>
          <w:highlight w:val="none"/>
          <w:lang w:val="en-US" w:eastAsia="zh-CN"/>
        </w:rPr>
        <w:t xml:space="preserve">15365505156</w:t>
      </w:r>
      <w:r/>
    </w:p>
    <w:p>
      <w:pPr>
        <w:ind w:firstLine="72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15991053297</w:t>
      </w:r>
      <w:r>
        <w:rPr>
          <w:rFonts w:hint="eastAsia" w:ascii="宋体" w:hAnsi="宋体"/>
          <w:color w:val="auto"/>
          <w:sz w:val="24"/>
          <w:szCs w:val="24"/>
          <w:highlight w:val="none"/>
        </w:rPr>
        <w:t xml:space="preserve">、</w:t>
      </w:r>
      <w:r>
        <w:rPr>
          <w:rFonts w:ascii="宋体" w:hAnsi="宋体"/>
          <w:color w:val="auto"/>
          <w:sz w:val="24"/>
          <w:szCs w:val="24"/>
          <w:highlight w:val="none"/>
        </w:rPr>
        <w:t xml:space="preserve">0519-86722801、0519-86722806</w:t>
      </w:r>
      <w:bookmarkEnd w:id="45"/>
      <w:r/>
      <w:bookmarkEnd w:id="46"/>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keepLines/>
        <w:keepNext/>
        <w:spacing w:line="520" w:lineRule="exact"/>
        <w:rPr>
          <w:rFonts w:ascii="黑体" w:hAnsi="Arial" w:eastAsia="黑体" w:cs="Arial"/>
          <w:color w:val="auto"/>
          <w:sz w:val="44"/>
          <w:szCs w:val="44"/>
          <w:highlight w:val="none"/>
        </w:rPr>
        <w:outlineLvl w:val="1"/>
      </w:pPr>
      <w:r/>
      <w:bookmarkStart w:id="49"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auto"/>
          <w:sz w:val="44"/>
          <w:szCs w:val="44"/>
          <w:highlight w:val="none"/>
        </w:rPr>
        <w:t xml:space="preserve">供应商须知</w:t>
      </w:r>
      <w:r/>
    </w:p>
    <w:p>
      <w:pPr>
        <w:ind w:firstLine="498"/>
        <w:keepLines/>
        <w:keepNext/>
        <w:spacing w:line="520" w:lineRule="exact"/>
        <w:rPr>
          <w:b/>
          <w:bCs/>
          <w:color w:val="auto"/>
          <w:sz w:val="32"/>
          <w:szCs w:val="32"/>
          <w:highlight w:val="none"/>
        </w:rPr>
        <w:outlineLvl w:val="2"/>
      </w:pPr>
      <w:r/>
      <w:bookmarkStart w:id="50" w:name="_Toc20823275"/>
      <w:r/>
      <w:bookmarkStart w:id="51" w:name="_Toc120614214"/>
      <w:r/>
      <w:bookmarkStart w:id="52" w:name="_Toc513029203"/>
      <w:r/>
      <w:bookmarkStart w:id="53" w:name="_Toc16938519"/>
      <w:r>
        <w:rPr>
          <w:rFonts w:hint="eastAsia"/>
          <w:b/>
          <w:bCs/>
          <w:color w:val="auto"/>
          <w:sz w:val="32"/>
          <w:szCs w:val="32"/>
          <w:highlight w:val="none"/>
        </w:rPr>
        <w:t xml:space="preserve">一、总则</w:t>
      </w:r>
      <w:bookmarkEnd w:id="50"/>
      <w:r/>
      <w:bookmarkEnd w:id="51"/>
      <w:r/>
      <w:bookmarkEnd w:id="52"/>
      <w:r/>
      <w:bookmarkEnd w:id="53"/>
      <w:r/>
      <w:r/>
    </w:p>
    <w:p>
      <w:pPr>
        <w:ind w:firstLine="420"/>
        <w:keepLines/>
        <w:keepNext/>
        <w:spacing w:line="520" w:lineRule="exact"/>
        <w:rPr>
          <w:rFonts w:ascii="Arial" w:hAnsi="Arial" w:eastAsia="黑体" w:cs="Arial"/>
          <w:color w:val="auto"/>
          <w:sz w:val="28"/>
          <w:szCs w:val="28"/>
          <w:highlight w:val="none"/>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Arial" w:hAnsi="Arial" w:eastAsia="黑体" w:cs="Arial"/>
          <w:color w:val="auto"/>
          <w:sz w:val="28"/>
          <w:szCs w:val="28"/>
          <w:highlight w:val="none"/>
        </w:rPr>
        <w:t xml:space="preserve">1</w:t>
      </w:r>
      <w:bookmarkEnd w:id="55"/>
      <w:r>
        <w:rPr>
          <w:rFonts w:hint="eastAsia" w:ascii="Arial" w:hAnsi="Arial" w:eastAsia="黑体" w:cs="Arial"/>
          <w:color w:val="auto"/>
          <w:sz w:val="28"/>
          <w:szCs w:val="28"/>
          <w:highlight w:val="none"/>
        </w:rPr>
        <w:t xml:space="preserve">.采购方式</w:t>
      </w:r>
      <w:bookmarkEnd w:id="56"/>
      <w:r/>
      <w:bookmarkEnd w:id="57"/>
      <w:r/>
      <w:bookmarkEnd w:id="58"/>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ascii="Arial" w:hAnsi="Arial" w:eastAsia="黑体" w:cs="Arial"/>
          <w:color w:val="auto"/>
          <w:sz w:val="28"/>
          <w:szCs w:val="28"/>
          <w:highlight w:val="none"/>
        </w:rPr>
        <w:outlineLvl w:val="3"/>
      </w:pPr>
      <w:r/>
      <w:bookmarkStart w:id="59" w:name="_Toc16938521"/>
      <w:r/>
      <w:bookmarkStart w:id="60" w:name="_Toc513029205"/>
      <w:r/>
      <w:bookmarkStart w:id="61" w:name="_Toc20823277"/>
      <w:r>
        <w:rPr>
          <w:rFonts w:hint="eastAsia" w:ascii="Arial" w:hAnsi="Arial" w:eastAsia="黑体" w:cs="Arial"/>
          <w:color w:val="auto"/>
          <w:sz w:val="28"/>
          <w:szCs w:val="28"/>
          <w:highlight w:val="none"/>
        </w:rPr>
        <w:t xml:space="preserve">2.合格的</w:t>
      </w:r>
      <w:bookmarkEnd w:id="59"/>
      <w:r/>
      <w:bookmarkEnd w:id="60"/>
      <w:r/>
      <w:bookmarkEnd w:id="61"/>
      <w:r>
        <w:rPr>
          <w:rFonts w:hint="eastAsia" w:ascii="Arial" w:hAnsi="Arial" w:eastAsia="黑体" w:cs="Arial"/>
          <w:color w:val="auto"/>
          <w:sz w:val="28"/>
          <w:szCs w:val="28"/>
          <w:highlight w:val="none"/>
        </w:rPr>
        <w:t xml:space="preserve">供应商</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ascii="Arial" w:hAnsi="Arial" w:eastAsia="黑体" w:cs="Arial"/>
          <w:color w:val="auto"/>
          <w:sz w:val="28"/>
          <w:szCs w:val="28"/>
          <w:highlight w:val="none"/>
        </w:rPr>
        <w:outlineLvl w:val="3"/>
      </w:pPr>
      <w:r/>
      <w:bookmarkStart w:id="62" w:name="_Toc16938522"/>
      <w:r/>
      <w:bookmarkStart w:id="63" w:name="_Toc20823278"/>
      <w:r/>
      <w:bookmarkStart w:id="64" w:name="_Toc513029206"/>
      <w:r>
        <w:rPr>
          <w:rFonts w:hint="eastAsia" w:ascii="Arial" w:hAnsi="Arial" w:eastAsia="黑体" w:cs="Arial"/>
          <w:color w:val="auto"/>
          <w:sz w:val="28"/>
          <w:szCs w:val="28"/>
          <w:highlight w:val="none"/>
        </w:rPr>
        <w:t xml:space="preserve">3.适用法律</w:t>
      </w:r>
      <w:bookmarkEnd w:id="62"/>
      <w:r/>
      <w:bookmarkEnd w:id="63"/>
      <w:r/>
      <w:bookmarkEnd w:id="64"/>
      <w:r/>
      <w:r/>
    </w:p>
    <w:p>
      <w:pPr>
        <w:ind w:firstLine="42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ascii="Arial" w:hAnsi="Arial" w:eastAsia="黑体" w:cs="Arial"/>
          <w:color w:val="auto"/>
          <w:sz w:val="28"/>
          <w:szCs w:val="28"/>
          <w:highlight w:val="none"/>
        </w:rPr>
        <w:outlineLvl w:val="3"/>
      </w:pPr>
      <w:r/>
      <w:bookmarkStart w:id="65" w:name="_Toc513029207"/>
      <w:r/>
      <w:bookmarkStart w:id="66" w:name="_Toc16938523"/>
      <w:r/>
      <w:bookmarkStart w:id="67" w:name="_Toc20823279"/>
      <w:r/>
      <w:bookmarkStart w:id="68" w:name="_Toc462564067"/>
      <w:r>
        <w:rPr>
          <w:rFonts w:hint="eastAsia" w:ascii="Arial" w:hAnsi="Arial" w:eastAsia="黑体" w:cs="Arial"/>
          <w:color w:val="auto"/>
          <w:sz w:val="28"/>
          <w:szCs w:val="28"/>
          <w:highlight w:val="none"/>
        </w:rPr>
        <w:t xml:space="preserve">4.磋商费用</w:t>
      </w:r>
      <w:bookmarkEnd w:id="65"/>
      <w:r/>
      <w:bookmarkEnd w:id="66"/>
      <w:r/>
      <w:bookmarkEnd w:id="67"/>
      <w:r/>
      <w:bookmarkEnd w:id="68"/>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4.3</w:t>
      </w:r>
      <w:r>
        <w:rPr>
          <w:rFonts w:hint="eastAsia" w:ascii="宋体" w:hAnsi="宋体"/>
          <w:b/>
          <w:bCs/>
          <w:color w:val="auto"/>
          <w:sz w:val="24"/>
          <w:szCs w:val="21"/>
          <w:highlight w:val="none"/>
        </w:rPr>
        <w:t xml:space="preserve">本项目招标代理费按原国家发展和改革委员会《招标代理服务收费管理暂行办法》（计价格[2002]1980号文、发改办价格[2003]857号文及发改办价格[2011]534号文件相关收费标准的66折收取，由成交供应商支付，此费用综合考虑在磋商报价内。</w:t>
      </w:r>
      <w:r/>
    </w:p>
    <w:p>
      <w:pPr>
        <w:ind w:firstLine="301"/>
        <w:keepLines/>
        <w:keepNext/>
        <w:spacing w:line="520" w:lineRule="exact"/>
        <w:rPr>
          <w:rFonts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磋商文件的约束力</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line="520" w:lineRule="exact"/>
        <w:rPr>
          <w:b/>
          <w:bCs/>
          <w:color w:val="auto"/>
          <w:sz w:val="32"/>
          <w:szCs w:val="32"/>
          <w:highlight w:val="none"/>
        </w:rPr>
        <w:outlineLvl w:val="2"/>
      </w:pPr>
      <w:r/>
      <w:bookmarkStart w:id="69" w:name="_Toc120614215"/>
      <w:r/>
      <w:bookmarkStart w:id="70" w:name="_Toc513029209"/>
      <w:r/>
      <w:bookmarkStart w:id="71" w:name="_Toc16938525"/>
      <w:r/>
      <w:bookmarkStart w:id="72" w:name="_Toc20823281"/>
      <w:r>
        <w:rPr>
          <w:rFonts w:hint="eastAsia"/>
          <w:b/>
          <w:bCs/>
          <w:color w:val="auto"/>
          <w:sz w:val="32"/>
          <w:szCs w:val="32"/>
          <w:highlight w:val="none"/>
        </w:rPr>
        <w:t xml:space="preserve">二、</w:t>
      </w:r>
      <w:bookmarkEnd w:id="69"/>
      <w:r/>
      <w:bookmarkEnd w:id="70"/>
      <w:r/>
      <w:bookmarkEnd w:id="71"/>
      <w:r/>
      <w:bookmarkEnd w:id="72"/>
      <w:r>
        <w:rPr>
          <w:rFonts w:hint="eastAsia"/>
          <w:b/>
          <w:bCs/>
          <w:color w:val="auto"/>
          <w:sz w:val="32"/>
          <w:szCs w:val="32"/>
          <w:highlight w:val="none"/>
        </w:rPr>
        <w:t xml:space="preserve">磋商文件</w:t>
      </w:r>
      <w:r/>
    </w:p>
    <w:p>
      <w:pPr>
        <w:ind w:firstLine="420"/>
        <w:keepLines/>
        <w:keepNext/>
        <w:spacing w:line="520" w:lineRule="exact"/>
        <w:rPr>
          <w:rFonts w:ascii="Arial" w:hAnsi="Arial" w:eastAsia="黑体" w:cs="Arial"/>
          <w:color w:val="auto"/>
          <w:sz w:val="28"/>
          <w:szCs w:val="28"/>
          <w:highlight w:val="none"/>
        </w:rPr>
        <w:outlineLvl w:val="3"/>
      </w:pPr>
      <w:r/>
      <w:bookmarkStart w:id="73" w:name="_Toc20823282"/>
      <w:r/>
      <w:bookmarkStart w:id="74" w:name="_Toc16938526"/>
      <w:r/>
      <w:bookmarkStart w:id="75" w:name="_Toc513029210"/>
      <w:r>
        <w:rPr>
          <w:rFonts w:hint="eastAsia" w:ascii="Arial" w:hAnsi="Arial" w:eastAsia="黑体" w:cs="Arial"/>
          <w:color w:val="auto"/>
          <w:sz w:val="28"/>
          <w:szCs w:val="28"/>
          <w:highlight w:val="none"/>
        </w:rPr>
        <w:t xml:space="preserve">6.磋商文件构成</w:t>
      </w:r>
      <w:bookmarkEnd w:id="73"/>
      <w:r/>
      <w:bookmarkEnd w:id="74"/>
      <w:r/>
      <w:bookmarkEnd w:id="75"/>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color w:val="auto"/>
          <w:sz w:val="24"/>
          <w:szCs w:val="24"/>
          <w:highlight w:val="none"/>
        </w:rPr>
      </w:pPr>
      <w:r>
        <w:rPr>
          <w:rFonts w:hint="eastAsia" w:ascii="宋体" w:hAnsi="宋体"/>
          <w:color w:val="auto"/>
          <w:sz w:val="24"/>
          <w:szCs w:val="24"/>
          <w:highlight w:val="none"/>
        </w:rPr>
        <w:t xml:space="preserve">（4）</w:t>
      </w:r>
      <w:r>
        <w:rPr>
          <w:rFonts w:hint="eastAsia" w:hAnsi="宋体"/>
          <w:color w:val="auto"/>
          <w:sz w:val="24"/>
          <w:szCs w:val="24"/>
          <w:highlight w:val="none"/>
        </w:rPr>
        <w:t xml:space="preserve">评审方法与评审标准</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ascii="Arial" w:hAnsi="Arial" w:eastAsia="黑体" w:cs="Arial"/>
          <w:color w:val="auto"/>
          <w:sz w:val="28"/>
          <w:szCs w:val="28"/>
          <w:highlight w:val="none"/>
        </w:rPr>
        <w:outlineLvl w:val="3"/>
      </w:pPr>
      <w:r/>
      <w:bookmarkStart w:id="76" w:name="_Toc16938527"/>
      <w:r/>
      <w:bookmarkStart w:id="77" w:name="_Toc20823283"/>
      <w:r/>
      <w:bookmarkStart w:id="78" w:name="_Toc513029211"/>
      <w:r/>
      <w:bookmarkStart w:id="79" w:name="_Toc462564070"/>
      <w:r>
        <w:rPr>
          <w:rFonts w:hint="eastAsia" w:ascii="Arial" w:hAnsi="Arial" w:eastAsia="黑体" w:cs="Arial"/>
          <w:color w:val="auto"/>
          <w:sz w:val="28"/>
          <w:szCs w:val="28"/>
          <w:highlight w:val="none"/>
        </w:rPr>
        <w:t xml:space="preserve">7.磋商文件的澄清</w:t>
      </w:r>
      <w:bookmarkEnd w:id="76"/>
      <w:r/>
      <w:bookmarkEnd w:id="77"/>
      <w:r/>
      <w:bookmarkEnd w:id="78"/>
      <w:r/>
      <w:bookmarkEnd w:id="79"/>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ascii="Arial" w:hAnsi="Arial" w:eastAsia="黑体" w:cs="Arial"/>
          <w:color w:val="auto"/>
          <w:sz w:val="28"/>
          <w:szCs w:val="28"/>
          <w:highlight w:val="none"/>
        </w:rPr>
        <w:outlineLvl w:val="3"/>
      </w:pPr>
      <w:r/>
      <w:bookmarkStart w:id="80" w:name="_Toc16938528"/>
      <w:r/>
      <w:bookmarkStart w:id="81" w:name="_Toc513029212"/>
      <w:r/>
      <w:bookmarkStart w:id="82" w:name="_Toc20823284"/>
      <w:r/>
      <w:bookmarkStart w:id="83" w:name="_Toc462564071"/>
      <w:r>
        <w:rPr>
          <w:rFonts w:hint="eastAsia" w:ascii="Arial" w:hAnsi="Arial" w:eastAsia="黑体" w:cs="Arial"/>
          <w:color w:val="auto"/>
          <w:sz w:val="28"/>
          <w:szCs w:val="28"/>
          <w:highlight w:val="none"/>
        </w:rPr>
        <w:t xml:space="preserve">8.磋商文件的澄清和修改</w:t>
      </w:r>
      <w:bookmarkEnd w:id="80"/>
      <w:r/>
      <w:bookmarkEnd w:id="81"/>
      <w:r/>
      <w:bookmarkEnd w:id="82"/>
      <w:r/>
      <w:bookmarkEnd w:id="83"/>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，采购人或采购代理机构可以对磋商文件进行澄清和修改,</w:t>
      </w:r>
      <w:r>
        <w:rPr>
          <w:rFonts w:hint="eastAsia"/>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ind w:firstLine="482"/>
        <w:keepLines/>
        <w:keepNext/>
        <w:spacing w:line="520" w:lineRule="exact"/>
        <w:rPr>
          <w:b/>
          <w:bCs/>
          <w:color w:val="auto"/>
          <w:sz w:val="32"/>
          <w:szCs w:val="32"/>
          <w:highlight w:val="none"/>
        </w:rPr>
        <w:outlineLvl w:val="2"/>
      </w:pPr>
      <w:r/>
      <w:bookmarkStart w:id="84" w:name="_Toc16938529"/>
      <w:r/>
      <w:bookmarkStart w:id="85" w:name="_Toc20823285"/>
      <w:r/>
      <w:bookmarkStart w:id="86" w:name="_Toc462564072"/>
      <w:r/>
      <w:bookmarkStart w:id="87" w:name="_Toc513029213"/>
      <w:r/>
      <w:bookmarkStart w:id="88" w:name="_Toc120614216"/>
      <w:r>
        <w:rPr>
          <w:rFonts w:hint="eastAsia"/>
          <w:b/>
          <w:bCs/>
          <w:color w:val="auto"/>
          <w:sz w:val="32"/>
          <w:szCs w:val="32"/>
          <w:highlight w:val="none"/>
        </w:rPr>
        <w:t xml:space="preserve">三、响应文件的编制</w:t>
      </w:r>
      <w:bookmarkEnd w:id="84"/>
      <w:r/>
      <w:bookmarkEnd w:id="85"/>
      <w:r/>
      <w:bookmarkEnd w:id="86"/>
      <w:r/>
      <w:bookmarkEnd w:id="87"/>
      <w:r/>
      <w:bookmarkEnd w:id="88"/>
      <w:r/>
      <w:r/>
    </w:p>
    <w:p>
      <w:pPr>
        <w:ind w:firstLine="560"/>
        <w:keepLines/>
        <w:keepNext/>
        <w:spacing w:line="520" w:lineRule="exact"/>
        <w:rPr>
          <w:rFonts w:ascii="Arial" w:hAnsi="Arial" w:eastAsia="黑体" w:cs="Arial"/>
          <w:b/>
          <w:color w:val="auto"/>
          <w:sz w:val="28"/>
          <w:szCs w:val="28"/>
          <w:highlight w:val="none"/>
        </w:rPr>
        <w:outlineLvl w:val="3"/>
      </w:pPr>
      <w:r/>
      <w:bookmarkStart w:id="89" w:name="_Toc513029214"/>
      <w:r/>
      <w:bookmarkStart w:id="90" w:name="_Toc20823286"/>
      <w:r/>
      <w:bookmarkStart w:id="91" w:name="_Toc16938530"/>
      <w:r/>
      <w:bookmarkStart w:id="92" w:name="_Toc462564073"/>
      <w:r>
        <w:rPr>
          <w:rFonts w:hint="eastAsia" w:ascii="Arial" w:hAnsi="Arial" w:eastAsia="黑体" w:cs="Arial"/>
          <w:color w:val="auto"/>
          <w:sz w:val="28"/>
          <w:szCs w:val="28"/>
          <w:highlight w:val="none"/>
        </w:rPr>
        <w:t xml:space="preserve">9.响应文件的语言及度量衡单位</w:t>
      </w:r>
      <w:bookmarkEnd w:id="89"/>
      <w:r/>
      <w:bookmarkEnd w:id="90"/>
      <w:r/>
      <w:bookmarkEnd w:id="91"/>
      <w:r/>
      <w:bookmarkEnd w:id="92"/>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ascii="Arial" w:hAnsi="Arial" w:eastAsia="黑体" w:cs="Arial"/>
          <w:color w:val="auto"/>
          <w:sz w:val="28"/>
          <w:szCs w:val="28"/>
          <w:highlight w:val="none"/>
        </w:rPr>
        <w:outlineLvl w:val="3"/>
      </w:pPr>
      <w:r/>
      <w:bookmarkStart w:id="93" w:name="_Toc16938531"/>
      <w:r/>
      <w:bookmarkStart w:id="94" w:name="_Toc20823287"/>
      <w:r/>
      <w:bookmarkStart w:id="95" w:name="_Toc462564074"/>
      <w:r/>
      <w:bookmarkStart w:id="96" w:name="_Toc513029215"/>
      <w:r>
        <w:rPr>
          <w:rFonts w:hint="eastAsia" w:ascii="Arial" w:hAnsi="Arial" w:eastAsia="黑体" w:cs="Arial"/>
          <w:color w:val="auto"/>
          <w:sz w:val="28"/>
          <w:szCs w:val="28"/>
          <w:highlight w:val="none"/>
        </w:rPr>
        <w:t xml:space="preserve">10.响应文件构成</w:t>
      </w:r>
      <w:bookmarkEnd w:id="93"/>
      <w:r/>
      <w:bookmarkEnd w:id="94"/>
      <w:r/>
      <w:bookmarkEnd w:id="95"/>
      <w:r/>
      <w:bookmarkEnd w:id="96"/>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ascii="Arial" w:hAnsi="Arial" w:eastAsia="黑体" w:cs="Arial"/>
          <w:color w:val="auto"/>
          <w:sz w:val="28"/>
          <w:szCs w:val="28"/>
          <w:highlight w:val="none"/>
        </w:rPr>
        <w:outlineLvl w:val="3"/>
      </w:pPr>
      <w:r/>
      <w:bookmarkStart w:id="97" w:name="_Hlt26670360"/>
      <w:r/>
      <w:bookmarkEnd w:id="97"/>
      <w:r/>
      <w:bookmarkStart w:id="98" w:name="_Hlt26668975"/>
      <w:r/>
      <w:bookmarkEnd w:id="98"/>
      <w:r/>
      <w:bookmarkStart w:id="99" w:name="_Hlt26954838"/>
      <w:r/>
      <w:bookmarkEnd w:id="99"/>
      <w:r/>
      <w:bookmarkStart w:id="100" w:name="_Toc49090509"/>
      <w:r/>
      <w:bookmarkStart w:id="101" w:name="_Toc513029219"/>
      <w:r/>
      <w:bookmarkStart w:id="102" w:name="_Toc14577357"/>
      <w:r/>
      <w:bookmarkStart w:id="103" w:name="_Toc513029216"/>
      <w:r/>
      <w:bookmarkStart w:id="104" w:name="_Toc49090507"/>
      <w:r/>
      <w:bookmarkStart w:id="105" w:name="_Toc14577354"/>
      <w:r/>
      <w:bookmarkStart w:id="106" w:name="_Toc14577355"/>
      <w:r/>
      <w:bookmarkStart w:id="107" w:name="_Toc49090508"/>
      <w:r>
        <w:rPr>
          <w:rFonts w:hint="eastAsia" w:ascii="Arial" w:hAnsi="Arial" w:eastAsia="黑体" w:cs="Arial"/>
          <w:color w:val="auto"/>
          <w:sz w:val="28"/>
          <w:szCs w:val="28"/>
          <w:highlight w:val="none"/>
        </w:rPr>
        <w:t xml:space="preserve">11.证明磋商响应标的符合磋商文件规定的文件</w:t>
      </w:r>
      <w:bookmarkEnd w:id="100"/>
      <w:r/>
      <w:bookmarkEnd w:id="101"/>
      <w:r/>
      <w:bookmarkEnd w:id="102"/>
      <w:r/>
      <w:bookmarkEnd w:id="103"/>
      <w:r/>
      <w:bookmarkEnd w:id="104"/>
      <w:r/>
      <w:bookmarkEnd w:id="105"/>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06"/>
      <w:r/>
      <w:bookmarkEnd w:id="107"/>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ascii="Arial" w:hAnsi="Arial" w:eastAsia="黑体" w:cs="Arial"/>
          <w:color w:val="auto"/>
          <w:sz w:val="28"/>
          <w:szCs w:val="28"/>
          <w:highlight w:val="none"/>
        </w:rPr>
        <w:outlineLvl w:val="3"/>
      </w:pPr>
      <w:r/>
      <w:bookmarkStart w:id="108" w:name="_Hlt26954731"/>
      <w:r/>
      <w:bookmarkEnd w:id="108"/>
      <w:r/>
      <w:bookmarkStart w:id="109" w:name="_Hlt26670482"/>
      <w:r/>
      <w:bookmarkEnd w:id="109"/>
      <w:r/>
      <w:bookmarkStart w:id="110" w:name="_Hlt26954846"/>
      <w:r/>
      <w:bookmarkEnd w:id="110"/>
      <w:r/>
      <w:bookmarkStart w:id="111" w:name="_Hlt26670486"/>
      <w:r/>
      <w:bookmarkEnd w:id="111"/>
      <w:r/>
      <w:bookmarkStart w:id="112" w:name="_Hlt26954848"/>
      <w:r/>
      <w:bookmarkEnd w:id="112"/>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2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ascii="Arial" w:hAnsi="Arial" w:eastAsia="黑体" w:cs="Arial"/>
          <w:color w:val="auto"/>
          <w:sz w:val="28"/>
          <w:szCs w:val="28"/>
          <w:highlight w:val="none"/>
        </w:rPr>
        <w:outlineLvl w:val="3"/>
      </w:pPr>
      <w:r/>
      <w:bookmarkStart w:id="113" w:name="_Toc14577359"/>
      <w:r/>
      <w:bookmarkStart w:id="114" w:name="_Toc49090510"/>
      <w:r>
        <w:rPr>
          <w:rFonts w:hint="eastAsia" w:ascii="Arial" w:hAnsi="Arial" w:eastAsia="黑体" w:cs="Arial"/>
          <w:color w:val="auto"/>
          <w:sz w:val="28"/>
          <w:szCs w:val="28"/>
          <w:highlight w:val="none"/>
        </w:rPr>
        <w:t xml:space="preserve">15.磋商响应函</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3"/>
      <w:r/>
      <w:bookmarkEnd w:id="114"/>
      <w:r/>
      <w:r/>
    </w:p>
    <w:p>
      <w:pPr>
        <w:ind w:firstLine="420"/>
        <w:keepLines/>
        <w:keepNext/>
        <w:spacing w:line="520" w:lineRule="exact"/>
        <w:rPr>
          <w:rFonts w:ascii="Arial" w:hAnsi="Arial" w:eastAsia="黑体" w:cs="Arial"/>
          <w:color w:val="auto"/>
          <w:sz w:val="28"/>
          <w:szCs w:val="28"/>
          <w:highlight w:val="none"/>
        </w:rPr>
        <w:outlineLvl w:val="3"/>
      </w:pPr>
      <w:r/>
      <w:bookmarkStart w:id="115" w:name="_Toc14577360"/>
      <w:r/>
      <w:bookmarkStart w:id="116" w:name="_Toc49090511"/>
      <w:r>
        <w:rPr>
          <w:rFonts w:hint="eastAsia" w:ascii="Arial" w:hAnsi="Arial" w:eastAsia="黑体" w:cs="Arial"/>
          <w:color w:val="auto"/>
          <w:sz w:val="28"/>
          <w:szCs w:val="28"/>
          <w:highlight w:val="none"/>
        </w:rPr>
        <w:t xml:space="preserve">16.</w:t>
      </w:r>
      <w:bookmarkStart w:id="117" w:name="OLE_LINK18"/>
      <w:r/>
      <w:bookmarkStart w:id="118" w:name="OLE_LINK19"/>
      <w:r>
        <w:rPr>
          <w:rFonts w:hint="eastAsia" w:ascii="Arial" w:hAnsi="Arial" w:eastAsia="黑体" w:cs="Arial"/>
          <w:color w:val="auto"/>
          <w:sz w:val="28"/>
          <w:szCs w:val="28"/>
          <w:highlight w:val="none"/>
        </w:rPr>
        <w:t xml:space="preserve">磋商有效期</w:t>
      </w:r>
      <w:bookmarkEnd w:id="115"/>
      <w:r/>
      <w:bookmarkEnd w:id="116"/>
      <w:r/>
      <w:bookmarkEnd w:id="117"/>
      <w:r/>
      <w:bookmarkEnd w:id="118"/>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w:t>
      </w:r>
      <w:r>
        <w:rPr>
          <w:rFonts w:hint="eastAsia" w:ascii="宋体" w:hAnsi="宋体" w:cs="宋体"/>
          <w:b/>
          <w:color w:val="auto"/>
          <w:sz w:val="24"/>
          <w:szCs w:val="21"/>
          <w:highlight w:val="none"/>
          <w:u w:val="single"/>
        </w:rPr>
        <w:t xml:space="preserve">60</w:t>
      </w:r>
      <w:r>
        <w:rPr>
          <w:rFonts w:hint="eastAsia" w:ascii="仿宋_GB2312" w:hAnsi="仿宋_GB2312"/>
          <w:b/>
          <w:color w:val="auto"/>
          <w:sz w:val="24"/>
          <w:szCs w:val="21"/>
          <w:highlight w:val="none"/>
          <w:u w:val="single"/>
        </w:rPr>
        <w:t xml:space="preserve">）天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line="520" w:lineRule="exact"/>
        <w:rPr>
          <w:b/>
          <w:bCs/>
          <w:color w:val="auto"/>
          <w:sz w:val="32"/>
          <w:szCs w:val="32"/>
          <w:highlight w:val="none"/>
        </w:rPr>
        <w:outlineLvl w:val="2"/>
      </w:pPr>
      <w:r/>
      <w:bookmarkStart w:id="119" w:name="_Hlt26954739"/>
      <w:r/>
      <w:bookmarkEnd w:id="119"/>
      <w:r/>
      <w:bookmarkStart w:id="120" w:name="_Hlt26954852"/>
      <w:r/>
      <w:bookmarkEnd w:id="120"/>
      <w:r/>
      <w:bookmarkStart w:id="121" w:name="_Toc16938540"/>
      <w:r/>
      <w:bookmarkStart w:id="122" w:name="_Toc20823296"/>
      <w:r/>
      <w:bookmarkStart w:id="123" w:name="_Toc120614217"/>
      <w:r/>
      <w:bookmarkStart w:id="124" w:name="_Toc513029224"/>
      <w:r>
        <w:rPr>
          <w:rFonts w:hint="eastAsia"/>
          <w:b/>
          <w:bCs/>
          <w:color w:val="auto"/>
          <w:sz w:val="32"/>
          <w:szCs w:val="32"/>
          <w:highlight w:val="none"/>
        </w:rPr>
        <w:t xml:space="preserve">四、响应文件的递交</w:t>
      </w:r>
      <w:bookmarkEnd w:id="121"/>
      <w:r/>
      <w:bookmarkEnd w:id="122"/>
      <w:r/>
      <w:bookmarkEnd w:id="123"/>
      <w:r/>
      <w:bookmarkEnd w:id="124"/>
      <w:r/>
      <w:r/>
    </w:p>
    <w:p>
      <w:pPr>
        <w:ind w:firstLine="560"/>
        <w:keepLines/>
        <w:keepNext/>
        <w:spacing w:line="520" w:lineRule="exact"/>
        <w:rPr>
          <w:rFonts w:ascii="黑体" w:hAnsi="Arial" w:eastAsia="黑体" w:cs="Arial"/>
          <w:color w:val="auto"/>
          <w:sz w:val="28"/>
          <w:szCs w:val="28"/>
          <w:highlight w:val="none"/>
        </w:rPr>
        <w:outlineLvl w:val="3"/>
      </w:pPr>
      <w:r/>
      <w:bookmarkStart w:id="125" w:name="_Toc513029225"/>
      <w:r/>
      <w:bookmarkStart w:id="126" w:name="_Toc16938541"/>
      <w:r/>
      <w:bookmarkStart w:id="127" w:name="_Toc20823297"/>
      <w:r/>
      <w:bookmarkStart w:id="128"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磋商</w:t>
      </w:r>
      <w:bookmarkEnd w:id="125"/>
      <w:r/>
      <w:bookmarkEnd w:id="126"/>
      <w:r/>
      <w:bookmarkEnd w:id="127"/>
      <w:r/>
      <w:bookmarkEnd w:id="128"/>
      <w:r>
        <w:rPr>
          <w:rFonts w:hint="eastAsia" w:ascii="黑体" w:hAnsi="Arial" w:eastAsia="黑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9" w:name="_Toc513029226"/>
      <w:r/>
      <w:bookmarkStart w:id="130" w:name="_Toc20823298"/>
      <w:r/>
      <w:bookmarkStart w:id="131" w:name="_Toc16938542"/>
      <w:r/>
      <w:r/>
    </w:p>
    <w:p>
      <w:pPr>
        <w:ind w:firstLine="560"/>
        <w:keepLines/>
        <w:keepNext/>
        <w:spacing w:line="52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.提交响应文件截止时间</w:t>
      </w:r>
      <w:bookmarkEnd w:id="129"/>
      <w:r/>
      <w:bookmarkEnd w:id="130"/>
      <w:r/>
      <w:bookmarkEnd w:id="131"/>
      <w:r/>
      <w:r/>
    </w:p>
    <w:p>
      <w:pPr>
        <w:ind w:firstLine="480"/>
        <w:spacing w:line="520" w:lineRule="exact"/>
        <w:rPr>
          <w:rFonts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Arial" w:hAnsi="Arial" w:eastAsia="黑体" w:cs="Arial"/>
          <w:color w:val="auto"/>
          <w:sz w:val="28"/>
          <w:szCs w:val="28"/>
          <w:highlight w:val="none"/>
        </w:rPr>
        <w:outlineLvl w:val="3"/>
      </w:pPr>
      <w:r/>
      <w:bookmarkStart w:id="132" w:name="_Toc20823299"/>
      <w:r/>
      <w:bookmarkStart w:id="133" w:name="_Toc513029227"/>
      <w:r/>
      <w:bookmarkStart w:id="134"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2"/>
      <w:r/>
      <w:bookmarkEnd w:id="133"/>
      <w:r/>
      <w:bookmarkEnd w:id="134"/>
      <w:r>
        <w:rPr>
          <w:rFonts w:hint="eastAsia" w:ascii="Arial" w:hAnsi="Arial" w:eastAsia="黑体" w:cs="Arial"/>
          <w:color w:val="auto"/>
          <w:sz w:val="28"/>
          <w:szCs w:val="28"/>
          <w:highlight w:val="none"/>
        </w:rPr>
        <w:t xml:space="preserve">的拒收</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ascii="Arial" w:hAnsi="Arial" w:eastAsia="黑体" w:cs="Arial"/>
          <w:color w:val="auto"/>
          <w:sz w:val="28"/>
          <w:szCs w:val="28"/>
          <w:highlight w:val="none"/>
        </w:rPr>
        <w:outlineLvl w:val="3"/>
      </w:pPr>
      <w:r/>
      <w:bookmarkStart w:id="135" w:name="_Toc16938544"/>
      <w:r/>
      <w:bookmarkStart w:id="136" w:name="_Toc20823300"/>
      <w:r/>
      <w:bookmarkStart w:id="137"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5"/>
      <w:r/>
      <w:bookmarkEnd w:id="136"/>
      <w:r/>
      <w:bookmarkEnd w:id="137"/>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line="520" w:lineRule="exact"/>
        <w:rPr>
          <w:b/>
          <w:bCs/>
          <w:color w:val="auto"/>
          <w:sz w:val="32"/>
          <w:szCs w:val="32"/>
          <w:highlight w:val="none"/>
        </w:rPr>
        <w:outlineLvl w:val="2"/>
      </w:pPr>
      <w:r/>
      <w:bookmarkStart w:id="138" w:name="_Toc513029229"/>
      <w:r/>
      <w:bookmarkStart w:id="139" w:name="_Toc16938545"/>
      <w:r/>
      <w:bookmarkStart w:id="140" w:name="_Toc120614218"/>
      <w:r/>
      <w:bookmarkStart w:id="141" w:name="_Toc20823301"/>
      <w:r>
        <w:rPr>
          <w:rFonts w:hint="eastAsia"/>
          <w:b/>
          <w:bCs/>
          <w:color w:val="auto"/>
          <w:sz w:val="32"/>
          <w:szCs w:val="32"/>
          <w:highlight w:val="none"/>
        </w:rPr>
        <w:t xml:space="preserve">五、响应文件的解密与评审</w:t>
      </w:r>
      <w:bookmarkEnd w:id="138"/>
      <w:r/>
      <w:bookmarkEnd w:id="139"/>
      <w:r/>
      <w:bookmarkEnd w:id="140"/>
      <w:r/>
      <w:bookmarkEnd w:id="141"/>
      <w:r/>
      <w:r/>
    </w:p>
    <w:p>
      <w:pPr>
        <w:ind w:firstLine="420"/>
        <w:keepLines/>
        <w:keepNext/>
        <w:spacing w:line="520" w:lineRule="exact"/>
        <w:rPr>
          <w:rFonts w:ascii="Arial" w:hAnsi="Arial" w:eastAsia="黑体" w:cs="Arial"/>
          <w:color w:val="auto"/>
          <w:sz w:val="28"/>
          <w:szCs w:val="28"/>
          <w:highlight w:val="none"/>
        </w:rPr>
        <w:outlineLvl w:val="3"/>
      </w:pPr>
      <w:r/>
      <w:bookmarkStart w:id="142" w:name="_Toc16938546"/>
      <w:r/>
      <w:bookmarkStart w:id="143" w:name="_Toc513029230"/>
      <w:r/>
      <w:bookmarkStart w:id="144" w:name="_Toc20823302"/>
      <w:r>
        <w:rPr>
          <w:rFonts w:hint="eastAsia" w:ascii="Arial" w:hAnsi="Arial" w:eastAsia="黑体" w:cs="Arial"/>
          <w:color w:val="auto"/>
          <w:sz w:val="28"/>
          <w:szCs w:val="28"/>
          <w:highlight w:val="none"/>
        </w:rPr>
        <w:t xml:space="preserve">22</w:t>
      </w:r>
      <w:bookmarkEnd w:id="142"/>
      <w:r/>
      <w:bookmarkEnd w:id="143"/>
      <w:r/>
      <w:bookmarkEnd w:id="144"/>
      <w:r>
        <w:rPr>
          <w:rFonts w:hint="eastAsia" w:ascii="Arial" w:hAnsi="Arial" w:eastAsia="黑体" w:cs="Arial"/>
          <w:color w:val="auto"/>
          <w:sz w:val="28"/>
          <w:szCs w:val="28"/>
          <w:highlight w:val="none"/>
        </w:rPr>
        <w:t xml:space="preserve">.响应文件解密</w:t>
      </w:r>
      <w:r/>
    </w:p>
    <w:p>
      <w:pPr>
        <w:ind w:firstLine="360"/>
        <w:spacing w:line="52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color w:val="auto"/>
          <w:sz w:val="28"/>
          <w:szCs w:val="28"/>
          <w:highlight w:val="none"/>
        </w:rPr>
        <w:outlineLvl w:val="3"/>
      </w:pPr>
      <w:r/>
      <w:bookmarkStart w:id="145" w:name="_Toc20823303"/>
      <w:r/>
      <w:bookmarkStart w:id="146" w:name="_Toc16938547"/>
      <w:r/>
      <w:bookmarkStart w:id="147"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.2磋商小组独立工作，负责评审所有响应文件并确定成交候选人。</w:t>
      </w:r>
      <w:r/>
    </w:p>
    <w:p>
      <w:pPr>
        <w:ind w:firstLine="420"/>
        <w:keepLines/>
        <w:keepNext/>
        <w:spacing w:line="52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45"/>
      <w:r/>
      <w:bookmarkEnd w:id="146"/>
      <w:r/>
      <w:bookmarkEnd w:id="147"/>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ascii="Arial" w:hAnsi="Arial" w:eastAsia="黑体" w:cs="Arial"/>
          <w:color w:val="auto"/>
          <w:sz w:val="28"/>
          <w:szCs w:val="28"/>
          <w:highlight w:val="none"/>
        </w:rPr>
        <w:outlineLvl w:val="3"/>
      </w:pPr>
      <w:r/>
      <w:bookmarkStart w:id="148" w:name="_Toc20823304"/>
      <w:r/>
      <w:bookmarkStart w:id="149" w:name="_Toc16938548"/>
      <w:r/>
      <w:bookmarkStart w:id="150"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48"/>
      <w:r/>
      <w:bookmarkEnd w:id="149"/>
      <w:r/>
      <w:bookmarkEnd w:id="150"/>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ascii="Arial" w:hAnsi="Arial" w:eastAsia="黑体" w:cs="Arial"/>
          <w:color w:val="auto"/>
          <w:sz w:val="28"/>
          <w:szCs w:val="28"/>
          <w:highlight w:val="none"/>
        </w:rPr>
        <w:outlineLvl w:val="3"/>
      </w:pPr>
      <w:r/>
      <w:bookmarkStart w:id="151" w:name="_Toc20823305"/>
      <w:r/>
      <w:bookmarkStart w:id="152" w:name="_Toc16938549"/>
      <w:r/>
      <w:bookmarkStart w:id="153" w:name="_Toc51302923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1"/>
      <w:r/>
      <w:bookmarkEnd w:id="152"/>
      <w:r/>
      <w:bookmarkEnd w:id="153"/>
      <w:r>
        <w:rPr>
          <w:rFonts w:hint="eastAsia" w:ascii="Arial" w:hAnsi="Arial" w:eastAsia="黑体" w:cs="Arial"/>
          <w:color w:val="auto"/>
          <w:sz w:val="28"/>
          <w:szCs w:val="28"/>
          <w:highlight w:val="none"/>
        </w:rPr>
        <w:t xml:space="preserve">查</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ascii="宋体" w:hAnsi="宋体"/>
          <w:color w:val="auto"/>
          <w:sz w:val="24"/>
          <w:szCs w:val="21"/>
          <w:highlight w:val="none"/>
        </w:rPr>
      </w:pPr>
      <w:r/>
      <w:bookmarkStart w:id="154" w:name="_Toc513029234"/>
      <w:r/>
      <w:bookmarkStart w:id="155" w:name="_Toc16938550"/>
      <w:r/>
      <w:bookmarkStart w:id="156"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bookmarkEnd w:id="154"/>
      <w:r/>
      <w:bookmarkEnd w:id="155"/>
      <w:r/>
      <w:bookmarkEnd w:id="156"/>
      <w:r>
        <w:rPr>
          <w:rFonts w:hint="eastAsia" w:ascii="Arial" w:hAnsi="Arial" w:eastAsia="黑体" w:cs="Arial"/>
          <w:color w:val="auto"/>
          <w:sz w:val="28"/>
          <w:szCs w:val="28"/>
          <w:highlight w:val="none"/>
        </w:rPr>
        <w:t xml:space="preserve">.磋商程序及评审方法和评审标准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line="520" w:lineRule="exact"/>
        <w:rPr>
          <w:b/>
          <w:bCs/>
          <w:color w:val="auto"/>
          <w:sz w:val="32"/>
          <w:szCs w:val="32"/>
          <w:highlight w:val="none"/>
        </w:rPr>
        <w:outlineLvl w:val="2"/>
      </w:pPr>
      <w:r/>
      <w:bookmarkStart w:id="157" w:name="_Toc513029235"/>
      <w:r/>
      <w:bookmarkStart w:id="158" w:name="_Toc120614219"/>
      <w:r/>
      <w:bookmarkStart w:id="159" w:name="_Toc16938551"/>
      <w:r/>
      <w:bookmarkStart w:id="160" w:name="_Toc20823307"/>
      <w:r>
        <w:rPr>
          <w:rFonts w:hint="eastAsia"/>
          <w:b/>
          <w:bCs/>
          <w:color w:val="auto"/>
          <w:sz w:val="32"/>
          <w:szCs w:val="32"/>
          <w:highlight w:val="none"/>
        </w:rPr>
        <w:t xml:space="preserve">六、</w:t>
      </w:r>
      <w:bookmarkEnd w:id="157"/>
      <w:r/>
      <w:bookmarkEnd w:id="158"/>
      <w:r/>
      <w:bookmarkEnd w:id="159"/>
      <w:r/>
      <w:bookmarkEnd w:id="160"/>
      <w:r>
        <w:rPr>
          <w:rFonts w:hint="eastAsia"/>
          <w:b/>
          <w:bCs/>
          <w:color w:val="auto"/>
          <w:sz w:val="32"/>
          <w:szCs w:val="32"/>
          <w:highlight w:val="none"/>
        </w:rPr>
        <w:t xml:space="preserve">成交</w:t>
      </w:r>
      <w:r/>
    </w:p>
    <w:p>
      <w:pPr>
        <w:ind w:firstLine="600"/>
        <w:keepLines/>
        <w:keepNext/>
        <w:spacing w:line="520" w:lineRule="exact"/>
        <w:rPr>
          <w:rFonts w:ascii="黑体" w:hAnsi="宋体" w:eastAsia="黑体"/>
          <w:bCs/>
          <w:color w:val="auto"/>
          <w:sz w:val="30"/>
          <w:szCs w:val="30"/>
          <w:highlight w:val="none"/>
        </w:rPr>
        <w:outlineLvl w:val="3"/>
      </w:pPr>
      <w:r/>
      <w:bookmarkStart w:id="161" w:name="_Toc513029238"/>
      <w:r/>
      <w:bookmarkStart w:id="162" w:name="_Toc20823310"/>
      <w:r/>
      <w:bookmarkStart w:id="163"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bookmarkEnd w:id="161"/>
      <w:r>
        <w:rPr>
          <w:rFonts w:hint="eastAsia" w:ascii="黑体" w:hAnsi="宋体" w:eastAsia="黑体"/>
          <w:bCs/>
          <w:color w:val="auto"/>
          <w:sz w:val="30"/>
          <w:szCs w:val="30"/>
          <w:highlight w:val="none"/>
        </w:rPr>
        <w:t xml:space="preserve">.确定</w:t>
      </w:r>
      <w:bookmarkEnd w:id="162"/>
      <w:r/>
      <w:bookmarkEnd w:id="163"/>
      <w:r>
        <w:rPr>
          <w:rFonts w:hint="eastAsia" w:ascii="黑体" w:hAnsi="宋体" w:eastAsia="黑体"/>
          <w:bCs/>
          <w:color w:val="auto"/>
          <w:sz w:val="30"/>
          <w:szCs w:val="30"/>
          <w:highlight w:val="none"/>
        </w:rPr>
        <w:t xml:space="preserve">成交单位</w:t>
      </w:r>
      <w:r/>
    </w:p>
    <w:p>
      <w:pPr>
        <w:ind w:firstLine="477"/>
        <w:spacing w:line="520" w:lineRule="exact"/>
        <w:tabs>
          <w:tab w:val="left" w:pos="900" w:leader="none"/>
        </w:tabs>
        <w:rPr>
          <w:rFonts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ascii="黑体" w:hAnsi="宋体" w:eastAsia="黑体"/>
          <w:bCs/>
          <w:color w:val="auto"/>
          <w:sz w:val="30"/>
          <w:szCs w:val="30"/>
          <w:highlight w:val="none"/>
        </w:rPr>
        <w:outlineLvl w:val="3"/>
      </w:pPr>
      <w:r/>
      <w:bookmarkStart w:id="164" w:name="_Toc200451960"/>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164"/>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int="eastAsia" w:hAnsi="宋体" w:cs="宋体"/>
          <w:color w:val="auto"/>
          <w:sz w:val="24"/>
          <w:szCs w:val="24"/>
          <w:highlight w:val="none"/>
        </w:rPr>
        <w:t xml:space="preserve">。</w:t>
      </w:r>
      <w:r/>
    </w:p>
    <w:p>
      <w:pPr>
        <w:ind w:firstLine="480"/>
        <w:spacing w:line="520" w:lineRule="exact"/>
        <w:rPr>
          <w:rFonts w:hAnsi="宋体" w:cs="宋体"/>
          <w:color w:val="auto"/>
          <w:sz w:val="24"/>
          <w:szCs w:val="24"/>
          <w:highlight w:val="none"/>
        </w:rPr>
      </w:pP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int="eastAsia" w:hAnsi="宋体" w:cs="宋体"/>
          <w:color w:val="auto"/>
          <w:sz w:val="24"/>
          <w:szCs w:val="24"/>
          <w:highlight w:val="none"/>
        </w:rPr>
        <w:t xml:space="preserve">。</w:t>
      </w:r>
      <w:r/>
    </w:p>
    <w:p>
      <w:pPr>
        <w:ind w:firstLine="480"/>
        <w:spacing w:line="520" w:lineRule="exact"/>
        <w:rPr>
          <w:rFonts w:hAnsi="宋体" w:cs="宋体"/>
          <w:color w:val="auto"/>
          <w:sz w:val="24"/>
          <w:szCs w:val="24"/>
          <w:highlight w:val="none"/>
        </w:rPr>
      </w:pP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对成交结果提出质疑的，为成交结果公告期限届满之日。</w:t>
      </w:r>
      <w:r/>
    </w:p>
    <w:p>
      <w:pPr>
        <w:ind w:firstLine="480"/>
        <w:spacing w:line="520" w:lineRule="exact"/>
        <w:rPr>
          <w:rFonts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 xml:space="preserve">采购人或采购代理机构</w:t>
      </w:r>
      <w:r>
        <w:rPr>
          <w:rFonts w:hint="eastAsia" w:hAnsi="宋体" w:cs="宋体"/>
          <w:color w:val="auto"/>
          <w:sz w:val="24"/>
          <w:szCs w:val="24"/>
          <w:highlight w:val="none"/>
        </w:rPr>
        <w:t xml:space="preserve">将只对供应商第一次质疑作出答复。</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.成交通知书</w:t>
      </w:r>
      <w:r/>
    </w:p>
    <w:p>
      <w:pPr>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b/>
          <w:bCs/>
          <w:color w:val="auto"/>
          <w:sz w:val="32"/>
          <w:szCs w:val="32"/>
          <w:highlight w:val="none"/>
        </w:rPr>
        <w:outlineLvl w:val="2"/>
      </w:pPr>
      <w:r/>
      <w:bookmarkStart w:id="165" w:name="_Toc120614220"/>
      <w:r/>
      <w:bookmarkStart w:id="166" w:name="_Toc16938552"/>
      <w:r/>
      <w:bookmarkStart w:id="167" w:name="_Toc20823308"/>
      <w:r/>
      <w:bookmarkStart w:id="168" w:name="_Toc513029236"/>
      <w:r>
        <w:rPr>
          <w:rFonts w:hint="eastAsia"/>
          <w:b/>
          <w:bCs/>
          <w:color w:val="auto"/>
          <w:sz w:val="32"/>
          <w:szCs w:val="32"/>
          <w:highlight w:val="none"/>
        </w:rPr>
        <w:t xml:space="preserve">七、授予合同</w:t>
      </w:r>
      <w:bookmarkEnd w:id="165"/>
      <w:r/>
      <w:bookmarkEnd w:id="166"/>
      <w:r/>
      <w:bookmarkEnd w:id="167"/>
      <w:r/>
      <w:bookmarkEnd w:id="168"/>
      <w:r/>
      <w:r/>
    </w:p>
    <w:p>
      <w:pPr>
        <w:ind w:firstLine="600"/>
        <w:keepLines/>
        <w:keepNext/>
        <w:spacing w:line="520" w:lineRule="exact"/>
        <w:rPr>
          <w:rFonts w:ascii="黑体" w:hAnsi="宋体" w:eastAsia="黑体"/>
          <w:bCs/>
          <w:color w:val="auto"/>
          <w:sz w:val="30"/>
          <w:szCs w:val="30"/>
          <w:highlight w:val="none"/>
        </w:rPr>
        <w:outlineLvl w:val="3"/>
      </w:pPr>
      <w:r/>
      <w:bookmarkStart w:id="169" w:name="_Toc16938553"/>
      <w:r/>
      <w:bookmarkStart w:id="170" w:name="_Toc20823309"/>
      <w:r/>
      <w:bookmarkStart w:id="171"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.签订合同</w:t>
      </w:r>
      <w:r/>
    </w:p>
    <w:p>
      <w:pPr>
        <w:ind w:firstLine="60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.标的物的追加</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9"/>
      <w:r/>
      <w:bookmarkEnd w:id="170"/>
      <w:r/>
      <w:bookmarkEnd w:id="171"/>
      <w:r/>
      <w:r/>
    </w:p>
    <w:p>
      <w:pPr>
        <w:ind w:firstLine="600"/>
        <w:keepLines/>
        <w:keepNext/>
        <w:spacing w:line="520" w:lineRule="exact"/>
        <w:rPr>
          <w:rFonts w:ascii="黑体" w:hAnsi="宋体" w:eastAsia="黑体"/>
          <w:bCs/>
          <w:color w:val="auto"/>
          <w:sz w:val="30"/>
          <w:szCs w:val="30"/>
          <w:highlight w:val="none"/>
        </w:rPr>
        <w:outlineLvl w:val="3"/>
      </w:pPr>
      <w:r/>
      <w:bookmarkStart w:id="172" w:name="_Toc16938558"/>
      <w:r/>
      <w:bookmarkStart w:id="173" w:name="_Toc513029242"/>
      <w:r/>
      <w:bookmarkStart w:id="174" w:name="_Toc20823314"/>
      <w:r/>
      <w:bookmarkStart w:id="175" w:name="_Toc120614221"/>
      <w:r/>
      <w:bookmarkStart w:id="176" w:name="_Toc47975720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firstLine="555"/>
        <w:spacing w:line="520" w:lineRule="exact"/>
        <w:rPr>
          <w:rFonts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72"/>
      <w:r/>
      <w:bookmarkEnd w:id="173"/>
      <w:r/>
      <w:bookmarkEnd w:id="174"/>
      <w:r/>
      <w:bookmarkEnd w:id="175"/>
      <w:r/>
      <w:bookmarkEnd w:id="176"/>
      <w:r/>
      <w:bookmarkStart w:id="177" w:name="_Hlt16619350"/>
      <w:r/>
      <w:bookmarkStart w:id="178" w:name="_Toc16938590"/>
      <w:r/>
      <w:bookmarkStart w:id="179" w:name="_Toc20823346"/>
      <w:r/>
      <w:bookmarkStart w:id="180" w:name="_Toc120614244"/>
      <w:r/>
      <w:bookmarkStart w:id="181" w:name="_Toc462564139"/>
      <w:r/>
      <w:bookmarkStart w:id="182" w:name="_Toc479757211"/>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ind w:firstLine="880"/>
        <w:jc w:val="center"/>
        <w:spacing w:line="560" w:lineRule="exac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ind w:firstLine="880"/>
        <w:jc w:val="center"/>
        <w:spacing w:line="560" w:lineRule="exact"/>
        <w:rPr>
          <w:rFonts w:ascii="黑体" w:hAnsi="Courier New" w:eastAsia="黑体" w:cs="Courier New"/>
          <w:bCs/>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sectPr>
      </w:pPr>
      <w:r>
        <w:rPr>
          <w:rFonts w:ascii="黑体" w:hAnsi="Courier New" w:eastAsia="黑体" w:cs="Courier New"/>
          <w:bCs/>
          <w:color w:val="auto"/>
          <w:sz w:val="44"/>
          <w:szCs w:val="21"/>
          <w:highlight w:val="none"/>
        </w:rPr>
      </w:r>
      <w:r/>
    </w:p>
    <w:p>
      <w:pPr>
        <w:pStyle w:val="924"/>
        <w:ind w:firstLine="420"/>
        <w:rPr>
          <w:color w:val="auto"/>
          <w:highlight w:val="none"/>
        </w:rPr>
      </w:pPr>
      <w:r>
        <w:rPr>
          <w:color w:val="auto"/>
          <w:highlight w:val="none"/>
        </w:rPr>
      </w:r>
      <w:r/>
    </w:p>
    <w:p>
      <w:pPr>
        <w:jc w:val="center"/>
        <w:keepNext/>
        <w:spacing w:line="560" w:lineRule="exact"/>
        <w:rPr>
          <w:rFonts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t xml:space="preserve">第</w:t>
      </w:r>
      <w:bookmarkEnd w:id="177"/>
      <w:r>
        <w:rPr>
          <w:rFonts w:hint="eastAsia" w:ascii="黑体" w:hAnsi="Courier New" w:eastAsia="黑体" w:cs="Courier New"/>
          <w:bCs/>
          <w:color w:val="auto"/>
          <w:sz w:val="44"/>
          <w:szCs w:val="21"/>
          <w:highlight w:val="none"/>
        </w:rPr>
        <w:t xml:space="preserve">三章 采购需求</w:t>
      </w:r>
      <w:bookmarkEnd w:id="178"/>
      <w:r/>
      <w:bookmarkEnd w:id="179"/>
      <w:r/>
      <w:bookmarkEnd w:id="180"/>
      <w:r/>
      <w:bookmarkStart w:id="183" w:name="_Toc26554093"/>
      <w:r/>
      <w:bookmarkStart w:id="184" w:name="_Toc49090575"/>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项目属性：服务类项目</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ind w:firstLine="482"/>
        <w:spacing w:line="560" w:lineRule="exact"/>
        <w:rPr>
          <w:b/>
          <w:bCs/>
          <w:color w:val="auto"/>
          <w:sz w:val="24"/>
          <w:szCs w:val="24"/>
          <w:highlight w:val="none"/>
        </w:rPr>
      </w:pPr>
      <w:r>
        <w:rPr>
          <w:rFonts w:hint="eastAsia"/>
          <w:b/>
          <w:bCs/>
          <w:color w:val="auto"/>
          <w:sz w:val="24"/>
          <w:szCs w:val="24"/>
          <w:highlight w:val="none"/>
        </w:rPr>
        <w:t xml:space="preserve">1.采购标的需实现的功能或者目标，以及为落实政府采购政策需满足的要求：</w:t>
      </w:r>
      <w:r/>
    </w:p>
    <w:p>
      <w:pPr>
        <w:ind w:firstLine="480"/>
        <w:spacing w:line="560" w:lineRule="exact"/>
        <w:rPr>
          <w:color w:val="auto"/>
          <w:sz w:val="24"/>
          <w:szCs w:val="24"/>
          <w:highlight w:val="none"/>
        </w:rPr>
      </w:pPr>
      <w:r>
        <w:rPr>
          <w:rFonts w:hint="eastAsia"/>
          <w:color w:val="auto"/>
          <w:sz w:val="24"/>
          <w:szCs w:val="24"/>
          <w:highlight w:val="none"/>
        </w:rPr>
        <w:t xml:space="preserve">针对土壤污染重点监管单位等重点单元，共计34家次，开展土壤和地下水监测</w:t>
      </w:r>
      <w:r>
        <w:rPr>
          <w:rFonts w:hint="eastAsia"/>
          <w:color w:val="auto"/>
          <w:sz w:val="24"/>
          <w:szCs w:val="24"/>
          <w:highlight w:val="none"/>
          <w:lang w:eastAsia="zh-CN"/>
        </w:rPr>
        <w:t xml:space="preserve">，</w:t>
      </w:r>
      <w:r>
        <w:rPr>
          <w:rFonts w:hint="eastAsia"/>
          <w:color w:val="auto"/>
          <w:sz w:val="24"/>
          <w:szCs w:val="24"/>
          <w:highlight w:val="none"/>
        </w:rPr>
        <w:t xml:space="preserve">对监测结果进行集成总结并开展监测成果运用，为建设用地土壤污染源头预防工作提供决策依据，助力土壤和地下水环境质量持续改善。</w:t>
      </w:r>
      <w:r/>
    </w:p>
    <w:p>
      <w:pPr>
        <w:ind w:firstLine="482"/>
        <w:spacing w:line="560" w:lineRule="exact"/>
        <w:rPr>
          <w:b/>
          <w:bCs/>
          <w:color w:val="auto"/>
          <w:sz w:val="24"/>
          <w:szCs w:val="24"/>
          <w:highlight w:val="none"/>
        </w:rPr>
      </w:pPr>
      <w:r>
        <w:rPr>
          <w:rFonts w:hint="eastAsia"/>
          <w:b/>
          <w:bCs/>
          <w:color w:val="auto"/>
          <w:sz w:val="24"/>
          <w:szCs w:val="24"/>
          <w:highlight w:val="none"/>
        </w:rPr>
        <w:t xml:space="preserve">2.采购标的需执行的国家相关标准、行业标准、地方标准或者其他标准、规范：</w:t>
      </w:r>
      <w:r/>
    </w:p>
    <w:p>
      <w:pPr>
        <w:ind w:firstLine="480"/>
        <w:spacing w:line="560" w:lineRule="exact"/>
        <w:rPr>
          <w:color w:val="auto"/>
          <w:sz w:val="24"/>
          <w:szCs w:val="24"/>
          <w:highlight w:val="none"/>
        </w:rPr>
      </w:pPr>
      <w:r>
        <w:rPr>
          <w:rFonts w:hint="eastAsia"/>
          <w:color w:val="auto"/>
          <w:sz w:val="24"/>
          <w:szCs w:val="24"/>
          <w:highlight w:val="none"/>
        </w:rPr>
        <w:t xml:space="preserve">成交供应商须严格根据《中华人民共和国土壤污染防治法》和《关于加强建设用地土壤管地块周边监测项污染防治有关重点工作的通知》</w:t>
      </w:r>
      <w:r>
        <w:rPr>
          <w:rFonts w:hint="eastAsia"/>
          <w:color w:val="auto"/>
          <w:sz w:val="24"/>
          <w:szCs w:val="24"/>
          <w:highlight w:val="none"/>
          <w:lang w:eastAsia="zh-CN"/>
        </w:rPr>
        <w:t xml:space="preserve">（</w:t>
      </w:r>
      <w:r>
        <w:rPr>
          <w:rFonts w:hint="eastAsia"/>
          <w:color w:val="auto"/>
          <w:sz w:val="24"/>
          <w:szCs w:val="24"/>
          <w:highlight w:val="none"/>
        </w:rPr>
        <w:t xml:space="preserve">环办士壤函〔2022〕435号</w:t>
      </w:r>
      <w:r>
        <w:rPr>
          <w:rFonts w:hint="eastAsia"/>
          <w:color w:val="auto"/>
          <w:sz w:val="24"/>
          <w:szCs w:val="24"/>
          <w:highlight w:val="none"/>
          <w:lang w:eastAsia="zh-CN"/>
        </w:rPr>
        <w:t xml:space="preserve">）</w:t>
      </w:r>
      <w:r>
        <w:rPr>
          <w:rFonts w:hint="eastAsia"/>
          <w:color w:val="auto"/>
          <w:sz w:val="24"/>
          <w:szCs w:val="24"/>
          <w:highlight w:val="none"/>
        </w:rPr>
        <w:t xml:space="preserve">，同时参照《土壤污染重点监管单位周边监测技术规范》（DB 32/T4348-2022）和《工业企业周边土壤和地下水监测技术指南（试行）》（总站土字〔2024〕73号）等相关规定。</w:t>
      </w:r>
      <w:r/>
    </w:p>
    <w:p>
      <w:pPr>
        <w:ind w:firstLine="482"/>
        <w:spacing w:line="56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rPr>
        <w:t xml:space="preserve">采购标的需满足的质量、安全、技术规格、物理特性等要求：</w:t>
      </w:r>
      <w:r/>
    </w:p>
    <w:p>
      <w:pPr>
        <w:numPr>
          <w:ilvl w:val="0"/>
          <w:numId w:val="0"/>
        </w:numPr>
        <w:ind w:firstLine="480"/>
        <w:spacing w:line="560" w:lineRule="exact"/>
        <w:rPr>
          <w:color w:val="auto"/>
          <w:sz w:val="24"/>
          <w:szCs w:val="24"/>
          <w:highlight w:val="none"/>
        </w:rPr>
      </w:pPr>
      <w:r>
        <w:rPr>
          <w:rFonts w:hint="eastAsia"/>
          <w:color w:val="auto"/>
          <w:sz w:val="24"/>
          <w:szCs w:val="24"/>
          <w:highlight w:val="none"/>
        </w:rPr>
        <w:t xml:space="preserve">成交供应商必须严格</w:t>
      </w:r>
      <w:r>
        <w:rPr>
          <w:rFonts w:hint="eastAsia"/>
          <w:color w:val="auto"/>
          <w:sz w:val="24"/>
          <w:highlight w:val="none"/>
          <w:lang w:val="en-US" w:eastAsia="zh-CN"/>
        </w:rPr>
        <w:t xml:space="preserve">按照相关</w:t>
      </w:r>
      <w:r>
        <w:rPr>
          <w:rFonts w:hint="eastAsia"/>
          <w:color w:val="auto"/>
          <w:sz w:val="24"/>
          <w:highlight w:val="none"/>
        </w:rPr>
        <w:t xml:space="preserve">技术规范</w:t>
      </w:r>
      <w:r>
        <w:rPr>
          <w:rFonts w:hint="eastAsia"/>
          <w:color w:val="auto"/>
          <w:sz w:val="24"/>
          <w:szCs w:val="24"/>
          <w:highlight w:val="none"/>
          <w:lang w:eastAsia="zh-CN"/>
        </w:rPr>
        <w:t xml:space="preserve">，</w:t>
      </w:r>
      <w:r>
        <w:rPr>
          <w:rFonts w:hint="eastAsia"/>
          <w:color w:val="auto"/>
          <w:sz w:val="24"/>
          <w:szCs w:val="24"/>
          <w:highlight w:val="none"/>
        </w:rPr>
        <w:t xml:space="preserve">开展土壤和地下水监测</w:t>
      </w:r>
      <w:r>
        <w:rPr>
          <w:rFonts w:hint="eastAsia"/>
          <w:color w:val="auto"/>
          <w:sz w:val="24"/>
          <w:szCs w:val="24"/>
          <w:highlight w:val="none"/>
          <w:lang w:val="en-US" w:eastAsia="zh-CN"/>
        </w:rPr>
        <w:t xml:space="preserve">工作</w:t>
      </w:r>
      <w:r>
        <w:rPr>
          <w:rFonts w:hint="eastAsia"/>
          <w:color w:val="auto"/>
          <w:sz w:val="24"/>
          <w:szCs w:val="24"/>
          <w:highlight w:val="none"/>
        </w:rPr>
        <w:t xml:space="preserve">。</w:t>
      </w:r>
      <w:r/>
    </w:p>
    <w:p>
      <w:pPr>
        <w:ind w:firstLine="482"/>
        <w:spacing w:line="56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4.采购标的的数量、采购项目交付或者实施的时间和地点：</w:t>
      </w:r>
      <w:r/>
    </w:p>
    <w:p>
      <w:pPr>
        <w:ind w:firstLine="480"/>
        <w:spacing w:line="560" w:lineRule="exact"/>
        <w:rPr>
          <w:color w:val="auto"/>
          <w:sz w:val="24"/>
          <w:szCs w:val="24"/>
          <w:highlight w:val="none"/>
        </w:rPr>
      </w:pPr>
      <w:r>
        <w:rPr>
          <w:rFonts w:hint="eastAsia"/>
          <w:color w:val="auto"/>
          <w:sz w:val="24"/>
          <w:szCs w:val="24"/>
          <w:highlight w:val="none"/>
        </w:rPr>
        <w:t xml:space="preserve">4.1服务内容：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开展土壤和地下水监测：</w:t>
      </w:r>
      <w:r>
        <w:rPr>
          <w:rFonts w:hint="eastAsia"/>
          <w:color w:val="auto"/>
          <w:sz w:val="24"/>
          <w:szCs w:val="24"/>
          <w:highlight w:val="none"/>
        </w:rPr>
        <w:t xml:space="preserve">对海安市15家土壤污染重点监管单位及其周边开展资料收集、现场踏勘、人员访谈、污染识别、监测方案编制、现场采样、样品检测、监测结果分析等工作，形成重点监管单位“一企一档”，完成15家土壤污染重点监管单位地块</w:t>
      </w:r>
      <w:r>
        <w:rPr>
          <w:rFonts w:hint="eastAsia"/>
          <w:color w:val="auto"/>
          <w:sz w:val="24"/>
          <w:szCs w:val="24"/>
          <w:highlight w:val="none"/>
          <w:lang w:val="en-US" w:eastAsia="zh-CN"/>
        </w:rPr>
        <w:t xml:space="preserve">内及</w:t>
      </w:r>
      <w:r>
        <w:rPr>
          <w:rFonts w:hint="eastAsia"/>
          <w:color w:val="auto"/>
          <w:sz w:val="24"/>
          <w:szCs w:val="24"/>
          <w:highlight w:val="none"/>
        </w:rPr>
        <w:t xml:space="preserve">周边（共计30家次）监测报告编制；根据4个高风险遗留地块污染物特征、水文地质条件、区域气候条件以及周边敏感日标合理确定监测内容，明确监测介质、监测点位、监测指标，开展监测形成报告，为后续</w:t>
      </w:r>
      <w:r>
        <w:rPr>
          <w:rFonts w:hint="eastAsia"/>
          <w:color w:val="auto"/>
          <w:sz w:val="24"/>
          <w:szCs w:val="24"/>
          <w:highlight w:val="none"/>
          <w:lang w:val="en-US" w:eastAsia="zh-CN"/>
        </w:rPr>
        <w:t xml:space="preserve">管理</w:t>
      </w:r>
      <w:r>
        <w:rPr>
          <w:rFonts w:hint="eastAsia"/>
          <w:color w:val="auto"/>
          <w:sz w:val="24"/>
          <w:szCs w:val="24"/>
          <w:highlight w:val="none"/>
        </w:rPr>
        <w:t xml:space="preserve">提供依据；</w:t>
      </w:r>
      <w:r/>
    </w:p>
    <w:p>
      <w:pPr>
        <w:ind w:firstLine="482"/>
        <w:jc w:val="left"/>
        <w:keepLines w:val="0"/>
        <w:keepNext w:val="0"/>
        <w:pageBreakBefore w:val="0"/>
        <w:spacing w:line="56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监测情况综合分析：对监测结果进行汇总分析，形成区域性、行业性综合分析成果。内容包括但不限于基础数据库建立、比对前期已有监测数据、超标情况行业特征分析、超标企业污染途径溯源分析、环境风险管控措施建议等。</w:t>
      </w:r>
      <w:r/>
    </w:p>
    <w:p>
      <w:pPr>
        <w:ind w:firstLine="482"/>
        <w:jc w:val="left"/>
        <w:keepLines w:val="0"/>
        <w:keepNext w:val="0"/>
        <w:pageBreakBefore w:val="0"/>
        <w:spacing w:line="56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3.永久性监测井的运行维护工作，运行维护时间不少于1</w:t>
      </w:r>
      <w:r>
        <w:rPr>
          <w:rFonts w:hint="eastAsia"/>
          <w:color w:val="auto"/>
          <w:sz w:val="24"/>
          <w:szCs w:val="24"/>
          <w:highlight w:val="none"/>
          <w:lang w:val="en-US" w:eastAsia="zh-CN"/>
        </w:rPr>
        <w:t xml:space="preserve">.5</w:t>
      </w:r>
      <w:r>
        <w:rPr>
          <w:rFonts w:hint="eastAsia" w:eastAsia="宋体"/>
          <w:color w:val="auto"/>
          <w:sz w:val="24"/>
          <w:szCs w:val="24"/>
          <w:highlight w:val="none"/>
          <w:lang w:val="en-US" w:eastAsia="zh-CN"/>
        </w:rPr>
        <w:t xml:space="preserve">年（自2026年1月开始）。</w:t>
      </w:r>
      <w:r/>
    </w:p>
    <w:p>
      <w:pPr>
        <w:ind w:left="0" w:right="0" w:firstLine="480"/>
        <w:jc w:val="both"/>
        <w:keepLines w:val="0"/>
        <w:keepNext w:val="0"/>
        <w:spacing w:before="0" w:beforeAutospacing="0" w:after="0" w:afterAutospacing="0"/>
        <w:widowControl w:val="off"/>
        <w:rPr>
          <w:rFonts w:hint="eastAsia"/>
          <w:color w:val="auto"/>
          <w:sz w:val="24"/>
          <w:szCs w:val="24"/>
          <w:highlight w:val="none"/>
        </w:rPr>
        <w:suppressLineNumbers w:val="0"/>
      </w:pPr>
      <w:r>
        <w:rPr>
          <w:rFonts w:hint="eastAsia" w:eastAsia="宋体"/>
          <w:color w:val="auto"/>
          <w:sz w:val="24"/>
          <w:szCs w:val="24"/>
          <w:highlight w:val="none"/>
        </w:rPr>
        <w:t xml:space="preserve">4.</w:t>
      </w:r>
      <w:r>
        <w:rPr>
          <w:rFonts w:hint="eastAsia" w:eastAsia="宋体"/>
          <w:color w:val="auto"/>
          <w:sz w:val="24"/>
          <w:szCs w:val="24"/>
          <w:highlight w:val="none"/>
          <w:lang w:val="en-US" w:eastAsia="zh-CN"/>
        </w:rPr>
        <w:t xml:space="preserve">2质控要求</w:t>
      </w:r>
      <w:r>
        <w:rPr>
          <w:rFonts w:hint="eastAsia" w:eastAsia="宋体"/>
          <w:color w:val="auto"/>
          <w:sz w:val="24"/>
          <w:szCs w:val="24"/>
          <w:highlight w:val="none"/>
        </w:rPr>
        <w:t xml:space="preserve">：采购人将根据相关的技术规范要求开展质量控制、监督工作，内容包括但不限于质量管理体系、人员、仪器设备、试剂耗材、监测分析方法、实验室环境条件、信息采集环节、点位布设环节、样品采集环节、样品制备环节、样品分析监测环节和报告编制等各个环节，</w:t>
      </w:r>
      <w:r>
        <w:rPr>
          <w:rFonts w:hint="eastAsia" w:eastAsia="宋体"/>
          <w:color w:val="auto"/>
          <w:sz w:val="24"/>
          <w:szCs w:val="24"/>
          <w:highlight w:val="none"/>
          <w:lang w:val="en-US" w:eastAsia="zh-CN"/>
        </w:rPr>
        <w:t xml:space="preserve">成交</w:t>
      </w:r>
      <w:r>
        <w:rPr>
          <w:rFonts w:hint="eastAsia" w:eastAsia="宋体"/>
          <w:color w:val="auto"/>
          <w:sz w:val="24"/>
          <w:szCs w:val="24"/>
          <w:highlight w:val="none"/>
        </w:rPr>
        <w:t xml:space="preserve">供应商必须无条件予以配合，并落实问题整改（由此产生的费用，采购人不予以承担）。</w:t>
      </w:r>
      <w:r/>
    </w:p>
    <w:p>
      <w:pPr>
        <w:ind w:firstLine="480"/>
        <w:spacing w:line="560" w:lineRule="exact"/>
        <w:rPr>
          <w:rFonts w:hint="eastAsia" w:ascii="Times New Roman" w:hAnsi="Times New Roman" w:eastAsia="宋体" w:cs="Times New Roman"/>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服务时间：</w:t>
      </w:r>
      <w:r>
        <w:rPr>
          <w:rFonts w:hint="eastAsia" w:eastAsia="宋体"/>
          <w:color w:val="auto"/>
          <w:sz w:val="24"/>
          <w:szCs w:val="24"/>
          <w:highlight w:val="none"/>
          <w:lang w:val="en-US" w:eastAsia="zh-CN"/>
        </w:rPr>
        <w:t xml:space="preserve">自双方签订合同后，服务期为</w:t>
      </w:r>
      <w:r>
        <w:rPr>
          <w:rFonts w:hint="eastAsia"/>
          <w:color w:val="auto"/>
          <w:sz w:val="24"/>
          <w:szCs w:val="24"/>
          <w:highlight w:val="none"/>
          <w:lang w:val="en-US" w:eastAsia="zh-CN"/>
        </w:rPr>
        <w:t xml:space="preserve">一年半</w:t>
      </w:r>
      <w:r>
        <w:rPr>
          <w:rFonts w:hint="eastAsia" w:eastAsia="宋体"/>
          <w:color w:val="auto"/>
          <w:sz w:val="24"/>
          <w:szCs w:val="24"/>
          <w:highlight w:val="none"/>
          <w:lang w:val="en-US" w:eastAsia="zh-CN"/>
        </w:rPr>
        <w:t xml:space="preserve">。</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服务地点：</w:t>
      </w:r>
      <w:r>
        <w:rPr>
          <w:rFonts w:hint="eastAsia" w:ascii="宋体" w:hAnsi="宋体"/>
          <w:bCs/>
          <w:color w:val="auto"/>
          <w:sz w:val="24"/>
          <w:szCs w:val="24"/>
          <w:highlight w:val="none"/>
          <w:lang w:val="en-US" w:eastAsia="zh-CN"/>
        </w:rPr>
        <w:t xml:space="preserve">南通市海安市</w:t>
      </w:r>
      <w:r>
        <w:rPr>
          <w:rFonts w:hint="eastAsia" w:ascii="宋体" w:hAnsi="宋体"/>
          <w:bCs/>
          <w:color w:val="auto"/>
          <w:sz w:val="24"/>
          <w:szCs w:val="24"/>
          <w:highlight w:val="none"/>
        </w:rPr>
        <w:t xml:space="preserve">。</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5.采购标的需满足的服务标准、期限、效率等要求：</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 xml:space="preserve">5.1</w:t>
      </w:r>
      <w:r>
        <w:rPr>
          <w:rFonts w:hint="eastAsia" w:ascii="Times New Roman" w:hAnsi="Times New Roman" w:eastAsia="宋体" w:cs="Times New Roman"/>
          <w:color w:val="auto"/>
          <w:sz w:val="24"/>
          <w:szCs w:val="24"/>
          <w:highlight w:val="none"/>
          <w:lang w:val="zh-CN"/>
        </w:rPr>
        <w:t xml:space="preserve">监测成果</w:t>
      </w:r>
      <w:r/>
    </w:p>
    <w:p>
      <w:pPr>
        <w:numPr>
          <w:ilvl w:val="0"/>
          <w:numId w:val="5"/>
        </w:num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形成《土壤污染重点监管单位“一企一档”》15份；形成《土壤污染重点监管单位环境监测方案》15份，并通过专家评审；形成《土壤污染重点监管单位环境监测</w:t>
      </w:r>
      <w:r>
        <w:rPr>
          <w:rFonts w:hint="eastAsia" w:cs="Times New Roman"/>
          <w:color w:val="auto"/>
          <w:sz w:val="24"/>
          <w:szCs w:val="24"/>
          <w:highlight w:val="none"/>
          <w:lang w:val="en-US" w:eastAsia="zh-CN"/>
        </w:rPr>
        <w:t xml:space="preserve">分析</w:t>
      </w:r>
      <w:r>
        <w:rPr>
          <w:rFonts w:hint="eastAsia" w:ascii="Times New Roman" w:hAnsi="Times New Roman" w:eastAsia="宋体" w:cs="Times New Roman"/>
          <w:color w:val="auto"/>
          <w:sz w:val="24"/>
          <w:szCs w:val="24"/>
          <w:highlight w:val="none"/>
          <w:lang w:val="zh-CN"/>
        </w:rPr>
        <w:t xml:space="preserve">报告》15份，并通过专家评审；监测数据及监测结果上传至南通市生态环境监测监控平台土壤和地下水环境监管系统。</w:t>
      </w:r>
      <w:r/>
    </w:p>
    <w:p>
      <w:pPr>
        <w:numPr>
          <w:ilvl w:val="0"/>
          <w:numId w:val="0"/>
        </w:num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2.形成《高风险遗留地块环境监测方案》4份，并通过专家评审；</w:t>
      </w:r>
      <w:r>
        <w:rPr>
          <w:rFonts w:hint="eastAsia" w:cs="Times New Roman"/>
          <w:color w:val="auto"/>
          <w:sz w:val="24"/>
          <w:szCs w:val="24"/>
          <w:highlight w:val="none"/>
          <w:lang w:val="en-US" w:eastAsia="zh-CN"/>
        </w:rPr>
        <w:t xml:space="preserve">形成</w:t>
      </w:r>
      <w:r>
        <w:rPr>
          <w:rFonts w:hint="eastAsia" w:ascii="Times New Roman" w:hAnsi="Times New Roman" w:eastAsia="宋体" w:cs="Times New Roman"/>
          <w:color w:val="auto"/>
          <w:sz w:val="24"/>
          <w:szCs w:val="24"/>
          <w:highlight w:val="none"/>
          <w:lang w:val="zh-CN"/>
        </w:rPr>
        <w:t xml:space="preserve">《高风险遗留地块环境监测</w:t>
      </w:r>
      <w:r>
        <w:rPr>
          <w:rFonts w:hint="eastAsia" w:cs="Times New Roman"/>
          <w:color w:val="auto"/>
          <w:sz w:val="24"/>
          <w:szCs w:val="24"/>
          <w:highlight w:val="none"/>
          <w:lang w:val="en-US" w:eastAsia="zh-CN"/>
        </w:rPr>
        <w:t xml:space="preserve">分析</w:t>
      </w:r>
      <w:r>
        <w:rPr>
          <w:rFonts w:hint="eastAsia" w:ascii="Times New Roman" w:hAnsi="Times New Roman" w:eastAsia="宋体" w:cs="Times New Roman"/>
          <w:color w:val="auto"/>
          <w:sz w:val="24"/>
          <w:szCs w:val="24"/>
          <w:highlight w:val="none"/>
          <w:lang w:val="zh-CN"/>
        </w:rPr>
        <w:t xml:space="preserve">报告》</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zh-CN"/>
        </w:rPr>
        <w:t xml:space="preserve">份，并通过专家评审。</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 xml:space="preserve">5.2</w:t>
      </w:r>
      <w:r>
        <w:rPr>
          <w:rFonts w:hint="eastAsia" w:ascii="Times New Roman" w:hAnsi="Times New Roman" w:eastAsia="宋体" w:cs="Times New Roman"/>
          <w:color w:val="auto"/>
          <w:sz w:val="24"/>
          <w:szCs w:val="24"/>
          <w:highlight w:val="none"/>
          <w:lang w:val="zh-CN"/>
        </w:rPr>
        <w:t xml:space="preserve">实物成果</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形成周边地下水永久监测井，满足长期监测需要。</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6.采购标的的验收标准：</w:t>
      </w:r>
      <w:r/>
    </w:p>
    <w:p>
      <w:pPr>
        <w:numPr>
          <w:ilvl w:val="0"/>
          <w:numId w:val="0"/>
        </w:numPr>
        <w:ind w:firstLine="480"/>
        <w:spacing w:line="560" w:lineRule="exact"/>
        <w:rPr>
          <w:color w:val="auto"/>
          <w:sz w:val="24"/>
          <w:szCs w:val="24"/>
          <w:highlight w:val="none"/>
        </w:rPr>
      </w:pPr>
      <w:r>
        <w:rPr>
          <w:rFonts w:hint="eastAsia"/>
          <w:color w:val="auto"/>
          <w:sz w:val="24"/>
          <w:szCs w:val="24"/>
          <w:highlight w:val="none"/>
        </w:rPr>
        <w:t xml:space="preserve">符合采购人验收标准。</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7.采购标的的其他技术、服务等要求：</w:t>
      </w:r>
      <w:r/>
    </w:p>
    <w:p>
      <w:pPr>
        <w:ind w:firstLine="480"/>
        <w:spacing w:line="560" w:lineRule="exact"/>
        <w:rPr>
          <w:color w:val="auto"/>
          <w:sz w:val="24"/>
          <w:szCs w:val="24"/>
          <w:highlight w:val="none"/>
        </w:rPr>
      </w:pPr>
      <w:r>
        <w:rPr>
          <w:rFonts w:hint="eastAsia"/>
          <w:color w:val="auto"/>
          <w:sz w:val="24"/>
          <w:szCs w:val="24"/>
          <w:highlight w:val="none"/>
        </w:rPr>
        <w:t xml:space="preserve">监测技术要求主要执行以下技术规范（不限于）：《工业企业周边土壤和地下水监测技术指南（试行）》（总站土字〔2024〕73号）、《土壤污染重点监管单位周边监测技术规范》（DB 32/T4348-2022）、《土壤环境监测技术规范》（HJ/T 166-2004）、《地下水环境监测技术规范》（HJ 164-2020）、《工业企业土壤和地下水自行监测指南（试行）》（HJ 1209-2021）</w:t>
      </w:r>
      <w:r>
        <w:rPr>
          <w:rFonts w:hint="eastAsia"/>
          <w:color w:val="auto"/>
          <w:sz w:val="24"/>
          <w:szCs w:val="24"/>
          <w:highlight w:val="none"/>
          <w:lang w:eastAsia="zh-CN"/>
        </w:rPr>
        <w:t xml:space="preserve">、《优先监管地块土壤污染管控工作指南（试行）》</w:t>
      </w:r>
      <w:r>
        <w:rPr>
          <w:rFonts w:hint="eastAsia"/>
          <w:color w:val="auto"/>
          <w:sz w:val="24"/>
          <w:szCs w:val="24"/>
          <w:highlight w:val="none"/>
          <w:lang w:val="en-US" w:eastAsia="zh-CN"/>
        </w:rPr>
        <w:t xml:space="preserve">等</w:t>
      </w:r>
      <w:r>
        <w:rPr>
          <w:rFonts w:hint="eastAsia"/>
          <w:color w:val="auto"/>
          <w:sz w:val="24"/>
          <w:szCs w:val="24"/>
          <w:highlight w:val="none"/>
        </w:rPr>
        <w:t xml:space="preserve">。</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8.（1）非单一产品采购项目，采购标的中的核心产品：无</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（2）本项目的主要标的：</w:t>
      </w:r>
      <w:r>
        <w:rPr>
          <w:rFonts w:hint="eastAsia"/>
          <w:color w:val="auto"/>
          <w:sz w:val="24"/>
          <w:szCs w:val="24"/>
          <w:highlight w:val="none"/>
          <w:lang w:eastAsia="zh-CN"/>
        </w:rPr>
        <w:t xml:space="preserve">2025年土壤污染重点监管单位等重点单元土壤和地下水监测项目。</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9.采购需求中必须满足的实质性要求：</w:t>
      </w:r>
      <w:bookmarkStart w:id="185" w:name="OLE_LINK13"/>
      <w:r/>
      <w:bookmarkStart w:id="186" w:name="OLE_LINK12"/>
      <w:r/>
      <w:r/>
    </w:p>
    <w:p>
      <w:pPr>
        <w:ind w:firstLine="480"/>
        <w:spacing w:line="560" w:lineRule="exact"/>
        <w:rPr>
          <w:color w:val="auto"/>
          <w:sz w:val="24"/>
          <w:szCs w:val="24"/>
          <w:highlight w:val="none"/>
        </w:rPr>
      </w:pPr>
      <w:r>
        <w:rPr>
          <w:rFonts w:hint="eastAsia"/>
          <w:color w:val="auto"/>
          <w:sz w:val="24"/>
          <w:szCs w:val="24"/>
          <w:highlight w:val="none"/>
        </w:rPr>
        <w:t xml:space="preserve">供应商需根据采购人提供的项目需求进行响应。</w:t>
      </w:r>
      <w:bookmarkEnd w:id="185"/>
      <w:r/>
      <w:bookmarkEnd w:id="186"/>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10.付款方式：</w:t>
      </w:r>
      <w:r/>
    </w:p>
    <w:p>
      <w:pPr>
        <w:ind w:firstLine="480"/>
        <w:spacing w:line="560" w:lineRule="exact"/>
        <w:rPr>
          <w:rFonts w:hint="eastAsia"/>
          <w:color w:val="auto"/>
          <w:sz w:val="24"/>
          <w:szCs w:val="24"/>
          <w:highlight w:val="none"/>
        </w:rPr>
      </w:pPr>
      <w:r>
        <w:rPr>
          <w:rFonts w:hint="eastAsia"/>
          <w:color w:val="auto"/>
          <w:sz w:val="24"/>
          <w:szCs w:val="24"/>
          <w:highlight w:val="none"/>
          <w:lang w:val="en-US" w:eastAsia="zh-CN"/>
        </w:rPr>
        <w:t xml:space="preserve">合同签订后一个月内支付合同金额的30%；完成全部项目后，支付剩余合同金额的70%。</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11.履约保证金：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11.1本项目免收履约保证金。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11.1本项目成交后的履约保证金为项目成交价的</w:t>
      </w:r>
      <w:r>
        <w:rPr>
          <w:rFonts w:hint="eastAsia" w:ascii="宋体" w:hAnsi="宋体"/>
          <w:color w:val="auto"/>
          <w:sz w:val="24"/>
          <w:szCs w:val="24"/>
          <w:highlight w:val="none"/>
          <w:u w:val="single"/>
        </w:rPr>
        <w:t xml:space="preserve"> 0 </w:t>
      </w:r>
      <w:r>
        <w:rPr>
          <w:rFonts w:hint="eastAsia" w:ascii="宋体" w:hAnsi="宋体"/>
          <w:color w:val="auto"/>
          <w:sz w:val="24"/>
          <w:szCs w:val="24"/>
          <w:highlight w:val="none"/>
        </w:rPr>
        <w:t xml:space="preserve">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11.3发生以下情况的，履约保证金不予退还或部分退还：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12.合同条款：详见附件</w:t>
      </w:r>
      <w:r/>
    </w:p>
    <w:p>
      <w:pPr>
        <w:ind w:firstLine="482"/>
        <w:spacing w:line="56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13.演示要求：无</w:t>
      </w:r>
      <w:r/>
    </w:p>
    <w:p>
      <w:pPr>
        <w:pStyle w:val="924"/>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4"/>
          <w:highlight w:val="none"/>
        </w:rPr>
      </w:r>
      <w:r/>
    </w:p>
    <w:p>
      <w:pPr>
        <w:pStyle w:val="924"/>
        <w:ind w:firstLine="0"/>
        <w:rPr>
          <w:rFonts w:ascii="宋体" w:hAnsi="宋体"/>
          <w:color w:val="auto"/>
          <w:sz w:val="24"/>
          <w:szCs w:val="24"/>
          <w:highlight w:val="none"/>
        </w:rPr>
      </w:pPr>
      <w:r>
        <w:rPr>
          <w:rFonts w:hint="eastAsia" w:ascii="宋体" w:hAnsi="宋体"/>
          <w:color w:val="auto"/>
          <w:sz w:val="24"/>
          <w:szCs w:val="24"/>
          <w:highlight w:val="none"/>
        </w:rPr>
        <w:t xml:space="preserve">附件：合同格式</w:t>
      </w:r>
      <w:r/>
    </w:p>
    <w:p>
      <w:pPr>
        <w:jc w:val="center"/>
        <w:rPr>
          <w:rFonts w:ascii="黑体" w:hAnsi="黑体" w:eastAsia="黑体"/>
          <w:bCs/>
          <w:color w:val="auto"/>
          <w:sz w:val="30"/>
          <w:szCs w:val="20"/>
          <w:highlight w:val="none"/>
        </w:rPr>
        <w:outlineLvl w:val="0"/>
      </w:pPr>
      <w:r>
        <w:rPr>
          <w:rFonts w:hint="eastAsia" w:ascii="黑体" w:hAnsi="黑体" w:eastAsia="黑体"/>
          <w:color w:val="auto"/>
          <w:sz w:val="30"/>
          <w:szCs w:val="21"/>
          <w:highlight w:val="none"/>
        </w:rPr>
        <w:t xml:space="preserve">海安市政府采购合同（服务类）（合同编号）</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项目名称：                                       项目编号：</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甲方：（买方）</w:t>
      </w:r>
      <w:r>
        <w:rPr>
          <w:rFonts w:hint="eastAsia" w:ascii="宋体" w:hAnsi="宋体"/>
          <w:color w:val="auto"/>
          <w:sz w:val="24"/>
          <w:szCs w:val="24"/>
          <w:highlight w:val="none"/>
          <w:u w:val="single"/>
        </w:rPr>
        <w:t xml:space="preserve">                        </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乙方：（卖方）</w:t>
      </w:r>
      <w:r>
        <w:rPr>
          <w:rFonts w:hint="eastAsia" w:ascii="宋体" w:hAnsi="宋体"/>
          <w:color w:val="auto"/>
          <w:sz w:val="24"/>
          <w:szCs w:val="24"/>
          <w:highlight w:val="none"/>
          <w:u w:val="single"/>
        </w:rPr>
        <w:t xml:space="preserve">                        </w:t>
      </w:r>
      <w:r/>
    </w:p>
    <w:p>
      <w:pPr>
        <w:ind w:firstLine="480"/>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根据《中华人民共和国民法典（合同编）》、《中华人民共和国政府采购法》等法律法规的规定以及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项目采购结果，甲乙双方遵循平等、自愿、公平、诚实信用的原则，就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项目事宜经双方协商一致，订立本合同。</w:t>
      </w:r>
      <w:r/>
    </w:p>
    <w:p>
      <w:pPr>
        <w:spacing w:before="120" w:after="120"/>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b/>
          <w:color w:val="auto"/>
          <w:sz w:val="24"/>
          <w:szCs w:val="24"/>
          <w:highlight w:val="none"/>
        </w:rPr>
        <w:t xml:space="preserve">合同</w:t>
      </w:r>
      <w:r>
        <w:rPr>
          <w:rFonts w:ascii="宋体" w:hAnsi="宋体"/>
          <w:b/>
          <w:color w:val="auto"/>
          <w:sz w:val="24"/>
          <w:szCs w:val="24"/>
          <w:highlight w:val="none"/>
        </w:rPr>
        <w:t xml:space="preserve">内容</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 xml:space="preserve">标的</w:t>
      </w:r>
      <w:r>
        <w:rPr>
          <w:rFonts w:ascii="宋体" w:hAnsi="宋体"/>
          <w:color w:val="auto"/>
          <w:sz w:val="24"/>
          <w:szCs w:val="24"/>
          <w:highlight w:val="none"/>
        </w:rPr>
        <w:t xml:space="preserve">名称：</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标的质量：</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 服务内容及范围（规模）：</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1.4 履行时间（期限）：</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1.5 履行地点：</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6履行方式：</w:t>
      </w:r>
      <w:r/>
    </w:p>
    <w:p>
      <w:pPr>
        <w:spacing w:before="120" w:after="120"/>
        <w:rPr>
          <w:rFonts w:ascii="宋体" w:hAnsi="宋体"/>
          <w:b/>
          <w:color w:val="auto"/>
          <w:sz w:val="24"/>
          <w:szCs w:val="24"/>
          <w:highlight w:val="none"/>
        </w:rPr>
      </w:pPr>
      <w:r>
        <w:rPr>
          <w:rFonts w:ascii="宋体" w:hAnsi="宋体"/>
          <w:b/>
          <w:color w:val="auto"/>
          <w:sz w:val="24"/>
          <w:szCs w:val="24"/>
          <w:highlight w:val="none"/>
        </w:rPr>
        <w:t xml:space="preserve">二、合同金额</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2.1 本合同金额为（大写）：________________</w:t>
      </w:r>
      <w:r>
        <w:rPr>
          <w:rFonts w:hint="eastAsia" w:ascii="宋体" w:hAnsi="宋体" w:cs="Courier New"/>
          <w:color w:val="auto"/>
          <w:sz w:val="24"/>
          <w:szCs w:val="24"/>
          <w:highlight w:val="none"/>
          <w:lang w:val="en-US" w:eastAsia="zh-CN"/>
        </w:rPr>
        <w:t xml:space="preserve">元</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小写：</w:t>
      </w:r>
      <w:r>
        <w:rPr>
          <w:rFonts w:ascii="宋体" w:hAnsi="宋体" w:cs="Courier New"/>
          <w:color w:val="auto"/>
          <w:sz w:val="24"/>
          <w:szCs w:val="24"/>
          <w:highlight w:val="none"/>
        </w:rPr>
        <w:t xml:space="preserve">（_______________</w:t>
      </w:r>
      <w:r>
        <w:rPr>
          <w:rFonts w:hint="eastAsia" w:ascii="宋体" w:hAnsi="宋体" w:cs="Courier New"/>
          <w:color w:val="auto"/>
          <w:sz w:val="24"/>
          <w:szCs w:val="24"/>
          <w:highlight w:val="none"/>
          <w:lang w:val="en-US" w:eastAsia="zh-CN"/>
        </w:rPr>
        <w:t xml:space="preserve">元</w:t>
      </w:r>
      <w:r>
        <w:rPr>
          <w:rFonts w:ascii="宋体" w:hAnsi="宋体" w:cs="Courier New"/>
          <w:color w:val="auto"/>
          <w:sz w:val="24"/>
          <w:szCs w:val="24"/>
          <w:highlight w:val="none"/>
        </w:rPr>
        <w:t xml:space="preserve">）</w:t>
      </w:r>
      <w:r>
        <w:rPr>
          <w:rFonts w:ascii="宋体" w:hAnsi="宋体"/>
          <w:color w:val="auto"/>
          <w:sz w:val="24"/>
          <w:szCs w:val="24"/>
          <w:highlight w:val="none"/>
        </w:rPr>
        <w:t xml:space="preserve">人民币</w:t>
      </w:r>
      <w:r>
        <w:rPr>
          <w:rFonts w:ascii="宋体" w:hAnsi="宋体" w:cs="Courier New"/>
          <w:color w:val="auto"/>
          <w:sz w:val="24"/>
          <w:szCs w:val="24"/>
          <w:highlight w:val="none"/>
        </w:rPr>
        <w:t xml:space="preserve">。</w:t>
      </w:r>
      <w:r/>
    </w:p>
    <w:p>
      <w:pPr>
        <w:ind w:left="412" w:hanging="412"/>
        <w:spacing w:before="120" w:after="120"/>
        <w:rPr>
          <w:rFonts w:ascii="宋体" w:hAnsi="宋体"/>
          <w:b/>
          <w:color w:val="auto"/>
          <w:sz w:val="24"/>
          <w:szCs w:val="24"/>
          <w:highlight w:val="none"/>
        </w:rPr>
      </w:pPr>
      <w:r>
        <w:rPr>
          <w:rFonts w:ascii="宋体" w:hAnsi="宋体"/>
          <w:b/>
          <w:color w:val="auto"/>
          <w:sz w:val="24"/>
          <w:szCs w:val="24"/>
          <w:highlight w:val="none"/>
        </w:rPr>
        <w:t xml:space="preserve">三、技术资料</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w:t>
      </w:r>
      <w:r>
        <w:rPr>
          <w:rFonts w:ascii="宋体" w:hAnsi="宋体" w:cs="Courier New"/>
          <w:color w:val="auto"/>
          <w:sz w:val="24"/>
          <w:szCs w:val="24"/>
          <w:highlight w:val="none"/>
        </w:rPr>
        <w:t xml:space="preserve">乙方应按采购文件规定的时间向甲方提供服务</w:t>
      </w:r>
      <w:r>
        <w:rPr>
          <w:rFonts w:hint="eastAsia" w:ascii="宋体" w:hAnsi="宋体" w:cs="Courier New"/>
          <w:color w:val="auto"/>
          <w:sz w:val="24"/>
          <w:szCs w:val="24"/>
          <w:highlight w:val="none"/>
        </w:rPr>
        <w:t xml:space="preserve">（包含与服务相关的产品）</w:t>
      </w:r>
      <w:r>
        <w:rPr>
          <w:rFonts w:ascii="宋体" w:hAnsi="宋体" w:cs="Courier New"/>
          <w:color w:val="auto"/>
          <w:sz w:val="24"/>
          <w:szCs w:val="24"/>
          <w:highlight w:val="none"/>
        </w:rPr>
        <w:t xml:space="preserve">的有关技术资料。</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3.2</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4" w:hanging="494"/>
        <w:spacing w:before="120" w:after="120"/>
        <w:rPr>
          <w:rFonts w:ascii="宋体" w:hAnsi="宋体"/>
          <w:b/>
          <w:color w:val="auto"/>
          <w:sz w:val="24"/>
          <w:szCs w:val="24"/>
          <w:highlight w:val="none"/>
        </w:rPr>
      </w:pPr>
      <w:r>
        <w:rPr>
          <w:rFonts w:ascii="宋体" w:hAnsi="宋体"/>
          <w:b/>
          <w:color w:val="auto"/>
          <w:sz w:val="24"/>
          <w:szCs w:val="24"/>
          <w:highlight w:val="none"/>
        </w:rPr>
        <w:t xml:space="preserve">四、知识产权</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4.1</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乙</w:t>
      </w:r>
      <w:r>
        <w:rPr>
          <w:rFonts w:hint="eastAsia" w:ascii="宋体" w:hAnsi="宋体" w:cs="Courier New"/>
          <w:color w:val="auto"/>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94" w:hanging="494"/>
        <w:spacing w:before="120" w:after="120"/>
        <w:rPr>
          <w:rFonts w:ascii="宋体" w:hAnsi="宋体"/>
          <w:b/>
          <w:color w:val="auto"/>
          <w:sz w:val="24"/>
          <w:szCs w:val="24"/>
          <w:highlight w:val="none"/>
        </w:rPr>
      </w:pPr>
      <w:r>
        <w:rPr>
          <w:rFonts w:ascii="宋体" w:hAnsi="宋体"/>
          <w:b/>
          <w:color w:val="auto"/>
          <w:sz w:val="24"/>
          <w:szCs w:val="24"/>
          <w:highlight w:val="none"/>
        </w:rPr>
        <w:t xml:space="preserve">五、产权担保</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5.1 乙方保证所交付的</w:t>
      </w:r>
      <w:r>
        <w:rPr>
          <w:rFonts w:hint="eastAsia" w:ascii="宋体" w:hAnsi="宋体" w:cs="Courier New"/>
          <w:color w:val="auto"/>
          <w:sz w:val="24"/>
          <w:szCs w:val="24"/>
          <w:highlight w:val="none"/>
        </w:rPr>
        <w:t xml:space="preserve">服务（包含与服务相关的产品）</w:t>
      </w:r>
      <w:r>
        <w:rPr>
          <w:rFonts w:ascii="宋体" w:hAnsi="宋体" w:cs="Courier New"/>
          <w:color w:val="auto"/>
          <w:sz w:val="24"/>
          <w:szCs w:val="24"/>
          <w:highlight w:val="none"/>
        </w:rPr>
        <w:t xml:space="preserve">的所有权完全属于乙方且无任何抵押、查封等产权瑕疵。</w:t>
      </w:r>
      <w:r/>
    </w:p>
    <w:p>
      <w:pPr>
        <w:ind w:left="494" w:hanging="49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六、合同转包</w:t>
      </w:r>
      <w:r/>
    </w:p>
    <w:p>
      <w:pPr>
        <w:ind w:left="492" w:hanging="491"/>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乙方不得将合同标的转包给他人履行。</w:t>
      </w:r>
      <w:r/>
    </w:p>
    <w:p>
      <w:pPr>
        <w:ind w:left="494" w:hanging="494"/>
        <w:rPr>
          <w:rFonts w:ascii="宋体" w:hAnsi="宋体"/>
          <w:b/>
          <w:color w:val="auto"/>
          <w:sz w:val="24"/>
          <w:szCs w:val="24"/>
          <w:highlight w:val="none"/>
        </w:rPr>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合同款项</w:t>
      </w:r>
      <w:r>
        <w:rPr>
          <w:rFonts w:ascii="宋体" w:hAnsi="宋体"/>
          <w:b/>
          <w:color w:val="auto"/>
          <w:sz w:val="24"/>
          <w:szCs w:val="24"/>
          <w:highlight w:val="none"/>
        </w:rPr>
        <w:t xml:space="preserve">支付</w:t>
      </w:r>
      <w:r/>
    </w:p>
    <w:p>
      <w:pPr>
        <w:ind w:left="492" w:hanging="491"/>
        <w:spacing w:before="120" w:after="120"/>
        <w:rPr>
          <w:rFonts w:ascii="宋体" w:hAnsi="宋体"/>
          <w:color w:val="auto"/>
          <w:sz w:val="24"/>
          <w:szCs w:val="24"/>
          <w:highlight w:val="none"/>
        </w:rPr>
      </w:pPr>
      <w:r>
        <w:rPr>
          <w:rFonts w:hint="eastAsia" w:ascii="宋体" w:hAnsi="宋体" w:cs="Courier New"/>
          <w:bCs/>
          <w:color w:val="auto"/>
          <w:sz w:val="24"/>
          <w:szCs w:val="24"/>
          <w:highlight w:val="none"/>
        </w:rPr>
        <w:t xml:space="preserve">7</w:t>
      </w:r>
      <w:r>
        <w:rPr>
          <w:rFonts w:ascii="宋体" w:hAnsi="宋体" w:cs="Courier New"/>
          <w:bCs/>
          <w:color w:val="auto"/>
          <w:sz w:val="24"/>
          <w:szCs w:val="24"/>
          <w:highlight w:val="none"/>
        </w:rPr>
        <w:t xml:space="preserve">.1</w:t>
      </w:r>
      <w:r>
        <w:rPr>
          <w:rFonts w:hint="eastAsia" w:ascii="宋体" w:hAnsi="宋体"/>
          <w:color w:val="auto"/>
          <w:sz w:val="24"/>
          <w:szCs w:val="24"/>
          <w:highlight w:val="none"/>
        </w:rPr>
        <w:t xml:space="preserve">由甲方按下列程序在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内付款:</w:t>
      </w:r>
      <w:r/>
    </w:p>
    <w:p>
      <w:pPr>
        <w:ind w:left="492" w:hanging="491"/>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w:t>
      </w:r>
      <w:r/>
    </w:p>
    <w:p>
      <w:pPr>
        <w:ind w:left="492" w:hanging="491"/>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7.2对于满足合同约定支付条件的，甲方应当自收到发票后</w:t>
      </w:r>
      <w:r>
        <w:rPr>
          <w:rFonts w:hint="eastAsia" w:ascii="宋体" w:hAnsi="宋体"/>
          <w:color w:val="auto"/>
          <w:sz w:val="24"/>
          <w:szCs w:val="24"/>
          <w:highlight w:val="none"/>
          <w:u w:val="single"/>
        </w:rPr>
        <w:t xml:space="preserve"> 30</w:t>
      </w:r>
      <w:r>
        <w:rPr>
          <w:rFonts w:hint="eastAsia" w:ascii="宋体" w:hAnsi="宋体"/>
          <w:color w:val="auto"/>
          <w:sz w:val="24"/>
          <w:szCs w:val="24"/>
          <w:highlight w:val="none"/>
        </w:rPr>
        <w:t xml:space="preserve">日内将资金支付到合同约定的乙方账户，不得以机构变动、人员更替、政策调整等为由延迟付款，不得将采购文件和合同中未规定的义务作为向乙方付款的条件。</w:t>
      </w:r>
      <w:r/>
    </w:p>
    <w:p>
      <w:pPr>
        <w:ind w:left="494" w:hanging="49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八、税费</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本合同执行中相关的一切税费均由乙方负担。</w:t>
      </w:r>
      <w:r/>
    </w:p>
    <w:p>
      <w:pPr>
        <w:ind w:left="494" w:hanging="494"/>
        <w:rPr>
          <w:rFonts w:ascii="宋体" w:hAnsi="宋体"/>
          <w:b/>
          <w:color w:val="auto"/>
          <w:sz w:val="24"/>
          <w:szCs w:val="24"/>
          <w:highlight w:val="none"/>
        </w:rPr>
      </w:pP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w:t>
      </w:r>
      <w:r>
        <w:rPr>
          <w:rFonts w:ascii="宋体" w:hAnsi="宋体"/>
          <w:b/>
          <w:color w:val="auto"/>
          <w:sz w:val="24"/>
          <w:szCs w:val="24"/>
          <w:highlight w:val="none"/>
        </w:rPr>
        <w:t xml:space="preserve">验收</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9.1 甲方依法组织履约验收工作。</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9.3 对于实际使用人和甲方分离的项目，甲方邀请实际使用人参与验收。</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9.4 如有必要，甲方邀请参加本项目的其他供应商、服务对象、第三方专业机构及专家参与验收，相关意见将作为验收书的参考资料。</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color w:val="auto"/>
          <w:sz w:val="24"/>
          <w:szCs w:val="24"/>
          <w:highlight w:val="none"/>
        </w:rPr>
      </w:pPr>
      <w:r>
        <w:rPr>
          <w:rFonts w:hint="eastAsia" w:ascii="宋体" w:hAnsi="宋体"/>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ind w:left="494" w:hanging="494"/>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ascii="宋体" w:hAnsi="宋体"/>
          <w:b/>
          <w:color w:val="auto"/>
          <w:sz w:val="24"/>
          <w:szCs w:val="24"/>
          <w:highlight w:val="none"/>
        </w:rPr>
        <w:t xml:space="preserve">、违约责任</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.1 甲方无正当理由</w:t>
      </w:r>
      <w:r>
        <w:rPr>
          <w:rFonts w:hint="eastAsia" w:ascii="宋体" w:hAnsi="宋体" w:cs="Courier New"/>
          <w:color w:val="auto"/>
          <w:sz w:val="24"/>
          <w:szCs w:val="24"/>
          <w:highlight w:val="none"/>
        </w:rPr>
        <w:t xml:space="preserve">拒绝接受乙方提供服务</w:t>
      </w:r>
      <w:r>
        <w:rPr>
          <w:rFonts w:ascii="宋体" w:hAnsi="宋体" w:cs="Courier New"/>
          <w:color w:val="auto"/>
          <w:sz w:val="24"/>
          <w:szCs w:val="24"/>
          <w:highlight w:val="none"/>
        </w:rPr>
        <w:t xml:space="preserve">的，甲方向乙方偿付</w:t>
      </w:r>
      <w:r>
        <w:rPr>
          <w:rFonts w:hint="eastAsia" w:ascii="宋体" w:hAnsi="宋体" w:cs="Courier New"/>
          <w:color w:val="auto"/>
          <w:sz w:val="24"/>
          <w:szCs w:val="24"/>
          <w:highlight w:val="none"/>
        </w:rPr>
        <w:t xml:space="preserve">拒绝接受服务合同价款</w:t>
      </w:r>
      <w:r>
        <w:rPr>
          <w:rFonts w:ascii="宋体" w:hAnsi="宋体" w:cs="Courier New"/>
          <w:color w:val="auto"/>
          <w:sz w:val="24"/>
          <w:szCs w:val="24"/>
          <w:highlight w:val="none"/>
        </w:rPr>
        <w:t xml:space="preserve">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.2 甲方无故逾期验收和办理</w:t>
      </w:r>
      <w:r>
        <w:rPr>
          <w:rFonts w:hint="eastAsia" w:ascii="宋体" w:hAnsi="宋体" w:cs="Courier New"/>
          <w:color w:val="auto"/>
          <w:sz w:val="24"/>
          <w:szCs w:val="24"/>
          <w:highlight w:val="none"/>
        </w:rPr>
        <w:t xml:space="preserve">合同款项</w:t>
      </w:r>
      <w:r>
        <w:rPr>
          <w:rFonts w:ascii="宋体" w:hAnsi="宋体" w:cs="Courier New"/>
          <w:color w:val="auto"/>
          <w:sz w:val="24"/>
          <w:szCs w:val="24"/>
          <w:highlight w:val="none"/>
        </w:rPr>
        <w:t xml:space="preserve">支付手续的,甲方应按逾期付款总额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.3 乙方逾期</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的，乙方应按逾期</w:t>
      </w:r>
      <w:r>
        <w:rPr>
          <w:rFonts w:hint="eastAsia" w:ascii="宋体" w:hAnsi="宋体" w:cs="Courier New"/>
          <w:color w:val="auto"/>
          <w:sz w:val="24"/>
          <w:szCs w:val="24"/>
          <w:highlight w:val="none"/>
        </w:rPr>
        <w:t xml:space="preserve">提供服务合同</w:t>
      </w:r>
      <w:r>
        <w:rPr>
          <w:rFonts w:ascii="宋体" w:hAnsi="宋体" w:cs="Courier New"/>
          <w:color w:val="auto"/>
          <w:sz w:val="24"/>
          <w:szCs w:val="24"/>
          <w:highlight w:val="none"/>
        </w:rPr>
        <w:t xml:space="preserve">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向甲方支付违约金，由甲方从待付</w:t>
      </w:r>
      <w:r>
        <w:rPr>
          <w:rFonts w:hint="eastAsia" w:ascii="宋体" w:hAnsi="宋体" w:cs="Courier New"/>
          <w:color w:val="auto"/>
          <w:sz w:val="24"/>
          <w:szCs w:val="24"/>
          <w:highlight w:val="none"/>
        </w:rPr>
        <w:t xml:space="preserve">合同款项</w:t>
      </w:r>
      <w:r>
        <w:rPr>
          <w:rFonts w:ascii="宋体" w:hAnsi="宋体" w:cs="Courier New"/>
          <w:color w:val="auto"/>
          <w:sz w:val="24"/>
          <w:szCs w:val="24"/>
          <w:highlight w:val="none"/>
        </w:rPr>
        <w:t xml:space="preserve">中扣除。逾期超过约定日期</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个工作日不能</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的，甲方可解除本合同。乙方因逾期</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或因其他违约行为导致甲方解除合同的，乙方应向甲方支付合同</w:t>
      </w:r>
      <w:r>
        <w:rPr>
          <w:rFonts w:hint="eastAsia" w:ascii="宋体" w:hAnsi="宋体" w:cs="Courier New"/>
          <w:color w:val="auto"/>
          <w:sz w:val="24"/>
          <w:szCs w:val="24"/>
          <w:highlight w:val="none"/>
        </w:rPr>
        <w:t xml:space="preserve">价款总额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.4 乙方</w:t>
      </w:r>
      <w:r>
        <w:rPr>
          <w:rFonts w:hint="eastAsia" w:ascii="宋体" w:hAnsi="宋体" w:cs="Courier New"/>
          <w:color w:val="auto"/>
          <w:sz w:val="24"/>
          <w:szCs w:val="24"/>
          <w:highlight w:val="none"/>
        </w:rPr>
        <w:t xml:space="preserve">所提供服务的标准</w:t>
      </w:r>
      <w:r>
        <w:rPr>
          <w:rFonts w:ascii="宋体" w:hAnsi="宋体" w:cs="Courier New"/>
          <w:color w:val="auto"/>
          <w:sz w:val="24"/>
          <w:szCs w:val="24"/>
          <w:highlight w:val="none"/>
        </w:rPr>
        <w:t xml:space="preserve">不符合合同规定及采购文件规定标准的，甲方有权</w:t>
      </w:r>
      <w:r>
        <w:rPr>
          <w:rFonts w:hint="eastAsia" w:ascii="宋体" w:hAnsi="宋体" w:cs="Courier New"/>
          <w:color w:val="auto"/>
          <w:sz w:val="24"/>
          <w:szCs w:val="24"/>
          <w:highlight w:val="none"/>
        </w:rPr>
        <w:t xml:space="preserve">拒绝接受服务</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并</w:t>
      </w:r>
      <w:r>
        <w:rPr>
          <w:rFonts w:ascii="宋体" w:hAnsi="宋体" w:cs="Courier New"/>
          <w:color w:val="auto"/>
          <w:sz w:val="24"/>
          <w:szCs w:val="24"/>
          <w:highlight w:val="none"/>
        </w:rPr>
        <w:t xml:space="preserve">可单方面解除合同。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十一</w:t>
      </w:r>
      <w:r>
        <w:rPr>
          <w:rFonts w:ascii="宋体" w:hAnsi="宋体"/>
          <w:b/>
          <w:color w:val="auto"/>
          <w:sz w:val="24"/>
          <w:szCs w:val="24"/>
          <w:highlight w:val="none"/>
        </w:rPr>
        <w:t xml:space="preserve">、不可抗力事件处理</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.2 不可抗力事件发生后，应立即通知对方，并寄送有关权威机构出具的证明。</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.3 不可抗力事件延续120天以上，双方应通过友好协商，确定是否继续履行合同。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十二</w:t>
      </w:r>
      <w:r>
        <w:rPr>
          <w:rFonts w:ascii="宋体" w:hAnsi="宋体"/>
          <w:b/>
          <w:color w:val="auto"/>
          <w:sz w:val="24"/>
          <w:szCs w:val="24"/>
          <w:highlight w:val="none"/>
        </w:rPr>
        <w:t xml:space="preserve">、诉讼</w:t>
      </w:r>
      <w:r/>
    </w:p>
    <w:p>
      <w:pPr>
        <w:ind w:left="612" w:hanging="612"/>
        <w:spacing w:before="120" w:after="120"/>
        <w:rPr>
          <w:rFonts w:ascii="宋体" w:hAnsi="宋体"/>
          <w:color w:val="auto"/>
          <w:sz w:val="24"/>
          <w:szCs w:val="24"/>
          <w:highlight w:val="none"/>
        </w:rPr>
      </w:pPr>
      <w:r>
        <w:rPr>
          <w:rFonts w:hint="eastAsia" w:ascii="宋体" w:hAnsi="宋体" w:cs="Courier New"/>
          <w:color w:val="auto"/>
          <w:sz w:val="24"/>
          <w:szCs w:val="24"/>
          <w:highlight w:val="none"/>
        </w:rPr>
        <w:t xml:space="preserve">12</w:t>
      </w:r>
      <w:r>
        <w:rPr>
          <w:rFonts w:ascii="宋体" w:hAnsi="宋体" w:cs="Courier New"/>
          <w:color w:val="auto"/>
          <w:sz w:val="24"/>
          <w:szCs w:val="24"/>
          <w:highlight w:val="none"/>
        </w:rPr>
        <w:t xml:space="preserve">.1 双方在执行合同中所发生的一切争议，应通过协商解决。</w:t>
      </w:r>
      <w:r>
        <w:rPr>
          <w:rFonts w:ascii="宋体" w:hAnsi="宋体"/>
          <w:color w:val="auto"/>
          <w:sz w:val="24"/>
          <w:szCs w:val="24"/>
          <w:highlight w:val="none"/>
        </w:rPr>
        <w:t xml:space="preserve">如协商不成，可向合同签订地法院起诉，合同签订地在此约定为</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十三、其他</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本合同未尽事宜，遵照</w:t>
      </w:r>
      <w:r>
        <w:rPr>
          <w:rFonts w:hint="eastAsia" w:ascii="宋体" w:hAnsi="宋体" w:cs="Courier New"/>
          <w:color w:val="auto"/>
          <w:sz w:val="24"/>
          <w:szCs w:val="24"/>
          <w:highlight w:val="none"/>
        </w:rPr>
        <w:t xml:space="preserve">《中华人民共和国民法典（合同编）》</w:t>
      </w:r>
      <w:r>
        <w:rPr>
          <w:rFonts w:ascii="宋体" w:hAnsi="宋体" w:cs="Courier New"/>
          <w:color w:val="auto"/>
          <w:sz w:val="24"/>
          <w:szCs w:val="24"/>
          <w:highlight w:val="none"/>
        </w:rPr>
        <w:t xml:space="preserve">有关条文执行。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十四</w:t>
      </w:r>
      <w:r>
        <w:rPr>
          <w:rFonts w:ascii="宋体" w:hAnsi="宋体"/>
          <w:b/>
          <w:color w:val="auto"/>
          <w:sz w:val="24"/>
          <w:szCs w:val="24"/>
          <w:highlight w:val="none"/>
        </w:rPr>
        <w:t xml:space="preserve">、合同生效</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份</w:t>
      </w:r>
      <w:r>
        <w:rPr>
          <w:rFonts w:hint="eastAsia" w:ascii="宋体" w:hAnsi="宋体" w:cs="Courier New"/>
          <w:color w:val="auto"/>
          <w:sz w:val="24"/>
          <w:szCs w:val="24"/>
          <w:highlight w:val="none"/>
        </w:rPr>
        <w:t xml:space="preserve">。</w:t>
      </w:r>
      <w:r/>
    </w:p>
    <w:p>
      <w:pPr>
        <w:ind w:left="480" w:hanging="480"/>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w:t>
      </w:r>
      <w:r/>
    </w:p>
    <w:p>
      <w:pPr>
        <w:ind w:left="480" w:hanging="480"/>
        <w:spacing w:before="120" w:after="120" w:line="0" w:lineRule="atLeas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甲方：                        乙方：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before="120" w:after="120" w:line="0" w:lineRule="atLeas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240"/>
        <w:spacing w:before="120" w:after="120" w:line="0" w:lineRule="atLeast"/>
        <w:rPr>
          <w:rFonts w:ascii="宋体" w:hAnsi="Courier New" w:cs="Courier New"/>
          <w:color w:val="auto"/>
          <w:szCs w:val="21"/>
          <w:highlight w:val="none"/>
        </w:rPr>
      </w:pPr>
      <w:r>
        <w:rPr>
          <w:rFonts w:hint="eastAsia" w:ascii="宋体" w:hAnsi="宋体" w:cs="Courier New"/>
          <w:color w:val="auto"/>
          <w:sz w:val="24"/>
          <w:szCs w:val="24"/>
          <w:highlight w:val="none"/>
        </w:rPr>
        <w:t xml:space="preserve"> </w:t>
      </w:r>
      <w:r/>
    </w:p>
    <w:p>
      <w:pPr>
        <w:spacing w:before="120" w:after="120" w:line="0" w:lineRule="atLeast"/>
        <w:rPr>
          <w:color w:val="auto"/>
          <w:highlight w:val="none"/>
        </w:rPr>
      </w:pPr>
      <w:r>
        <w:rPr>
          <w:rFonts w:hint="eastAsia"/>
          <w:color w:val="auto"/>
          <w:szCs w:val="21"/>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bookmarkStart w:id="187" w:name="_Hlt16619369"/>
      <w:r/>
      <w:bookmarkEnd w:id="187"/>
      <w:r/>
      <w:r/>
    </w:p>
    <w:p>
      <w:pPr>
        <w:pStyle w:val="924"/>
        <w:ind w:firstLine="0"/>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0" w:lineRule="atLeast"/>
        <w:rPr>
          <w:rFonts w:ascii="宋体" w:hAnsi="宋体"/>
          <w:color w:val="auto"/>
          <w:sz w:val="24"/>
          <w:szCs w:val="21"/>
          <w:highlight w:val="none"/>
        </w:rPr>
      </w:pPr>
      <w:r>
        <w:rPr>
          <w:rFonts w:ascii="宋体" w:hAnsi="宋体"/>
          <w:color w:val="auto"/>
          <w:sz w:val="24"/>
          <w:szCs w:val="21"/>
          <w:highlight w:val="none"/>
        </w:rPr>
      </w:r>
      <w:r/>
    </w:p>
    <w:p>
      <w:pPr>
        <w:spacing w:line="0" w:lineRule="atLeast"/>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4"/>
          <w:highlight w:val="none"/>
        </w:rPr>
      </w:r>
      <w:r/>
    </w:p>
    <w:p>
      <w:pPr>
        <w:jc w:val="center"/>
        <w:keepNext/>
        <w:spacing w:line="560" w:lineRule="exact"/>
        <w:rPr>
          <w:rFonts w:ascii="黑体" w:eastAsia="黑体"/>
          <w:b/>
          <w:bCs/>
          <w:color w:val="auto"/>
          <w:sz w:val="44"/>
          <w:szCs w:val="28"/>
          <w:highlight w:val="none"/>
        </w:rPr>
        <w:outlineLvl w:val="0"/>
      </w:pPr>
      <w:r/>
      <w:bookmarkStart w:id="188" w:name="_Toc120614281"/>
      <w:r>
        <w:rPr>
          <w:rFonts w:hint="eastAsia" w:ascii="黑体" w:eastAsia="黑体"/>
          <w:bCs/>
          <w:color w:val="auto"/>
          <w:sz w:val="44"/>
          <w:szCs w:val="28"/>
          <w:highlight w:val="none"/>
        </w:rPr>
        <w:t xml:space="preserve">第四章  </w:t>
      </w:r>
      <w:r>
        <w:rPr>
          <w:rFonts w:hint="eastAsia" w:ascii="黑体" w:eastAsia="黑体"/>
          <w:b/>
          <w:bCs/>
          <w:color w:val="auto"/>
          <w:sz w:val="44"/>
          <w:szCs w:val="28"/>
          <w:highlight w:val="none"/>
        </w:rPr>
        <w:t xml:space="preserve">评审方法与评审标准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（一）采购人（代表）对供应商资格进行审查。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供应商资格不合格的，其响应文件判定为无效响应文件。</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（二）磋商小组对符合资格供应商的响应文件进行符合性审查。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（三）商务技术分：</w:t>
      </w:r>
      <w:r>
        <w:rPr>
          <w:rFonts w:hint="eastAsia" w:ascii="宋体" w:hAnsi="宋体"/>
          <w:b/>
          <w:color w:val="auto"/>
          <w:sz w:val="24"/>
          <w:szCs w:val="24"/>
          <w:highlight w:val="none"/>
          <w:lang w:val="en-US" w:eastAsia="zh-CN"/>
        </w:rPr>
        <w:t xml:space="preserve">70</w:t>
      </w:r>
      <w:r>
        <w:rPr>
          <w:rFonts w:hint="eastAsia" w:ascii="宋体" w:hAnsi="宋体"/>
          <w:b/>
          <w:color w:val="auto"/>
          <w:sz w:val="24"/>
          <w:szCs w:val="24"/>
          <w:highlight w:val="none"/>
        </w:rPr>
        <w:t xml:space="preserve">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tbl>
      <w:tblPr>
        <w:tblStyle w:val="880"/>
        <w:tblW w:w="5404" w:type="pct"/>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1490"/>
        <w:gridCol w:w="1065"/>
        <w:gridCol w:w="6648"/>
      </w:tblGrid>
      <w:tr>
        <w:trP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0"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评分点名称</w:t>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Borders>
              <w:top w:val="single" w:color="000000" w:sz="4" w:space="0"/>
              <w:left w:val="none" w:color="000000" w:sz="4" w:space="0"/>
              <w:bottom w:val="none" w:color="000000" w:sz="4" w:space="0"/>
              <w:right w:val="single" w:color="000000" w:sz="4" w:space="0"/>
            </w:tcBorders>
            <w:tcW w:w="664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trHeight w:val="75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供应商实力</w:t>
            </w:r>
            <w:r/>
          </w:p>
        </w:tc>
        <w:tc>
          <w:tcPr>
            <w:tcBorders>
              <w:top w:val="none" w:color="000000" w:sz="4" w:space="0"/>
              <w:left w:val="none" w:color="000000" w:sz="4" w:space="0"/>
              <w:bottom w:val="single" w:color="000000" w:sz="4" w:space="0"/>
              <w:right w:val="none" w:color="000000" w:sz="4" w:space="0"/>
            </w:tcBorders>
            <w:tcW w:w="106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1.供应商自有检验检测实验室通过“省重点行业企业用地调查初筛检测实验室省级能力验证”考核的，得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分。（提供省级生态环境主管部门公告查询结果截图扫描件加盖供应商公章制作在响应文件中，未提供不得分）</w:t>
            </w:r>
            <w:r/>
          </w:p>
          <w:p>
            <w:pPr>
              <w:ind w:left="0" w:right="0"/>
              <w:keepLines w:val="0"/>
              <w:keepNext w:val="0"/>
              <w:pageBreakBefore w:val="0"/>
              <w:spacing w:before="0" w:beforeAutospacing="0" w:after="0" w:afterAutospacing="0" w:line="240" w:lineRule="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2.供应商自有检验检测实验室，具有国家CMA计量认证合格资质的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分，具有中国合格评定国家认可委员会认可的CNAS资质的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分，实验室环境类检测项目超过1000项的，得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分。（提供供应商自有实验室的检验检测资质证书和能力证书原件扫描件加盖供应商公章制作在响应文件中，未提供不得分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3.供应商作为主要起草单位或联合起草单位承担过污染地块、土壤及地下水防治等类似标准制定工作的，得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分。（提供正式发布的标准文本或主管部门公示材料的相关证明文件，加盖供应商公章制作在响应文件中，未提供不得分）</w:t>
            </w:r>
            <w:r/>
          </w:p>
        </w:tc>
      </w:tr>
      <w:tr>
        <w:trPr>
          <w:trHeight w:val="67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人员实力</w:t>
            </w:r>
            <w:r/>
          </w:p>
        </w:tc>
        <w:tc>
          <w:tcPr>
            <w:tcBorders>
              <w:top w:val="none" w:color="000000" w:sz="4" w:space="0"/>
              <w:left w:val="none" w:color="000000" w:sz="4" w:space="0"/>
              <w:bottom w:val="single" w:color="000000" w:sz="4" w:space="0"/>
              <w:right w:val="none" w:color="000000" w:sz="4" w:space="0"/>
            </w:tcBorders>
            <w:tcW w:w="106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1.拟派项目负责人具有环境保护类职称的：中级工程师的得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分，高级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工程师的得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分；获得过市及以上行政主管部门颁发的奖励或奖项的得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2.拟派项目技术负责人具有环境保护类职称的：中级工程师的得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分，高级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工程师的得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3.项目组成员（不含项目负责人）</w:t>
            </w:r>
            <w:r>
              <w:rPr>
                <w:rFonts w:hint="eastAsia" w:ascii="宋体" w:hAnsi="宋体" w:cs="宋体"/>
                <w:color w:val="auto"/>
                <w:sz w:val="24"/>
                <w:szCs w:val="24"/>
                <w:highlight w:val="none"/>
                <w:lang w:val="en-US" w:eastAsia="zh-CN"/>
              </w:rPr>
              <w:t xml:space="preserve">具有注册环保工程师证书的</w:t>
            </w:r>
            <w:r>
              <w:rPr>
                <w:rFonts w:hint="eastAsia" w:ascii="宋体" w:hAnsi="宋体" w:eastAsia="宋体" w:cs="宋体"/>
                <w:color w:val="auto"/>
                <w:sz w:val="24"/>
                <w:szCs w:val="24"/>
                <w:highlight w:val="none"/>
              </w:rPr>
              <w:t xml:space="preserve">，每提供1个得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b/>
                <w:color w:val="auto"/>
                <w:sz w:val="24"/>
                <w:szCs w:val="24"/>
                <w:highlight w:val="none"/>
              </w:rPr>
              <w:t xml:space="preserve">提供证书原件扫描件及由社保机构出具的供应商近期为其缴纳社保的相关证明材料并加盖公章</w:t>
            </w:r>
            <w:r>
              <w:rPr>
                <w:rFonts w:hint="eastAsia" w:ascii="宋体" w:hAnsi="宋体" w:eastAsia="宋体" w:cs="宋体"/>
                <w:color w:val="auto"/>
                <w:sz w:val="24"/>
                <w:szCs w:val="24"/>
                <w:highlight w:val="none"/>
              </w:rPr>
              <w:t xml:space="preserve">。</w:t>
            </w:r>
            <w:r/>
          </w:p>
        </w:tc>
      </w:tr>
      <w:tr>
        <w:trPr>
          <w:trHeight w:val="44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企业业绩</w:t>
            </w:r>
            <w:r/>
          </w:p>
        </w:tc>
        <w:tc>
          <w:tcPr>
            <w:tcBorders>
              <w:top w:val="none" w:color="000000" w:sz="4" w:space="0"/>
              <w:left w:val="none" w:color="000000" w:sz="4" w:space="0"/>
              <w:bottom w:val="single" w:color="000000" w:sz="4" w:space="0"/>
              <w:right w:val="none" w:color="000000" w:sz="4" w:space="0"/>
            </w:tcBorders>
            <w:tcW w:w="106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1.供应商承担过</w:t>
            </w:r>
            <w:r>
              <w:rPr>
                <w:rFonts w:hint="eastAsia" w:ascii="宋体" w:hAnsi="宋体" w:cs="宋体"/>
                <w:color w:val="auto"/>
                <w:sz w:val="24"/>
                <w:szCs w:val="24"/>
                <w:highlight w:val="none"/>
                <w:lang w:val="en-US" w:eastAsia="zh-CN"/>
              </w:rPr>
              <w:t xml:space="preserve">类似重点行业企业用地土壤污染状况调查项目的</w:t>
            </w:r>
            <w:r>
              <w:rPr>
                <w:rFonts w:hint="eastAsia" w:ascii="宋体" w:hAnsi="宋体" w:eastAsia="宋体" w:cs="宋体"/>
                <w:color w:val="auto"/>
                <w:sz w:val="24"/>
                <w:szCs w:val="24"/>
                <w:highlight w:val="none"/>
              </w:rPr>
              <w:t xml:space="preserve">，有1个得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2.供应商承担过</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土壤污染重点监管单位周边土壤和地下水监测项目的，有1个得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jc w:val="left"/>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需提供有效合同复印件并加盖公章，未提供不得分。</w:t>
            </w:r>
            <w:r/>
          </w:p>
        </w:tc>
      </w:tr>
      <w:tr>
        <w:trPr>
          <w:trHeight w:val="52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jc w:val="center"/>
              <w:spacing w:line="240" w:lineRule="atLeast"/>
              <w:widowControl/>
              <w:rPr>
                <w:rFonts w:ascii="宋体" w:hAnsi="宋体" w:cs="宋体"/>
                <w:color w:val="auto"/>
                <w:sz w:val="24"/>
                <w:szCs w:val="24"/>
                <w:highlight w:val="none"/>
              </w:rPr>
            </w:pPr>
            <w:r>
              <w:rPr>
                <w:rFonts w:hint="eastAsia" w:ascii="宋体" w:hAnsi="宋体" w:cs="宋体"/>
                <w:color w:val="auto"/>
                <w:sz w:val="24"/>
                <w:highlight w:val="none"/>
              </w:rPr>
              <w:t xml:space="preserve">项目理解</w:t>
            </w:r>
            <w:r/>
          </w:p>
        </w:tc>
        <w:tc>
          <w:tcPr>
            <w:tcBorders>
              <w:top w:val="none" w:color="000000" w:sz="4" w:space="0"/>
              <w:left w:val="none" w:color="000000" w:sz="4" w:space="0"/>
              <w:bottom w:val="single" w:color="000000" w:sz="4" w:space="0"/>
              <w:right w:val="none" w:color="000000" w:sz="4" w:space="0"/>
            </w:tcBorders>
            <w:tcW w:w="1065" w:type="dxa"/>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6</w:t>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color w:val="auto"/>
                <w:sz w:val="24"/>
                <w:szCs w:val="24"/>
                <w:highlight w:val="none"/>
              </w:rPr>
              <w:suppressLineNumbers w:val="0"/>
            </w:pPr>
            <w:r>
              <w:rPr>
                <w:rFonts w:hint="eastAsia"/>
                <w:color w:val="auto"/>
                <w:sz w:val="24"/>
                <w:szCs w:val="24"/>
                <w:highlight w:val="none"/>
              </w:rPr>
              <w:t xml:space="preserve">根据各</w:t>
            </w:r>
            <w:r>
              <w:rPr>
                <w:rFonts w:hint="eastAsia"/>
                <w:color w:val="auto"/>
                <w:sz w:val="24"/>
                <w:szCs w:val="24"/>
                <w:highlight w:val="none"/>
                <w:lang w:val="en-US" w:eastAsia="zh-CN"/>
              </w:rPr>
              <w:t xml:space="preserve">供应商</w:t>
            </w:r>
            <w:r>
              <w:rPr>
                <w:rFonts w:hint="eastAsia"/>
                <w:color w:val="auto"/>
                <w:sz w:val="24"/>
                <w:szCs w:val="24"/>
                <w:highlight w:val="none"/>
              </w:rPr>
              <w:t xml:space="preserve">对本项目的理解进行综合评审：</w:t>
            </w:r>
            <w:r/>
          </w:p>
          <w:p>
            <w:pPr>
              <w:ind w:left="0" w:right="0"/>
              <w:keepLines w:val="0"/>
              <w:keepNext w:val="0"/>
              <w:pageBreakBefore w:val="0"/>
              <w:spacing w:before="0" w:beforeAutospacing="0" w:after="0" w:afterAutospacing="0" w:line="240" w:lineRule="auto"/>
              <w:widowControl w:val="off"/>
              <w:rPr>
                <w:rFonts w:hint="eastAsia"/>
                <w:color w:val="auto"/>
                <w:sz w:val="24"/>
                <w:szCs w:val="24"/>
                <w:highlight w:val="none"/>
              </w:rPr>
              <w:suppressLineNumbers w:val="0"/>
            </w:pPr>
            <w:r>
              <w:rPr>
                <w:rFonts w:hint="eastAsia"/>
                <w:color w:val="auto"/>
                <w:sz w:val="24"/>
                <w:szCs w:val="24"/>
                <w:highlight w:val="none"/>
              </w:rPr>
              <w:t xml:space="preserve">①项目理解②项目要求。针对以上每点，包含的要点齐全无缺漏项、内容与要点相符、内容完善且能够适用于本项目的</w:t>
            </w:r>
            <w:r>
              <w:rPr>
                <w:rFonts w:hint="eastAsia"/>
                <w:color w:val="auto"/>
                <w:sz w:val="24"/>
                <w:szCs w:val="24"/>
                <w:highlight w:val="none"/>
                <w:lang w:eastAsia="zh-CN"/>
              </w:rPr>
              <w:t xml:space="preserve">，</w:t>
            </w:r>
            <w:r>
              <w:rPr>
                <w:rFonts w:hint="eastAsia"/>
                <w:color w:val="auto"/>
                <w:sz w:val="24"/>
                <w:szCs w:val="24"/>
                <w:highlight w:val="none"/>
              </w:rPr>
              <w:t xml:space="preserve">每</w:t>
            </w:r>
            <w:r>
              <w:rPr>
                <w:rFonts w:hint="eastAsia"/>
                <w:color w:val="auto"/>
                <w:sz w:val="24"/>
                <w:szCs w:val="24"/>
                <w:highlight w:val="none"/>
                <w:lang w:val="en-US" w:eastAsia="zh-CN"/>
              </w:rPr>
              <w:t xml:space="preserve">点</w:t>
            </w:r>
            <w:r>
              <w:rPr>
                <w:rFonts w:hint="eastAsia"/>
                <w:color w:val="auto"/>
                <w:sz w:val="24"/>
                <w:szCs w:val="24"/>
                <w:highlight w:val="none"/>
              </w:rPr>
              <w:t xml:space="preserve">得</w:t>
            </w:r>
            <w:r>
              <w:rPr>
                <w:rFonts w:hint="eastAsia"/>
                <w:color w:val="auto"/>
                <w:sz w:val="24"/>
                <w:szCs w:val="24"/>
                <w:highlight w:val="none"/>
                <w:lang w:val="en-US" w:eastAsia="zh-CN"/>
              </w:rPr>
              <w:t xml:space="preserve">3</w:t>
            </w:r>
            <w:r>
              <w:rPr>
                <w:rFonts w:hint="eastAsia"/>
                <w:color w:val="auto"/>
                <w:sz w:val="24"/>
                <w:szCs w:val="24"/>
                <w:highlight w:val="none"/>
              </w:rPr>
              <w:t xml:space="preserve">分，需求分析内容存在缺陷或不足的</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每点</w:t>
            </w:r>
            <w:r>
              <w:rPr>
                <w:rFonts w:hint="default"/>
                <w:color w:val="auto"/>
                <w:sz w:val="24"/>
                <w:szCs w:val="24"/>
                <w:highlight w:val="none"/>
                <w:lang w:val="en-US"/>
              </w:rPr>
              <w:t xml:space="preserve">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不提供不得分</w:t>
            </w:r>
            <w:r>
              <w:rPr>
                <w:rFonts w:hint="eastAsia"/>
                <w:color w:val="auto"/>
                <w:sz w:val="24"/>
                <w:szCs w:val="24"/>
                <w:highlight w:val="none"/>
              </w:rPr>
              <w:t xml:space="preserve">。</w:t>
            </w:r>
            <w:r/>
          </w:p>
          <w:p>
            <w:pPr>
              <w:pStyle w:val="921"/>
              <w:ind w:left="0" w:firstLine="0"/>
              <w:rPr>
                <w:rFonts w:hint="eastAsia"/>
                <w:color w:val="auto"/>
                <w:highlight w:val="none"/>
                <w:lang w:val="en-US" w:eastAsia="zh-CN"/>
              </w:rPr>
            </w:pPr>
            <w:r>
              <w:rPr>
                <w:rFonts w:hint="eastAsia"/>
                <w:color w:val="auto"/>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825"/>
        </w:trPr>
        <w:tc>
          <w:tcPr>
            <w:shd w:val="clear" w:color="auto" w:fill="auto"/>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jc w:val="center"/>
              <w:spacing w:line="240" w:lineRule="atLeast"/>
              <w:widowControl/>
              <w:rPr>
                <w:rFonts w:ascii="宋体" w:hAnsi="宋体" w:cs="宋体"/>
                <w:color w:val="auto"/>
                <w:sz w:val="24"/>
                <w:szCs w:val="24"/>
                <w:highlight w:val="none"/>
              </w:rPr>
            </w:pPr>
            <w:r>
              <w:rPr>
                <w:rFonts w:hint="eastAsia" w:ascii="宋体" w:hAnsi="宋体" w:cs="宋体"/>
                <w:color w:val="auto"/>
                <w:sz w:val="24"/>
                <w:highlight w:val="none"/>
              </w:rPr>
              <w:t xml:space="preserve">实施方案</w:t>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jc w:val="center"/>
              <w:spacing w:line="240" w:lineRule="atLeas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16</w:t>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rPr>
              <w:suppressLineNumbers w:val="0"/>
            </w:pPr>
            <w:r>
              <w:rPr>
                <w:rFonts w:hint="eastAsia" w:eastAsia="宋体"/>
                <w:color w:val="auto"/>
                <w:sz w:val="24"/>
                <w:szCs w:val="24"/>
                <w:highlight w:val="none"/>
              </w:rPr>
              <w:t xml:space="preserve">根据项目实施阶段制定与本项目所匹配的整体实施方案，对各阶段中所涉及各项工作方案的先进性、周密性、可操作性进行综合比较：</w:t>
            </w:r>
            <w:r/>
          </w:p>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rPr>
              <w:suppressLineNumbers w:val="0"/>
            </w:pPr>
            <w:r>
              <w:rPr>
                <w:rFonts w:hint="eastAsia" w:eastAsia="宋体"/>
                <w:color w:val="auto"/>
                <w:sz w:val="24"/>
                <w:szCs w:val="24"/>
                <w:highlight w:val="none"/>
              </w:rPr>
              <w:t xml:space="preserve">①方案思路②技术框架</w:t>
            </w:r>
            <w:r>
              <w:rPr>
                <w:rFonts w:hint="eastAsia" w:eastAsia="宋体"/>
                <w:color w:val="auto"/>
                <w:sz w:val="24"/>
                <w:szCs w:val="24"/>
                <w:highlight w:val="none"/>
                <w:lang w:eastAsia="zh-CN"/>
              </w:rPr>
              <w:t xml:space="preserve">③</w:t>
            </w:r>
            <w:r>
              <w:rPr>
                <w:rFonts w:hint="eastAsia" w:eastAsia="宋体"/>
                <w:color w:val="auto"/>
                <w:sz w:val="24"/>
                <w:szCs w:val="24"/>
                <w:highlight w:val="none"/>
              </w:rPr>
              <w:t xml:space="preserve">实施方法</w:t>
            </w:r>
            <w:r>
              <w:rPr>
                <w:rFonts w:hint="eastAsia" w:eastAsia="宋体"/>
                <w:color w:val="auto"/>
                <w:sz w:val="24"/>
                <w:szCs w:val="24"/>
                <w:highlight w:val="none"/>
                <w:lang w:eastAsia="zh-CN"/>
              </w:rPr>
              <w:t xml:space="preserve">④</w:t>
            </w:r>
            <w:r>
              <w:rPr>
                <w:rFonts w:hint="eastAsia" w:eastAsia="宋体"/>
                <w:color w:val="auto"/>
                <w:sz w:val="24"/>
                <w:szCs w:val="24"/>
                <w:highlight w:val="none"/>
              </w:rPr>
              <w:t xml:space="preserve">成果要求。针对以上每点，包含的要点齐全无缺漏项、内容与要点相符、内容完善且能够适用于本项目的</w:t>
            </w:r>
            <w:r>
              <w:rPr>
                <w:rFonts w:hint="eastAsia"/>
                <w:color w:val="auto"/>
                <w:sz w:val="24"/>
                <w:szCs w:val="24"/>
                <w:highlight w:val="none"/>
                <w:lang w:eastAsia="zh-CN"/>
              </w:rPr>
              <w:t xml:space="preserve">，</w:t>
            </w:r>
            <w:r>
              <w:rPr>
                <w:rFonts w:hint="eastAsia"/>
                <w:color w:val="auto"/>
                <w:sz w:val="24"/>
                <w:szCs w:val="24"/>
                <w:highlight w:val="none"/>
              </w:rPr>
              <w:t xml:space="preserve">每</w:t>
            </w:r>
            <w:r>
              <w:rPr>
                <w:rFonts w:hint="eastAsia"/>
                <w:color w:val="auto"/>
                <w:sz w:val="24"/>
                <w:szCs w:val="24"/>
                <w:highlight w:val="none"/>
                <w:lang w:val="en-US" w:eastAsia="zh-CN"/>
              </w:rPr>
              <w:t xml:space="preserve">点</w:t>
            </w:r>
            <w:r>
              <w:rPr>
                <w:rFonts w:hint="eastAsia" w:eastAsia="宋体"/>
                <w:color w:val="auto"/>
                <w:sz w:val="24"/>
                <w:szCs w:val="24"/>
                <w:highlight w:val="none"/>
              </w:rPr>
              <w:t xml:space="preserve">得</w:t>
            </w:r>
            <w:r>
              <w:rPr>
                <w:rFonts w:hint="eastAsia"/>
                <w:color w:val="auto"/>
                <w:sz w:val="24"/>
                <w:szCs w:val="24"/>
                <w:highlight w:val="none"/>
                <w:lang w:val="en-US" w:eastAsia="zh-CN"/>
              </w:rPr>
              <w:t xml:space="preserve">4</w:t>
            </w:r>
            <w:r>
              <w:rPr>
                <w:rFonts w:hint="eastAsia" w:eastAsia="宋体"/>
                <w:color w:val="auto"/>
                <w:sz w:val="24"/>
                <w:szCs w:val="24"/>
                <w:highlight w:val="none"/>
              </w:rPr>
              <w:t xml:space="preserve">分，需求分析内容存在缺陷或不足的</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每点</w:t>
            </w:r>
            <w:r>
              <w:rPr>
                <w:rFonts w:hint="eastAsia" w:eastAsia="宋体"/>
                <w:color w:val="auto"/>
                <w:sz w:val="24"/>
                <w:szCs w:val="24"/>
                <w:highlight w:val="none"/>
                <w:lang w:eastAsia="zh-CN"/>
              </w:rPr>
              <w:t xml:space="preserve">得</w:t>
            </w:r>
            <w:r>
              <w:rPr>
                <w:rFonts w:hint="eastAsia" w:eastAsia="宋体"/>
                <w:color w:val="auto"/>
                <w:sz w:val="24"/>
                <w:szCs w:val="24"/>
                <w:highlight w:val="none"/>
                <w:lang w:val="en-US" w:eastAsia="zh-CN"/>
              </w:rPr>
              <w:t xml:space="preserve">2</w:t>
            </w:r>
            <w:r>
              <w:rPr>
                <w:rFonts w:hint="eastAsia" w:eastAsia="宋体"/>
                <w:color w:val="auto"/>
                <w:sz w:val="24"/>
                <w:szCs w:val="24"/>
                <w:highlight w:val="none"/>
              </w:rPr>
              <w:t xml:space="preserve">分</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不提供不得分</w:t>
            </w:r>
            <w:r>
              <w:rPr>
                <w:rFonts w:hint="eastAsia" w:eastAsia="宋体"/>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lang w:val="en-US" w:eastAsia="zh-CN"/>
              </w:rPr>
              <w:suppressLineNumbers w:val="0"/>
            </w:pPr>
            <w:r>
              <w:rPr>
                <w:rFonts w:hint="eastAsia" w:eastAsia="宋体"/>
                <w:color w:val="auto"/>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570"/>
        </w:trPr>
        <w:tc>
          <w:tcPr>
            <w:shd w:val="clear" w:color="auto" w:fill="auto"/>
            <w:tcBorders>
              <w:top w:val="none" w:color="000000" w:sz="4" w:space="0"/>
              <w:left w:val="single" w:color="000000" w:sz="4" w:space="0"/>
              <w:bottom w:val="single" w:color="auto" w:sz="4" w:space="0"/>
              <w:right w:val="single" w:color="000000"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000000" w:sz="4" w:space="0"/>
            </w:tcBorders>
            <w:tcW w:w="1490" w:type="dxa"/>
            <w:vAlign w:val="center"/>
            <w:textDirection w:val="lrTb"/>
            <w:noWrap w:val="false"/>
          </w:tcPr>
          <w:p>
            <w:pPr>
              <w:jc w:val="center"/>
              <w:spacing w:line="240" w:lineRule="atLeast"/>
              <w:widowControl/>
              <w:rPr>
                <w:rFonts w:ascii="宋体" w:hAnsi="宋体" w:cs="宋体"/>
                <w:color w:val="auto"/>
                <w:sz w:val="24"/>
                <w:szCs w:val="24"/>
                <w:highlight w:val="none"/>
              </w:rPr>
            </w:pPr>
            <w:r>
              <w:rPr>
                <w:rFonts w:hint="eastAsia" w:ascii="宋体" w:hAnsi="宋体" w:cs="宋体"/>
                <w:color w:val="auto"/>
                <w:sz w:val="24"/>
                <w:highlight w:val="none"/>
              </w:rPr>
              <w:t xml:space="preserve">进度质量</w:t>
            </w:r>
            <w:r/>
          </w:p>
        </w:tc>
        <w:tc>
          <w:tcPr>
            <w:tcBorders>
              <w:top w:val="none" w:color="000000" w:sz="4" w:space="0"/>
              <w:left w:val="none" w:color="000000" w:sz="4" w:space="0"/>
              <w:bottom w:val="single" w:color="auto" w:sz="4" w:space="0"/>
              <w:right w:val="single" w:color="000000" w:sz="4" w:space="0"/>
            </w:tcBorders>
            <w:tcW w:w="1065" w:type="dxa"/>
            <w:vAlign w:val="center"/>
            <w:textDirection w:val="lrTb"/>
            <w:noWrap w:val="false"/>
          </w:tcPr>
          <w:p>
            <w:pPr>
              <w:ind w:firstLine="240"/>
              <w:jc w:val="both"/>
              <w:spacing w:line="240" w:lineRule="atLeast"/>
              <w:widowControl/>
              <w:rPr>
                <w:rFonts w:hint="default" w:ascii="宋体" w:hAnsi="宋体" w:cs="宋体"/>
                <w:color w:val="auto"/>
                <w:sz w:val="24"/>
                <w:szCs w:val="24"/>
                <w:highlight w:val="none"/>
                <w:lang w:val="en-US"/>
              </w:rPr>
            </w:pPr>
            <w:r>
              <w:rPr>
                <w:rFonts w:hint="eastAsia" w:ascii="宋体" w:hAnsi="宋体" w:cs="宋体"/>
                <w:color w:val="auto"/>
                <w:sz w:val="24"/>
                <w:highlight w:val="none"/>
                <w:lang w:val="en-US" w:eastAsia="zh-CN"/>
              </w:rPr>
              <w:t xml:space="preserve">9</w:t>
            </w:r>
            <w:r/>
          </w:p>
        </w:tc>
        <w:tc>
          <w:tcPr>
            <w:tcBorders>
              <w:top w:val="none" w:color="000000" w:sz="4" w:space="0"/>
              <w:left w:val="none" w:color="000000" w:sz="4" w:space="0"/>
              <w:bottom w:val="single" w:color="auto" w:sz="4" w:space="0"/>
              <w:right w:val="single" w:color="000000"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rPr>
              <w:suppressLineNumbers w:val="0"/>
            </w:pPr>
            <w:r>
              <w:rPr>
                <w:rFonts w:hint="eastAsia" w:eastAsia="宋体"/>
                <w:color w:val="auto"/>
                <w:sz w:val="24"/>
                <w:szCs w:val="24"/>
                <w:highlight w:val="none"/>
              </w:rPr>
              <w:t xml:space="preserve">根据</w:t>
            </w:r>
            <w:r>
              <w:rPr>
                <w:rFonts w:hint="eastAsia" w:eastAsia="宋体"/>
                <w:color w:val="auto"/>
                <w:sz w:val="24"/>
                <w:szCs w:val="24"/>
                <w:highlight w:val="none"/>
                <w:lang w:val="en-US" w:eastAsia="zh-CN"/>
              </w:rPr>
              <w:t xml:space="preserve">供应商</w:t>
            </w:r>
            <w:r>
              <w:rPr>
                <w:rFonts w:hint="eastAsia" w:eastAsia="宋体"/>
                <w:color w:val="auto"/>
                <w:sz w:val="24"/>
                <w:szCs w:val="24"/>
                <w:highlight w:val="none"/>
              </w:rPr>
              <w:t xml:space="preserve">对进度安排是否科学、各阶段人员投入数量及结构是否合理充足、质量控制措施是否得当等进行综合评分：①进度安排②项目人员组成结构</w:t>
            </w:r>
            <w:r>
              <w:rPr>
                <w:rFonts w:hint="eastAsia" w:eastAsia="宋体"/>
                <w:color w:val="auto"/>
                <w:sz w:val="24"/>
                <w:szCs w:val="24"/>
                <w:highlight w:val="none"/>
                <w:lang w:eastAsia="zh-CN"/>
              </w:rPr>
              <w:t xml:space="preserve">③</w:t>
            </w:r>
            <w:r>
              <w:rPr>
                <w:rFonts w:hint="eastAsia" w:eastAsia="宋体"/>
                <w:color w:val="auto"/>
                <w:sz w:val="24"/>
                <w:szCs w:val="24"/>
                <w:highlight w:val="none"/>
              </w:rPr>
              <w:t xml:space="preserve">质量控制。针对以上每点，包含的要点齐全无缺漏项、内容与要点相符、内容完善且能够适用于本项目的</w:t>
            </w:r>
            <w:r>
              <w:rPr>
                <w:rFonts w:hint="eastAsia"/>
                <w:color w:val="auto"/>
                <w:sz w:val="24"/>
                <w:szCs w:val="24"/>
                <w:highlight w:val="none"/>
                <w:lang w:eastAsia="zh-CN"/>
              </w:rPr>
              <w:t xml:space="preserve">，</w:t>
            </w:r>
            <w:r>
              <w:rPr>
                <w:rFonts w:hint="eastAsia"/>
                <w:color w:val="auto"/>
                <w:sz w:val="24"/>
                <w:szCs w:val="24"/>
                <w:highlight w:val="none"/>
              </w:rPr>
              <w:t xml:space="preserve">每</w:t>
            </w:r>
            <w:r>
              <w:rPr>
                <w:rFonts w:hint="eastAsia"/>
                <w:color w:val="auto"/>
                <w:sz w:val="24"/>
                <w:szCs w:val="24"/>
                <w:highlight w:val="none"/>
                <w:lang w:val="en-US" w:eastAsia="zh-CN"/>
              </w:rPr>
              <w:t xml:space="preserve">点</w:t>
            </w:r>
            <w:r>
              <w:rPr>
                <w:rFonts w:hint="eastAsia" w:eastAsia="宋体"/>
                <w:color w:val="auto"/>
                <w:sz w:val="24"/>
                <w:szCs w:val="24"/>
                <w:highlight w:val="none"/>
              </w:rPr>
              <w:t xml:space="preserve">得</w:t>
            </w:r>
            <w:r>
              <w:rPr>
                <w:rFonts w:hint="eastAsia"/>
                <w:color w:val="auto"/>
                <w:sz w:val="24"/>
                <w:szCs w:val="24"/>
                <w:highlight w:val="none"/>
                <w:lang w:val="en-US" w:eastAsia="zh-CN"/>
              </w:rPr>
              <w:t xml:space="preserve">3</w:t>
            </w:r>
            <w:r>
              <w:rPr>
                <w:rFonts w:hint="eastAsia" w:eastAsia="宋体"/>
                <w:color w:val="auto"/>
                <w:sz w:val="24"/>
                <w:szCs w:val="24"/>
                <w:highlight w:val="none"/>
              </w:rPr>
              <w:t xml:space="preserve">分，需求分析内容存在缺陷或不足的</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每点</w:t>
            </w:r>
            <w:r>
              <w:rPr>
                <w:rFonts w:hint="eastAsia" w:eastAsia="宋体"/>
                <w:color w:val="auto"/>
                <w:sz w:val="24"/>
                <w:szCs w:val="24"/>
                <w:highlight w:val="none"/>
                <w:lang w:val="en-US" w:eastAsia="zh-CN"/>
              </w:rPr>
              <w:t xml:space="preserve">得</w:t>
            </w:r>
            <w:r>
              <w:rPr>
                <w:rFonts w:hint="eastAsia"/>
                <w:color w:val="auto"/>
                <w:sz w:val="24"/>
                <w:szCs w:val="24"/>
                <w:highlight w:val="none"/>
                <w:lang w:val="en-US" w:eastAsia="zh-CN"/>
              </w:rPr>
              <w:t xml:space="preserve">2</w:t>
            </w:r>
            <w:r>
              <w:rPr>
                <w:rFonts w:hint="eastAsia" w:eastAsia="宋体"/>
                <w:color w:val="auto"/>
                <w:sz w:val="24"/>
                <w:szCs w:val="24"/>
                <w:highlight w:val="none"/>
              </w:rPr>
              <w:t xml:space="preserve">分</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不提供不得分</w:t>
            </w:r>
            <w:r>
              <w:rPr>
                <w:rFonts w:hint="eastAsia" w:eastAsia="宋体"/>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lang w:val="en-US" w:eastAsia="zh-CN"/>
              </w:rPr>
              <w:suppressLineNumbers w:val="0"/>
            </w:pPr>
            <w:r>
              <w:rPr>
                <w:rFonts w:hint="eastAsia" w:eastAsia="宋体"/>
                <w:color w:val="auto"/>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058"/>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40" w:lineRule="atLeast"/>
              <w:widowControl/>
              <w:rPr>
                <w:rFonts w:ascii="宋体" w:hAnsi="宋体" w:cs="宋体"/>
                <w:color w:val="auto"/>
                <w:sz w:val="24"/>
                <w:szCs w:val="24"/>
                <w:highlight w:val="none"/>
              </w:rPr>
            </w:pPr>
            <w:r>
              <w:rPr>
                <w:rFonts w:hint="eastAsia" w:ascii="宋体" w:hAnsi="宋体" w:cs="宋体"/>
                <w:color w:val="auto"/>
                <w:sz w:val="24"/>
                <w:highlight w:val="none"/>
              </w:rPr>
              <w:t xml:space="preserve">服务承诺</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240" w:lineRule="atLeast"/>
              <w:widowControl/>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rPr>
              <w:suppressLineNumbers w:val="0"/>
            </w:pPr>
            <w:r>
              <w:rPr>
                <w:rFonts w:hint="eastAsia" w:eastAsia="宋体"/>
                <w:color w:val="auto"/>
                <w:sz w:val="24"/>
                <w:szCs w:val="24"/>
                <w:highlight w:val="none"/>
              </w:rPr>
              <w:t xml:space="preserve">根据</w:t>
            </w:r>
            <w:r>
              <w:rPr>
                <w:rFonts w:hint="eastAsia" w:eastAsia="宋体"/>
                <w:color w:val="auto"/>
                <w:sz w:val="24"/>
                <w:szCs w:val="24"/>
                <w:highlight w:val="none"/>
                <w:lang w:val="en-US" w:eastAsia="zh-CN"/>
              </w:rPr>
              <w:t xml:space="preserve">供应商</w:t>
            </w:r>
            <w:r>
              <w:rPr>
                <w:rFonts w:hint="eastAsia" w:eastAsia="宋体"/>
                <w:color w:val="auto"/>
                <w:sz w:val="24"/>
                <w:szCs w:val="24"/>
                <w:highlight w:val="none"/>
              </w:rPr>
              <w:t xml:space="preserve">提供的服务承诺全面、可行性等内容进行综合评审：①服务承诺②服务措施。针对以上每点，包含的要点齐全无缺漏项、内容与要点相符、内容完善且能够适用于本项目的</w:t>
            </w:r>
            <w:r>
              <w:rPr>
                <w:rFonts w:hint="eastAsia"/>
                <w:color w:val="auto"/>
                <w:sz w:val="24"/>
                <w:szCs w:val="24"/>
                <w:highlight w:val="none"/>
                <w:lang w:eastAsia="zh-CN"/>
              </w:rPr>
              <w:t xml:space="preserve">，</w:t>
            </w:r>
            <w:r>
              <w:rPr>
                <w:rFonts w:hint="eastAsia"/>
                <w:color w:val="auto"/>
                <w:sz w:val="24"/>
                <w:szCs w:val="24"/>
                <w:highlight w:val="none"/>
              </w:rPr>
              <w:t xml:space="preserve">每</w:t>
            </w:r>
            <w:r>
              <w:rPr>
                <w:rFonts w:hint="eastAsia"/>
                <w:color w:val="auto"/>
                <w:sz w:val="24"/>
                <w:szCs w:val="24"/>
                <w:highlight w:val="none"/>
                <w:lang w:val="en-US" w:eastAsia="zh-CN"/>
              </w:rPr>
              <w:t xml:space="preserve">点</w:t>
            </w:r>
            <w:r>
              <w:rPr>
                <w:rFonts w:hint="eastAsia" w:eastAsia="宋体"/>
                <w:color w:val="auto"/>
                <w:sz w:val="24"/>
                <w:szCs w:val="24"/>
                <w:highlight w:val="none"/>
              </w:rPr>
              <w:t xml:space="preserve">得</w:t>
            </w:r>
            <w:r>
              <w:rPr>
                <w:rFonts w:hint="eastAsia"/>
                <w:color w:val="auto"/>
                <w:sz w:val="24"/>
                <w:szCs w:val="24"/>
                <w:highlight w:val="none"/>
                <w:lang w:val="en-US" w:eastAsia="zh-CN"/>
              </w:rPr>
              <w:t xml:space="preserve">3</w:t>
            </w:r>
            <w:r>
              <w:rPr>
                <w:rFonts w:hint="eastAsia" w:eastAsia="宋体"/>
                <w:color w:val="auto"/>
                <w:sz w:val="24"/>
                <w:szCs w:val="24"/>
                <w:highlight w:val="none"/>
              </w:rPr>
              <w:t xml:space="preserve">分，需求分析内容存在缺陷或不足的</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每点</w:t>
            </w:r>
            <w:r>
              <w:rPr>
                <w:rFonts w:hint="eastAsia" w:eastAsia="宋体"/>
                <w:color w:val="auto"/>
                <w:sz w:val="24"/>
                <w:szCs w:val="24"/>
                <w:highlight w:val="none"/>
                <w:lang w:val="en-US" w:eastAsia="zh-CN"/>
              </w:rPr>
              <w:t xml:space="preserve">得</w:t>
            </w:r>
            <w:r>
              <w:rPr>
                <w:rFonts w:hint="eastAsia"/>
                <w:color w:val="auto"/>
                <w:sz w:val="24"/>
                <w:szCs w:val="24"/>
                <w:highlight w:val="none"/>
                <w:lang w:val="en-US" w:eastAsia="zh-CN"/>
              </w:rPr>
              <w:t xml:space="preserve">2</w:t>
            </w:r>
            <w:r>
              <w:rPr>
                <w:rFonts w:hint="eastAsia" w:eastAsia="宋体"/>
                <w:color w:val="auto"/>
                <w:sz w:val="24"/>
                <w:szCs w:val="24"/>
                <w:highlight w:val="none"/>
              </w:rPr>
              <w:t xml:space="preserve">分</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不提供不得分</w:t>
            </w:r>
            <w:r>
              <w:rPr>
                <w:rFonts w:hint="eastAsia" w:eastAsia="宋体"/>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eastAsia="宋体"/>
                <w:color w:val="auto"/>
                <w:sz w:val="24"/>
                <w:szCs w:val="24"/>
                <w:highlight w:val="none"/>
                <w:lang w:val="en-US" w:eastAsia="zh-CN"/>
              </w:rPr>
              <w:suppressLineNumbers w:val="0"/>
            </w:pPr>
            <w:r>
              <w:rPr>
                <w:rFonts w:hint="eastAsia" w:eastAsia="宋体"/>
                <w:color w:val="auto"/>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（四）价格分：</w:t>
      </w:r>
      <w:r>
        <w:rPr>
          <w:rFonts w:hint="eastAsia" w:ascii="宋体" w:hAnsi="宋体"/>
          <w:b/>
          <w:color w:val="auto"/>
          <w:sz w:val="24"/>
          <w:szCs w:val="24"/>
          <w:highlight w:val="none"/>
          <w:lang w:val="en-US" w:eastAsia="zh-CN"/>
        </w:rPr>
        <w:t xml:space="preserve">30</w:t>
      </w:r>
      <w:r>
        <w:rPr>
          <w:rFonts w:hint="eastAsia" w:ascii="宋体" w:hAnsi="宋体"/>
          <w:b/>
          <w:color w:val="auto"/>
          <w:sz w:val="24"/>
          <w:szCs w:val="24"/>
          <w:highlight w:val="none"/>
        </w:rPr>
        <w:t xml:space="preserve">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磋商报价得分=（磋商基准价/最后磋商报价）×价格权值×100</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出现下列情形之一的，</w:t>
      </w:r>
      <w:r>
        <w:rPr>
          <w:rFonts w:hint="eastAsia" w:ascii="宋体" w:hAnsi="宋体"/>
          <w:color w:val="auto"/>
          <w:sz w:val="24"/>
          <w:szCs w:val="24"/>
          <w:highlight w:val="none"/>
        </w:rPr>
        <w:t xml:space="preserve">评审</w:t>
      </w:r>
      <w:r>
        <w:rPr>
          <w:rFonts w:hint="eastAsia" w:ascii="宋体" w:hAnsi="宋体"/>
          <w:color w:val="auto"/>
          <w:sz w:val="24"/>
          <w:szCs w:val="24"/>
          <w:highlight w:val="none"/>
          <w:lang w:val="zh-CN"/>
        </w:rPr>
        <w:t xml:space="preserve">小组应当启动异常低价响应审查程序：</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1．响应报价低于采购项目预算50%的，即响应报价&lt;采购项目预算×50%；</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2．响应报价低于采购项目最高限价45%的，即响应报价&lt;采购项目最高限价×45%；</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w:t>
      </w:r>
      <w:r>
        <w:rPr>
          <w:rFonts w:hint="eastAsia" w:ascii="宋体" w:hAnsi="宋体"/>
          <w:color w:val="auto"/>
          <w:sz w:val="24"/>
          <w:szCs w:val="24"/>
          <w:highlight w:val="none"/>
        </w:rPr>
        <w:t xml:space="preserve">评审</w:t>
      </w:r>
      <w:r>
        <w:rPr>
          <w:rFonts w:hint="eastAsia" w:ascii="宋体" w:hAnsi="宋体"/>
          <w:color w:val="auto"/>
          <w:sz w:val="24"/>
          <w:szCs w:val="24"/>
          <w:highlight w:val="none"/>
          <w:lang w:val="zh-CN"/>
        </w:rPr>
        <w:t xml:space="preserve">小组认定的</w:t>
      </w:r>
      <w:r>
        <w:rPr>
          <w:rFonts w:hint="eastAsia" w:ascii="宋体" w:hAnsi="宋体"/>
          <w:color w:val="auto"/>
          <w:sz w:val="24"/>
          <w:szCs w:val="24"/>
          <w:highlight w:val="none"/>
        </w:rPr>
        <w:t xml:space="preserve">交易响应人</w:t>
      </w:r>
      <w:r>
        <w:rPr>
          <w:rFonts w:hint="eastAsia" w:ascii="宋体" w:hAnsi="宋体"/>
          <w:color w:val="auto"/>
          <w:sz w:val="24"/>
          <w:szCs w:val="24"/>
          <w:highlight w:val="none"/>
          <w:lang w:val="zh-CN"/>
        </w:rPr>
        <w:t xml:space="preserve">报价过低、有可能影响产品质量或者不能诚信履约的其他情形。</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启动异常低价响应审查后，</w:t>
      </w:r>
      <w:r>
        <w:rPr>
          <w:rFonts w:hint="eastAsia" w:ascii="宋体" w:hAnsi="宋体"/>
          <w:color w:val="auto"/>
          <w:sz w:val="24"/>
          <w:szCs w:val="24"/>
          <w:highlight w:val="none"/>
        </w:rPr>
        <w:t xml:space="preserve">评审</w:t>
      </w:r>
      <w:r>
        <w:rPr>
          <w:rFonts w:hint="eastAsia" w:ascii="宋体" w:hAnsi="宋体"/>
          <w:color w:val="auto"/>
          <w:sz w:val="24"/>
          <w:szCs w:val="24"/>
          <w:highlight w:val="none"/>
          <w:lang w:val="zh-CN"/>
        </w:rPr>
        <w:t xml:space="preserve">小组将通过系统要求相关</w:t>
      </w:r>
      <w:r>
        <w:rPr>
          <w:rFonts w:hint="eastAsia" w:ascii="宋体" w:hAnsi="宋体"/>
          <w:color w:val="auto"/>
          <w:sz w:val="24"/>
          <w:szCs w:val="24"/>
          <w:highlight w:val="none"/>
        </w:rPr>
        <w:t xml:space="preserve">交易响应人</w:t>
      </w:r>
      <w:r>
        <w:rPr>
          <w:rFonts w:hint="eastAsia" w:ascii="宋体" w:hAnsi="宋体"/>
          <w:color w:val="auto"/>
          <w:sz w:val="24"/>
          <w:szCs w:val="24"/>
          <w:highlight w:val="none"/>
          <w:lang w:val="zh-CN"/>
        </w:rPr>
        <w:t xml:space="preserve">在合理的时间内提供项目具体成本测算等与报价合理性相关的书面说明及相关证明材料，对响应价格作出解释，由</w:t>
      </w:r>
      <w:r>
        <w:rPr>
          <w:rFonts w:hint="eastAsia" w:ascii="宋体" w:hAnsi="宋体"/>
          <w:color w:val="auto"/>
          <w:sz w:val="24"/>
          <w:szCs w:val="24"/>
          <w:highlight w:val="none"/>
        </w:rPr>
        <w:t xml:space="preserve">评审</w:t>
      </w:r>
      <w:r>
        <w:rPr>
          <w:rFonts w:hint="eastAsia" w:ascii="宋体" w:hAnsi="宋体"/>
          <w:color w:val="auto"/>
          <w:sz w:val="24"/>
          <w:szCs w:val="24"/>
          <w:highlight w:val="none"/>
          <w:lang w:val="zh-CN"/>
        </w:rPr>
        <w:t xml:space="preserve">小组结合同类产品在主要电商平台的价格、该行业当地薪资水平等情况，依据专业经验对</w:t>
      </w:r>
      <w:r>
        <w:rPr>
          <w:rFonts w:hint="eastAsia" w:ascii="宋体" w:hAnsi="宋体"/>
          <w:color w:val="auto"/>
          <w:sz w:val="24"/>
          <w:szCs w:val="24"/>
          <w:highlight w:val="none"/>
        </w:rPr>
        <w:t xml:space="preserve">交易响应人</w:t>
      </w:r>
      <w:r>
        <w:rPr>
          <w:rFonts w:hint="eastAsia" w:ascii="宋体" w:hAnsi="宋体"/>
          <w:color w:val="auto"/>
          <w:sz w:val="24"/>
          <w:szCs w:val="24"/>
          <w:highlight w:val="none"/>
          <w:lang w:val="zh-CN"/>
        </w:rPr>
        <w:t xml:space="preserve">报价合理性进行判断。</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rPr>
        <w:t xml:space="preserve">交易响应人</w:t>
      </w:r>
      <w:r>
        <w:rPr>
          <w:rFonts w:hint="eastAsia" w:ascii="宋体" w:hAnsi="宋体"/>
          <w:color w:val="auto"/>
          <w:sz w:val="24"/>
          <w:szCs w:val="24"/>
          <w:highlight w:val="none"/>
          <w:lang w:val="zh-CN"/>
        </w:rPr>
        <w:t xml:space="preserve">不提供书面说明、证明材料，或者提供的书面说明、证明材料不能证明其报价合理性的，</w:t>
      </w:r>
      <w:r>
        <w:rPr>
          <w:rFonts w:hint="eastAsia" w:ascii="宋体" w:hAnsi="宋体"/>
          <w:color w:val="auto"/>
          <w:sz w:val="24"/>
          <w:szCs w:val="24"/>
          <w:highlight w:val="none"/>
        </w:rPr>
        <w:t xml:space="preserve">评审</w:t>
      </w:r>
      <w:r>
        <w:rPr>
          <w:rFonts w:hint="eastAsia" w:ascii="宋体" w:hAnsi="宋体"/>
          <w:color w:val="auto"/>
          <w:sz w:val="24"/>
          <w:szCs w:val="24"/>
          <w:highlight w:val="none"/>
          <w:lang w:val="zh-CN"/>
        </w:rPr>
        <w:t xml:space="preserve">小组应当将其作为无效响应处理。审查相关情况应当在评审报告中进行记录。</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1.供应商需按照《政府采购促进中小企业发展管理办法》（财库﹝2020﹞46 号）的规定提供相应的《中小企业声明函》。</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2.企业标准请参照《关于印发中小企业划型标准规定的通知》（工信部联企业[2011]300号）文件规定自行填写。</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
          <w:bCs/>
          <w:color w:val="auto"/>
          <w:sz w:val="24"/>
          <w:szCs w:val="24"/>
          <w:highlight w:val="none"/>
        </w:rPr>
        <w:t xml:space="preserve">专门面向中小微企业采购的项目或者采购包，不再执行价格评审优惠的扶持政策。</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4.在政府采购活动中残疾人福利性单位、监狱企业视同小型、微型企业。</w:t>
      </w:r>
      <w:r/>
    </w:p>
    <w:p>
      <w:pPr>
        <w:ind w:firstLine="2331"/>
        <w:jc w:val="left"/>
        <w:spacing w:before="120" w:after="120" w:line="360" w:lineRule="auto"/>
        <w:rPr>
          <w:rFonts w:ascii="宋体" w:hAnsi="宋体"/>
          <w:b/>
          <w:color w:val="auto"/>
          <w:sz w:val="36"/>
          <w:szCs w:val="36"/>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
          <w:color w:val="auto"/>
          <w:sz w:val="36"/>
          <w:szCs w:val="36"/>
          <w:highlight w:val="none"/>
        </w:rPr>
      </w:r>
      <w:r/>
    </w:p>
    <w:p>
      <w:pPr>
        <w:ind w:firstLine="2331"/>
        <w:jc w:val="left"/>
        <w:spacing w:before="120" w:after="120" w:line="360" w:lineRule="auto"/>
        <w:rPr>
          <w:rFonts w:ascii="宋体" w:hAnsi="宋体"/>
          <w:b/>
          <w:color w:val="auto"/>
          <w:sz w:val="36"/>
          <w:szCs w:val="36"/>
          <w:highlight w:val="none"/>
        </w:rPr>
      </w:pPr>
      <w:r>
        <w:rPr>
          <w:rFonts w:ascii="宋体" w:hAnsi="宋体"/>
          <w:b/>
          <w:color w:val="auto"/>
          <w:sz w:val="36"/>
          <w:szCs w:val="36"/>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bookmarkEnd w:id="183"/>
      <w:r/>
      <w:bookmarkEnd w:id="184"/>
      <w:r/>
      <w:bookmarkEnd w:id="188"/>
      <w:r>
        <w:rPr>
          <w:rFonts w:hint="eastAsia" w:ascii="黑体" w:eastAsia="黑体"/>
          <w:bCs/>
          <w:color w:val="auto"/>
          <w:sz w:val="44"/>
          <w:szCs w:val="28"/>
          <w:highlight w:val="none"/>
        </w:rPr>
        <w:t xml:space="preserve">响应文件格式</w:t>
      </w:r>
      <w:r/>
    </w:p>
    <w:p>
      <w:pPr>
        <w:jc w:val="center"/>
        <w:rPr>
          <w:rFonts w:ascii="宋体" w:hAnsi="宋体"/>
          <w:b/>
          <w:color w:val="auto"/>
          <w:sz w:val="72"/>
          <w:szCs w:val="21"/>
          <w:highlight w:val="none"/>
        </w:rPr>
      </w:pPr>
      <w:r/>
      <w:bookmarkStart w:id="189" w:name="_Hlt26955039"/>
      <w:r/>
      <w:bookmarkEnd w:id="189"/>
      <w:r/>
      <w:bookmarkStart w:id="190" w:name="_Hlt26671244"/>
      <w:r/>
      <w:bookmarkEnd w:id="190"/>
      <w:r/>
      <w:bookmarkStart w:id="191" w:name="_Toc49090576"/>
      <w:r/>
      <w:bookmarkStart w:id="192" w:name="_Toc120614282"/>
      <w:r/>
      <w:bookmarkStart w:id="193" w:name="_Toc26554094"/>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ascii="宋体" w:hAnsi="宋体"/>
          <w:b/>
          <w:color w:val="auto"/>
          <w:sz w:val="36"/>
          <w:szCs w:val="21"/>
          <w:highlight w:val="none"/>
          <w:u w:val="single"/>
        </w:rPr>
      </w:pPr>
      <w:r>
        <w:rPr>
          <w:rFonts w:ascii="宋体" w:hAnsi="宋体"/>
          <w:b/>
          <w:color w:val="auto"/>
          <w:sz w:val="36"/>
          <w:szCs w:val="21"/>
          <w:highlight w:val="none"/>
          <w:u w:val="single"/>
        </w:rPr>
      </w:r>
      <w:r/>
    </w:p>
    <w:p>
      <w:pPr>
        <w:rPr>
          <w:rFonts w:ascii="宋体" w:hAnsi="宋体"/>
          <w:b/>
          <w:color w:val="auto"/>
          <w:sz w:val="36"/>
          <w:szCs w:val="21"/>
          <w:highlight w:val="none"/>
          <w:u w:val="singl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
          <w:color w:val="auto"/>
          <w:sz w:val="36"/>
          <w:szCs w:val="21"/>
          <w:highlight w:val="none"/>
          <w:u w:val="single"/>
        </w:rPr>
      </w:r>
      <w:r/>
    </w:p>
    <w:p>
      <w:pPr>
        <w:rPr>
          <w:rFonts w:ascii="宋体" w:hAnsi="宋体"/>
          <w:b/>
          <w:color w:val="auto"/>
          <w:sz w:val="36"/>
          <w:szCs w:val="21"/>
          <w:highlight w:val="none"/>
          <w:u w:val="single"/>
        </w:rPr>
      </w:pPr>
      <w:r>
        <w:rPr>
          <w:rFonts w:ascii="宋体" w:hAnsi="宋体"/>
          <w:b/>
          <w:color w:val="auto"/>
          <w:sz w:val="36"/>
          <w:szCs w:val="21"/>
          <w:highlight w:val="none"/>
          <w:u w:val="single"/>
        </w:rPr>
      </w:r>
      <w:r/>
    </w:p>
    <w:p>
      <w:pPr>
        <w:jc w:val="center"/>
        <w:spacing w:line="560" w:lineRule="exact"/>
        <w:rPr>
          <w:rFonts w:ascii="宋体" w:hAnsi="宋体"/>
          <w:b/>
          <w:bCs/>
          <w:color w:val="auto"/>
          <w:sz w:val="44"/>
          <w:szCs w:val="44"/>
          <w:highlight w:val="none"/>
        </w:rPr>
      </w:pPr>
      <w:r>
        <w:rPr>
          <w:rFonts w:ascii="宋体" w:hAnsi="宋体"/>
          <w:b/>
          <w:bCs/>
          <w:color w:val="auto"/>
          <w:sz w:val="44"/>
          <w:szCs w:val="44"/>
          <w:highlight w:val="none"/>
        </w:rPr>
      </w:r>
      <w:r/>
    </w:p>
    <w:p>
      <w:pPr>
        <w:jc w:val="center"/>
        <w:spacing w:line="560" w:lineRule="exact"/>
        <w:rPr>
          <w:rFonts w:ascii="宋体" w:hAnsi="宋体"/>
          <w:b/>
          <w:bCs/>
          <w:color w:val="auto"/>
          <w:sz w:val="44"/>
          <w:szCs w:val="44"/>
          <w:highlight w:val="none"/>
        </w:rPr>
      </w:pPr>
      <w:r>
        <w:rPr>
          <w:rFonts w:ascii="宋体" w:hAnsi="宋体"/>
          <w:b/>
          <w:bCs/>
          <w:color w:val="auto"/>
          <w:sz w:val="44"/>
          <w:szCs w:val="44"/>
          <w:highlight w:val="none"/>
        </w:rPr>
      </w:r>
      <w:r/>
    </w:p>
    <w:p>
      <w:pPr>
        <w:jc w:val="center"/>
        <w:spacing w:line="5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1"/>
          <w:highlight w:val="none"/>
        </w:rPr>
      </w:r>
      <w:r/>
    </w:p>
    <w:p>
      <w:pP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法人或者其他组织的营业执照等证明文件，自然人的身份证明（提供复印件）；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上一年度的财务状况报告（提供参加本次开标前的会计报表，必须含资产负债表、利润表等证明材料，成立不满一年不需提供）；</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具备履行合同所必需的设备和专业技术能力的证明材料（提供承诺书，格式见附件1）；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参加政府采购活动前3年内在经营活动中没有重大违法记录的书面声明（提供承诺书，格式见附件2）；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6.法定代表人身份证明书（格式见附件3）；</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7.法人授权书（格式见附件4）；</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8.磋商响应函（格式见附件5）；</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9.本项目为专门面向中小微企业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小型、微型企业声明函（格式见附件10）</w:t>
      </w:r>
      <w:r>
        <w:rPr>
          <w:rFonts w:hint="eastAsia" w:ascii="宋体" w:hAnsi="宋体"/>
          <w:color w:val="auto"/>
          <w:sz w:val="24"/>
          <w:szCs w:val="24"/>
          <w:highlight w:val="none"/>
          <w:lang w:eastAsia="zh-CN"/>
        </w:rPr>
        <w:t xml:space="preserve">）</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采购公告中“二、申请人的资格要求（二）”提供相应的佐证材料；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.其它需要提交的资格审查证明材料。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1.商务部分正负偏离表；（格式见附件6）</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2.技术部分正负偏离表；（格式见附件7）</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color w:val="auto"/>
          <w:highlight w:val="none"/>
        </w:rPr>
        <w:t xml:space="preserve"> </w:t>
      </w:r>
      <w:r>
        <w:rPr>
          <w:rFonts w:hint="eastAsia" w:ascii="宋体" w:hAnsi="宋体"/>
          <w:color w:val="auto"/>
          <w:sz w:val="24"/>
          <w:szCs w:val="24"/>
          <w:highlight w:val="none"/>
        </w:rPr>
        <w:t xml:space="preserve">报价总表（格式见附件8）；</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2.分项报价明细表（格式见附件9）。</w:t>
      </w:r>
      <w:r/>
    </w:p>
    <w:p>
      <w:pPr>
        <w:ind w:firstLine="480"/>
        <w:spacing w:line="560" w:lineRule="exact"/>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4"/>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spacing w:line="360" w:lineRule="auto"/>
        <w:rPr>
          <w:rFonts w:ascii="宋体" w:cs="宋体"/>
          <w:b/>
          <w:bCs/>
          <w:color w:val="auto"/>
          <w:sz w:val="24"/>
          <w:szCs w:val="24"/>
          <w:highlight w:val="none"/>
        </w:rPr>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color w:val="auto"/>
          <w:sz w:val="24"/>
          <w:szCs w:val="24"/>
          <w:highlight w:val="none"/>
        </w:rPr>
      </w:pPr>
      <w:r>
        <w:rPr>
          <w:rFonts w:ascii="宋体"/>
          <w:color w:val="auto"/>
          <w:sz w:val="24"/>
          <w:szCs w:val="24"/>
          <w:highlight w:val="none"/>
        </w:rPr>
      </w:r>
      <w:r/>
    </w:p>
    <w:p>
      <w:pPr>
        <w:jc w:val="left"/>
        <w:spacing w:line="360" w:lineRule="auto"/>
        <w:widowControl/>
        <w:rPr>
          <w:rFonts w:ascii="宋体" w:cs="宋体"/>
          <w:color w:val="auto"/>
          <w:sz w:val="24"/>
          <w:szCs w:val="24"/>
          <w:highlight w:val="none"/>
        </w:rPr>
      </w:pPr>
      <w:r>
        <w:rPr>
          <w:rFonts w:ascii="宋体" w:cs="宋体"/>
          <w:color w:val="auto"/>
          <w:sz w:val="24"/>
          <w:szCs w:val="24"/>
          <w:highlight w:val="none"/>
        </w:rPr>
      </w:r>
      <w:r/>
    </w:p>
    <w:p>
      <w:pPr>
        <w:spacing w:line="360" w:lineRule="auto"/>
        <w:rPr>
          <w:rFonts w:asci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我方参加你方的（项目名称）的投标，现我方向你方慎重承诺：</w:t>
      </w:r>
      <w:r/>
    </w:p>
    <w:p>
      <w:pPr>
        <w:ind w:left="44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本单位（具备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cs="宋体"/>
          <w:color w:val="auto"/>
          <w:sz w:val="24"/>
          <w:szCs w:val="24"/>
          <w:highlight w:val="none"/>
        </w:rPr>
      </w:pPr>
      <w:r>
        <w:rPr>
          <w:rFonts w:ascii="宋体" w:cs="宋体"/>
          <w:color w:val="auto"/>
          <w:sz w:val="24"/>
          <w:szCs w:val="24"/>
          <w:highlight w:val="none"/>
        </w:rPr>
      </w:r>
      <w:r/>
    </w:p>
    <w:p>
      <w:pPr>
        <w:ind w:right="-512" w:firstLine="3840"/>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b/>
          <w:color w:val="auto"/>
          <w:sz w:val="32"/>
          <w:szCs w:val="32"/>
          <w:highlight w:val="none"/>
        </w:rPr>
      </w:pPr>
      <w:r>
        <w:rPr>
          <w:rFonts w:ascii="宋体"/>
          <w:b/>
          <w:color w:val="auto"/>
          <w:sz w:val="32"/>
          <w:szCs w:val="32"/>
          <w:highlight w:val="none"/>
        </w:rPr>
      </w:r>
      <w:r/>
    </w:p>
    <w:p>
      <w:pPr>
        <w:ind w:firstLine="643"/>
        <w:jc w:val="center"/>
        <w:rPr>
          <w:rFonts w:asci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b/>
          <w:bCs/>
          <w:color w:val="auto"/>
          <w:sz w:val="44"/>
          <w:szCs w:val="44"/>
          <w:highlight w:val="none"/>
        </w:rPr>
      </w:pPr>
      <w:r>
        <w:rPr>
          <w:rFonts w:ascii="宋体"/>
          <w:b/>
          <w:bCs/>
          <w:color w:val="auto"/>
          <w:sz w:val="44"/>
          <w:szCs w:val="44"/>
          <w:highlight w:val="none"/>
        </w:rPr>
      </w:r>
      <w:r/>
    </w:p>
    <w:p>
      <w:pPr>
        <w:ind w:firstLine="881"/>
        <w:jc w:val="center"/>
        <w:spacing w:line="460" w:lineRule="exact"/>
        <w:rPr>
          <w:rFonts w:ascii="宋体"/>
          <w:b/>
          <w:bCs/>
          <w:color w:val="auto"/>
          <w:sz w:val="44"/>
          <w:szCs w:val="44"/>
          <w:highlight w:val="none"/>
        </w:rPr>
      </w:pPr>
      <w:r>
        <w:rPr>
          <w:rFonts w:ascii="宋体"/>
          <w:b/>
          <w:bCs/>
          <w:color w:val="auto"/>
          <w:sz w:val="44"/>
          <w:szCs w:val="44"/>
          <w:highlight w:val="none"/>
        </w:rPr>
      </w:r>
      <w:r/>
    </w:p>
    <w:p>
      <w:pPr>
        <w:ind w:firstLine="482"/>
        <w:spacing w:line="500" w:lineRule="exact"/>
        <w:rPr>
          <w:rFonts w:asci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spacing w:line="500" w:lineRule="exact"/>
        <w:rPr>
          <w:rFonts w:ascii="宋体"/>
          <w:bCs/>
          <w:color w:val="auto"/>
          <w:sz w:val="24"/>
          <w:szCs w:val="21"/>
          <w:highlight w:val="none"/>
        </w:rPr>
      </w:pPr>
      <w:r>
        <w:rPr>
          <w:rFonts w:ascii="宋体"/>
          <w:bCs/>
          <w:color w:val="auto"/>
          <w:sz w:val="24"/>
          <w:szCs w:val="21"/>
          <w:highlight w:val="none"/>
        </w:rPr>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cs="宋体"/>
          <w:color w:val="auto"/>
          <w:sz w:val="24"/>
          <w:szCs w:val="24"/>
          <w:highlight w:val="none"/>
        </w:rPr>
      </w:pPr>
      <w:r>
        <w:rPr>
          <w:rFonts w:ascii="宋体" w:cs="宋体"/>
          <w:color w:val="auto"/>
          <w:sz w:val="24"/>
          <w:szCs w:val="24"/>
          <w:highlight w:val="none"/>
        </w:rPr>
      </w:r>
      <w:r/>
    </w:p>
    <w:p>
      <w:pPr>
        <w:contextualSpacing/>
        <w:spacing w:line="400" w:lineRule="exact"/>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91"/>
      <w:r/>
      <w:bookmarkEnd w:id="192"/>
      <w:r/>
      <w:bookmarkEnd w:id="193"/>
      <w:r/>
      <w:r/>
    </w:p>
    <w:p>
      <w:pPr>
        <w:spacing w:line="460" w:lineRule="exact"/>
        <w:rPr>
          <w:rFonts w:ascii="宋体" w:hAnsi="宋体"/>
          <w:bCs/>
          <w:color w:val="auto"/>
          <w:sz w:val="24"/>
          <w:szCs w:val="21"/>
          <w:highlight w:val="none"/>
        </w:rPr>
      </w:pPr>
      <w:r/>
      <w:bookmarkStart w:id="194" w:name="_Toc120614284"/>
      <w:r/>
      <w:r/>
    </w:p>
    <w:p>
      <w:pPr>
        <w:contextualSpacing/>
        <w:spacing w:line="400" w:lineRule="exact"/>
        <w:rPr>
          <w:rFonts w:eastAsia="方正黑体_GBK"/>
          <w:color w:val="auto"/>
          <w:sz w:val="32"/>
          <w:szCs w:val="32"/>
          <w:highlight w:val="none"/>
          <w:lang w:val="zh-CN"/>
        </w:rPr>
      </w:pPr>
      <w:r>
        <w:rPr>
          <w:rFonts w:ascii="宋体" w:hAnsi="宋体"/>
          <w:bCs/>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4</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本授权书声明：____________（供应商名称）授权________________（被授权人的姓名）为我方项目编号：</w:t>
      </w:r>
      <w:r>
        <w:rPr>
          <w:rFonts w:hint="eastAsia"/>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r/>
    </w:p>
    <w:p>
      <w:pPr>
        <w:ind w:firstLine="420"/>
        <w:rPr>
          <w:i/>
          <w:color w:val="auto"/>
          <w:sz w:val="24"/>
          <w:szCs w:val="24"/>
          <w:highlight w:val="none"/>
          <w:u w:val="single"/>
        </w:rPr>
      </w:pPr>
      <w:r>
        <w:rPr>
          <w:i/>
          <w:color w:val="auto"/>
          <w:sz w:val="24"/>
          <w:szCs w:val="24"/>
          <w:highlight w:val="none"/>
          <w:u w:val="single"/>
        </w:rPr>
      </w:r>
      <w:r/>
    </w:p>
    <w:p>
      <w:pPr>
        <w:rPr>
          <w:color w:val="auto"/>
          <w:szCs w:val="21"/>
          <w:highlight w:val="none"/>
        </w:rPr>
      </w:pPr>
      <w:r>
        <w:rPr>
          <w:color w:val="auto"/>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5</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ascii="宋体" w:hAnsi="宋体"/>
          <w:color w:val="auto"/>
          <w:sz w:val="24"/>
          <w:szCs w:val="21"/>
          <w:highlight w:val="none"/>
        </w:rPr>
      </w:pPr>
      <w:r>
        <w:rPr>
          <w:rFonts w:ascii="宋体" w:hAnsi="宋体"/>
          <w:color w:val="auto"/>
          <w:sz w:val="24"/>
          <w:szCs w:val="21"/>
          <w:highlight w:val="none"/>
        </w:rPr>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eastAsia="方正黑体_GBK"/>
          <w:color w:val="auto"/>
          <w:sz w:val="32"/>
          <w:szCs w:val="32"/>
          <w:highlight w:val="none"/>
        </w:rPr>
      </w:pPr>
      <w:r>
        <w:rPr>
          <w:rFonts w:ascii="宋体" w:hAnsi="宋体"/>
          <w:bCs/>
          <w:color w:val="auto"/>
          <w:sz w:val="24"/>
          <w:szCs w:val="21"/>
          <w:highlight w:val="none"/>
        </w:rPr>
        <w:br w:type="page" w:clear="all"/>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8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7</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8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8</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88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总报价</w:t>
            </w:r>
            <w:r/>
          </w:p>
        </w:tc>
      </w:tr>
      <w:tr>
        <w:trPr>
          <w:trHeight w:val="1091"/>
        </w:trPr>
        <w:tc>
          <w:tcPr>
            <w:tcW w:w="4148"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c>
          <w:tcPr>
            <w:tcW w:w="4607" w:type="dxa"/>
            <w:textDirection w:val="lrTb"/>
            <w:noWrap w:val="false"/>
          </w:tcPr>
          <w:p>
            <w:pPr>
              <w:spacing w:line="560" w:lineRule="exact"/>
              <w:rPr>
                <w:rFonts w:hint="default" w:ascii="宋体" w:hAnsi="宋体" w:cs="宋体"/>
                <w:color w:val="auto"/>
                <w:sz w:val="28"/>
                <w:szCs w:val="28"/>
                <w:highlight w:val="none"/>
                <w:lang w:val="en-US"/>
              </w:rPr>
            </w:pPr>
            <w:r>
              <w:rPr>
                <w:rFonts w:ascii="宋体" w:hAnsi="宋体" w:cs="宋体"/>
                <w:color w:val="auto"/>
                <w:sz w:val="28"/>
                <w:szCs w:val="28"/>
                <w:highlight w:val="none"/>
              </w:rPr>
              <w:t xml:space="preserve">大写：</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元</w:t>
            </w:r>
            <w:r/>
          </w:p>
          <w:p>
            <w:pPr>
              <w:spacing w:line="560" w:lineRule="exact"/>
              <w:rPr>
                <w:rFonts w:ascii="等线" w:hAnsi="等线" w:eastAsia="等线"/>
                <w:color w:val="auto"/>
                <w:highlight w:val="none"/>
                <w:u w:val="single"/>
              </w:rPr>
            </w:pPr>
            <w:r>
              <w:rPr>
                <w:rFonts w:ascii="宋体" w:hAnsi="宋体" w:cs="宋体"/>
                <w:color w:val="auto"/>
                <w:sz w:val="28"/>
                <w:szCs w:val="28"/>
                <w:highlight w:val="none"/>
              </w:rPr>
              <w:t xml:space="preserve">小写：</w:t>
            </w:r>
            <w:r>
              <w:rPr>
                <w:rFonts w:hint="eastAsia" w:ascii="宋体" w:hAnsi="宋体" w:cs="宋体"/>
                <w:color w:val="auto"/>
                <w:sz w:val="28"/>
                <w:szCs w:val="28"/>
                <w:highlight w:val="none"/>
                <w:u w:val="single"/>
                <w:lang w:val="en-US" w:eastAsia="zh-CN"/>
              </w:rPr>
              <w:t xml:space="preserve">            元</w:t>
            </w:r>
            <w:r>
              <w:rPr>
                <w:rFonts w:ascii="宋体" w:hAnsi="宋体" w:cs="宋体"/>
                <w:color w:val="auto"/>
                <w:sz w:val="28"/>
                <w:szCs w:val="28"/>
                <w:highlight w:val="none"/>
              </w:rPr>
              <w:t xml:space="preserve">（人民币）</w:t>
            </w:r>
            <w:r/>
          </w:p>
        </w:tc>
      </w:tr>
      <w:tr>
        <w:trPr/>
        <w:tc>
          <w:tcPr>
            <w:tcW w:w="4148" w:type="dxa"/>
            <w:textDirection w:val="lrTb"/>
            <w:noWrap w:val="false"/>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r>
      <w:tr>
        <w:trPr>
          <w:trHeight w:val="481"/>
        </w:trPr>
        <w:tc>
          <w:tcPr>
            <w:tcW w:w="4148" w:type="dxa"/>
            <w:textDirection w:val="lrTb"/>
            <w:noWrap w:val="false"/>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607"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9</w:t>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b/>
          <w:bCs/>
          <w:color w:val="auto"/>
          <w:sz w:val="32"/>
          <w:szCs w:val="32"/>
          <w:highlight w:val="none"/>
        </w:rPr>
      </w:pPr>
      <w:r>
        <w:rPr>
          <w:rFonts w:hint="eastAsia"/>
          <w:b/>
          <w:bCs/>
          <w:color w:val="auto"/>
          <w:sz w:val="32"/>
          <w:szCs w:val="32"/>
          <w:highlight w:val="none"/>
        </w:rPr>
        <w:t xml:space="preserve">分项报价明细表（服务类）</w:t>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p>
    <w:tbl>
      <w:tblPr>
        <w:tblStyle w:val="88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2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41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服务范围</w:t>
            </w:r>
            <w:r/>
          </w:p>
        </w:tc>
        <w:tc>
          <w:tcPr>
            <w:tcW w:w="141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服务要求</w:t>
            </w:r>
            <w:r/>
          </w:p>
        </w:tc>
        <w:tc>
          <w:tcPr>
            <w:tcW w:w="127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服务时间</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服务标准</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7"/>
            <w:tcW w:w="8709" w:type="dxa"/>
            <w:vAlign w:val="center"/>
            <w:textDirection w:val="lrTb"/>
            <w:noWrap w:val="false"/>
          </w:tcPr>
          <w:p>
            <w:pPr>
              <w:ind w:firstLine="3120"/>
              <w:jc w:val="both"/>
              <w:spacing w:line="360" w:lineRule="auto"/>
              <w:rPr>
                <w:rFonts w:hint="default" w:ascii="仿宋_GB2312" w:hAnsi="宋体" w:eastAsia="仿宋_GB2312"/>
                <w:color w:val="auto"/>
                <w:sz w:val="24"/>
                <w:szCs w:val="24"/>
                <w:highlight w:val="none"/>
                <w:u w:val="single"/>
                <w:lang w:val="en-US" w:eastAsia="zh-CN"/>
              </w:rPr>
            </w:pPr>
            <w:r>
              <w:rPr>
                <w:rFonts w:hint="eastAsia" w:ascii="仿宋_GB2312" w:hAnsi="宋体" w:eastAsia="仿宋_GB2312"/>
                <w:color w:val="auto"/>
                <w:sz w:val="24"/>
                <w:szCs w:val="24"/>
                <w:highlight w:val="none"/>
                <w:u w:val="single"/>
                <w:lang w:val="en-US" w:eastAsia="zh-CN"/>
              </w:rPr>
              <w:t xml:space="preserve">             元</w:t>
            </w:r>
            <w:r/>
          </w:p>
        </w:tc>
      </w:tr>
    </w:tbl>
    <w:p>
      <w:pPr>
        <w:spacing w:line="300" w:lineRule="auto"/>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spacing w:line="30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spacing w:line="300" w:lineRule="auto"/>
        <w:rPr>
          <w:rFonts w:eastAsia="方正黑体_GBK"/>
          <w:color w:val="auto"/>
          <w:sz w:val="32"/>
          <w:szCs w:val="32"/>
          <w:highlight w:val="none"/>
        </w:rPr>
      </w:pPr>
      <w:r>
        <w:rPr>
          <w:rFonts w:ascii="宋体" w:hAnsi="宋体" w:eastAsia="幼圆" w:cs="Arial"/>
          <w:b/>
          <w:color w:val="auto"/>
          <w:sz w:val="24"/>
          <w:szCs w:val="44"/>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10</w:t>
      </w:r>
      <w:r/>
    </w:p>
    <w:p>
      <w:pPr>
        <w:jc w:val="center"/>
        <w:spacing w:line="300" w:lineRule="auto"/>
        <w:rPr>
          <w:b/>
          <w:bCs/>
          <w:color w:val="auto"/>
          <w:sz w:val="28"/>
          <w:szCs w:val="28"/>
          <w:highlight w:val="none"/>
          <w:lang w:bidi="zh-CN"/>
        </w:rPr>
      </w:pPr>
      <w:r>
        <w:rPr>
          <w:b/>
          <w:bCs/>
          <w:color w:val="auto"/>
          <w:sz w:val="28"/>
          <w:szCs w:val="28"/>
          <w:highlight w:val="none"/>
          <w:lang w:bidi="zh-CN"/>
        </w:rPr>
        <w:t xml:space="preserve">中小企业声明函（工程、服务）</w:t>
      </w:r>
      <w:r/>
    </w:p>
    <w:p>
      <w:pPr>
        <w:ind w:firstLine="560"/>
        <w:spacing w:line="360" w:lineRule="auto"/>
        <w:rPr>
          <w:color w:val="auto"/>
          <w:sz w:val="28"/>
          <w:szCs w:val="28"/>
          <w:highlight w:val="none"/>
          <w:lang w:bidi="zh-CN"/>
        </w:rPr>
      </w:pPr>
      <w:r>
        <w:rPr>
          <w:color w:val="auto"/>
          <w:sz w:val="28"/>
          <w:szCs w:val="28"/>
          <w:highlight w:val="none"/>
          <w:lang w:bidi="zh-CN"/>
        </w:rPr>
        <w:t xml:space="preserve">本公司（联合体）郑重声明，根据《政府采购促进中小企业发展管理办法》（财库</w:t>
      </w:r>
      <w:r>
        <w:rPr>
          <w:rFonts w:hint="eastAsia"/>
          <w:color w:val="auto"/>
          <w:sz w:val="28"/>
          <w:szCs w:val="28"/>
          <w:highlight w:val="none"/>
          <w:lang w:bidi="zh-CN"/>
        </w:rPr>
        <w:t xml:space="preserve">﹝</w:t>
      </w:r>
      <w:r>
        <w:rPr>
          <w:color w:val="auto"/>
          <w:sz w:val="28"/>
          <w:szCs w:val="28"/>
          <w:highlight w:val="none"/>
          <w:lang w:bidi="zh-CN"/>
        </w:rPr>
        <w:t xml:space="preserve">2020</w:t>
      </w:r>
      <w:r>
        <w:rPr>
          <w:rFonts w:hint="eastAsia"/>
          <w:color w:val="auto"/>
          <w:sz w:val="28"/>
          <w:szCs w:val="28"/>
          <w:highlight w:val="none"/>
          <w:lang w:bidi="zh-CN"/>
        </w:rPr>
        <w:t xml:space="preserve">﹞</w:t>
      </w:r>
      <w:r>
        <w:rPr>
          <w:color w:val="auto"/>
          <w:sz w:val="28"/>
          <w:szCs w:val="28"/>
          <w:highlight w:val="none"/>
          <w:lang w:bidi="zh-CN"/>
        </w:rPr>
        <w:t xml:space="preserve">46 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color w:val="auto"/>
          <w:sz w:val="28"/>
          <w:szCs w:val="28"/>
          <w:highlight w:val="none"/>
          <w:lang w:bidi="zh-CN"/>
        </w:rPr>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rFonts w:hint="eastAsia"/>
          <w:color w:val="auto"/>
          <w:sz w:val="28"/>
          <w:szCs w:val="28"/>
          <w:highlight w:val="none"/>
          <w:u w:val="single"/>
          <w:lang w:bidi="zh-CN"/>
        </w:rPr>
        <w:t xml:space="preserve"> 其他未列明行业</w:t>
      </w:r>
      <w:r>
        <w:rPr>
          <w:color w:val="auto"/>
          <w:sz w:val="28"/>
          <w:szCs w:val="28"/>
          <w:highlight w:val="none"/>
          <w:u w:val="single"/>
          <w:lang w:bidi="zh-CN"/>
        </w:rPr>
        <w:t xml:space="preserve">）</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rFonts w:hint="eastAsia"/>
          <w:color w:val="auto"/>
          <w:sz w:val="28"/>
          <w:szCs w:val="28"/>
          <w:highlight w:val="none"/>
          <w:u w:val="single"/>
          <w:lang w:bidi="zh-CN"/>
        </w:rPr>
        <w:t xml:space="preserve">        行业</w:t>
      </w:r>
      <w:r>
        <w:rPr>
          <w:color w:val="auto"/>
          <w:sz w:val="28"/>
          <w:szCs w:val="28"/>
          <w:highlight w:val="none"/>
          <w:u w:val="single"/>
          <w:lang w:bidi="zh-CN"/>
        </w:rPr>
        <w:t xml:space="preserve">）</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pPr>
      <w:r>
        <w:rPr>
          <w:color w:val="auto"/>
          <w:sz w:val="28"/>
          <w:szCs w:val="28"/>
          <w:highlight w:val="none"/>
          <w:lang w:bidi="zh-CN"/>
        </w:rPr>
        <w:t xml:space="preserve">……</w:t>
      </w:r>
      <w:r/>
    </w:p>
    <w:p>
      <w:pPr>
        <w:ind w:firstLine="560"/>
        <w:spacing w:line="360" w:lineRule="auto"/>
        <w:rPr>
          <w:color w:val="auto"/>
          <w:sz w:val="28"/>
          <w:szCs w:val="28"/>
          <w:highlight w:val="none"/>
          <w:lang w:bidi="zh-CN"/>
        </w:rPr>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pPr>
      <w:r>
        <w:rPr>
          <w:color w:val="auto"/>
          <w:sz w:val="28"/>
          <w:szCs w:val="28"/>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pPr>
      <w:r>
        <w:rPr>
          <w:color w:val="auto"/>
          <w:sz w:val="28"/>
          <w:szCs w:val="28"/>
          <w:highlight w:val="none"/>
          <w:lang w:bidi="zh-CN"/>
        </w:rPr>
      </w:r>
      <w:r/>
    </w:p>
    <w:p>
      <w:pPr>
        <w:ind w:firstLine="560"/>
        <w:spacing w:line="360" w:lineRule="auto"/>
        <w:rPr>
          <w:color w:val="auto"/>
          <w:sz w:val="28"/>
          <w:szCs w:val="28"/>
          <w:highlight w:val="none"/>
          <w:lang w:bidi="zh-CN"/>
        </w:rPr>
      </w:pPr>
      <w:r>
        <w:rPr>
          <w:color w:val="auto"/>
          <w:sz w:val="28"/>
          <w:szCs w:val="28"/>
          <w:highlight w:val="none"/>
          <w:lang w:bidi="zh-CN"/>
        </w:rPr>
      </w:r>
      <w:r/>
    </w:p>
    <w:p>
      <w:pPr>
        <w:spacing w:line="30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注：1.如项目属性为“服务”或“工程”，请按本表填写。</w:t>
      </w:r>
      <w:r/>
    </w:p>
    <w:p>
      <w:pPr>
        <w:ind w:firstLine="420"/>
        <w:spacing w:line="30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color w:val="auto"/>
          <w:sz w:val="28"/>
          <w:szCs w:val="28"/>
          <w:highlight w:val="none"/>
          <w:lang w:bidi="zh-CN"/>
        </w:rPr>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color w:val="auto"/>
          <w:sz w:val="28"/>
          <w:szCs w:val="28"/>
          <w:highlight w:val="none"/>
          <w:lang w:bidi="zh-CN"/>
        </w:rPr>
      </w:pPr>
      <w:r>
        <w:rPr>
          <w:color w:val="auto"/>
          <w:sz w:val="28"/>
          <w:szCs w:val="28"/>
          <w:highlight w:val="none"/>
          <w:lang w:bidi="zh-CN"/>
        </w:rPr>
        <w:t xml:space="preserve">企业名称（盖章）：</w:t>
      </w:r>
      <w:r/>
    </w:p>
    <w:p>
      <w:pPr>
        <w:ind w:firstLine="4900"/>
        <w:spacing w:line="300" w:lineRule="auto"/>
        <w:rPr>
          <w:color w:val="auto"/>
          <w:sz w:val="28"/>
          <w:szCs w:val="28"/>
          <w:highlight w:val="none"/>
          <w:lang w:bidi="zh-CN"/>
        </w:rPr>
      </w:pPr>
      <w:r>
        <w:rPr>
          <w:color w:val="auto"/>
          <w:sz w:val="28"/>
          <w:szCs w:val="28"/>
          <w:highlight w:val="none"/>
          <w:lang w:bidi="zh-CN"/>
        </w:rPr>
        <w:t xml:space="preserve">日期：</w:t>
      </w:r>
      <w:r/>
    </w:p>
    <w:p>
      <w:pPr>
        <w:spacing w:line="460" w:lineRule="exact"/>
        <w:rPr>
          <w:rFonts w:ascii="宋体" w:hAnsi="宋体"/>
          <w:color w:val="auto"/>
          <w:sz w:val="24"/>
          <w:szCs w:val="21"/>
          <w:highlight w:val="none"/>
        </w:rPr>
      </w:pPr>
      <w:r>
        <w:rPr>
          <w:rFonts w:ascii="宋体" w:hAnsi="宋体"/>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1</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残疾人福利性单位声明函（如有）</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2</w:t>
      </w:r>
      <w:r/>
    </w:p>
    <w:p>
      <w:pPr>
        <w:jc w:val="center"/>
        <w:spacing w:line="420" w:lineRule="exact"/>
        <w:rPr>
          <w:b/>
          <w:bCs/>
          <w:color w:val="auto"/>
          <w:sz w:val="32"/>
          <w:szCs w:val="32"/>
          <w:highlight w:val="none"/>
        </w:rPr>
      </w:pPr>
      <w:r>
        <w:rPr>
          <w:rFonts w:hint="eastAsia"/>
          <w:b/>
          <w:bCs/>
          <w:color w:val="auto"/>
          <w:sz w:val="32"/>
          <w:szCs w:val="32"/>
          <w:highlight w:val="none"/>
        </w:rPr>
        <w:t xml:space="preserve">监狱和戒毒企业证明材料（如有）</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rFonts w:hint="eastAsia"/>
          <w:color w:val="auto"/>
          <w:sz w:val="28"/>
          <w:szCs w:val="28"/>
          <w:highlight w:val="none"/>
        </w:rPr>
        <w:t xml:space="preserve">注：1、供应商如不提供此声明函，价格将不做相应扣除。</w:t>
      </w:r>
      <w:r/>
    </w:p>
    <w:p>
      <w:pPr>
        <w:ind w:firstLine="560"/>
        <w:spacing w:line="300" w:lineRule="auto"/>
        <w:rPr>
          <w:color w:val="auto"/>
          <w:sz w:val="28"/>
          <w:szCs w:val="28"/>
          <w:highlight w:val="none"/>
        </w:rPr>
      </w:pPr>
      <w:r>
        <w:rPr>
          <w:rFonts w:hint="eastAsia"/>
          <w:color w:val="auto"/>
          <w:sz w:val="28"/>
          <w:szCs w:val="28"/>
          <w:highlight w:val="none"/>
        </w:rPr>
        <w:t xml:space="preserve">2、成交供应商为监狱企业的，此声明函将随成交结果同时公告，</w:t>
      </w:r>
      <w:r/>
    </w:p>
    <w:p>
      <w:pPr>
        <w:spacing w:line="300" w:lineRule="auto"/>
        <w:rPr>
          <w:color w:val="auto"/>
          <w:sz w:val="28"/>
          <w:szCs w:val="28"/>
          <w:highlight w:val="none"/>
        </w:rPr>
      </w:pPr>
      <w:r>
        <w:rPr>
          <w:rFonts w:hint="eastAsia"/>
          <w:color w:val="auto"/>
          <w:sz w:val="28"/>
          <w:szCs w:val="28"/>
          <w:highlight w:val="none"/>
        </w:rPr>
        <w:t xml:space="preserve">接受社会监督。供应商按照本办法规定提供声明函内容不实的，属于</w:t>
      </w:r>
      <w:r/>
    </w:p>
    <w:p>
      <w:pPr>
        <w:spacing w:line="300" w:lineRule="auto"/>
        <w:rPr>
          <w:color w:val="auto"/>
          <w:sz w:val="28"/>
          <w:szCs w:val="28"/>
          <w:highlight w:val="none"/>
        </w:rPr>
      </w:pPr>
      <w:r>
        <w:rPr>
          <w:rFonts w:hint="eastAsia"/>
          <w:color w:val="auto"/>
          <w:sz w:val="28"/>
          <w:szCs w:val="28"/>
          <w:highlight w:val="none"/>
        </w:rPr>
        <w:t xml:space="preserve">提供虚假材料谋取中标、成交，依照《中华人民共和国政府采购法》</w:t>
      </w:r>
      <w:r/>
    </w:p>
    <w:p>
      <w:pPr>
        <w:spacing w:line="300" w:lineRule="auto"/>
        <w:rPr>
          <w:color w:val="auto"/>
          <w:sz w:val="28"/>
          <w:szCs w:val="28"/>
          <w:highlight w:val="none"/>
        </w:rPr>
      </w:pPr>
      <w:r>
        <w:rPr>
          <w:rFonts w:hint="eastAsia"/>
          <w:color w:val="auto"/>
          <w:sz w:val="28"/>
          <w:szCs w:val="28"/>
          <w:highlight w:val="none"/>
        </w:rPr>
        <w:t xml:space="preserve">等国家有关规定追究相应责任。</w:t>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rPr>
          <w:rFonts w:eastAsia="方正黑体_GBK"/>
          <w:bCs/>
          <w:color w:val="auto"/>
          <w:sz w:val="32"/>
          <w:szCs w:val="32"/>
          <w:highlight w:val="none"/>
        </w:rPr>
      </w:pPr>
      <w:r>
        <w:rPr>
          <w:rFonts w:ascii="黑体" w:hAnsi="黑体" w:eastAsia="黑体"/>
          <w:b/>
          <w:color w:val="auto"/>
          <w:sz w:val="32"/>
          <w:szCs w:val="32"/>
          <w:highlight w:val="none"/>
        </w:rPr>
        <w:br w:type="page" w:clear="all"/>
      </w:r>
      <w:r>
        <w:rPr>
          <w:rFonts w:eastAsia="方正黑体_GBK"/>
          <w:bCs/>
          <w:color w:val="auto"/>
          <w:sz w:val="32"/>
          <w:szCs w:val="32"/>
          <w:highlight w:val="none"/>
        </w:rPr>
        <w:t xml:space="preserve">附件1</w:t>
      </w:r>
      <w:r>
        <w:rPr>
          <w:rFonts w:hint="eastAsia" w:eastAsia="方正黑体_GBK"/>
          <w:bCs/>
          <w:color w:val="auto"/>
          <w:sz w:val="32"/>
          <w:szCs w:val="32"/>
          <w:highlight w:val="none"/>
        </w:rPr>
        <w:t xml:space="preserve">3</w:t>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联合体协议（参考格式）（分包号：**）</w:t>
      </w:r>
      <w:r/>
    </w:p>
    <w:p>
      <w:pPr>
        <w:pStyle w:val="988"/>
        <w:rPr>
          <w:color w:val="auto"/>
          <w:highlight w:val="none"/>
        </w:rPr>
      </w:pPr>
      <w:r>
        <w:rPr>
          <w:color w:val="auto"/>
          <w:highlight w:val="none"/>
        </w:rPr>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自愿组成联合体，参加采购人组织的采购编号为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备注：本磋商文件中要求加盖CA电子签章的地方，仅需加盖牵头单位的CA电子签章。</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r/>
    </w:p>
    <w:p>
      <w:pPr>
        <w:ind w:firstLine="480"/>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备注：本项目不接受联合体</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520" w:lineRule="exact"/>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bookmarkEnd w:id="181"/>
      <w:r/>
      <w:bookmarkEnd w:id="182"/>
      <w:r/>
      <w:bookmarkEnd w:id="194"/>
      <w:r/>
      <w:r/>
    </w:p>
    <w:p>
      <w:pPr>
        <w:spacing w:line="300" w:lineRule="auto"/>
        <w:rPr>
          <w:rFonts w:ascii="仿宋_GB2312" w:eastAsia="仿宋_GB2312"/>
          <w:b/>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15</w:t>
      </w:r>
      <w:r/>
    </w:p>
    <w:p>
      <w:pPr>
        <w:jc w:val="center"/>
        <w:spacing w:line="580" w:lineRule="exact"/>
        <w:rPr>
          <w:rFonts w:ascii="方正小标宋简体" w:eastAsia="方正小标宋简体"/>
          <w:color w:val="auto"/>
          <w:sz w:val="44"/>
          <w:highlight w:val="none"/>
        </w:rPr>
      </w:pPr>
      <w:r>
        <w:rPr>
          <w:rFonts w:hint="eastAsia" w:eastAsia="方正大标宋_GBK"/>
          <w:bCs/>
          <w:color w:val="auto"/>
          <w:sz w:val="44"/>
          <w:szCs w:val="44"/>
          <w:highlight w:val="none"/>
        </w:rPr>
        <w:t xml:space="preserve">办理政采贷和</w:t>
      </w:r>
      <w:r>
        <w:rPr>
          <w:rFonts w:eastAsia="方正大标宋_GBK"/>
          <w:bCs/>
          <w:color w:val="auto"/>
          <w:sz w:val="44"/>
          <w:szCs w:val="44"/>
          <w:highlight w:val="none"/>
        </w:rPr>
        <w:t xml:space="preserve">履</w:t>
      </w:r>
      <w:r>
        <w:rPr>
          <w:rFonts w:hint="eastAsia" w:eastAsia="方正大标宋_GBK"/>
          <w:bCs/>
          <w:color w:val="auto"/>
          <w:sz w:val="44"/>
          <w:szCs w:val="44"/>
          <w:highlight w:val="none"/>
        </w:rPr>
        <w:t xml:space="preserve">约保函（</w:t>
      </w:r>
      <w:r>
        <w:rPr>
          <w:rFonts w:eastAsia="方正大标宋_GBK"/>
          <w:bCs/>
          <w:color w:val="auto"/>
          <w:sz w:val="44"/>
          <w:szCs w:val="44"/>
          <w:highlight w:val="none"/>
        </w:rPr>
        <w:t xml:space="preserve">保险</w:t>
      </w:r>
      <w:r>
        <w:rPr>
          <w:rFonts w:hint="eastAsia" w:eastAsia="方正大标宋_GBK"/>
          <w:bCs/>
          <w:color w:val="auto"/>
          <w:sz w:val="44"/>
          <w:szCs w:val="44"/>
          <w:highlight w:val="none"/>
        </w:rPr>
        <w:t xml:space="preserve">）告知函</w:t>
      </w:r>
      <w:r/>
    </w:p>
    <w:p>
      <w:pPr>
        <w:rPr>
          <w:rFonts w:eastAsia="仿宋_GB2312"/>
          <w:color w:val="auto"/>
          <w:sz w:val="32"/>
          <w:highlight w:val="none"/>
        </w:rPr>
      </w:pPr>
      <w:r>
        <w:rPr>
          <w:rFonts w:eastAsia="仿宋_GB2312"/>
          <w:color w:val="auto"/>
          <w:sz w:val="32"/>
          <w:highlight w:val="none"/>
        </w:rPr>
      </w:r>
      <w:r/>
    </w:p>
    <w:p>
      <w:pPr>
        <w:rPr>
          <w:rFonts w:eastAsia="仿宋_GB2312"/>
          <w:color w:val="auto"/>
          <w:sz w:val="32"/>
          <w:highlight w:val="none"/>
        </w:rPr>
      </w:pPr>
      <w:r>
        <w:rPr>
          <w:rFonts w:hint="eastAsia" w:eastAsia="仿宋_GB2312"/>
          <w:color w:val="auto"/>
          <w:sz w:val="32"/>
          <w:highlight w:val="none"/>
        </w:rPr>
        <w:t xml:space="preserve">各政府采购供应商：</w:t>
      </w:r>
      <w:r/>
    </w:p>
    <w:p>
      <w:pPr>
        <w:ind w:firstLine="640"/>
        <w:rPr>
          <w:rFonts w:eastAsia="仿宋_GB2312"/>
          <w:color w:val="auto"/>
          <w:sz w:val="32"/>
          <w:highlight w:val="none"/>
        </w:rPr>
      </w:pPr>
      <w:r>
        <w:rPr>
          <w:rFonts w:hint="eastAsia" w:eastAsia="仿宋_GB2312"/>
          <w:color w:val="auto"/>
          <w:sz w:val="32"/>
          <w:highlight w:val="none"/>
        </w:rPr>
        <w:t xml:space="preserve">欢迎贵公司参与南通市政府采购活动！</w:t>
      </w:r>
      <w:r/>
    </w:p>
    <w:p>
      <w:pPr>
        <w:ind w:firstLine="640"/>
        <w:rPr>
          <w:rFonts w:eastAsia="仿宋_GB2312"/>
          <w:color w:val="auto"/>
          <w:sz w:val="32"/>
          <w:highlight w:val="none"/>
        </w:rPr>
      </w:pPr>
      <w:r>
        <w:rPr>
          <w:rFonts w:hint="eastAsia" w:eastAsia="仿宋_GB2312"/>
          <w:color w:val="auto"/>
          <w:sz w:val="32"/>
          <w:highlight w:val="none"/>
        </w:rPr>
        <w:t xml:space="preserve">政府采购线上合同信用融资和</w:t>
      </w:r>
      <w:r>
        <w:rPr>
          <w:rFonts w:eastAsia="仿宋_GB2312"/>
          <w:color w:val="auto"/>
          <w:sz w:val="32"/>
          <w:highlight w:val="none"/>
        </w:rPr>
        <w:t xml:space="preserve">履</w:t>
      </w:r>
      <w:r>
        <w:rPr>
          <w:rFonts w:hint="eastAsia" w:eastAsia="仿宋_GB2312"/>
          <w:color w:val="auto"/>
          <w:sz w:val="32"/>
          <w:highlight w:val="none"/>
        </w:rPr>
        <w:t xml:space="preserve">约保函（</w:t>
      </w:r>
      <w:r>
        <w:rPr>
          <w:rFonts w:eastAsia="仿宋_GB2312"/>
          <w:color w:val="auto"/>
          <w:sz w:val="32"/>
          <w:highlight w:val="none"/>
        </w:rPr>
        <w:t xml:space="preserve">保险</w:t>
      </w:r>
      <w:r>
        <w:rPr>
          <w:rFonts w:hint="eastAsia" w:eastAsia="仿宋_GB2312"/>
          <w:color w:val="auto"/>
          <w:sz w:val="32"/>
          <w:highlight w:val="none"/>
        </w:rPr>
        <w:t xml:space="preserve">）是支持企业发展，针对参与政府采购活动的企业融资难、现金流不足等问题推出的一项服务举措。</w:t>
      </w:r>
      <w:r/>
    </w:p>
    <w:p>
      <w:pPr>
        <w:ind w:firstLine="640"/>
        <w:spacing w:line="580" w:lineRule="exact"/>
        <w:rPr>
          <w:rFonts w:eastAsia="仿宋_GB2312"/>
          <w:color w:val="auto"/>
          <w:sz w:val="32"/>
          <w:highlight w:val="none"/>
        </w:rPr>
      </w:pPr>
      <w:r>
        <w:rPr>
          <w:rFonts w:hint="eastAsia" w:eastAsia="仿宋_GB2312"/>
          <w:color w:val="auto"/>
          <w:sz w:val="32"/>
          <w:highlight w:val="none"/>
        </w:rPr>
        <w:t xml:space="preserve">贵公司若成为本次政府采购项目的中标（成交）供应商，</w:t>
      </w:r>
      <w:r>
        <w:rPr>
          <w:rFonts w:hint="eastAsia" w:ascii="仿宋_GB2312" w:eastAsia="仿宋_GB2312"/>
          <w:color w:val="auto"/>
          <w:sz w:val="32"/>
          <w:szCs w:val="32"/>
          <w:highlight w:val="none"/>
        </w:rPr>
        <w:t xml:space="preserve">可自愿选择</w:t>
      </w:r>
      <w:r>
        <w:rPr>
          <w:rFonts w:eastAsia="仿宋_GB2312"/>
          <w:color w:val="auto"/>
          <w:sz w:val="32"/>
          <w:highlight w:val="none"/>
        </w:rPr>
        <w:t xml:space="preserve">履</w:t>
      </w:r>
      <w:r>
        <w:rPr>
          <w:rFonts w:hint="eastAsia" w:eastAsia="仿宋_GB2312"/>
          <w:color w:val="auto"/>
          <w:sz w:val="32"/>
          <w:highlight w:val="none"/>
        </w:rPr>
        <w:t xml:space="preserve">约保函（</w:t>
      </w:r>
      <w:r>
        <w:rPr>
          <w:rFonts w:eastAsia="仿宋_GB2312"/>
          <w:color w:val="auto"/>
          <w:sz w:val="32"/>
          <w:highlight w:val="none"/>
        </w:rPr>
        <w:t xml:space="preserve">保险</w:t>
      </w:r>
      <w:r>
        <w:rPr>
          <w:rFonts w:hint="eastAsia" w:eastAsia="仿宋_GB2312"/>
          <w:color w:val="auto"/>
          <w:sz w:val="32"/>
          <w:highlight w:val="none"/>
        </w:rPr>
        <w:t xml:space="preserve">）</w:t>
      </w:r>
      <w:r>
        <w:rPr>
          <w:rFonts w:hint="eastAsia" w:ascii="仿宋_GB2312" w:eastAsia="仿宋_GB2312"/>
          <w:color w:val="auto"/>
          <w:sz w:val="32"/>
          <w:szCs w:val="32"/>
          <w:highlight w:val="none"/>
        </w:rPr>
        <w:t xml:space="preserve">形式替代履约保证金，也</w:t>
      </w:r>
      <w:r>
        <w:rPr>
          <w:rFonts w:hint="eastAsia" w:eastAsia="仿宋_GB2312"/>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pStyle w:val="924"/>
        <w:ind w:firstLine="640"/>
        <w:rPr>
          <w:rFonts w:eastAsia="仿宋_GB2312"/>
          <w:color w:val="auto"/>
          <w:sz w:val="32"/>
          <w:highlight w:val="none"/>
        </w:rPr>
      </w:pPr>
      <w:r>
        <w:rPr>
          <w:rFonts w:eastAsia="仿宋_GB2312"/>
          <w:color w:val="auto"/>
          <w:sz w:val="32"/>
          <w:highlight w:val="none"/>
        </w:rPr>
      </w:r>
      <w:r/>
    </w:p>
    <w:p>
      <w:pPr>
        <w:spacing w:line="560" w:lineRule="exact"/>
        <w:rPr>
          <w:color w:val="auto"/>
          <w:highlight w:val="none"/>
        </w:rPr>
      </w:pPr>
      <w:r>
        <w:rPr>
          <w:color w:val="auto"/>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ascii="宋体" w:hAnsi="宋体"/>
        <w:sz w:val="20"/>
      </w:rPr>
    </w:pPr>
    <w:r>
      <w:rPr>
        <w:rFonts w:ascii="宋体" w:hAnsi="宋体"/>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43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5"/>
      <w:isLgl w:val="false"/>
      <w:suff w:val="nothing"/>
      <w:lvlText w:val=""/>
      <w:lvlJc w:val="left"/>
      <w:pPr>
        <w:ind w:left="0" w:firstLine="0"/>
      </w:pPr>
      <w:rPr>
        <w:rFonts w:hint="eastAsia"/>
      </w:rPr>
    </w:lvl>
    <w:lvl w:ilvl="6">
      <w:start w:val="1"/>
      <w:numFmt w:val="none"/>
      <w:pStyle w:val="876"/>
      <w:isLgl w:val="false"/>
      <w:suff w:val="nothing"/>
      <w:lvlText w:val=""/>
      <w:lvlJc w:val="left"/>
      <w:pPr>
        <w:ind w:left="0" w:firstLine="0"/>
      </w:pPr>
      <w:rPr>
        <w:rFonts w:hint="eastAsia"/>
      </w:rPr>
    </w:lvl>
    <w:lvl w:ilvl="7">
      <w:start w:val="1"/>
      <w:numFmt w:val="none"/>
      <w:pStyle w:val="877"/>
      <w:isLgl w:val="false"/>
      <w:suff w:val="nothing"/>
      <w:lvlText w:val=""/>
      <w:lvlJc w:val="left"/>
      <w:pPr>
        <w:ind w:left="0" w:firstLine="0"/>
      </w:pPr>
      <w:rPr>
        <w:rFonts w:hint="eastAsia"/>
      </w:rPr>
    </w:lvl>
    <w:lvl w:ilvl="8">
      <w:start w:val="1"/>
      <w:numFmt w:val="none"/>
      <w:pStyle w:val="878"/>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9"/>
    <w:link w:val="870"/>
    <w:uiPriority w:val="9"/>
    <w:rPr>
      <w:rFonts w:ascii="Arial" w:hAnsi="Arial" w:eastAsia="Arial" w:cs="Arial"/>
      <w:sz w:val="40"/>
      <w:szCs w:val="40"/>
    </w:rPr>
  </w:style>
  <w:style w:type="character" w:styleId="717">
    <w:name w:val="Heading 2 Char"/>
    <w:basedOn w:val="879"/>
    <w:link w:val="871"/>
    <w:uiPriority w:val="9"/>
    <w:rPr>
      <w:rFonts w:ascii="Arial" w:hAnsi="Arial" w:eastAsia="Arial" w:cs="Arial"/>
      <w:sz w:val="34"/>
    </w:rPr>
  </w:style>
  <w:style w:type="character" w:styleId="718">
    <w:name w:val="Heading 3 Char"/>
    <w:basedOn w:val="879"/>
    <w:link w:val="872"/>
    <w:uiPriority w:val="9"/>
    <w:rPr>
      <w:rFonts w:ascii="Arial" w:hAnsi="Arial" w:eastAsia="Arial" w:cs="Arial"/>
      <w:sz w:val="30"/>
      <w:szCs w:val="30"/>
    </w:rPr>
  </w:style>
  <w:style w:type="character" w:styleId="719">
    <w:name w:val="Heading 4 Char"/>
    <w:basedOn w:val="879"/>
    <w:link w:val="873"/>
    <w:uiPriority w:val="9"/>
    <w:rPr>
      <w:rFonts w:ascii="Arial" w:hAnsi="Arial" w:eastAsia="Arial" w:cs="Arial"/>
      <w:b/>
      <w:bCs/>
      <w:sz w:val="26"/>
      <w:szCs w:val="26"/>
    </w:rPr>
  </w:style>
  <w:style w:type="character" w:styleId="720">
    <w:name w:val="Heading 5 Char"/>
    <w:basedOn w:val="879"/>
    <w:link w:val="874"/>
    <w:uiPriority w:val="9"/>
    <w:rPr>
      <w:rFonts w:ascii="Arial" w:hAnsi="Arial" w:eastAsia="Arial" w:cs="Arial"/>
      <w:b/>
      <w:bCs/>
      <w:sz w:val="24"/>
      <w:szCs w:val="24"/>
    </w:rPr>
  </w:style>
  <w:style w:type="character" w:styleId="721">
    <w:name w:val="Heading 6 Char"/>
    <w:basedOn w:val="879"/>
    <w:link w:val="875"/>
    <w:uiPriority w:val="9"/>
    <w:rPr>
      <w:rFonts w:ascii="Arial" w:hAnsi="Arial" w:eastAsia="Arial" w:cs="Arial"/>
      <w:b/>
      <w:bCs/>
      <w:sz w:val="22"/>
      <w:szCs w:val="22"/>
    </w:rPr>
  </w:style>
  <w:style w:type="character" w:styleId="722">
    <w:name w:val="Heading 7 Char"/>
    <w:basedOn w:val="879"/>
    <w:link w:val="876"/>
    <w:uiPriority w:val="9"/>
    <w:rPr>
      <w:rFonts w:ascii="Arial" w:hAnsi="Arial" w:eastAsia="Arial" w:cs="Arial"/>
      <w:b/>
      <w:bCs/>
      <w:i/>
      <w:iCs/>
      <w:sz w:val="22"/>
      <w:szCs w:val="22"/>
    </w:rPr>
  </w:style>
  <w:style w:type="character" w:styleId="723">
    <w:name w:val="Heading 8 Char"/>
    <w:basedOn w:val="879"/>
    <w:link w:val="877"/>
    <w:uiPriority w:val="9"/>
    <w:rPr>
      <w:rFonts w:ascii="Arial" w:hAnsi="Arial" w:eastAsia="Arial" w:cs="Arial"/>
      <w:i/>
      <w:iCs/>
      <w:sz w:val="22"/>
      <w:szCs w:val="22"/>
    </w:rPr>
  </w:style>
  <w:style w:type="character" w:styleId="724">
    <w:name w:val="Heading 9 Char"/>
    <w:basedOn w:val="879"/>
    <w:link w:val="878"/>
    <w:uiPriority w:val="9"/>
    <w:rPr>
      <w:rFonts w:ascii="Arial" w:hAnsi="Arial" w:eastAsia="Arial" w:cs="Arial"/>
      <w:i/>
      <w:iCs/>
      <w:sz w:val="21"/>
      <w:szCs w:val="21"/>
    </w:rPr>
  </w:style>
  <w:style w:type="paragraph" w:styleId="725">
    <w:name w:val="Title"/>
    <w:basedOn w:val="869"/>
    <w:next w:val="869"/>
    <w:link w:val="726"/>
    <w:uiPriority w:val="10"/>
    <w:qFormat/>
    <w:pPr>
      <w:contextualSpacing/>
      <w:spacing w:before="300" w:after="200"/>
    </w:pPr>
    <w:rPr>
      <w:sz w:val="48"/>
      <w:szCs w:val="48"/>
    </w:rPr>
  </w:style>
  <w:style w:type="character" w:styleId="726">
    <w:name w:val="Title Char"/>
    <w:basedOn w:val="879"/>
    <w:link w:val="725"/>
    <w:uiPriority w:val="10"/>
    <w:rPr>
      <w:sz w:val="48"/>
      <w:szCs w:val="48"/>
    </w:rPr>
  </w:style>
  <w:style w:type="paragraph" w:styleId="727">
    <w:name w:val="Subtitle"/>
    <w:basedOn w:val="869"/>
    <w:next w:val="869"/>
    <w:link w:val="728"/>
    <w:uiPriority w:val="11"/>
    <w:qFormat/>
    <w:pPr>
      <w:spacing w:before="200" w:after="200"/>
    </w:pPr>
    <w:rPr>
      <w:sz w:val="24"/>
      <w:szCs w:val="24"/>
    </w:rPr>
  </w:style>
  <w:style w:type="character" w:styleId="728">
    <w:name w:val="Subtitle Char"/>
    <w:basedOn w:val="879"/>
    <w:link w:val="727"/>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9"/>
    <w:link w:val="899"/>
    <w:uiPriority w:val="99"/>
  </w:style>
  <w:style w:type="character" w:styleId="734">
    <w:name w:val="Footer Char"/>
    <w:basedOn w:val="879"/>
    <w:link w:val="898"/>
    <w:uiPriority w:val="99"/>
  </w:style>
  <w:style w:type="paragraph" w:styleId="735">
    <w:name w:val="Caption"/>
    <w:basedOn w:val="869"/>
    <w:next w:val="869"/>
    <w:uiPriority w:val="35"/>
    <w:semiHidden/>
    <w:unhideWhenUsed/>
    <w:qFormat/>
    <w:pPr>
      <w:spacing w:line="276" w:lineRule="auto"/>
    </w:pPr>
    <w:rPr>
      <w:b/>
      <w:bCs/>
      <w:color w:val="4f81bd" w:themeColor="accent1"/>
      <w:sz w:val="18"/>
      <w:szCs w:val="18"/>
    </w:rPr>
  </w:style>
  <w:style w:type="character" w:styleId="736">
    <w:name w:val="Caption Char"/>
    <w:basedOn w:val="735"/>
    <w:link w:val="898"/>
    <w:uiPriority w:val="99"/>
  </w:style>
  <w:style w:type="table" w:styleId="737">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6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79"/>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OC Heading"/>
    <w:uiPriority w:val="39"/>
    <w:unhideWhenUsed/>
  </w:style>
  <w:style w:type="paragraph" w:styleId="869" w:default="1">
    <w:name w:val="Normal"/>
    <w:next w:val="870"/>
    <w:uiPriority w:val="0"/>
    <w:qFormat/>
    <w:pPr>
      <w:jc w:val="both"/>
      <w:widowControl w:val="off"/>
    </w:pPr>
    <w:rPr>
      <w:rFonts w:ascii="Times New Roman" w:hAnsi="Times New Roman" w:eastAsia="宋体" w:cs="Times New Roman"/>
      <w:sz w:val="21"/>
      <w:szCs w:val="22"/>
      <w:lang w:val="en-US" w:eastAsia="zh-CN" w:bidi="ar-SA"/>
    </w:rPr>
  </w:style>
  <w:style w:type="paragraph" w:styleId="870">
    <w:name w:val="Heading 1"/>
    <w:basedOn w:val="869"/>
    <w:next w:val="869"/>
    <w:link w:val="925"/>
    <w:uiPriority w:val="0"/>
    <w:qFormat/>
    <w:pPr>
      <w:jc w:val="center"/>
      <w:keepNext/>
      <w:outlineLvl w:val="0"/>
    </w:pPr>
    <w:rPr>
      <w:rFonts w:ascii="楷体_GB2312" w:eastAsia="楷体_GB2312"/>
      <w:sz w:val="28"/>
      <w:szCs w:val="28"/>
    </w:rPr>
  </w:style>
  <w:style w:type="paragraph" w:styleId="871">
    <w:name w:val="Heading 2"/>
    <w:basedOn w:val="869"/>
    <w:next w:val="881"/>
    <w:link w:val="926"/>
    <w:uiPriority w:val="0"/>
    <w:qFormat/>
    <w:pPr>
      <w:jc w:val="center"/>
      <w:keepLines/>
      <w:keepNext/>
      <w:spacing w:before="260" w:after="260" w:line="416" w:lineRule="auto"/>
      <w:outlineLvl w:val="1"/>
    </w:pPr>
    <w:rPr>
      <w:rFonts w:ascii="Arial" w:hAnsi="Arial" w:eastAsia="幼圆"/>
      <w:b/>
      <w:bCs/>
      <w:sz w:val="44"/>
      <w:szCs w:val="44"/>
    </w:rPr>
  </w:style>
  <w:style w:type="paragraph" w:styleId="872">
    <w:name w:val="Heading 3"/>
    <w:basedOn w:val="869"/>
    <w:next w:val="881"/>
    <w:link w:val="928"/>
    <w:uiPriority w:val="0"/>
    <w:qFormat/>
    <w:pPr>
      <w:keepLines/>
      <w:keepNext/>
      <w:spacing w:before="260" w:after="260" w:line="416" w:lineRule="auto"/>
      <w:outlineLvl w:val="2"/>
    </w:pPr>
    <w:rPr>
      <w:b/>
      <w:bCs/>
      <w:sz w:val="32"/>
      <w:szCs w:val="32"/>
    </w:rPr>
  </w:style>
  <w:style w:type="paragraph" w:styleId="873">
    <w:name w:val="Heading 4"/>
    <w:basedOn w:val="869"/>
    <w:next w:val="881"/>
    <w:link w:val="929"/>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81"/>
    <w:link w:val="930"/>
    <w:uiPriority w:val="0"/>
    <w:qFormat/>
    <w:pPr>
      <w:keepNext/>
      <w:outlineLvl w:val="4"/>
    </w:pPr>
    <w:rPr>
      <w:rFonts w:ascii="宋体"/>
      <w:color w:val="000000"/>
      <w:sz w:val="28"/>
      <w:szCs w:val="28"/>
    </w:rPr>
  </w:style>
  <w:style w:type="paragraph" w:styleId="875">
    <w:name w:val="Heading 6"/>
    <w:basedOn w:val="869"/>
    <w:next w:val="869"/>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Heading 7"/>
    <w:basedOn w:val="869"/>
    <w:next w:val="869"/>
    <w:link w:val="932"/>
    <w:uiPriority w:val="0"/>
    <w:qFormat/>
    <w:pPr>
      <w:numPr>
        <w:ilvl w:val="6"/>
        <w:numId w:val="1"/>
      </w:numPr>
      <w:keepLines/>
      <w:keepNext/>
      <w:spacing w:before="240" w:after="64" w:line="320" w:lineRule="auto"/>
      <w:outlineLvl w:val="6"/>
    </w:pPr>
    <w:rPr>
      <w:b/>
      <w:bCs/>
      <w:sz w:val="24"/>
      <w:szCs w:val="24"/>
    </w:rPr>
  </w:style>
  <w:style w:type="paragraph" w:styleId="877">
    <w:name w:val="Heading 8"/>
    <w:basedOn w:val="869"/>
    <w:next w:val="869"/>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Heading 9"/>
    <w:basedOn w:val="869"/>
    <w:next w:val="869"/>
    <w:link w:val="93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link w:val="927"/>
    <w:uiPriority w:val="0"/>
    <w:qFormat/>
    <w:pPr>
      <w:ind w:firstLine="420"/>
    </w:pPr>
    <w:rPr>
      <w:sz w:val="20"/>
      <w:szCs w:val="21"/>
    </w:rPr>
  </w:style>
  <w:style w:type="paragraph" w:styleId="882">
    <w:name w:val="List 3"/>
    <w:basedOn w:val="869"/>
    <w:uiPriority w:val="0"/>
    <w:qFormat/>
    <w:pPr>
      <w:ind w:left="100" w:hanging="200"/>
    </w:pPr>
    <w:rPr>
      <w:szCs w:val="21"/>
    </w:rPr>
  </w:style>
  <w:style w:type="paragraph" w:styleId="883">
    <w:name w:val="toc 7"/>
    <w:basedOn w:val="869"/>
    <w:next w:val="869"/>
    <w:uiPriority w:val="0"/>
    <w:semiHidden/>
    <w:qFormat/>
    <w:pPr>
      <w:ind w:left="1260"/>
      <w:jc w:val="left"/>
    </w:pPr>
    <w:rPr>
      <w:szCs w:val="21"/>
    </w:rPr>
  </w:style>
  <w:style w:type="paragraph" w:styleId="884">
    <w:name w:val="Document Map"/>
    <w:basedOn w:val="869"/>
    <w:link w:val="935"/>
    <w:uiPriority w:val="0"/>
    <w:semiHidden/>
    <w:qFormat/>
    <w:pPr>
      <w:shd w:val="clear" w:color="auto" w:fill="000080"/>
    </w:pPr>
    <w:rPr>
      <w:sz w:val="20"/>
      <w:szCs w:val="21"/>
    </w:rPr>
  </w:style>
  <w:style w:type="paragraph" w:styleId="885">
    <w:name w:val="annotation text"/>
    <w:basedOn w:val="869"/>
    <w:link w:val="936"/>
    <w:uiPriority w:val="0"/>
    <w:unhideWhenUsed/>
    <w:qFormat/>
    <w:pPr>
      <w:jc w:val="left"/>
    </w:pPr>
  </w:style>
  <w:style w:type="paragraph" w:styleId="886">
    <w:name w:val="Body Text 3"/>
    <w:basedOn w:val="869"/>
    <w:link w:val="937"/>
    <w:uiPriority w:val="0"/>
    <w:qFormat/>
    <w:rPr>
      <w:rFonts w:ascii="仿宋_GB2312" w:hAnsi="Arial" w:eastAsia="仿宋_GB2312"/>
      <w:sz w:val="32"/>
      <w:szCs w:val="32"/>
    </w:rPr>
  </w:style>
  <w:style w:type="paragraph" w:styleId="887">
    <w:name w:val="Body Text"/>
    <w:basedOn w:val="869"/>
    <w:link w:val="938"/>
    <w:uiPriority w:val="0"/>
    <w:qFormat/>
    <w:rPr>
      <w:rFonts w:ascii="楷体_GB2312" w:hAnsi="Arial" w:eastAsia="楷体_GB2312"/>
      <w:sz w:val="28"/>
      <w:szCs w:val="28"/>
    </w:rPr>
  </w:style>
  <w:style w:type="paragraph" w:styleId="888">
    <w:name w:val="Body Text Indent"/>
    <w:basedOn w:val="869"/>
    <w:next w:val="889"/>
    <w:link w:val="939"/>
    <w:uiPriority w:val="0"/>
    <w:unhideWhenUsed/>
    <w:qFormat/>
    <w:pPr>
      <w:ind w:left="420"/>
      <w:spacing w:after="120"/>
    </w:pPr>
  </w:style>
  <w:style w:type="paragraph" w:styleId="889">
    <w:name w:val="envelope return"/>
    <w:basedOn w:val="869"/>
    <w:uiPriority w:val="99"/>
    <w:unhideWhenUsed/>
    <w:qFormat/>
    <w:rPr>
      <w:rFonts w:ascii="Arial" w:hAnsi="Arial"/>
    </w:rPr>
  </w:style>
  <w:style w:type="paragraph" w:styleId="890">
    <w:name w:val="List 2"/>
    <w:basedOn w:val="869"/>
    <w:uiPriority w:val="0"/>
    <w:qFormat/>
    <w:pPr>
      <w:ind w:left="100" w:hanging="200"/>
    </w:pPr>
    <w:rPr>
      <w:szCs w:val="21"/>
    </w:rPr>
  </w:style>
  <w:style w:type="paragraph" w:styleId="891">
    <w:name w:val="toc 5"/>
    <w:basedOn w:val="869"/>
    <w:next w:val="869"/>
    <w:uiPriority w:val="0"/>
    <w:semiHidden/>
    <w:qFormat/>
    <w:pPr>
      <w:ind w:left="840"/>
      <w:jc w:val="left"/>
    </w:pPr>
    <w:rPr>
      <w:szCs w:val="21"/>
    </w:rPr>
  </w:style>
  <w:style w:type="paragraph" w:styleId="892">
    <w:name w:val="toc 3"/>
    <w:basedOn w:val="869"/>
    <w:next w:val="869"/>
    <w:uiPriority w:val="0"/>
    <w:semiHidden/>
    <w:qFormat/>
    <w:pPr>
      <w:ind w:left="420"/>
      <w:jc w:val="left"/>
    </w:pPr>
    <w:rPr>
      <w:i/>
      <w:iCs/>
      <w:szCs w:val="24"/>
    </w:rPr>
  </w:style>
  <w:style w:type="paragraph" w:styleId="893">
    <w:name w:val="Plain Text"/>
    <w:basedOn w:val="869"/>
    <w:link w:val="940"/>
    <w:uiPriority w:val="0"/>
    <w:qFormat/>
    <w:rPr>
      <w:rFonts w:ascii="宋体" w:hAnsi="Courier New"/>
      <w:sz w:val="20"/>
      <w:szCs w:val="21"/>
    </w:rPr>
  </w:style>
  <w:style w:type="paragraph" w:styleId="894">
    <w:name w:val="toc 8"/>
    <w:basedOn w:val="869"/>
    <w:next w:val="869"/>
    <w:uiPriority w:val="0"/>
    <w:semiHidden/>
    <w:qFormat/>
    <w:pPr>
      <w:ind w:left="1470"/>
      <w:jc w:val="left"/>
    </w:pPr>
    <w:rPr>
      <w:szCs w:val="21"/>
    </w:rPr>
  </w:style>
  <w:style w:type="paragraph" w:styleId="895">
    <w:name w:val="Date"/>
    <w:basedOn w:val="869"/>
    <w:next w:val="869"/>
    <w:link w:val="941"/>
    <w:uiPriority w:val="0"/>
    <w:qFormat/>
    <w:rPr>
      <w:sz w:val="24"/>
      <w:szCs w:val="24"/>
    </w:rPr>
  </w:style>
  <w:style w:type="paragraph" w:styleId="896">
    <w:name w:val="Body Text Indent 2"/>
    <w:basedOn w:val="869"/>
    <w:link w:val="942"/>
    <w:uiPriority w:val="0"/>
    <w:qFormat/>
    <w:pPr>
      <w:ind w:left="630" w:firstLine="645"/>
    </w:pPr>
    <w:rPr>
      <w:rFonts w:ascii="Arial" w:hAnsi="Arial" w:eastAsia="仿宋_GB2312"/>
      <w:sz w:val="32"/>
      <w:szCs w:val="32"/>
    </w:rPr>
  </w:style>
  <w:style w:type="paragraph" w:styleId="897">
    <w:name w:val="Balloon Text"/>
    <w:basedOn w:val="869"/>
    <w:link w:val="943"/>
    <w:uiPriority w:val="0"/>
    <w:semiHidden/>
    <w:qFormat/>
    <w:rPr>
      <w:sz w:val="18"/>
      <w:szCs w:val="18"/>
    </w:rPr>
  </w:style>
  <w:style w:type="paragraph" w:styleId="898">
    <w:name w:val="Footer"/>
    <w:basedOn w:val="869"/>
    <w:link w:val="944"/>
    <w:uiPriority w:val="99"/>
    <w:qFormat/>
    <w:pPr>
      <w:jc w:val="left"/>
      <w:tabs>
        <w:tab w:val="center" w:pos="4153" w:leader="none"/>
        <w:tab w:val="right" w:pos="8306" w:leader="none"/>
      </w:tabs>
    </w:pPr>
    <w:rPr>
      <w:sz w:val="18"/>
      <w:szCs w:val="18"/>
    </w:rPr>
  </w:style>
  <w:style w:type="paragraph" w:styleId="899">
    <w:name w:val="Header"/>
    <w:basedOn w:val="869"/>
    <w:link w:val="945"/>
    <w:uiPriority w:val="0"/>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9"/>
    <w:next w:val="869"/>
    <w:uiPriority w:val="0"/>
    <w:semiHidden/>
    <w:qFormat/>
    <w:pPr>
      <w:jc w:val="left"/>
      <w:spacing w:before="120" w:after="120" w:line="400" w:lineRule="exact"/>
      <w:tabs>
        <w:tab w:val="right" w:pos="8720" w:leader="dot"/>
      </w:tabs>
    </w:pPr>
    <w:rPr>
      <w:rFonts w:ascii="宋体" w:hAnsi="宋体"/>
      <w:caps/>
      <w:sz w:val="24"/>
      <w:szCs w:val="24"/>
    </w:rPr>
  </w:style>
  <w:style w:type="paragraph" w:styleId="901">
    <w:name w:val="toc 4"/>
    <w:basedOn w:val="869"/>
    <w:next w:val="869"/>
    <w:uiPriority w:val="0"/>
    <w:semiHidden/>
    <w:qFormat/>
    <w:pPr>
      <w:ind w:left="630"/>
      <w:jc w:val="left"/>
    </w:pPr>
    <w:rPr>
      <w:szCs w:val="21"/>
    </w:rPr>
  </w:style>
  <w:style w:type="paragraph" w:styleId="902">
    <w:name w:val="List"/>
    <w:basedOn w:val="869"/>
    <w:uiPriority w:val="0"/>
    <w:qFormat/>
    <w:pPr>
      <w:ind w:left="200" w:hanging="200"/>
    </w:pPr>
    <w:rPr>
      <w:szCs w:val="21"/>
    </w:rPr>
  </w:style>
  <w:style w:type="paragraph" w:styleId="903">
    <w:name w:val="toc 6"/>
    <w:basedOn w:val="869"/>
    <w:next w:val="869"/>
    <w:uiPriority w:val="0"/>
    <w:semiHidden/>
    <w:qFormat/>
    <w:pPr>
      <w:ind w:left="1050"/>
      <w:jc w:val="left"/>
    </w:pPr>
    <w:rPr>
      <w:szCs w:val="21"/>
    </w:rPr>
  </w:style>
  <w:style w:type="paragraph" w:styleId="904">
    <w:name w:val="Body Text Indent 3"/>
    <w:basedOn w:val="869"/>
    <w:link w:val="946"/>
    <w:uiPriority w:val="0"/>
    <w:qFormat/>
    <w:pPr>
      <w:ind w:left="645" w:firstLine="645"/>
    </w:pPr>
    <w:rPr>
      <w:rFonts w:ascii="Arial" w:hAnsi="Arial" w:eastAsia="仿宋_GB2312"/>
      <w:color w:val="ffff00"/>
      <w:sz w:val="32"/>
      <w:szCs w:val="32"/>
    </w:rPr>
  </w:style>
  <w:style w:type="paragraph" w:styleId="905">
    <w:name w:val="table of figures"/>
    <w:basedOn w:val="869"/>
    <w:next w:val="869"/>
    <w:uiPriority w:val="0"/>
    <w:semiHidden/>
    <w:qFormat/>
    <w:pPr>
      <w:ind w:left="840" w:hanging="420"/>
    </w:pPr>
    <w:rPr>
      <w:szCs w:val="21"/>
    </w:rPr>
  </w:style>
  <w:style w:type="paragraph" w:styleId="906">
    <w:name w:val="toc 2"/>
    <w:basedOn w:val="869"/>
    <w:next w:val="869"/>
    <w:uiPriority w:val="0"/>
    <w:semiHidden/>
    <w:qFormat/>
    <w:pPr>
      <w:ind w:left="210"/>
      <w:jc w:val="left"/>
    </w:pPr>
    <w:rPr>
      <w:smallCaps/>
      <w:szCs w:val="24"/>
    </w:rPr>
  </w:style>
  <w:style w:type="paragraph" w:styleId="907">
    <w:name w:val="toc 9"/>
    <w:basedOn w:val="869"/>
    <w:next w:val="869"/>
    <w:uiPriority w:val="0"/>
    <w:semiHidden/>
    <w:qFormat/>
    <w:pPr>
      <w:ind w:left="1680"/>
      <w:jc w:val="left"/>
    </w:pPr>
    <w:rPr>
      <w:szCs w:val="21"/>
    </w:rPr>
  </w:style>
  <w:style w:type="paragraph" w:styleId="908">
    <w:name w:val="Body Text 2"/>
    <w:basedOn w:val="869"/>
    <w:link w:val="947"/>
    <w:uiPriority w:val="0"/>
    <w:qFormat/>
    <w:pPr>
      <w:jc w:val="center"/>
      <w:widowControl/>
    </w:pPr>
    <w:rPr>
      <w:rFonts w:ascii="楷体_GB2312" w:eastAsia="楷体_GB2312"/>
      <w:sz w:val="28"/>
      <w:szCs w:val="28"/>
    </w:rPr>
  </w:style>
  <w:style w:type="paragraph" w:styleId="909">
    <w:name w:val="Normal (Web)"/>
    <w:basedOn w:val="869"/>
    <w:uiPriority w:val="99"/>
    <w:qFormat/>
    <w:pPr>
      <w:jc w:val="left"/>
      <w:spacing w:before="100" w:beforeAutospacing="1" w:after="100" w:afterAutospacing="1"/>
      <w:widowControl/>
    </w:pPr>
    <w:rPr>
      <w:rFonts w:ascii="宋体" w:hAnsi="宋体" w:cs="宋体"/>
      <w:sz w:val="24"/>
      <w:szCs w:val="24"/>
    </w:rPr>
  </w:style>
  <w:style w:type="paragraph" w:styleId="910">
    <w:name w:val="index 1"/>
    <w:basedOn w:val="869"/>
    <w:next w:val="869"/>
    <w:uiPriority w:val="0"/>
    <w:semiHidden/>
    <w:qFormat/>
    <w:pPr>
      <w:spacing w:line="240" w:lineRule="atLeast"/>
    </w:pPr>
    <w:rPr>
      <w:b/>
      <w:bCs/>
      <w:szCs w:val="21"/>
    </w:rPr>
  </w:style>
  <w:style w:type="paragraph" w:styleId="911">
    <w:name w:val="annotation subject"/>
    <w:basedOn w:val="885"/>
    <w:next w:val="885"/>
    <w:link w:val="948"/>
    <w:uiPriority w:val="0"/>
    <w:semiHidden/>
    <w:qFormat/>
    <w:rPr>
      <w:b/>
      <w:bCs/>
      <w:sz w:val="20"/>
      <w:szCs w:val="21"/>
    </w:rPr>
  </w:style>
  <w:style w:type="paragraph" w:styleId="912">
    <w:name w:val="Body Text First Indent"/>
    <w:basedOn w:val="869"/>
    <w:link w:val="949"/>
    <w:uiPriority w:val="0"/>
    <w:qFormat/>
    <w:pPr>
      <w:ind w:firstLine="200"/>
      <w:spacing w:line="360" w:lineRule="auto"/>
    </w:pPr>
    <w:rPr>
      <w:rFonts w:ascii="仿宋_GB2312" w:eastAsia="仿宋_GB2312"/>
      <w:sz w:val="30"/>
      <w:szCs w:val="30"/>
    </w:rPr>
  </w:style>
  <w:style w:type="paragraph" w:styleId="913">
    <w:name w:val="Body Text First Indent 2"/>
    <w:basedOn w:val="888"/>
    <w:next w:val="869"/>
    <w:link w:val="950"/>
    <w:uiPriority w:val="0"/>
    <w:qFormat/>
    <w:pPr>
      <w:ind w:left="0" w:firstLine="420"/>
      <w:spacing w:after="0" w:line="360" w:lineRule="auto"/>
    </w:pPr>
    <w:rPr>
      <w:rFonts w:ascii="宋体" w:hAnsi="宋体"/>
      <w:sz w:val="20"/>
      <w:szCs w:val="20"/>
    </w:rPr>
  </w:style>
  <w:style w:type="table" w:styleId="914">
    <w:name w:val="Table Grid"/>
    <w:basedOn w:val="8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uiPriority w:val="0"/>
    <w:qFormat/>
    <w:rPr>
      <w:b/>
      <w:bCs/>
    </w:rPr>
  </w:style>
  <w:style w:type="character" w:styleId="916">
    <w:name w:val="page number"/>
    <w:uiPriority w:val="0"/>
    <w:qFormat/>
  </w:style>
  <w:style w:type="character" w:styleId="917">
    <w:name w:val="FollowedHyperlink"/>
    <w:uiPriority w:val="0"/>
    <w:qFormat/>
    <w:rPr>
      <w:color w:val="800080"/>
      <w:u w:val="single"/>
    </w:rPr>
  </w:style>
  <w:style w:type="character" w:styleId="918">
    <w:name w:val="Emphasis"/>
    <w:basedOn w:val="879"/>
    <w:uiPriority w:val="20"/>
    <w:qFormat/>
    <w:rPr>
      <w:i/>
    </w:rPr>
  </w:style>
  <w:style w:type="character" w:styleId="919">
    <w:name w:val="Hyperlink"/>
    <w:uiPriority w:val="0"/>
    <w:qFormat/>
    <w:rPr>
      <w:color w:val="0000ff"/>
      <w:u w:val="single"/>
    </w:rPr>
  </w:style>
  <w:style w:type="character" w:styleId="920">
    <w:name w:val="annotation reference"/>
    <w:uiPriority w:val="0"/>
    <w:semiHidden/>
    <w:qFormat/>
    <w:rPr>
      <w:sz w:val="21"/>
      <w:szCs w:val="21"/>
    </w:rPr>
  </w:style>
  <w:style w:type="paragraph" w:styleId="921" w:customStyle="1">
    <w:name w:val="BodyText1I2"/>
    <w:basedOn w:val="922"/>
    <w:uiPriority w:val="0"/>
    <w:qFormat/>
    <w:pPr>
      <w:ind w:firstLine="200"/>
    </w:pPr>
  </w:style>
  <w:style w:type="paragraph" w:styleId="922" w:customStyle="1">
    <w:name w:val="BodyTextIndent"/>
    <w:basedOn w:val="869"/>
    <w:uiPriority w:val="0"/>
    <w:qFormat/>
    <w:pPr>
      <w:ind w:left="420"/>
      <w:spacing w:after="120"/>
    </w:pPr>
  </w:style>
  <w:style w:type="paragraph" w:styleId="923" w:customStyle="1">
    <w:name w:val="Default"/>
    <w:uiPriority w:val="0"/>
    <w:qFormat/>
    <w:pPr>
      <w:widowControl w:val="off"/>
    </w:pPr>
    <w:rPr>
      <w:rFonts w:hint="eastAsia" w:ascii="宋体" w:hAnsi="Calibri" w:eastAsia="宋体" w:cs="Times New Roman"/>
      <w:color w:val="000000"/>
      <w:sz w:val="24"/>
      <w:szCs w:val="24"/>
      <w:lang w:val="en-US" w:eastAsia="zh-CN" w:bidi="ar-SA"/>
    </w:rPr>
  </w:style>
  <w:style w:type="paragraph" w:styleId="924" w:customStyle="1">
    <w:name w:val="正文（缩进）"/>
    <w:basedOn w:val="869"/>
    <w:uiPriority w:val="0"/>
    <w:qFormat/>
    <w:pPr>
      <w:ind w:firstLine="480"/>
    </w:pPr>
  </w:style>
  <w:style w:type="character" w:styleId="925" w:customStyle="1">
    <w:name w:val="标题 1 Char"/>
    <w:link w:val="870"/>
    <w:uiPriority w:val="0"/>
    <w:qFormat/>
    <w:rPr>
      <w:rFonts w:ascii="楷体_GB2312" w:hAnsi="Times New Roman" w:eastAsia="楷体_GB2312" w:cs="Times New Roman"/>
      <w:sz w:val="28"/>
      <w:szCs w:val="28"/>
    </w:rPr>
  </w:style>
  <w:style w:type="character" w:styleId="926" w:customStyle="1">
    <w:name w:val="标题 2 Char"/>
    <w:link w:val="871"/>
    <w:uiPriority w:val="0"/>
    <w:qFormat/>
    <w:rPr>
      <w:rFonts w:ascii="Arial" w:hAnsi="Arial" w:eastAsia="幼圆" w:cs="Arial"/>
      <w:b/>
      <w:bCs/>
      <w:sz w:val="44"/>
      <w:szCs w:val="44"/>
    </w:rPr>
  </w:style>
  <w:style w:type="character" w:styleId="927" w:customStyle="1">
    <w:name w:val="正文缩进 Char"/>
    <w:link w:val="881"/>
    <w:uiPriority w:val="0"/>
    <w:qFormat/>
    <w:rPr>
      <w:szCs w:val="21"/>
    </w:rPr>
  </w:style>
  <w:style w:type="character" w:styleId="928" w:customStyle="1">
    <w:name w:val="标题 3 Char"/>
    <w:link w:val="872"/>
    <w:uiPriority w:val="0"/>
    <w:qFormat/>
    <w:rPr>
      <w:rFonts w:ascii="Times New Roman" w:hAnsi="Times New Roman" w:eastAsia="宋体" w:cs="Times New Roman"/>
      <w:b/>
      <w:bCs/>
      <w:sz w:val="32"/>
      <w:szCs w:val="32"/>
    </w:rPr>
  </w:style>
  <w:style w:type="character" w:styleId="929" w:customStyle="1">
    <w:name w:val="标题 4 Char"/>
    <w:link w:val="873"/>
    <w:uiPriority w:val="0"/>
    <w:qFormat/>
    <w:rPr>
      <w:rFonts w:ascii="Arial" w:hAnsi="Arial" w:eastAsia="黑体" w:cs="Arial"/>
      <w:b/>
      <w:bCs/>
      <w:sz w:val="28"/>
      <w:szCs w:val="28"/>
    </w:rPr>
  </w:style>
  <w:style w:type="character" w:styleId="930" w:customStyle="1">
    <w:name w:val="标题 5 Char"/>
    <w:link w:val="874"/>
    <w:uiPriority w:val="0"/>
    <w:qFormat/>
    <w:rPr>
      <w:rFonts w:ascii="宋体" w:hAnsi="Times New Roman" w:eastAsia="宋体" w:cs="Times New Roman"/>
      <w:color w:val="000000"/>
      <w:sz w:val="28"/>
      <w:szCs w:val="28"/>
    </w:rPr>
  </w:style>
  <w:style w:type="character" w:styleId="931" w:customStyle="1">
    <w:name w:val="标题 6 Char"/>
    <w:link w:val="875"/>
    <w:uiPriority w:val="0"/>
    <w:qFormat/>
    <w:rPr>
      <w:rFonts w:ascii="Arial" w:hAnsi="Arial" w:eastAsia="黑体" w:cs="Times New Roman"/>
      <w:b/>
      <w:bCs/>
      <w:sz w:val="24"/>
      <w:szCs w:val="24"/>
    </w:rPr>
  </w:style>
  <w:style w:type="character" w:styleId="932" w:customStyle="1">
    <w:name w:val="标题 7 Char"/>
    <w:link w:val="876"/>
    <w:uiPriority w:val="0"/>
    <w:qFormat/>
    <w:rPr>
      <w:rFonts w:ascii="Times New Roman" w:hAnsi="Times New Roman" w:eastAsia="宋体" w:cs="Times New Roman"/>
      <w:b/>
      <w:bCs/>
      <w:sz w:val="24"/>
      <w:szCs w:val="24"/>
    </w:rPr>
  </w:style>
  <w:style w:type="character" w:styleId="933" w:customStyle="1">
    <w:name w:val="标题 8 Char"/>
    <w:link w:val="877"/>
    <w:uiPriority w:val="0"/>
    <w:qFormat/>
    <w:rPr>
      <w:rFonts w:ascii="Arial" w:hAnsi="Arial" w:eastAsia="黑体" w:cs="Times New Roman"/>
      <w:sz w:val="24"/>
      <w:szCs w:val="24"/>
    </w:rPr>
  </w:style>
  <w:style w:type="character" w:styleId="934" w:customStyle="1">
    <w:name w:val="标题 9 Char"/>
    <w:link w:val="878"/>
    <w:uiPriority w:val="0"/>
    <w:qFormat/>
    <w:rPr>
      <w:rFonts w:ascii="Arial" w:hAnsi="Arial" w:eastAsia="黑体" w:cs="Times New Roman"/>
      <w:szCs w:val="21"/>
    </w:rPr>
  </w:style>
  <w:style w:type="character" w:styleId="935" w:customStyle="1">
    <w:name w:val="文档结构图 Char"/>
    <w:link w:val="884"/>
    <w:uiPriority w:val="0"/>
    <w:semiHidden/>
    <w:qFormat/>
    <w:rPr>
      <w:rFonts w:ascii="Times New Roman" w:hAnsi="Times New Roman" w:eastAsia="宋体" w:cs="Times New Roman"/>
      <w:szCs w:val="21"/>
      <w:shd w:val="clear" w:color="auto" w:fill="000080"/>
    </w:rPr>
  </w:style>
  <w:style w:type="character" w:styleId="936" w:customStyle="1">
    <w:name w:val="批注文字 Char"/>
    <w:link w:val="885"/>
    <w:uiPriority w:val="99"/>
    <w:semiHidden/>
    <w:qFormat/>
  </w:style>
  <w:style w:type="character" w:styleId="937" w:customStyle="1">
    <w:name w:val="正文文本 3 Char"/>
    <w:link w:val="886"/>
    <w:uiPriority w:val="0"/>
    <w:qFormat/>
    <w:rPr>
      <w:rFonts w:ascii="仿宋_GB2312" w:hAnsi="Arial" w:eastAsia="仿宋_GB2312" w:cs="Times New Roman"/>
      <w:sz w:val="32"/>
      <w:szCs w:val="32"/>
    </w:rPr>
  </w:style>
  <w:style w:type="character" w:styleId="938" w:customStyle="1">
    <w:name w:val="正文文本 Char"/>
    <w:link w:val="887"/>
    <w:uiPriority w:val="0"/>
    <w:qFormat/>
    <w:rPr>
      <w:rFonts w:ascii="楷体_GB2312" w:hAnsi="Arial" w:eastAsia="楷体_GB2312" w:cs="Times New Roman"/>
      <w:sz w:val="28"/>
      <w:szCs w:val="28"/>
    </w:rPr>
  </w:style>
  <w:style w:type="character" w:styleId="939" w:customStyle="1">
    <w:name w:val="正文文本缩进 Char"/>
    <w:link w:val="888"/>
    <w:uiPriority w:val="99"/>
    <w:semiHidden/>
    <w:qFormat/>
  </w:style>
  <w:style w:type="character" w:styleId="940" w:customStyle="1">
    <w:name w:val="纯文本 Char"/>
    <w:link w:val="893"/>
    <w:uiPriority w:val="0"/>
    <w:qFormat/>
    <w:rPr>
      <w:rFonts w:ascii="宋体" w:hAnsi="Courier New" w:eastAsia="宋体" w:cs="Courier New"/>
      <w:szCs w:val="21"/>
    </w:rPr>
  </w:style>
  <w:style w:type="character" w:styleId="941" w:customStyle="1">
    <w:name w:val="日期 Char"/>
    <w:link w:val="895"/>
    <w:uiPriority w:val="0"/>
    <w:qFormat/>
    <w:rPr>
      <w:rFonts w:ascii="Times New Roman" w:hAnsi="Times New Roman" w:eastAsia="宋体" w:cs="Times New Roman"/>
      <w:sz w:val="24"/>
      <w:szCs w:val="24"/>
    </w:rPr>
  </w:style>
  <w:style w:type="character" w:styleId="942" w:customStyle="1">
    <w:name w:val="正文文本缩进 2 Char"/>
    <w:link w:val="896"/>
    <w:uiPriority w:val="0"/>
    <w:qFormat/>
    <w:rPr>
      <w:rFonts w:ascii="Arial" w:hAnsi="Arial" w:eastAsia="仿宋_GB2312" w:cs="Arial"/>
      <w:sz w:val="32"/>
      <w:szCs w:val="32"/>
    </w:rPr>
  </w:style>
  <w:style w:type="character" w:styleId="943" w:customStyle="1">
    <w:name w:val="批注框文本 Char"/>
    <w:link w:val="897"/>
    <w:uiPriority w:val="0"/>
    <w:semiHidden/>
    <w:qFormat/>
    <w:rPr>
      <w:rFonts w:ascii="Times New Roman" w:hAnsi="Times New Roman" w:eastAsia="宋体" w:cs="Times New Roman"/>
      <w:sz w:val="18"/>
      <w:szCs w:val="18"/>
    </w:rPr>
  </w:style>
  <w:style w:type="character" w:styleId="944" w:customStyle="1">
    <w:name w:val="页脚 Char"/>
    <w:link w:val="898"/>
    <w:uiPriority w:val="99"/>
    <w:qFormat/>
    <w:rPr>
      <w:rFonts w:ascii="Times New Roman" w:hAnsi="Times New Roman" w:eastAsia="宋体" w:cs="Times New Roman"/>
      <w:sz w:val="18"/>
      <w:szCs w:val="18"/>
    </w:rPr>
  </w:style>
  <w:style w:type="character" w:styleId="945" w:customStyle="1">
    <w:name w:val="页眉 Char"/>
    <w:link w:val="899"/>
    <w:uiPriority w:val="0"/>
    <w:qFormat/>
    <w:rPr>
      <w:rFonts w:ascii="Times New Roman" w:hAnsi="Times New Roman" w:eastAsia="宋体" w:cs="Times New Roman"/>
      <w:sz w:val="18"/>
      <w:szCs w:val="18"/>
    </w:rPr>
  </w:style>
  <w:style w:type="character" w:styleId="946" w:customStyle="1">
    <w:name w:val="正文文本缩进 3 Char"/>
    <w:link w:val="904"/>
    <w:uiPriority w:val="0"/>
    <w:qFormat/>
    <w:rPr>
      <w:rFonts w:ascii="Arial" w:hAnsi="Arial" w:eastAsia="仿宋_GB2312" w:cs="Arial"/>
      <w:color w:val="ffff00"/>
      <w:sz w:val="32"/>
      <w:szCs w:val="32"/>
    </w:rPr>
  </w:style>
  <w:style w:type="character" w:styleId="947" w:customStyle="1">
    <w:name w:val="正文文本 2 Char"/>
    <w:link w:val="908"/>
    <w:uiPriority w:val="0"/>
    <w:qFormat/>
    <w:rPr>
      <w:rFonts w:ascii="楷体_GB2312" w:hAnsi="Times New Roman" w:eastAsia="楷体_GB2312" w:cs="Times New Roman"/>
      <w:sz w:val="28"/>
      <w:szCs w:val="28"/>
    </w:rPr>
  </w:style>
  <w:style w:type="character" w:styleId="948" w:customStyle="1">
    <w:name w:val="批注主题 Char"/>
    <w:link w:val="911"/>
    <w:uiPriority w:val="0"/>
    <w:semiHidden/>
    <w:qFormat/>
    <w:rPr>
      <w:rFonts w:ascii="Times New Roman" w:hAnsi="Times New Roman" w:eastAsia="宋体" w:cs="Times New Roman"/>
      <w:b/>
      <w:bCs/>
      <w:szCs w:val="21"/>
    </w:rPr>
  </w:style>
  <w:style w:type="character" w:styleId="949" w:customStyle="1">
    <w:name w:val="正文首行缩进 Char"/>
    <w:link w:val="912"/>
    <w:uiPriority w:val="0"/>
    <w:qFormat/>
    <w:rPr>
      <w:rFonts w:ascii="仿宋_GB2312" w:hAnsi="Times New Roman" w:eastAsia="仿宋_GB2312" w:cs="Times New Roman"/>
      <w:sz w:val="30"/>
      <w:szCs w:val="30"/>
    </w:rPr>
  </w:style>
  <w:style w:type="character" w:styleId="950" w:customStyle="1">
    <w:name w:val="正文首行缩进 2 Char"/>
    <w:link w:val="913"/>
    <w:uiPriority w:val="0"/>
    <w:qFormat/>
    <w:rPr>
      <w:rFonts w:ascii="宋体" w:hAnsi="宋体" w:eastAsia="宋体" w:cs="Times New Roman"/>
      <w:szCs w:val="20"/>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b/>
      <w:sz w:val="30"/>
      <w:szCs w:val="28"/>
    </w:rPr>
  </w:style>
  <w:style w:type="paragraph" w:styleId="953" w:customStyle="1">
    <w:name w:val="二级目录"/>
    <w:next w:val="869"/>
    <w:link w:val="95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869"/>
    <w:link w:val="954"/>
    <w:uiPriority w:val="0"/>
    <w:qFormat/>
    <w:pPr>
      <w:contextualSpacing/>
      <w:ind w:left="720"/>
      <w:jc w:val="left"/>
      <w:widowControl/>
    </w:pPr>
    <w:rPr>
      <w:sz w:val="24"/>
      <w:szCs w:val="24"/>
      <w:lang w:eastAsia="en-US" w:bidi="en-US"/>
    </w:rPr>
  </w:style>
  <w:style w:type="paragraph" w:styleId="956" w:customStyle="1">
    <w:name w:val="Body Text(ch)"/>
    <w:basedOn w:val="869"/>
    <w:next w:val="887"/>
    <w:uiPriority w:val="0"/>
    <w:qFormat/>
    <w:pPr>
      <w:spacing w:after="120"/>
    </w:pPr>
    <w:rPr>
      <w:rFonts w:ascii="宋体" w:hAnsi="Arial"/>
      <w:bCs/>
      <w:iCs/>
      <w:szCs w:val="24"/>
    </w:rPr>
  </w:style>
  <w:style w:type="paragraph" w:styleId="957" w:customStyle="1">
    <w:name w:val="xl27"/>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869"/>
    <w:uiPriority w:val="0"/>
    <w:qFormat/>
    <w:pPr>
      <w:ind w:firstLine="200"/>
      <w:tabs>
        <w:tab w:val="left" w:pos="360" w:leader="none"/>
      </w:tabs>
    </w:pPr>
    <w:rPr>
      <w:sz w:val="28"/>
      <w:szCs w:val="30"/>
    </w:rPr>
  </w:style>
  <w:style w:type="paragraph" w:styleId="960" w:customStyle="1">
    <w:name w:val="Char1"/>
    <w:basedOn w:val="884"/>
    <w:uiPriority w:val="0"/>
    <w:qFormat/>
    <w:rPr>
      <w:rFonts w:ascii="Tahoma" w:hAnsi="Tahoma"/>
      <w:sz w:val="24"/>
      <w:szCs w:val="24"/>
    </w:rPr>
  </w:style>
  <w:style w:type="paragraph" w:styleId="961"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962" w:customStyle="1">
    <w:name w:val="table_lines"/>
    <w:basedOn w:val="869"/>
    <w:uiPriority w:val="0"/>
    <w:qFormat/>
    <w:pPr>
      <w:jc w:val="left"/>
      <w:widowControl/>
    </w:pPr>
    <w:rPr>
      <w:sz w:val="20"/>
      <w:szCs w:val="20"/>
      <w:lang w:val="de-DE" w:eastAsia="de-DE"/>
    </w:rPr>
  </w:style>
  <w:style w:type="paragraph" w:styleId="9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4" w:customStyle="1">
    <w:name w:val="font7"/>
    <w:basedOn w:val="869"/>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Char Char Char Char"/>
    <w:basedOn w:val="884"/>
    <w:uiPriority w:val="0"/>
    <w:qFormat/>
    <w:pPr>
      <w:spacing w:line="360" w:lineRule="auto"/>
    </w:pPr>
    <w:rPr>
      <w:rFonts w:ascii="Tahoma" w:hAnsi="Tahoma"/>
      <w:sz w:val="24"/>
      <w:szCs w:val="24"/>
    </w:rPr>
  </w:style>
  <w:style w:type="paragraph" w:styleId="966">
    <w:name w:val="List Paragraph"/>
    <w:basedOn w:val="869"/>
    <w:uiPriority w:val="0"/>
    <w:qFormat/>
    <w:pPr>
      <w:contextualSpacing/>
      <w:ind w:left="720"/>
      <w:jc w:val="left"/>
      <w:widowControl/>
    </w:pPr>
    <w:rPr>
      <w:rFonts w:ascii="Calibri" w:hAnsi="Calibri"/>
      <w:sz w:val="24"/>
      <w:szCs w:val="24"/>
      <w:lang w:eastAsia="en-US" w:bidi="en-US"/>
    </w:rPr>
  </w:style>
  <w:style w:type="paragraph" w:styleId="967" w:customStyle="1">
    <w:name w:val="4"/>
    <w:basedOn w:val="869"/>
    <w:next w:val="904"/>
    <w:uiPriority w:val="0"/>
    <w:qFormat/>
    <w:pPr>
      <w:ind w:firstLine="420"/>
      <w:spacing w:line="360" w:lineRule="auto"/>
    </w:pPr>
    <w:rPr>
      <w:color w:val="ff0000"/>
      <w:sz w:val="24"/>
      <w:szCs w:val="24"/>
    </w:rPr>
  </w:style>
  <w:style w:type="paragraph" w:styleId="968" w:customStyle="1">
    <w:name w:val="普通 (Web)"/>
    <w:basedOn w:val="869"/>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869"/>
    <w:uiPriority w:val="0"/>
    <w:qFormat/>
    <w:pPr>
      <w:spacing w:line="360" w:lineRule="auto"/>
    </w:pPr>
    <w:rPr>
      <w:sz w:val="24"/>
      <w:szCs w:val="20"/>
    </w:rPr>
  </w:style>
  <w:style w:type="paragraph" w:styleId="970" w:customStyle="1">
    <w:name w:val="样式1"/>
    <w:basedOn w:val="869"/>
    <w:uiPriority w:val="0"/>
    <w:qFormat/>
    <w:pPr>
      <w:numPr>
        <w:ilvl w:val="0"/>
        <w:numId w:val="3"/>
      </w:numPr>
    </w:pPr>
    <w:rPr>
      <w:rFonts w:ascii="宋体" w:hAnsi="宋体"/>
      <w:szCs w:val="21"/>
    </w:rPr>
  </w:style>
  <w:style w:type="paragraph" w:styleId="971" w:customStyle="1">
    <w:name w:val="font6"/>
    <w:basedOn w:val="869"/>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869"/>
    <w:next w:val="869"/>
    <w:uiPriority w:val="0"/>
    <w:qFormat/>
    <w:pPr>
      <w:ind w:firstLine="624"/>
      <w:spacing w:line="590" w:lineRule="atLeast"/>
    </w:pPr>
    <w:rPr>
      <w:rFonts w:ascii="方正黑体_GBK" w:eastAsia="方正黑体_GBK"/>
      <w:sz w:val="32"/>
      <w:szCs w:val="32"/>
    </w:rPr>
  </w:style>
  <w:style w:type="paragraph" w:styleId="975" w:customStyle="1">
    <w:name w:val="xl24"/>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6" w:customStyle="1">
    <w:name w:val="xl29"/>
    <w:basedOn w:val="86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7" w:customStyle="1">
    <w:name w:val="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9" w:customStyle="1">
    <w:name w:val="Char Char Char Char Char Char Char Char1"/>
    <w:basedOn w:val="869"/>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869"/>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884"/>
    <w:uiPriority w:val="0"/>
    <w:qFormat/>
    <w:pPr>
      <w:spacing w:line="360" w:lineRule="auto"/>
    </w:pPr>
    <w:rPr>
      <w:rFonts w:ascii="Tahoma" w:hAnsi="Tahoma"/>
      <w:sz w:val="24"/>
      <w:szCs w:val="24"/>
    </w:rPr>
  </w:style>
  <w:style w:type="paragraph" w:styleId="982" w:customStyle="1">
    <w:name w:val="table_1stline"/>
    <w:basedOn w:val="869"/>
    <w:uiPriority w:val="0"/>
    <w:qFormat/>
    <w:pPr>
      <w:jc w:val="left"/>
      <w:spacing w:before="120"/>
      <w:widowControl/>
    </w:pPr>
    <w:rPr>
      <w:bCs/>
      <w:sz w:val="20"/>
      <w:szCs w:val="20"/>
      <w:lang w:val="de-DE" w:eastAsia="de-DE"/>
    </w:rPr>
  </w:style>
  <w:style w:type="paragraph" w:styleId="983" w:customStyle="1">
    <w:name w:val="font5"/>
    <w:basedOn w:val="869"/>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869"/>
    <w:next w:val="86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修订1"/>
    <w:uiPriority w:val="99"/>
    <w:semiHidden/>
    <w:qFormat/>
    <w:rPr>
      <w:rFonts w:ascii="Times New Roman" w:hAnsi="Times New Roman" w:eastAsia="宋体" w:cs="Times New Roman"/>
      <w:sz w:val="21"/>
      <w:szCs w:val="21"/>
      <w:lang w:val="en-US" w:eastAsia="zh-CN" w:bidi="ar-SA"/>
    </w:rPr>
  </w:style>
  <w:style w:type="paragraph" w:styleId="98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87" w:customStyle="1">
    <w:name w:val="NormalCharacter"/>
    <w:uiPriority w:val="0"/>
    <w:qFormat/>
  </w:style>
  <w:style w:type="paragraph" w:styleId="988" w:customStyle="1">
    <w:name w:val="文本块1"/>
    <w:basedOn w:val="869"/>
    <w:uiPriority w:val="0"/>
    <w:qFormat/>
    <w:pPr>
      <w:ind w:left="1440" w:right="700"/>
    </w:pPr>
  </w:style>
  <w:style w:type="paragraph" w:styleId="989" w:customStyle="1">
    <w:name w:val="正文缩进2格"/>
    <w:basedOn w:val="869"/>
    <w:uiPriority w:val="0"/>
    <w:qFormat/>
    <w:pPr>
      <w:ind w:firstLine="639"/>
      <w:spacing w:line="600" w:lineRule="exact"/>
    </w:pPr>
    <w:rPr>
      <w:rFonts w:ascii="仿宋_GB2312" w:hAnsi="宋体" w:eastAsia="仿宋_GB2312"/>
      <w:sz w:val="31"/>
      <w:szCs w:val="28"/>
    </w:rPr>
  </w:style>
  <w:style w:type="paragraph" w:styleId="990" w:customStyle="1">
    <w:name w:val="表格文字"/>
    <w:basedOn w:val="991"/>
    <w:next w:val="887"/>
    <w:uiPriority w:val="0"/>
    <w:qFormat/>
  </w:style>
  <w:style w:type="paragraph" w:styleId="991" w:customStyle="1">
    <w:name w:val="表格文字（两侧对齐）"/>
    <w:basedOn w:val="869"/>
    <w:uiPriority w:val="0"/>
    <w:qFormat/>
    <w:rPr>
      <w:sz w:val="20"/>
    </w:rPr>
  </w:style>
  <w:style w:type="paragraph" w:styleId="992" w:customStyle="1">
    <w:name w:val="正文文本1"/>
    <w:basedOn w:val="869"/>
    <w:next w:val="869"/>
    <w:uiPriority w:val="0"/>
    <w:qFormat/>
    <w:rPr>
      <w:rFonts w:ascii="楷体_GB2312" w:hAnsi="Arial" w:eastAsia="楷体_GB2312"/>
      <w:sz w:val="28"/>
      <w:szCs w:val="28"/>
    </w:rPr>
  </w:style>
  <w:style w:type="character" w:styleId="993" w:customStyle="1">
    <w:name w:val="15"/>
    <w:basedOn w:val="879"/>
    <w:uiPriority w:val="0"/>
    <w:qFormat/>
    <w:rPr>
      <w:rFonts w:hint="default" w:ascii="Times New Roman" w:hAnsi="Times New Roman" w:cs="Times New Roman"/>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1937B1-4D17-4A0E-A993-DDE2AC5ABE8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尹淑瑜</cp:lastModifiedBy>
  <cp:revision>3</cp:revision>
  <dcterms:created xsi:type="dcterms:W3CDTF">2025-07-16T07:17:00Z</dcterms:created>
  <dcterms:modified xsi:type="dcterms:W3CDTF">2025-09-17T01:40:35Z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C3C4106DC6CE4FB981304225C202F4CE_13</vt:lpwstr>
  </property>
  <property fmtid="{D5CDD505-2E9C-101B-9397-08002B2CF9AE}" pid="4" name="KSOTemplateDocerSaveRecord">
    <vt:lpwstr>eyJoZGlkIjoiZWRlOWY2ZmQyZWUwNWFiMzM2MTFhNjc0OTJjZTkzYjMiLCJ1c2VySWQiOiI0MDg0MjgwMzgifQ==</vt:lpwstr>
  </property>
</Properties>
</file>