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1"/>
        <w:jc w:val="center"/>
        <w:spacing w:before="120" w:after="120" w:line="360" w:lineRule="auto"/>
        <w:rPr>
          <w:rFonts w:hint="eastAsia" w:ascii="宋体" w:hAnsi="宋体" w:eastAsia="宋体" w:cs="宋体"/>
          <w:b/>
          <w:bCs/>
          <w:color w:val="auto"/>
          <w:sz w:val="84"/>
          <w:szCs w:val="84"/>
          <w:highlight w:val="none"/>
        </w:rPr>
      </w:pPr>
      <w:r>
        <w:rPr>
          <w:rFonts w:hint="eastAsia" w:ascii="宋体" w:hAnsi="宋体" w:eastAsia="宋体" w:cs="宋体"/>
          <w:b/>
          <w:bCs/>
          <w:color w:val="auto"/>
          <w:sz w:val="84"/>
          <w:szCs w:val="84"/>
          <w:highlight w:val="none"/>
        </w:rPr>
        <w:t xml:space="preserve"> </w:t>
      </w:r>
      <w:r>
        <w:rPr>
          <w:color w:val="auto"/>
        </w:rPr>
      </w:r>
      <w:r/>
    </w:p>
    <w:p>
      <w:pPr>
        <w:pStyle w:val="946"/>
        <w:ind w:firstLine="0"/>
        <w:jc w:val="center"/>
        <w:spacing w:line="360" w:lineRule="auto"/>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招　标　文　件</w:t>
      </w:r>
      <w:r>
        <w:rPr>
          <w:color w:val="auto"/>
        </w:rPr>
      </w:r>
      <w:r/>
    </w:p>
    <w:p>
      <w:pPr>
        <w:pStyle w:val="946"/>
        <w:ind w:firstLine="0"/>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项目名称：大新镇居家养老</w:t>
      </w:r>
      <w:r>
        <w:rPr>
          <w:rFonts w:hint="eastAsia" w:ascii="宋体" w:hAnsi="宋体" w:cs="宋体"/>
          <w:b/>
          <w:bCs/>
          <w:color w:val="auto"/>
          <w:sz w:val="32"/>
          <w:szCs w:val="32"/>
          <w:highlight w:val="none"/>
          <w:lang w:eastAsia="zh-CN"/>
        </w:rPr>
        <w:t xml:space="preserve">上门</w:t>
      </w:r>
      <w:r>
        <w:rPr>
          <w:rFonts w:hint="eastAsia" w:ascii="宋体" w:hAnsi="宋体" w:eastAsia="宋体" w:cs="宋体"/>
          <w:b/>
          <w:bCs/>
          <w:color w:val="auto"/>
          <w:sz w:val="32"/>
          <w:szCs w:val="32"/>
          <w:highlight w:val="none"/>
        </w:rPr>
        <w:t xml:space="preserve">服务项目</w:t>
      </w:r>
      <w:r>
        <w:rPr>
          <w:color w:val="auto"/>
        </w:rPr>
      </w:r>
      <w:r/>
    </w:p>
    <w:p>
      <w:pPr>
        <w:pStyle w:val="946"/>
        <w:ind w:firstLine="0"/>
        <w:jc w:val="center"/>
        <w:spacing w:line="360" w:lineRule="auto"/>
        <w:rPr>
          <w:rFonts w:hint="eastAsia" w:ascii="宋体" w:hAnsi="宋体" w:cs="宋体"/>
          <w:b/>
          <w:color w:val="auto"/>
          <w:sz w:val="32"/>
          <w:szCs w:val="32"/>
          <w:highlight w:val="none"/>
        </w:rPr>
      </w:pPr>
      <w:r>
        <w:rPr>
          <w:rFonts w:hint="eastAsia" w:ascii="宋体" w:hAnsi="宋体" w:eastAsia="宋体" w:cs="宋体"/>
          <w:b/>
          <w:color w:val="auto"/>
          <w:sz w:val="32"/>
          <w:szCs w:val="32"/>
          <w:highlight w:val="none"/>
        </w:rPr>
        <w:t xml:space="preserve">标书编号：JSZC-320582-JHYZ-G2024-0016</w:t>
      </w:r>
      <w:r>
        <w:rPr>
          <w:color w:val="auto"/>
        </w:rPr>
      </w:r>
      <w:r/>
    </w:p>
    <w:p>
      <w:pPr>
        <w:pStyle w:val="946"/>
        <w:ind w:firstLine="0"/>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项目属性：</w:t>
      </w:r>
      <w:r>
        <w:rPr>
          <w:rFonts w:hint="eastAsia" w:ascii="宋体" w:hAnsi="宋体"/>
          <w:b/>
          <w:color w:val="auto"/>
          <w:sz w:val="32"/>
          <w:szCs w:val="32"/>
          <w:highlight w:val="none"/>
          <w:lang w:val="en-US" w:eastAsia="zh-CN"/>
        </w:rPr>
        <w:t xml:space="preserve">服务</w:t>
      </w:r>
      <w:r>
        <w:rPr>
          <w:rFonts w:hint="eastAsia" w:ascii="宋体" w:hAnsi="宋体"/>
          <w:b/>
          <w:color w:val="auto"/>
          <w:sz w:val="32"/>
          <w:szCs w:val="32"/>
          <w:highlight w:val="none"/>
        </w:rPr>
        <w:t xml:space="preserve">类</w:t>
      </w:r>
      <w:r>
        <w:rPr>
          <w:color w:val="auto"/>
        </w:rPr>
      </w:r>
      <w:r/>
    </w:p>
    <w:p>
      <w:pPr>
        <w:pStyle w:val="946"/>
        <w:ind w:firstLine="0"/>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                </w:t>
      </w:r>
      <w:r>
        <w:rPr>
          <w:color w:val="auto"/>
        </w:rPr>
      </w:r>
      <w:r/>
    </w:p>
    <w:p>
      <w:pPr>
        <w:pStyle w:val="946"/>
        <w:ind w:firstLine="0"/>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color w:val="auto"/>
        </w:rPr>
      </w:r>
      <w:r/>
    </w:p>
    <w:p>
      <w:pPr>
        <w:pStyle w:val="946"/>
        <w:ind w:firstLine="0"/>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color w:val="auto"/>
        </w:rPr>
      </w:r>
      <w:r/>
    </w:p>
    <w:p>
      <w:pPr>
        <w:pStyle w:val="946"/>
        <w:ind w:firstLine="0"/>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color w:val="auto"/>
        </w:rPr>
      </w:r>
      <w:r/>
    </w:p>
    <w:p>
      <w:pPr>
        <w:pStyle w:val="946"/>
        <w:ind w:firstLine="0"/>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color w:val="auto"/>
        </w:rPr>
      </w:r>
      <w:r/>
    </w:p>
    <w:p>
      <w:pPr>
        <w:pStyle w:val="946"/>
        <w:ind w:firstLine="0"/>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color w:val="auto"/>
        </w:rPr>
      </w:r>
      <w:r/>
    </w:p>
    <w:p>
      <w:pPr>
        <w:pStyle w:val="946"/>
        <w:ind w:firstLine="0"/>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color w:val="auto"/>
        </w:rPr>
      </w:r>
      <w:r/>
    </w:p>
    <w:p>
      <w:pPr>
        <w:pStyle w:val="946"/>
        <w:ind w:firstLine="0"/>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color w:val="auto"/>
        </w:rPr>
      </w:r>
      <w:r/>
    </w:p>
    <w:p>
      <w:pPr>
        <w:pStyle w:val="920"/>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张家港市金浩源招投标代理有限公司</w:t>
      </w:r>
      <w:r>
        <w:rPr>
          <w:color w:val="auto"/>
        </w:rPr>
      </w:r>
      <w:r/>
    </w:p>
    <w:p>
      <w:pPr>
        <w:pStyle w:val="946"/>
        <w:ind w:firstLine="0"/>
        <w:jc w:val="center"/>
        <w:spacing w:line="360" w:lineRule="auto"/>
        <w:rPr>
          <w:rFonts w:ascii="宋体" w:hAnsi="宋体" w:eastAsia="宋体" w:cs="宋体"/>
          <w:b/>
          <w:bCs/>
          <w:color w:val="auto"/>
          <w:sz w:val="32"/>
          <w:highlight w:val="none"/>
        </w:rPr>
      </w:pPr>
      <w:r>
        <w:rPr>
          <w:color w:val="auto"/>
        </w:rPr>
      </w:r>
      <w:bookmarkStart w:id="0" w:name="EB52307051e0d04806912e5842f73c8551"/>
      <w:r>
        <w:rPr>
          <w:rFonts w:hint="eastAsia" w:ascii="宋体" w:hAnsi="宋体" w:eastAsia="宋体" w:cs="宋体"/>
          <w:b/>
          <w:bCs/>
          <w:color w:val="auto"/>
          <w:sz w:val="32"/>
          <w:highlight w:val="none"/>
        </w:rPr>
        <w:t xml:space="preserve">202</w:t>
      </w:r>
      <w:r>
        <w:rPr>
          <w:rFonts w:hint="eastAsia" w:ascii="宋体" w:hAnsi="宋体" w:cs="宋体"/>
          <w:b/>
          <w:bCs/>
          <w:color w:val="auto"/>
          <w:sz w:val="32"/>
          <w:highlight w:val="none"/>
          <w:lang w:val="en-US" w:eastAsia="zh-CN"/>
        </w:rPr>
        <w:t xml:space="preserve">4</w:t>
      </w:r>
      <w:r>
        <w:rPr>
          <w:rFonts w:hint="eastAsia" w:ascii="宋体" w:hAnsi="宋体" w:eastAsia="宋体" w:cs="宋体"/>
          <w:b/>
          <w:bCs/>
          <w:color w:val="auto"/>
          <w:sz w:val="32"/>
          <w:highlight w:val="none"/>
        </w:rPr>
        <w:t xml:space="preserve">年</w:t>
      </w:r>
      <w:r>
        <w:rPr>
          <w:rFonts w:hint="eastAsia" w:ascii="宋体" w:hAnsi="宋体" w:cs="宋体"/>
          <w:b/>
          <w:bCs/>
          <w:color w:val="auto"/>
          <w:sz w:val="32"/>
          <w:highlight w:val="none"/>
          <w:lang w:val="en-US" w:eastAsia="zh-CN"/>
        </w:rPr>
        <w:t xml:space="preserve">06</w:t>
      </w:r>
      <w:r>
        <w:rPr>
          <w:rFonts w:hint="eastAsia" w:ascii="宋体" w:hAnsi="宋体" w:eastAsia="宋体" w:cs="宋体"/>
          <w:b/>
          <w:bCs/>
          <w:color w:val="auto"/>
          <w:sz w:val="32"/>
          <w:highlight w:val="none"/>
        </w:rPr>
        <w:t xml:space="preserve">月</w:t>
      </w:r>
      <w:bookmarkEnd w:id="0"/>
      <w:r>
        <w:rPr>
          <w:rFonts w:hint="eastAsia" w:ascii="宋体" w:hAnsi="宋体" w:cs="宋体"/>
          <w:b/>
          <w:bCs/>
          <w:color w:val="auto"/>
          <w:sz w:val="32"/>
          <w:highlight w:val="none"/>
          <w:lang w:val="en-US" w:eastAsia="zh-CN"/>
        </w:rPr>
        <w:t xml:space="preserve">27日</w:t>
      </w:r>
      <w:r>
        <w:rPr>
          <w:color w:val="auto"/>
        </w:rPr>
      </w:r>
      <w:r/>
    </w:p>
    <w:p>
      <w:pPr>
        <w:pStyle w:val="911"/>
        <w:jc w:val="center"/>
        <w:spacing w:before="120"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color w:val="auto"/>
        </w:rPr>
      </w:r>
      <w:r/>
    </w:p>
    <w:p>
      <w:pPr>
        <w:pStyle w:val="911"/>
        <w:jc w:val="center"/>
        <w:spacing w:before="120"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color w:val="auto"/>
        </w:rPr>
      </w:r>
      <w:r/>
    </w:p>
    <w:p>
      <w:pPr>
        <w:pStyle w:val="911"/>
        <w:jc w:val="center"/>
        <w:spacing w:before="120" w:after="12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color w:val="auto"/>
        </w:rPr>
      </w:r>
      <w:r/>
    </w:p>
    <w:p>
      <w:pPr>
        <w:pStyle w:val="911"/>
        <w:jc w:val="center"/>
        <w:spacing w:line="360" w:lineRule="auto"/>
        <w:rPr>
          <w:rFonts w:hint="eastAsia" w:ascii="宋体" w:hAnsi="宋体" w:eastAsia="宋体" w:cs="宋体"/>
          <w:b/>
          <w:bCs/>
          <w:color w:val="auto"/>
          <w:sz w:val="44"/>
          <w:szCs w:val="44"/>
          <w:highlight w:val="none"/>
        </w:rPr>
      </w:pPr>
      <w:r>
        <w:rPr>
          <w:color w:val="auto"/>
        </w:rPr>
      </w:r>
      <w:bookmarkStart w:id="1" w:name="_Toc120614210"/>
      <w:r>
        <w:rPr>
          <w:color w:val="auto"/>
        </w:rPr>
      </w:r>
      <w:bookmarkStart w:id="2" w:name="_Toc513029200"/>
      <w:r>
        <w:rPr>
          <w:color w:val="auto"/>
        </w:rPr>
      </w:r>
      <w:bookmarkStart w:id="3" w:name="_Toc16938516"/>
      <w:r>
        <w:rPr>
          <w:color w:val="auto"/>
        </w:rPr>
      </w:r>
      <w:bookmarkStart w:id="4" w:name="_Toc20823272"/>
      <w:r>
        <w:rPr>
          <w:color w:val="auto"/>
        </w:rPr>
      </w:r>
      <w:bookmarkStart w:id="5" w:name="_Toc479757206"/>
      <w:r>
        <w:rPr>
          <w:color w:val="auto"/>
        </w:rPr>
      </w:r>
      <w:bookmarkStart w:id="6" w:name="_Toc523127445"/>
      <w:r>
        <w:rPr>
          <w:rFonts w:hint="eastAsia" w:ascii="宋体" w:hAnsi="宋体" w:eastAsia="宋体" w:cs="宋体"/>
          <w:b/>
          <w:bCs/>
          <w:color w:val="auto"/>
          <w:sz w:val="44"/>
          <w:szCs w:val="44"/>
          <w:highlight w:val="none"/>
        </w:rPr>
        <w:br w:type="page" w:clear="all"/>
      </w:r>
      <w:r>
        <w:rPr>
          <w:rFonts w:hint="eastAsia" w:ascii="宋体" w:hAnsi="宋体" w:eastAsia="宋体" w:cs="宋体"/>
          <w:b/>
          <w:bCs/>
          <w:color w:val="auto"/>
          <w:sz w:val="44"/>
          <w:szCs w:val="44"/>
          <w:highlight w:val="none"/>
        </w:rPr>
        <w:t xml:space="preserve">总  目  录</w:t>
      </w:r>
      <w:r>
        <w:rPr>
          <w:color w:val="auto"/>
        </w:rPr>
      </w:r>
      <w:r/>
    </w:p>
    <w:p>
      <w:pPr>
        <w:pStyle w:val="924"/>
        <w:tabs>
          <w:tab w:val="right" w:pos="10092" w:leader="dot"/>
        </w:tabs>
        <w:rPr>
          <w:color w:val="auto"/>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TOC \o "1-2" \h \z \u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Cs w:val="0"/>
          <w:color w:val="auto"/>
          <w:szCs w:val="28"/>
          <w:highlight w:val="none"/>
        </w:rPr>
        <w:fldChar w:fldCharType="begin"/>
      </w:r>
      <w:r>
        <w:rPr>
          <w:rFonts w:hint="eastAsia" w:ascii="宋体" w:hAnsi="宋体" w:eastAsia="宋体" w:cs="宋体"/>
          <w:bCs w:val="0"/>
          <w:color w:val="auto"/>
          <w:szCs w:val="28"/>
          <w:highlight w:val="none"/>
        </w:rPr>
        <w:instrText xml:space="preserve"> HYPERLINK \l _Toc27719 </w:instrText>
      </w:r>
      <w:r>
        <w:rPr>
          <w:rFonts w:hint="eastAsia" w:ascii="宋体" w:hAnsi="宋体" w:eastAsia="宋体" w:cs="宋体"/>
          <w:bCs w:val="0"/>
          <w:color w:val="auto"/>
          <w:szCs w:val="28"/>
          <w:highlight w:val="none"/>
        </w:rPr>
        <w:fldChar w:fldCharType="separate"/>
      </w:r>
      <w:r>
        <w:rPr>
          <w:rFonts w:hint="eastAsia" w:ascii="宋体" w:hAnsi="宋体" w:eastAsia="宋体" w:cs="宋体"/>
          <w:color w:val="auto"/>
          <w:highlight w:val="none"/>
        </w:rPr>
        <w:t xml:space="preserve">第一章  </w:t>
      </w:r>
      <w:r>
        <w:rPr>
          <w:rFonts w:hint="eastAsia" w:ascii="宋体" w:hAnsi="宋体" w:eastAsia="宋体" w:cs="宋体"/>
          <w:color w:val="auto"/>
          <w:highlight w:val="none"/>
          <w:lang w:eastAsia="zh-CN"/>
        </w:rPr>
        <w:t xml:space="preserve">招标公告</w:t>
      </w:r>
      <w:r>
        <w:rPr>
          <w:color w:val="auto"/>
          <w:highlight w:val="none"/>
        </w:rPr>
        <w:tab/>
      </w:r>
      <w:r>
        <w:rPr>
          <w:color w:val="auto"/>
          <w:highlight w:val="none"/>
        </w:rPr>
        <w:fldChar w:fldCharType="begin"/>
      </w:r>
      <w:r>
        <w:rPr>
          <w:color w:val="auto"/>
          <w:highlight w:val="none"/>
        </w:rPr>
        <w:instrText xml:space="preserve"> PAGEREF _Toc27719 \h </w:instrText>
      </w:r>
      <w:r>
        <w:rPr>
          <w:color w:val="auto"/>
          <w:highlight w:val="none"/>
        </w:rPr>
        <w:fldChar w:fldCharType="separate"/>
      </w:r>
      <w:r>
        <w:rPr>
          <w:color w:val="auto"/>
          <w:highlight w:val="none"/>
        </w:rPr>
        <w:t xml:space="preserve">2</w:t>
      </w:r>
      <w:r>
        <w:rPr>
          <w:color w:val="auto"/>
          <w:highlight w:val="none"/>
        </w:rPr>
        <w:fldChar w:fldCharType="end"/>
      </w:r>
      <w:r>
        <w:rPr>
          <w:rFonts w:hint="eastAsia" w:ascii="宋体" w:hAnsi="宋体" w:eastAsia="宋体" w:cs="宋体"/>
          <w:bCs w:val="0"/>
          <w:color w:val="auto"/>
          <w:szCs w:val="28"/>
          <w:highlight w:val="none"/>
        </w:rPr>
        <w:fldChar w:fldCharType="end"/>
      </w:r>
      <w:r>
        <w:rPr>
          <w:color w:val="auto"/>
        </w:rPr>
      </w:r>
      <w:r/>
    </w:p>
    <w:p>
      <w:pPr>
        <w:pStyle w:val="924"/>
        <w:tabs>
          <w:tab w:val="right" w:pos="10092" w:leader="dot"/>
        </w:tabs>
        <w:rPr>
          <w:color w:val="auto"/>
          <w:highlight w:val="none"/>
        </w:rPr>
      </w:pPr>
      <w:r>
        <w:rPr>
          <w:rFonts w:hint="eastAsia" w:ascii="宋体" w:hAnsi="宋体" w:eastAsia="宋体" w:cs="宋体"/>
          <w:bCs/>
          <w:color w:val="auto"/>
          <w:szCs w:val="28"/>
          <w:highlight w:val="none"/>
        </w:rPr>
        <w:fldChar w:fldCharType="begin"/>
      </w:r>
      <w:r>
        <w:rPr>
          <w:rFonts w:hint="eastAsia" w:ascii="宋体" w:hAnsi="宋体" w:eastAsia="宋体" w:cs="宋体"/>
          <w:bCs/>
          <w:color w:val="auto"/>
          <w:szCs w:val="28"/>
          <w:highlight w:val="none"/>
        </w:rPr>
        <w:instrText xml:space="preserve"> HYPERLINK \l _Toc18639 </w:instrText>
      </w:r>
      <w:r>
        <w:rPr>
          <w:rFonts w:hint="eastAsia" w:ascii="宋体" w:hAnsi="宋体" w:eastAsia="宋体" w:cs="宋体"/>
          <w:bCs/>
          <w:color w:val="auto"/>
          <w:szCs w:val="28"/>
          <w:highlight w:val="none"/>
        </w:rPr>
        <w:fldChar w:fldCharType="separate"/>
      </w:r>
      <w:r>
        <w:rPr>
          <w:rFonts w:hint="eastAsia" w:ascii="宋体" w:hAnsi="宋体" w:eastAsia="宋体" w:cs="宋体"/>
          <w:color w:val="auto"/>
          <w:highlight w:val="none"/>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_Toc18639 \h </w:instrText>
      </w:r>
      <w:r>
        <w:rPr>
          <w:color w:val="auto"/>
          <w:highlight w:val="none"/>
        </w:rPr>
        <w:fldChar w:fldCharType="separate"/>
      </w:r>
      <w:r>
        <w:rPr>
          <w:color w:val="auto"/>
          <w:highlight w:val="none"/>
        </w:rPr>
        <w:t xml:space="preserve">6</w:t>
      </w:r>
      <w:r>
        <w:rPr>
          <w:color w:val="auto"/>
          <w:highlight w:val="none"/>
        </w:rPr>
        <w:fldChar w:fldCharType="end"/>
      </w:r>
      <w:r>
        <w:rPr>
          <w:rFonts w:hint="eastAsia" w:ascii="宋体" w:hAnsi="宋体" w:eastAsia="宋体" w:cs="宋体"/>
          <w:bCs/>
          <w:color w:val="auto"/>
          <w:szCs w:val="28"/>
          <w:highlight w:val="none"/>
        </w:rPr>
        <w:fldChar w:fldCharType="end"/>
      </w:r>
      <w:r>
        <w:rPr>
          <w:color w:val="auto"/>
        </w:rPr>
      </w:r>
      <w:r/>
    </w:p>
    <w:p>
      <w:pPr>
        <w:pStyle w:val="925"/>
        <w:tabs>
          <w:tab w:val="right" w:pos="10092" w:leader="dot"/>
        </w:tabs>
        <w:rPr>
          <w:color w:val="auto"/>
          <w:highlight w:val="none"/>
        </w:rPr>
      </w:pPr>
      <w:r>
        <w:rPr>
          <w:rFonts w:hint="eastAsia" w:ascii="宋体" w:hAnsi="宋体" w:eastAsia="宋体" w:cs="宋体"/>
          <w:bCs/>
          <w:color w:val="auto"/>
          <w:szCs w:val="28"/>
          <w:highlight w:val="none"/>
        </w:rPr>
        <w:fldChar w:fldCharType="begin"/>
      </w:r>
      <w:r>
        <w:rPr>
          <w:rFonts w:hint="eastAsia" w:ascii="宋体" w:hAnsi="宋体" w:eastAsia="宋体" w:cs="宋体"/>
          <w:bCs/>
          <w:color w:val="auto"/>
          <w:szCs w:val="28"/>
          <w:highlight w:val="none"/>
        </w:rPr>
        <w:instrText xml:space="preserve"> HYPERLINK \l _Toc23818 </w:instrText>
      </w:r>
      <w:r>
        <w:rPr>
          <w:rFonts w:hint="eastAsia" w:ascii="宋体" w:hAnsi="宋体" w:eastAsia="宋体" w:cs="宋体"/>
          <w:bCs/>
          <w:color w:val="auto"/>
          <w:szCs w:val="28"/>
          <w:highlight w:val="none"/>
        </w:rPr>
        <w:fldChar w:fldCharType="separate"/>
      </w:r>
      <w:r>
        <w:rPr>
          <w:rFonts w:hint="eastAsia" w:ascii="宋体" w:hAnsi="宋体" w:eastAsia="宋体" w:cs="宋体"/>
          <w:bCs/>
          <w:color w:val="auto"/>
          <w:highlight w:val="none"/>
        </w:rPr>
        <w:t xml:space="preserve">一、总则</w:t>
      </w:r>
      <w:r>
        <w:rPr>
          <w:color w:val="auto"/>
          <w:highlight w:val="none"/>
        </w:rPr>
        <w:tab/>
      </w:r>
      <w:r>
        <w:rPr>
          <w:color w:val="auto"/>
          <w:highlight w:val="none"/>
        </w:rPr>
        <w:fldChar w:fldCharType="begin"/>
      </w:r>
      <w:r>
        <w:rPr>
          <w:color w:val="auto"/>
          <w:highlight w:val="none"/>
        </w:rPr>
        <w:instrText xml:space="preserve"> PAGEREF _Toc23818 \h </w:instrText>
      </w:r>
      <w:r>
        <w:rPr>
          <w:color w:val="auto"/>
          <w:highlight w:val="none"/>
        </w:rPr>
        <w:fldChar w:fldCharType="separate"/>
      </w:r>
      <w:r>
        <w:rPr>
          <w:color w:val="auto"/>
          <w:highlight w:val="none"/>
        </w:rPr>
        <w:t xml:space="preserve">6</w:t>
      </w:r>
      <w:r>
        <w:rPr>
          <w:color w:val="auto"/>
          <w:highlight w:val="none"/>
        </w:rPr>
        <w:fldChar w:fldCharType="end"/>
      </w:r>
      <w:r>
        <w:rPr>
          <w:rFonts w:hint="eastAsia" w:ascii="宋体" w:hAnsi="宋体" w:eastAsia="宋体" w:cs="宋体"/>
          <w:bCs/>
          <w:color w:val="auto"/>
          <w:szCs w:val="28"/>
          <w:highlight w:val="none"/>
        </w:rPr>
        <w:fldChar w:fldCharType="end"/>
      </w:r>
      <w:r>
        <w:rPr>
          <w:color w:val="auto"/>
        </w:rPr>
      </w:r>
      <w:r/>
    </w:p>
    <w:p>
      <w:pPr>
        <w:pStyle w:val="925"/>
        <w:tabs>
          <w:tab w:val="right" w:pos="10092" w:leader="dot"/>
        </w:tabs>
        <w:rPr>
          <w:color w:val="auto"/>
          <w:highlight w:val="none"/>
        </w:rPr>
      </w:pPr>
      <w:r>
        <w:rPr>
          <w:rFonts w:hint="eastAsia" w:ascii="宋体" w:hAnsi="宋体" w:eastAsia="宋体" w:cs="宋体"/>
          <w:bCs/>
          <w:color w:val="auto"/>
          <w:szCs w:val="28"/>
          <w:highlight w:val="none"/>
        </w:rPr>
        <w:fldChar w:fldCharType="begin"/>
      </w:r>
      <w:r>
        <w:rPr>
          <w:rFonts w:hint="eastAsia" w:ascii="宋体" w:hAnsi="宋体" w:eastAsia="宋体" w:cs="宋体"/>
          <w:bCs/>
          <w:color w:val="auto"/>
          <w:szCs w:val="28"/>
          <w:highlight w:val="none"/>
        </w:rPr>
        <w:instrText xml:space="preserve"> HYPERLINK \l _Toc1941 </w:instrText>
      </w:r>
      <w:r>
        <w:rPr>
          <w:rFonts w:hint="eastAsia" w:ascii="宋体" w:hAnsi="宋体" w:eastAsia="宋体" w:cs="宋体"/>
          <w:bCs/>
          <w:color w:val="auto"/>
          <w:szCs w:val="28"/>
          <w:highlight w:val="none"/>
        </w:rPr>
        <w:fldChar w:fldCharType="separate"/>
      </w:r>
      <w:r>
        <w:rPr>
          <w:rFonts w:hint="eastAsia" w:ascii="宋体" w:hAnsi="宋体" w:eastAsia="宋体" w:cs="宋体"/>
          <w:bCs w:val="0"/>
          <w:color w:val="auto"/>
          <w:highlight w:val="none"/>
        </w:rPr>
        <w:t xml:space="preserve">二、招标文件</w:t>
      </w:r>
      <w:r>
        <w:rPr>
          <w:color w:val="auto"/>
          <w:highlight w:val="none"/>
        </w:rPr>
        <w:tab/>
      </w:r>
      <w:r>
        <w:rPr>
          <w:color w:val="auto"/>
          <w:highlight w:val="none"/>
        </w:rPr>
        <w:fldChar w:fldCharType="begin"/>
      </w:r>
      <w:r>
        <w:rPr>
          <w:color w:val="auto"/>
          <w:highlight w:val="none"/>
        </w:rPr>
        <w:instrText xml:space="preserve"> PAGEREF _Toc1941 \h </w:instrText>
      </w:r>
      <w:r>
        <w:rPr>
          <w:color w:val="auto"/>
          <w:highlight w:val="none"/>
        </w:rPr>
        <w:fldChar w:fldCharType="separate"/>
      </w:r>
      <w:r>
        <w:rPr>
          <w:color w:val="auto"/>
          <w:highlight w:val="none"/>
        </w:rPr>
        <w:t xml:space="preserve">6</w:t>
      </w:r>
      <w:r>
        <w:rPr>
          <w:color w:val="auto"/>
          <w:highlight w:val="none"/>
        </w:rPr>
        <w:fldChar w:fldCharType="end"/>
      </w:r>
      <w:r>
        <w:rPr>
          <w:rFonts w:hint="eastAsia" w:ascii="宋体" w:hAnsi="宋体" w:eastAsia="宋体" w:cs="宋体"/>
          <w:bCs/>
          <w:color w:val="auto"/>
          <w:szCs w:val="28"/>
          <w:highlight w:val="none"/>
        </w:rPr>
        <w:fldChar w:fldCharType="end"/>
      </w:r>
      <w:r>
        <w:rPr>
          <w:color w:val="auto"/>
        </w:rPr>
      </w:r>
      <w:r/>
    </w:p>
    <w:p>
      <w:pPr>
        <w:pStyle w:val="925"/>
        <w:tabs>
          <w:tab w:val="right" w:pos="10092" w:leader="dot"/>
        </w:tabs>
        <w:rPr>
          <w:color w:val="auto"/>
          <w:highlight w:val="none"/>
        </w:rPr>
      </w:pPr>
      <w:r>
        <w:rPr>
          <w:rFonts w:hint="eastAsia" w:ascii="宋体" w:hAnsi="宋体" w:eastAsia="宋体" w:cs="宋体"/>
          <w:bCs/>
          <w:color w:val="auto"/>
          <w:szCs w:val="28"/>
          <w:highlight w:val="none"/>
        </w:rPr>
        <w:fldChar w:fldCharType="begin"/>
      </w:r>
      <w:r>
        <w:rPr>
          <w:rFonts w:hint="eastAsia" w:ascii="宋体" w:hAnsi="宋体" w:eastAsia="宋体" w:cs="宋体"/>
          <w:bCs/>
          <w:color w:val="auto"/>
          <w:szCs w:val="28"/>
          <w:highlight w:val="none"/>
        </w:rPr>
        <w:instrText xml:space="preserve"> HYPERLINK \l _Toc25648 </w:instrText>
      </w:r>
      <w:r>
        <w:rPr>
          <w:rFonts w:hint="eastAsia" w:ascii="宋体" w:hAnsi="宋体" w:eastAsia="宋体" w:cs="宋体"/>
          <w:bCs/>
          <w:color w:val="auto"/>
          <w:szCs w:val="28"/>
          <w:highlight w:val="none"/>
        </w:rPr>
        <w:fldChar w:fldCharType="separate"/>
      </w:r>
      <w:r>
        <w:rPr>
          <w:rFonts w:hint="eastAsia" w:ascii="宋体" w:hAnsi="宋体"/>
          <w:bCs/>
          <w:color w:val="auto"/>
          <w:highlight w:val="none"/>
        </w:rPr>
        <w:t xml:space="preserve">三、投标文件的编制</w:t>
      </w:r>
      <w:r>
        <w:rPr>
          <w:color w:val="auto"/>
          <w:highlight w:val="none"/>
        </w:rPr>
        <w:tab/>
      </w:r>
      <w:r>
        <w:rPr>
          <w:color w:val="auto"/>
          <w:highlight w:val="none"/>
        </w:rPr>
        <w:fldChar w:fldCharType="begin"/>
      </w:r>
      <w:r>
        <w:rPr>
          <w:color w:val="auto"/>
          <w:highlight w:val="none"/>
        </w:rPr>
        <w:instrText xml:space="preserve"> PAGEREF _Toc25648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宋体" w:hAnsi="宋体" w:eastAsia="宋体" w:cs="宋体"/>
          <w:bCs/>
          <w:color w:val="auto"/>
          <w:szCs w:val="28"/>
          <w:highlight w:val="none"/>
        </w:rPr>
        <w:fldChar w:fldCharType="end"/>
      </w:r>
      <w:r>
        <w:rPr>
          <w:color w:val="auto"/>
        </w:rPr>
      </w:r>
      <w:r/>
    </w:p>
    <w:p>
      <w:pPr>
        <w:pStyle w:val="925"/>
        <w:tabs>
          <w:tab w:val="right" w:pos="10092" w:leader="dot"/>
        </w:tabs>
        <w:rPr>
          <w:color w:val="auto"/>
          <w:highlight w:val="none"/>
        </w:rPr>
      </w:pPr>
      <w:r>
        <w:rPr>
          <w:rFonts w:hint="eastAsia" w:ascii="宋体" w:hAnsi="宋体" w:eastAsia="宋体" w:cs="宋体"/>
          <w:bCs/>
          <w:color w:val="auto"/>
          <w:szCs w:val="28"/>
          <w:highlight w:val="none"/>
        </w:rPr>
        <w:fldChar w:fldCharType="begin"/>
      </w:r>
      <w:r>
        <w:rPr>
          <w:rFonts w:hint="eastAsia" w:ascii="宋体" w:hAnsi="宋体" w:eastAsia="宋体" w:cs="宋体"/>
          <w:bCs/>
          <w:color w:val="auto"/>
          <w:szCs w:val="28"/>
          <w:highlight w:val="none"/>
        </w:rPr>
        <w:instrText xml:space="preserve"> HYPERLINK \l _Toc17370 </w:instrText>
      </w:r>
      <w:r>
        <w:rPr>
          <w:rFonts w:hint="eastAsia" w:ascii="宋体" w:hAnsi="宋体" w:eastAsia="宋体" w:cs="宋体"/>
          <w:bCs/>
          <w:color w:val="auto"/>
          <w:szCs w:val="28"/>
          <w:highlight w:val="none"/>
        </w:rPr>
        <w:fldChar w:fldCharType="separate"/>
      </w:r>
      <w:r>
        <w:rPr>
          <w:rFonts w:hint="eastAsia" w:ascii="宋体" w:hAnsi="宋体"/>
          <w:bCs w:val="0"/>
          <w:color w:val="auto"/>
          <w:highlight w:val="none"/>
        </w:rPr>
        <w:t xml:space="preserve">四、投标文件的制作、上传、递交</w:t>
      </w:r>
      <w:r>
        <w:rPr>
          <w:color w:val="auto"/>
          <w:highlight w:val="none"/>
        </w:rPr>
        <w:tab/>
      </w:r>
      <w:r>
        <w:rPr>
          <w:color w:val="auto"/>
          <w:highlight w:val="none"/>
        </w:rPr>
        <w:fldChar w:fldCharType="begin"/>
      </w:r>
      <w:r>
        <w:rPr>
          <w:color w:val="auto"/>
          <w:highlight w:val="none"/>
        </w:rPr>
        <w:instrText xml:space="preserve"> PAGEREF _Toc17370 \h </w:instrText>
      </w:r>
      <w:r>
        <w:rPr>
          <w:color w:val="auto"/>
          <w:highlight w:val="none"/>
        </w:rPr>
        <w:fldChar w:fldCharType="separate"/>
      </w:r>
      <w:r>
        <w:rPr>
          <w:color w:val="auto"/>
          <w:highlight w:val="none"/>
        </w:rPr>
        <w:t xml:space="preserve">8</w:t>
      </w:r>
      <w:r>
        <w:rPr>
          <w:color w:val="auto"/>
          <w:highlight w:val="none"/>
        </w:rPr>
        <w:fldChar w:fldCharType="end"/>
      </w:r>
      <w:r>
        <w:rPr>
          <w:rFonts w:hint="eastAsia" w:ascii="宋体" w:hAnsi="宋体" w:eastAsia="宋体" w:cs="宋体"/>
          <w:bCs/>
          <w:color w:val="auto"/>
          <w:szCs w:val="28"/>
          <w:highlight w:val="none"/>
        </w:rPr>
        <w:fldChar w:fldCharType="end"/>
      </w:r>
      <w:r>
        <w:rPr>
          <w:color w:val="auto"/>
        </w:rPr>
      </w:r>
      <w:r/>
    </w:p>
    <w:p>
      <w:pPr>
        <w:pStyle w:val="925"/>
        <w:tabs>
          <w:tab w:val="right" w:pos="10092" w:leader="dot"/>
        </w:tabs>
        <w:rPr>
          <w:color w:val="auto"/>
          <w:highlight w:val="none"/>
        </w:rPr>
      </w:pPr>
      <w:r>
        <w:rPr>
          <w:rFonts w:hint="eastAsia" w:ascii="宋体" w:hAnsi="宋体" w:eastAsia="宋体" w:cs="宋体"/>
          <w:bCs/>
          <w:color w:val="auto"/>
          <w:szCs w:val="28"/>
          <w:highlight w:val="none"/>
        </w:rPr>
        <w:fldChar w:fldCharType="begin"/>
      </w:r>
      <w:r>
        <w:rPr>
          <w:rFonts w:hint="eastAsia" w:ascii="宋体" w:hAnsi="宋体" w:eastAsia="宋体" w:cs="宋体"/>
          <w:bCs/>
          <w:color w:val="auto"/>
          <w:szCs w:val="28"/>
          <w:highlight w:val="none"/>
        </w:rPr>
        <w:instrText xml:space="preserve"> HYPERLINK \l _Toc26079 </w:instrText>
      </w:r>
      <w:r>
        <w:rPr>
          <w:rFonts w:hint="eastAsia" w:ascii="宋体" w:hAnsi="宋体" w:eastAsia="宋体" w:cs="宋体"/>
          <w:bCs/>
          <w:color w:val="auto"/>
          <w:szCs w:val="28"/>
          <w:highlight w:val="none"/>
        </w:rPr>
        <w:fldChar w:fldCharType="separate"/>
      </w:r>
      <w:r>
        <w:rPr>
          <w:rFonts w:hint="eastAsia" w:ascii="宋体" w:hAnsi="宋体" w:eastAsia="宋体"/>
          <w:bCs w:val="0"/>
          <w:color w:val="auto"/>
          <w:highlight w:val="none"/>
        </w:rPr>
        <w:t xml:space="preserve">五、开标与评标</w:t>
      </w:r>
      <w:r>
        <w:rPr>
          <w:color w:val="auto"/>
          <w:highlight w:val="none"/>
        </w:rPr>
        <w:tab/>
      </w:r>
      <w:r>
        <w:rPr>
          <w:color w:val="auto"/>
          <w:highlight w:val="none"/>
        </w:rPr>
        <w:fldChar w:fldCharType="begin"/>
      </w:r>
      <w:r>
        <w:rPr>
          <w:color w:val="auto"/>
          <w:highlight w:val="none"/>
        </w:rPr>
        <w:instrText xml:space="preserve"> PAGEREF _Toc26079 \h </w:instrText>
      </w:r>
      <w:r>
        <w:rPr>
          <w:color w:val="auto"/>
          <w:highlight w:val="none"/>
        </w:rPr>
        <w:fldChar w:fldCharType="separate"/>
      </w:r>
      <w:r>
        <w:rPr>
          <w:color w:val="auto"/>
          <w:highlight w:val="none"/>
        </w:rPr>
        <w:t xml:space="preserve">9</w:t>
      </w:r>
      <w:r>
        <w:rPr>
          <w:color w:val="auto"/>
          <w:highlight w:val="none"/>
        </w:rPr>
        <w:fldChar w:fldCharType="end"/>
      </w:r>
      <w:r>
        <w:rPr>
          <w:rFonts w:hint="eastAsia" w:ascii="宋体" w:hAnsi="宋体" w:eastAsia="宋体" w:cs="宋体"/>
          <w:bCs/>
          <w:color w:val="auto"/>
          <w:szCs w:val="28"/>
          <w:highlight w:val="none"/>
        </w:rPr>
        <w:fldChar w:fldCharType="end"/>
      </w:r>
      <w:r>
        <w:rPr>
          <w:color w:val="auto"/>
        </w:rPr>
      </w:r>
      <w:r/>
    </w:p>
    <w:p>
      <w:pPr>
        <w:pStyle w:val="925"/>
        <w:tabs>
          <w:tab w:val="right" w:pos="10092" w:leader="dot"/>
        </w:tabs>
        <w:rPr>
          <w:color w:val="auto"/>
          <w:highlight w:val="none"/>
        </w:rPr>
      </w:pPr>
      <w:r>
        <w:rPr>
          <w:rFonts w:hint="eastAsia" w:ascii="宋体" w:hAnsi="宋体" w:eastAsia="宋体" w:cs="宋体"/>
          <w:bCs/>
          <w:color w:val="auto"/>
          <w:szCs w:val="28"/>
          <w:highlight w:val="none"/>
        </w:rPr>
        <w:fldChar w:fldCharType="begin"/>
      </w:r>
      <w:r>
        <w:rPr>
          <w:rFonts w:hint="eastAsia" w:ascii="宋体" w:hAnsi="宋体" w:eastAsia="宋体" w:cs="宋体"/>
          <w:bCs/>
          <w:color w:val="auto"/>
          <w:szCs w:val="28"/>
          <w:highlight w:val="none"/>
        </w:rPr>
        <w:instrText xml:space="preserve"> HYPERLINK \l _Toc6263 </w:instrText>
      </w:r>
      <w:r>
        <w:rPr>
          <w:rFonts w:hint="eastAsia" w:ascii="宋体" w:hAnsi="宋体" w:eastAsia="宋体" w:cs="宋体"/>
          <w:bCs/>
          <w:color w:val="auto"/>
          <w:szCs w:val="28"/>
          <w:highlight w:val="none"/>
        </w:rPr>
        <w:fldChar w:fldCharType="separate"/>
      </w:r>
      <w:r>
        <w:rPr>
          <w:rFonts w:hint="eastAsia" w:ascii="宋体" w:hAnsi="宋体" w:eastAsia="宋体" w:cs="宋体"/>
          <w:bCs w:val="0"/>
          <w:color w:val="auto"/>
          <w:szCs w:val="28"/>
          <w:highlight w:val="none"/>
        </w:rPr>
        <w:t xml:space="preserve">六、定标</w:t>
      </w:r>
      <w:r>
        <w:rPr>
          <w:color w:val="auto"/>
          <w:highlight w:val="none"/>
        </w:rPr>
        <w:tab/>
      </w:r>
      <w:r>
        <w:rPr>
          <w:color w:val="auto"/>
          <w:highlight w:val="none"/>
        </w:rPr>
        <w:fldChar w:fldCharType="begin"/>
      </w:r>
      <w:r>
        <w:rPr>
          <w:color w:val="auto"/>
          <w:highlight w:val="none"/>
        </w:rPr>
        <w:instrText xml:space="preserve"> PAGEREF _Toc6263 \h </w:instrText>
      </w:r>
      <w:r>
        <w:rPr>
          <w:color w:val="auto"/>
          <w:highlight w:val="none"/>
        </w:rPr>
        <w:fldChar w:fldCharType="separate"/>
      </w:r>
      <w:r>
        <w:rPr>
          <w:color w:val="auto"/>
          <w:highlight w:val="none"/>
        </w:rPr>
        <w:t xml:space="preserve">12</w:t>
      </w:r>
      <w:r>
        <w:rPr>
          <w:color w:val="auto"/>
          <w:highlight w:val="none"/>
        </w:rPr>
        <w:fldChar w:fldCharType="end"/>
      </w:r>
      <w:r>
        <w:rPr>
          <w:rFonts w:hint="eastAsia" w:ascii="宋体" w:hAnsi="宋体" w:eastAsia="宋体" w:cs="宋体"/>
          <w:bCs/>
          <w:color w:val="auto"/>
          <w:szCs w:val="28"/>
          <w:highlight w:val="none"/>
        </w:rPr>
        <w:fldChar w:fldCharType="end"/>
      </w:r>
      <w:r>
        <w:rPr>
          <w:color w:val="auto"/>
        </w:rPr>
      </w:r>
      <w:r/>
    </w:p>
    <w:p>
      <w:pPr>
        <w:pStyle w:val="925"/>
        <w:tabs>
          <w:tab w:val="right" w:pos="10092" w:leader="dot"/>
        </w:tabs>
        <w:rPr>
          <w:color w:val="auto"/>
          <w:highlight w:val="none"/>
        </w:rPr>
      </w:pPr>
      <w:r>
        <w:rPr>
          <w:rFonts w:hint="eastAsia" w:ascii="宋体" w:hAnsi="宋体" w:eastAsia="宋体" w:cs="宋体"/>
          <w:bCs/>
          <w:color w:val="auto"/>
          <w:szCs w:val="28"/>
          <w:highlight w:val="none"/>
        </w:rPr>
        <w:fldChar w:fldCharType="begin"/>
      </w:r>
      <w:r>
        <w:rPr>
          <w:rFonts w:hint="eastAsia" w:ascii="宋体" w:hAnsi="宋体" w:eastAsia="宋体" w:cs="宋体"/>
          <w:bCs/>
          <w:color w:val="auto"/>
          <w:szCs w:val="28"/>
          <w:highlight w:val="none"/>
        </w:rPr>
        <w:instrText xml:space="preserve"> HYPERLINK \l _Toc25514 </w:instrText>
      </w:r>
      <w:r>
        <w:rPr>
          <w:rFonts w:hint="eastAsia" w:ascii="宋体" w:hAnsi="宋体" w:eastAsia="宋体" w:cs="宋体"/>
          <w:bCs/>
          <w:color w:val="auto"/>
          <w:szCs w:val="28"/>
          <w:highlight w:val="none"/>
        </w:rPr>
        <w:fldChar w:fldCharType="separate"/>
      </w:r>
      <w:r>
        <w:rPr>
          <w:rFonts w:hint="eastAsia" w:ascii="宋体" w:hAnsi="宋体" w:eastAsia="宋体" w:cs="宋体"/>
          <w:bCs w:val="0"/>
          <w:color w:val="auto"/>
          <w:szCs w:val="28"/>
          <w:highlight w:val="none"/>
        </w:rPr>
        <w:t xml:space="preserve">七、授予合同</w:t>
      </w:r>
      <w:r>
        <w:rPr>
          <w:color w:val="auto"/>
          <w:highlight w:val="none"/>
        </w:rPr>
        <w:tab/>
      </w:r>
      <w:r>
        <w:rPr>
          <w:color w:val="auto"/>
          <w:highlight w:val="none"/>
        </w:rPr>
        <w:fldChar w:fldCharType="begin"/>
      </w:r>
      <w:r>
        <w:rPr>
          <w:color w:val="auto"/>
          <w:highlight w:val="none"/>
        </w:rPr>
        <w:instrText xml:space="preserve"> PAGEREF _Toc25514 \h </w:instrText>
      </w:r>
      <w:r>
        <w:rPr>
          <w:color w:val="auto"/>
          <w:highlight w:val="none"/>
        </w:rPr>
        <w:fldChar w:fldCharType="separate"/>
      </w:r>
      <w:r>
        <w:rPr>
          <w:color w:val="auto"/>
          <w:highlight w:val="none"/>
        </w:rPr>
        <w:t xml:space="preserve">14</w:t>
      </w:r>
      <w:r>
        <w:rPr>
          <w:color w:val="auto"/>
          <w:highlight w:val="none"/>
        </w:rPr>
        <w:fldChar w:fldCharType="end"/>
      </w:r>
      <w:r>
        <w:rPr>
          <w:rFonts w:hint="eastAsia" w:ascii="宋体" w:hAnsi="宋体" w:eastAsia="宋体" w:cs="宋体"/>
          <w:bCs/>
          <w:color w:val="auto"/>
          <w:szCs w:val="28"/>
          <w:highlight w:val="none"/>
        </w:rPr>
        <w:fldChar w:fldCharType="end"/>
      </w:r>
      <w:r>
        <w:rPr>
          <w:color w:val="auto"/>
        </w:rPr>
      </w:r>
      <w:r/>
    </w:p>
    <w:p>
      <w:pPr>
        <w:pStyle w:val="924"/>
        <w:tabs>
          <w:tab w:val="right" w:pos="10092" w:leader="dot"/>
        </w:tabs>
        <w:rPr>
          <w:color w:val="auto"/>
          <w:highlight w:val="none"/>
        </w:rPr>
      </w:pPr>
      <w:r>
        <w:rPr>
          <w:rFonts w:hint="eastAsia" w:ascii="宋体" w:hAnsi="宋体" w:eastAsia="宋体" w:cs="宋体"/>
          <w:bCs/>
          <w:color w:val="auto"/>
          <w:szCs w:val="28"/>
          <w:highlight w:val="none"/>
        </w:rPr>
        <w:fldChar w:fldCharType="begin"/>
      </w:r>
      <w:r>
        <w:rPr>
          <w:rFonts w:hint="eastAsia" w:ascii="宋体" w:hAnsi="宋体" w:eastAsia="宋体" w:cs="宋体"/>
          <w:bCs/>
          <w:color w:val="auto"/>
          <w:szCs w:val="28"/>
          <w:highlight w:val="none"/>
        </w:rPr>
        <w:instrText xml:space="preserve"> HYPERLINK \l _Toc4684 </w:instrText>
      </w:r>
      <w:r>
        <w:rPr>
          <w:rFonts w:hint="eastAsia" w:ascii="宋体" w:hAnsi="宋体" w:eastAsia="宋体" w:cs="宋体"/>
          <w:bCs/>
          <w:color w:val="auto"/>
          <w:szCs w:val="28"/>
          <w:highlight w:val="none"/>
        </w:rPr>
        <w:fldChar w:fldCharType="separate"/>
      </w:r>
      <w:r>
        <w:rPr>
          <w:rFonts w:hint="eastAsia" w:ascii="宋体" w:hAnsi="宋体" w:eastAsia="宋体" w:cs="宋体"/>
          <w:color w:val="auto"/>
          <w:highlight w:val="none"/>
        </w:rPr>
        <w:t xml:space="preserve">第三章 合同条款及格式</w:t>
      </w:r>
      <w:r>
        <w:rPr>
          <w:color w:val="auto"/>
          <w:highlight w:val="none"/>
        </w:rPr>
        <w:tab/>
      </w:r>
      <w:r>
        <w:rPr>
          <w:color w:val="auto"/>
          <w:highlight w:val="none"/>
        </w:rPr>
        <w:fldChar w:fldCharType="begin"/>
      </w:r>
      <w:r>
        <w:rPr>
          <w:color w:val="auto"/>
          <w:highlight w:val="none"/>
        </w:rPr>
        <w:instrText xml:space="preserve"> PAGEREF _Toc4684 \h </w:instrText>
      </w:r>
      <w:r>
        <w:rPr>
          <w:color w:val="auto"/>
          <w:highlight w:val="none"/>
        </w:rPr>
        <w:fldChar w:fldCharType="separate"/>
      </w:r>
      <w:r>
        <w:rPr>
          <w:color w:val="auto"/>
          <w:highlight w:val="none"/>
        </w:rPr>
        <w:t xml:space="preserve">15</w:t>
      </w:r>
      <w:r>
        <w:rPr>
          <w:color w:val="auto"/>
          <w:highlight w:val="none"/>
        </w:rPr>
        <w:fldChar w:fldCharType="end"/>
      </w:r>
      <w:r>
        <w:rPr>
          <w:rFonts w:hint="eastAsia" w:ascii="宋体" w:hAnsi="宋体" w:eastAsia="宋体" w:cs="宋体"/>
          <w:bCs/>
          <w:color w:val="auto"/>
          <w:szCs w:val="28"/>
          <w:highlight w:val="none"/>
        </w:rPr>
        <w:fldChar w:fldCharType="end"/>
      </w:r>
      <w:r>
        <w:rPr>
          <w:color w:val="auto"/>
        </w:rPr>
      </w:r>
      <w:r/>
    </w:p>
    <w:p>
      <w:pPr>
        <w:pStyle w:val="924"/>
        <w:tabs>
          <w:tab w:val="right" w:pos="10092" w:leader="dot"/>
        </w:tabs>
        <w:rPr>
          <w:color w:val="auto"/>
          <w:highlight w:val="none"/>
        </w:rPr>
      </w:pPr>
      <w:r>
        <w:rPr>
          <w:rFonts w:hint="eastAsia" w:ascii="宋体" w:hAnsi="宋体" w:eastAsia="宋体" w:cs="宋体"/>
          <w:bCs/>
          <w:color w:val="auto"/>
          <w:szCs w:val="28"/>
          <w:highlight w:val="none"/>
        </w:rPr>
        <w:fldChar w:fldCharType="begin"/>
      </w:r>
      <w:r>
        <w:rPr>
          <w:rFonts w:hint="eastAsia" w:ascii="宋体" w:hAnsi="宋体" w:eastAsia="宋体" w:cs="宋体"/>
          <w:bCs/>
          <w:color w:val="auto"/>
          <w:szCs w:val="28"/>
          <w:highlight w:val="none"/>
        </w:rPr>
        <w:instrText xml:space="preserve"> HYPERLINK \l _Toc27174 </w:instrText>
      </w:r>
      <w:r>
        <w:rPr>
          <w:rFonts w:hint="eastAsia" w:ascii="宋体" w:hAnsi="宋体" w:eastAsia="宋体" w:cs="宋体"/>
          <w:bCs/>
          <w:color w:val="auto"/>
          <w:szCs w:val="28"/>
          <w:highlight w:val="none"/>
        </w:rPr>
        <w:fldChar w:fldCharType="separate"/>
      </w:r>
      <w:r>
        <w:rPr>
          <w:rFonts w:hint="eastAsia" w:ascii="宋体" w:hAnsi="宋体" w:eastAsia="宋体" w:cs="宋体"/>
          <w:color w:val="auto"/>
          <w:highlight w:val="none"/>
        </w:rPr>
        <w:t xml:space="preserve">第四章 项目需求</w:t>
      </w:r>
      <w:r>
        <w:rPr>
          <w:color w:val="auto"/>
          <w:highlight w:val="none"/>
        </w:rPr>
        <w:tab/>
      </w:r>
      <w:r>
        <w:rPr>
          <w:color w:val="auto"/>
          <w:highlight w:val="none"/>
        </w:rPr>
        <w:fldChar w:fldCharType="begin"/>
      </w:r>
      <w:r>
        <w:rPr>
          <w:color w:val="auto"/>
          <w:highlight w:val="none"/>
        </w:rPr>
        <w:instrText xml:space="preserve"> PAGEREF _Toc27174 \h </w:instrText>
      </w:r>
      <w:r>
        <w:rPr>
          <w:color w:val="auto"/>
          <w:highlight w:val="none"/>
        </w:rPr>
        <w:fldChar w:fldCharType="separate"/>
      </w:r>
      <w:r>
        <w:rPr>
          <w:color w:val="auto"/>
          <w:highlight w:val="none"/>
        </w:rPr>
        <w:t xml:space="preserve">19</w:t>
      </w:r>
      <w:r>
        <w:rPr>
          <w:color w:val="auto"/>
          <w:highlight w:val="none"/>
        </w:rPr>
        <w:fldChar w:fldCharType="end"/>
      </w:r>
      <w:r>
        <w:rPr>
          <w:rFonts w:hint="eastAsia" w:ascii="宋体" w:hAnsi="宋体" w:eastAsia="宋体" w:cs="宋体"/>
          <w:bCs/>
          <w:color w:val="auto"/>
          <w:szCs w:val="28"/>
          <w:highlight w:val="none"/>
        </w:rPr>
        <w:fldChar w:fldCharType="end"/>
      </w:r>
      <w:r>
        <w:rPr>
          <w:color w:val="auto"/>
        </w:rPr>
      </w:r>
      <w:r/>
    </w:p>
    <w:p>
      <w:pPr>
        <w:pStyle w:val="924"/>
        <w:tabs>
          <w:tab w:val="right" w:pos="10092" w:leader="dot"/>
        </w:tabs>
        <w:rPr>
          <w:color w:val="auto"/>
          <w:highlight w:val="none"/>
        </w:rPr>
      </w:pPr>
      <w:r>
        <w:rPr>
          <w:rFonts w:hint="eastAsia" w:ascii="宋体" w:hAnsi="宋体" w:eastAsia="宋体" w:cs="宋体"/>
          <w:bCs/>
          <w:color w:val="auto"/>
          <w:szCs w:val="28"/>
          <w:highlight w:val="none"/>
        </w:rPr>
        <w:fldChar w:fldCharType="begin"/>
      </w:r>
      <w:r>
        <w:rPr>
          <w:rFonts w:hint="eastAsia" w:ascii="宋体" w:hAnsi="宋体" w:eastAsia="宋体" w:cs="宋体"/>
          <w:bCs/>
          <w:color w:val="auto"/>
          <w:szCs w:val="28"/>
          <w:highlight w:val="none"/>
        </w:rPr>
        <w:instrText xml:space="preserve"> HYPERLINK \l _Toc14853 </w:instrText>
      </w:r>
      <w:r>
        <w:rPr>
          <w:rFonts w:hint="eastAsia" w:ascii="宋体" w:hAnsi="宋体" w:eastAsia="宋体" w:cs="宋体"/>
          <w:bCs/>
          <w:color w:val="auto"/>
          <w:szCs w:val="28"/>
          <w:highlight w:val="none"/>
        </w:rPr>
        <w:fldChar w:fldCharType="separate"/>
      </w:r>
      <w:r>
        <w:rPr>
          <w:rFonts w:hint="eastAsia" w:ascii="宋体" w:hAnsi="宋体" w:eastAsia="宋体" w:cs="宋体"/>
          <w:color w:val="auto"/>
          <w:highlight w:val="none"/>
        </w:rPr>
        <w:t xml:space="preserve">第五章 评标方法与评标标准</w:t>
      </w:r>
      <w:r>
        <w:rPr>
          <w:color w:val="auto"/>
          <w:highlight w:val="none"/>
        </w:rPr>
        <w:tab/>
      </w:r>
      <w:r>
        <w:rPr>
          <w:color w:val="auto"/>
          <w:highlight w:val="none"/>
        </w:rPr>
        <w:fldChar w:fldCharType="begin"/>
      </w:r>
      <w:r>
        <w:rPr>
          <w:color w:val="auto"/>
          <w:highlight w:val="none"/>
        </w:rPr>
        <w:instrText xml:space="preserve"> PAGEREF _Toc14853 \h </w:instrText>
      </w:r>
      <w:r>
        <w:rPr>
          <w:color w:val="auto"/>
          <w:highlight w:val="none"/>
        </w:rPr>
        <w:fldChar w:fldCharType="separate"/>
      </w:r>
      <w:r>
        <w:rPr>
          <w:color w:val="auto"/>
          <w:highlight w:val="none"/>
        </w:rPr>
        <w:t xml:space="preserve">34</w:t>
      </w:r>
      <w:r>
        <w:rPr>
          <w:color w:val="auto"/>
          <w:highlight w:val="none"/>
        </w:rPr>
        <w:fldChar w:fldCharType="end"/>
      </w:r>
      <w:r>
        <w:rPr>
          <w:rFonts w:hint="eastAsia" w:ascii="宋体" w:hAnsi="宋体" w:eastAsia="宋体" w:cs="宋体"/>
          <w:bCs/>
          <w:color w:val="auto"/>
          <w:szCs w:val="28"/>
          <w:highlight w:val="none"/>
        </w:rPr>
        <w:fldChar w:fldCharType="end"/>
      </w:r>
      <w:r>
        <w:rPr>
          <w:color w:val="auto"/>
        </w:rPr>
      </w:r>
      <w:r/>
    </w:p>
    <w:p>
      <w:pPr>
        <w:pStyle w:val="925"/>
        <w:tabs>
          <w:tab w:val="right" w:pos="10092" w:leader="dot"/>
        </w:tabs>
        <w:rPr>
          <w:color w:val="auto"/>
          <w:highlight w:val="none"/>
        </w:rPr>
      </w:pPr>
      <w:r>
        <w:rPr>
          <w:rFonts w:hint="eastAsia" w:ascii="宋体" w:hAnsi="宋体" w:eastAsia="宋体" w:cs="宋体"/>
          <w:bCs/>
          <w:color w:val="auto"/>
          <w:szCs w:val="28"/>
          <w:highlight w:val="none"/>
        </w:rPr>
        <w:fldChar w:fldCharType="begin"/>
      </w:r>
      <w:r>
        <w:rPr>
          <w:rFonts w:hint="eastAsia" w:ascii="宋体" w:hAnsi="宋体" w:eastAsia="宋体" w:cs="宋体"/>
          <w:bCs/>
          <w:color w:val="auto"/>
          <w:szCs w:val="28"/>
          <w:highlight w:val="none"/>
        </w:rPr>
        <w:instrText xml:space="preserve"> HYPERLINK \l _Toc31761 </w:instrText>
      </w:r>
      <w:r>
        <w:rPr>
          <w:rFonts w:hint="eastAsia" w:ascii="宋体" w:hAnsi="宋体" w:eastAsia="宋体" w:cs="宋体"/>
          <w:bCs/>
          <w:color w:val="auto"/>
          <w:szCs w:val="28"/>
          <w:highlight w:val="none"/>
        </w:rPr>
        <w:fldChar w:fldCharType="separate"/>
      </w:r>
      <w:r>
        <w:rPr>
          <w:rFonts w:hint="eastAsia" w:ascii="宋体" w:hAnsi="宋体" w:eastAsia="宋体" w:cs="宋体"/>
          <w:bCs/>
          <w:color w:val="auto"/>
          <w:highlight w:val="none"/>
        </w:rPr>
        <w:t xml:space="preserve">一、评标方法与定标原则</w:t>
      </w:r>
      <w:r>
        <w:rPr>
          <w:color w:val="auto"/>
          <w:highlight w:val="none"/>
        </w:rPr>
        <w:tab/>
      </w:r>
      <w:r>
        <w:rPr>
          <w:color w:val="auto"/>
          <w:highlight w:val="none"/>
        </w:rPr>
        <w:fldChar w:fldCharType="begin"/>
      </w:r>
      <w:r>
        <w:rPr>
          <w:color w:val="auto"/>
          <w:highlight w:val="none"/>
        </w:rPr>
        <w:instrText xml:space="preserve"> PAGEREF _Toc31761 \h </w:instrText>
      </w:r>
      <w:r>
        <w:rPr>
          <w:color w:val="auto"/>
          <w:highlight w:val="none"/>
        </w:rPr>
        <w:fldChar w:fldCharType="separate"/>
      </w:r>
      <w:r>
        <w:rPr>
          <w:color w:val="auto"/>
          <w:highlight w:val="none"/>
        </w:rPr>
        <w:t xml:space="preserve">34</w:t>
      </w:r>
      <w:r>
        <w:rPr>
          <w:color w:val="auto"/>
          <w:highlight w:val="none"/>
        </w:rPr>
        <w:fldChar w:fldCharType="end"/>
      </w:r>
      <w:r>
        <w:rPr>
          <w:rFonts w:hint="eastAsia" w:ascii="宋体" w:hAnsi="宋体" w:eastAsia="宋体" w:cs="宋体"/>
          <w:bCs/>
          <w:color w:val="auto"/>
          <w:szCs w:val="28"/>
          <w:highlight w:val="none"/>
        </w:rPr>
        <w:fldChar w:fldCharType="end"/>
      </w:r>
      <w:r>
        <w:rPr>
          <w:color w:val="auto"/>
        </w:rPr>
      </w:r>
      <w:r/>
    </w:p>
    <w:p>
      <w:pPr>
        <w:pStyle w:val="925"/>
        <w:tabs>
          <w:tab w:val="right" w:pos="10092" w:leader="dot"/>
        </w:tabs>
        <w:rPr>
          <w:color w:val="auto"/>
          <w:highlight w:val="none"/>
        </w:rPr>
      </w:pPr>
      <w:r>
        <w:rPr>
          <w:rFonts w:hint="eastAsia" w:ascii="宋体" w:hAnsi="宋体" w:eastAsia="宋体" w:cs="宋体"/>
          <w:bCs/>
          <w:color w:val="auto"/>
          <w:szCs w:val="28"/>
          <w:highlight w:val="none"/>
        </w:rPr>
        <w:fldChar w:fldCharType="begin"/>
      </w:r>
      <w:r>
        <w:rPr>
          <w:rFonts w:hint="eastAsia" w:ascii="宋体" w:hAnsi="宋体" w:eastAsia="宋体" w:cs="宋体"/>
          <w:bCs/>
          <w:color w:val="auto"/>
          <w:szCs w:val="28"/>
          <w:highlight w:val="none"/>
        </w:rPr>
        <w:instrText xml:space="preserve"> HYPERLINK \l _Toc14629 </w:instrText>
      </w:r>
      <w:r>
        <w:rPr>
          <w:rFonts w:hint="eastAsia" w:ascii="宋体" w:hAnsi="宋体" w:eastAsia="宋体" w:cs="宋体"/>
          <w:bCs/>
          <w:color w:val="auto"/>
          <w:szCs w:val="28"/>
          <w:highlight w:val="none"/>
        </w:rPr>
        <w:fldChar w:fldCharType="separate"/>
      </w:r>
      <w:r>
        <w:rPr>
          <w:rFonts w:hint="eastAsia" w:ascii="宋体" w:hAnsi="宋体" w:eastAsia="宋体" w:cs="宋体"/>
          <w:bCs w:val="0"/>
          <w:color w:val="auto"/>
          <w:highlight w:val="none"/>
        </w:rPr>
        <w:t xml:space="preserve">二、评标标准</w:t>
      </w:r>
      <w:r>
        <w:rPr>
          <w:color w:val="auto"/>
          <w:highlight w:val="none"/>
        </w:rPr>
        <w:tab/>
      </w:r>
      <w:r>
        <w:rPr>
          <w:color w:val="auto"/>
          <w:highlight w:val="none"/>
        </w:rPr>
        <w:fldChar w:fldCharType="begin"/>
      </w:r>
      <w:r>
        <w:rPr>
          <w:color w:val="auto"/>
          <w:highlight w:val="none"/>
        </w:rPr>
        <w:instrText xml:space="preserve"> PAGEREF _Toc14629 \h </w:instrText>
      </w:r>
      <w:r>
        <w:rPr>
          <w:color w:val="auto"/>
          <w:highlight w:val="none"/>
        </w:rPr>
        <w:fldChar w:fldCharType="separate"/>
      </w:r>
      <w:r>
        <w:rPr>
          <w:color w:val="auto"/>
          <w:highlight w:val="none"/>
        </w:rPr>
        <w:t xml:space="preserve">34</w:t>
      </w:r>
      <w:r>
        <w:rPr>
          <w:color w:val="auto"/>
          <w:highlight w:val="none"/>
        </w:rPr>
        <w:fldChar w:fldCharType="end"/>
      </w:r>
      <w:r>
        <w:rPr>
          <w:rFonts w:hint="eastAsia" w:ascii="宋体" w:hAnsi="宋体" w:eastAsia="宋体" w:cs="宋体"/>
          <w:bCs/>
          <w:color w:val="auto"/>
          <w:szCs w:val="28"/>
          <w:highlight w:val="none"/>
        </w:rPr>
        <w:fldChar w:fldCharType="end"/>
      </w:r>
      <w:r>
        <w:rPr>
          <w:color w:val="auto"/>
        </w:rPr>
      </w:r>
      <w:r/>
    </w:p>
    <w:p>
      <w:pPr>
        <w:pStyle w:val="924"/>
        <w:tabs>
          <w:tab w:val="right" w:pos="10092" w:leader="dot"/>
        </w:tabs>
        <w:rPr>
          <w:color w:val="auto"/>
          <w:highlight w:val="none"/>
        </w:rPr>
      </w:pPr>
      <w:r>
        <w:rPr>
          <w:rFonts w:hint="eastAsia" w:ascii="宋体" w:hAnsi="宋体" w:eastAsia="宋体" w:cs="宋体"/>
          <w:bCs/>
          <w:color w:val="auto"/>
          <w:szCs w:val="28"/>
          <w:highlight w:val="none"/>
        </w:rPr>
        <w:fldChar w:fldCharType="begin"/>
      </w:r>
      <w:r>
        <w:rPr>
          <w:rFonts w:hint="eastAsia" w:ascii="宋体" w:hAnsi="宋体" w:eastAsia="宋体" w:cs="宋体"/>
          <w:bCs/>
          <w:color w:val="auto"/>
          <w:szCs w:val="28"/>
          <w:highlight w:val="none"/>
        </w:rPr>
        <w:instrText xml:space="preserve"> HYPERLINK \l _Toc28596 </w:instrText>
      </w:r>
      <w:r>
        <w:rPr>
          <w:rFonts w:hint="eastAsia" w:ascii="宋体" w:hAnsi="宋体" w:eastAsia="宋体" w:cs="宋体"/>
          <w:bCs/>
          <w:color w:val="auto"/>
          <w:szCs w:val="28"/>
          <w:highlight w:val="none"/>
        </w:rPr>
        <w:fldChar w:fldCharType="separate"/>
      </w:r>
      <w:r>
        <w:rPr>
          <w:rFonts w:hint="eastAsia" w:ascii="宋体" w:hAnsi="宋体" w:eastAsia="宋体" w:cs="宋体"/>
          <w:color w:val="auto"/>
          <w:highlight w:val="none"/>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_Toc28596 \h </w:instrText>
      </w:r>
      <w:r>
        <w:rPr>
          <w:color w:val="auto"/>
          <w:highlight w:val="none"/>
        </w:rPr>
        <w:fldChar w:fldCharType="separate"/>
      </w:r>
      <w:r>
        <w:rPr>
          <w:color w:val="auto"/>
          <w:highlight w:val="none"/>
        </w:rPr>
        <w:t xml:space="preserve">37</w:t>
      </w:r>
      <w:r>
        <w:rPr>
          <w:color w:val="auto"/>
          <w:highlight w:val="none"/>
        </w:rPr>
        <w:fldChar w:fldCharType="end"/>
      </w:r>
      <w:r>
        <w:rPr>
          <w:rFonts w:hint="eastAsia" w:ascii="宋体" w:hAnsi="宋体" w:eastAsia="宋体" w:cs="宋体"/>
          <w:bCs/>
          <w:color w:val="auto"/>
          <w:szCs w:val="28"/>
          <w:highlight w:val="none"/>
        </w:rPr>
        <w:fldChar w:fldCharType="end"/>
      </w:r>
      <w:r>
        <w:rPr>
          <w:color w:val="auto"/>
        </w:rPr>
      </w:r>
      <w:r/>
    </w:p>
    <w:p>
      <w:pPr>
        <w:pStyle w:val="925"/>
        <w:tabs>
          <w:tab w:val="right" w:pos="10092" w:leader="dot"/>
        </w:tabs>
        <w:rPr>
          <w:color w:val="auto"/>
          <w:highlight w:val="none"/>
        </w:rPr>
      </w:pPr>
      <w:r>
        <w:rPr>
          <w:rFonts w:hint="eastAsia" w:ascii="宋体" w:hAnsi="宋体" w:eastAsia="宋体" w:cs="宋体"/>
          <w:bCs/>
          <w:color w:val="auto"/>
          <w:szCs w:val="28"/>
          <w:highlight w:val="none"/>
        </w:rPr>
        <w:fldChar w:fldCharType="begin"/>
      </w:r>
      <w:r>
        <w:rPr>
          <w:rFonts w:hint="eastAsia" w:ascii="宋体" w:hAnsi="宋体" w:eastAsia="宋体" w:cs="宋体"/>
          <w:bCs/>
          <w:color w:val="auto"/>
          <w:szCs w:val="28"/>
          <w:highlight w:val="none"/>
        </w:rPr>
        <w:instrText xml:space="preserve"> HYPERLINK \l _Toc23638 </w:instrText>
      </w:r>
      <w:r>
        <w:rPr>
          <w:rFonts w:hint="eastAsia" w:ascii="宋体" w:hAnsi="宋体" w:eastAsia="宋体" w:cs="宋体"/>
          <w:bCs/>
          <w:color w:val="auto"/>
          <w:szCs w:val="28"/>
          <w:highlight w:val="none"/>
        </w:rPr>
        <w:fldChar w:fldCharType="separate"/>
      </w:r>
      <w:r>
        <w:rPr>
          <w:rFonts w:hint="eastAsia" w:ascii="宋体" w:hAnsi="宋体" w:eastAsia="宋体" w:cs="宋体"/>
          <w:color w:val="auto"/>
          <w:highlight w:val="none"/>
        </w:rPr>
        <w:t xml:space="preserve">一、封面</w:t>
      </w:r>
      <w:r>
        <w:rPr>
          <w:color w:val="auto"/>
          <w:highlight w:val="none"/>
        </w:rPr>
        <w:tab/>
      </w:r>
      <w:r>
        <w:rPr>
          <w:color w:val="auto"/>
          <w:highlight w:val="none"/>
        </w:rPr>
        <w:fldChar w:fldCharType="begin"/>
      </w:r>
      <w:r>
        <w:rPr>
          <w:color w:val="auto"/>
          <w:highlight w:val="none"/>
        </w:rPr>
        <w:instrText xml:space="preserve"> PAGEREF _Toc23638 \h </w:instrText>
      </w:r>
      <w:r>
        <w:rPr>
          <w:color w:val="auto"/>
          <w:highlight w:val="none"/>
        </w:rPr>
        <w:fldChar w:fldCharType="separate"/>
      </w:r>
      <w:r>
        <w:rPr>
          <w:color w:val="auto"/>
          <w:highlight w:val="none"/>
        </w:rPr>
        <w:t xml:space="preserve">39</w:t>
      </w:r>
      <w:r>
        <w:rPr>
          <w:color w:val="auto"/>
          <w:highlight w:val="none"/>
        </w:rPr>
        <w:fldChar w:fldCharType="end"/>
      </w:r>
      <w:r>
        <w:rPr>
          <w:rFonts w:hint="eastAsia" w:ascii="宋体" w:hAnsi="宋体" w:eastAsia="宋体" w:cs="宋体"/>
          <w:bCs/>
          <w:color w:val="auto"/>
          <w:szCs w:val="28"/>
          <w:highlight w:val="none"/>
        </w:rPr>
        <w:fldChar w:fldCharType="end"/>
      </w:r>
      <w:r>
        <w:rPr>
          <w:color w:val="auto"/>
        </w:rPr>
      </w:r>
      <w:r/>
    </w:p>
    <w:p>
      <w:pPr>
        <w:pStyle w:val="925"/>
        <w:tabs>
          <w:tab w:val="right" w:pos="10092" w:leader="dot"/>
        </w:tabs>
        <w:rPr>
          <w:color w:val="auto"/>
          <w:highlight w:val="none"/>
        </w:rPr>
      </w:pPr>
      <w:r>
        <w:rPr>
          <w:rFonts w:hint="eastAsia" w:ascii="宋体" w:hAnsi="宋体" w:eastAsia="宋体" w:cs="宋体"/>
          <w:bCs/>
          <w:color w:val="auto"/>
          <w:szCs w:val="28"/>
          <w:highlight w:val="none"/>
        </w:rPr>
        <w:fldChar w:fldCharType="begin"/>
      </w:r>
      <w:r>
        <w:rPr>
          <w:rFonts w:hint="eastAsia" w:ascii="宋体" w:hAnsi="宋体" w:eastAsia="宋体" w:cs="宋体"/>
          <w:bCs/>
          <w:color w:val="auto"/>
          <w:szCs w:val="28"/>
          <w:highlight w:val="none"/>
        </w:rPr>
        <w:instrText xml:space="preserve"> HYPERLINK \l _Toc6257 </w:instrText>
      </w:r>
      <w:r>
        <w:rPr>
          <w:rFonts w:hint="eastAsia" w:ascii="宋体" w:hAnsi="宋体" w:eastAsia="宋体" w:cs="宋体"/>
          <w:bCs/>
          <w:color w:val="auto"/>
          <w:szCs w:val="28"/>
          <w:highlight w:val="none"/>
        </w:rPr>
        <w:fldChar w:fldCharType="separate"/>
      </w:r>
      <w:r>
        <w:rPr>
          <w:rFonts w:hint="eastAsia" w:ascii="宋体" w:hAnsi="宋体" w:eastAsia="宋体" w:cs="宋体"/>
          <w:color w:val="auto"/>
          <w:highlight w:val="none"/>
        </w:rPr>
        <w:t xml:space="preserve">二、投标函格式﻿</w:t>
      </w:r>
      <w:r>
        <w:rPr>
          <w:color w:val="auto"/>
          <w:highlight w:val="none"/>
        </w:rPr>
        <w:tab/>
      </w:r>
      <w:r>
        <w:rPr>
          <w:color w:val="auto"/>
          <w:highlight w:val="none"/>
        </w:rPr>
        <w:fldChar w:fldCharType="begin"/>
      </w:r>
      <w:r>
        <w:rPr>
          <w:color w:val="auto"/>
          <w:highlight w:val="none"/>
        </w:rPr>
        <w:instrText xml:space="preserve"> PAGEREF _Toc6257 \h </w:instrText>
      </w:r>
      <w:r>
        <w:rPr>
          <w:color w:val="auto"/>
          <w:highlight w:val="none"/>
        </w:rPr>
        <w:fldChar w:fldCharType="separate"/>
      </w:r>
      <w:r>
        <w:rPr>
          <w:color w:val="auto"/>
          <w:highlight w:val="none"/>
        </w:rPr>
        <w:t xml:space="preserve">40</w:t>
      </w:r>
      <w:r>
        <w:rPr>
          <w:color w:val="auto"/>
          <w:highlight w:val="none"/>
        </w:rPr>
        <w:fldChar w:fldCharType="end"/>
      </w:r>
      <w:r>
        <w:rPr>
          <w:rFonts w:hint="eastAsia" w:ascii="宋体" w:hAnsi="宋体" w:eastAsia="宋体" w:cs="宋体"/>
          <w:bCs/>
          <w:color w:val="auto"/>
          <w:szCs w:val="28"/>
          <w:highlight w:val="none"/>
        </w:rPr>
        <w:fldChar w:fldCharType="end"/>
      </w:r>
      <w:r>
        <w:rPr>
          <w:color w:val="auto"/>
        </w:rPr>
      </w:r>
      <w:r/>
    </w:p>
    <w:p>
      <w:pPr>
        <w:pStyle w:val="925"/>
        <w:tabs>
          <w:tab w:val="right" w:pos="10092" w:leader="dot"/>
        </w:tabs>
        <w:rPr>
          <w:color w:val="auto"/>
          <w:highlight w:val="none"/>
        </w:rPr>
      </w:pPr>
      <w:r>
        <w:rPr>
          <w:rFonts w:hint="eastAsia" w:ascii="宋体" w:hAnsi="宋体" w:eastAsia="宋体" w:cs="宋体"/>
          <w:bCs/>
          <w:color w:val="auto"/>
          <w:szCs w:val="28"/>
          <w:highlight w:val="none"/>
        </w:rPr>
        <w:fldChar w:fldCharType="begin"/>
      </w:r>
      <w:r>
        <w:rPr>
          <w:rFonts w:hint="eastAsia" w:ascii="宋体" w:hAnsi="宋体" w:eastAsia="宋体" w:cs="宋体"/>
          <w:bCs/>
          <w:color w:val="auto"/>
          <w:szCs w:val="28"/>
          <w:highlight w:val="none"/>
        </w:rPr>
        <w:instrText xml:space="preserve"> HYPERLINK \l _Toc1359 </w:instrText>
      </w:r>
      <w:r>
        <w:rPr>
          <w:rFonts w:hint="eastAsia" w:ascii="宋体" w:hAnsi="宋体" w:eastAsia="宋体" w:cs="宋体"/>
          <w:bCs/>
          <w:color w:val="auto"/>
          <w:szCs w:val="28"/>
          <w:highlight w:val="none"/>
        </w:rPr>
        <w:fldChar w:fldCharType="separate"/>
      </w:r>
      <w:r>
        <w:rPr>
          <w:rFonts w:hint="eastAsia" w:ascii="宋体" w:hAnsi="宋体" w:eastAsia="宋体" w:cs="宋体"/>
          <w:color w:val="auto"/>
          <w:szCs w:val="24"/>
          <w:highlight w:val="none"/>
        </w:rPr>
        <w:t xml:space="preserve">三、开标一览表</w:t>
      </w:r>
      <w:r>
        <w:rPr>
          <w:color w:val="auto"/>
          <w:highlight w:val="none"/>
        </w:rPr>
        <w:tab/>
      </w:r>
      <w:r>
        <w:rPr>
          <w:color w:val="auto"/>
          <w:highlight w:val="none"/>
        </w:rPr>
        <w:fldChar w:fldCharType="begin"/>
      </w:r>
      <w:r>
        <w:rPr>
          <w:color w:val="auto"/>
          <w:highlight w:val="none"/>
        </w:rPr>
        <w:instrText xml:space="preserve"> PAGEREF _Toc1359 \h </w:instrText>
      </w:r>
      <w:r>
        <w:rPr>
          <w:color w:val="auto"/>
          <w:highlight w:val="none"/>
        </w:rPr>
        <w:fldChar w:fldCharType="separate"/>
      </w:r>
      <w:r>
        <w:rPr>
          <w:color w:val="auto"/>
          <w:highlight w:val="none"/>
        </w:rPr>
        <w:t xml:space="preserve">41</w:t>
      </w:r>
      <w:r>
        <w:rPr>
          <w:color w:val="auto"/>
          <w:highlight w:val="none"/>
        </w:rPr>
        <w:fldChar w:fldCharType="end"/>
      </w:r>
      <w:r>
        <w:rPr>
          <w:rFonts w:hint="eastAsia" w:ascii="宋体" w:hAnsi="宋体" w:eastAsia="宋体" w:cs="宋体"/>
          <w:bCs/>
          <w:color w:val="auto"/>
          <w:szCs w:val="28"/>
          <w:highlight w:val="none"/>
        </w:rPr>
        <w:fldChar w:fldCharType="end"/>
      </w:r>
      <w:r>
        <w:rPr>
          <w:color w:val="auto"/>
        </w:rPr>
      </w:r>
      <w:r/>
    </w:p>
    <w:p>
      <w:pPr>
        <w:pStyle w:val="925"/>
        <w:tabs>
          <w:tab w:val="right" w:pos="10092" w:leader="dot"/>
        </w:tabs>
        <w:rPr>
          <w:color w:val="auto"/>
          <w:highlight w:val="none"/>
        </w:rPr>
      </w:pPr>
      <w:r>
        <w:rPr>
          <w:rFonts w:hint="eastAsia" w:ascii="宋体" w:hAnsi="宋体" w:eastAsia="宋体" w:cs="宋体"/>
          <w:bCs/>
          <w:color w:val="auto"/>
          <w:szCs w:val="28"/>
          <w:highlight w:val="none"/>
        </w:rPr>
        <w:fldChar w:fldCharType="begin"/>
      </w:r>
      <w:r>
        <w:rPr>
          <w:rFonts w:hint="eastAsia" w:ascii="宋体" w:hAnsi="宋体" w:eastAsia="宋体" w:cs="宋体"/>
          <w:bCs/>
          <w:color w:val="auto"/>
          <w:szCs w:val="28"/>
          <w:highlight w:val="none"/>
        </w:rPr>
        <w:instrText xml:space="preserve"> HYPERLINK \l _Toc9622 </w:instrText>
      </w:r>
      <w:r>
        <w:rPr>
          <w:rFonts w:hint="eastAsia" w:ascii="宋体" w:hAnsi="宋体" w:eastAsia="宋体" w:cs="宋体"/>
          <w:bCs/>
          <w:color w:val="auto"/>
          <w:szCs w:val="28"/>
          <w:highlight w:val="none"/>
        </w:rPr>
        <w:fldChar w:fldCharType="separate"/>
      </w:r>
      <w:r>
        <w:rPr>
          <w:rFonts w:hint="eastAsia" w:ascii="宋体" w:hAnsi="宋体" w:eastAsia="宋体" w:cs="宋体"/>
          <w:color w:val="auto"/>
          <w:highlight w:val="none"/>
        </w:rPr>
        <w:t xml:space="preserve">四、资格证明文件</w:t>
      </w:r>
      <w:r>
        <w:rPr>
          <w:color w:val="auto"/>
          <w:highlight w:val="none"/>
        </w:rPr>
        <w:tab/>
      </w:r>
      <w:r>
        <w:rPr>
          <w:color w:val="auto"/>
          <w:highlight w:val="none"/>
        </w:rPr>
        <w:fldChar w:fldCharType="begin"/>
      </w:r>
      <w:r>
        <w:rPr>
          <w:color w:val="auto"/>
          <w:highlight w:val="none"/>
        </w:rPr>
        <w:instrText xml:space="preserve"> PAGEREF _Toc9622 \h </w:instrText>
      </w:r>
      <w:r>
        <w:rPr>
          <w:color w:val="auto"/>
          <w:highlight w:val="none"/>
        </w:rPr>
        <w:fldChar w:fldCharType="separate"/>
      </w:r>
      <w:r>
        <w:rPr>
          <w:color w:val="auto"/>
          <w:highlight w:val="none"/>
        </w:rPr>
        <w:t xml:space="preserve">42</w:t>
      </w:r>
      <w:r>
        <w:rPr>
          <w:color w:val="auto"/>
          <w:highlight w:val="none"/>
        </w:rPr>
        <w:fldChar w:fldCharType="end"/>
      </w:r>
      <w:r>
        <w:rPr>
          <w:rFonts w:hint="eastAsia" w:ascii="宋体" w:hAnsi="宋体" w:eastAsia="宋体" w:cs="宋体"/>
          <w:bCs/>
          <w:color w:val="auto"/>
          <w:szCs w:val="28"/>
          <w:highlight w:val="none"/>
        </w:rPr>
        <w:fldChar w:fldCharType="end"/>
      </w:r>
      <w:r>
        <w:rPr>
          <w:color w:val="auto"/>
        </w:rPr>
      </w:r>
      <w:r/>
    </w:p>
    <w:p>
      <w:pPr>
        <w:pStyle w:val="925"/>
        <w:tabs>
          <w:tab w:val="right" w:pos="10092" w:leader="dot"/>
        </w:tabs>
        <w:rPr>
          <w:color w:val="auto"/>
          <w:highlight w:val="none"/>
        </w:rPr>
      </w:pPr>
      <w:r>
        <w:rPr>
          <w:rFonts w:hint="eastAsia" w:ascii="宋体" w:hAnsi="宋体" w:eastAsia="宋体" w:cs="宋体"/>
          <w:bCs/>
          <w:color w:val="auto"/>
          <w:szCs w:val="28"/>
          <w:highlight w:val="none"/>
        </w:rPr>
        <w:fldChar w:fldCharType="begin"/>
      </w:r>
      <w:r>
        <w:rPr>
          <w:rFonts w:hint="eastAsia" w:ascii="宋体" w:hAnsi="宋体" w:eastAsia="宋体" w:cs="宋体"/>
          <w:bCs/>
          <w:color w:val="auto"/>
          <w:szCs w:val="28"/>
          <w:highlight w:val="none"/>
        </w:rPr>
        <w:instrText xml:space="preserve"> HYPERLINK \l _Toc28878 </w:instrText>
      </w:r>
      <w:r>
        <w:rPr>
          <w:rFonts w:hint="eastAsia" w:ascii="宋体" w:hAnsi="宋体" w:eastAsia="宋体" w:cs="宋体"/>
          <w:bCs/>
          <w:color w:val="auto"/>
          <w:szCs w:val="28"/>
          <w:highlight w:val="none"/>
        </w:rPr>
        <w:fldChar w:fldCharType="separate"/>
      </w:r>
      <w:r>
        <w:rPr>
          <w:rFonts w:hint="eastAsia" w:ascii="宋体" w:hAnsi="宋体" w:eastAsia="宋体" w:cs="宋体"/>
          <w:color w:val="auto"/>
          <w:szCs w:val="32"/>
          <w:highlight w:val="none"/>
          <w:lang w:eastAsia="zh-CN"/>
        </w:rPr>
        <w:t xml:space="preserve">五</w:t>
      </w:r>
      <w:r>
        <w:rPr>
          <w:rFonts w:hint="eastAsia" w:ascii="宋体" w:hAnsi="宋体" w:eastAsia="宋体" w:cs="宋体"/>
          <w:color w:val="auto"/>
          <w:szCs w:val="32"/>
          <w:highlight w:val="none"/>
        </w:rPr>
        <w:t xml:space="preserve">、第四章项目需求中实质性要求响应对照表</w:t>
      </w:r>
      <w:r>
        <w:rPr>
          <w:color w:val="auto"/>
          <w:highlight w:val="none"/>
        </w:rPr>
        <w:tab/>
      </w:r>
      <w:r>
        <w:rPr>
          <w:color w:val="auto"/>
          <w:highlight w:val="none"/>
        </w:rPr>
        <w:fldChar w:fldCharType="begin"/>
      </w:r>
      <w:r>
        <w:rPr>
          <w:color w:val="auto"/>
          <w:highlight w:val="none"/>
        </w:rPr>
        <w:instrText xml:space="preserve"> PAGEREF _Toc28878 \h </w:instrText>
      </w:r>
      <w:r>
        <w:rPr>
          <w:color w:val="auto"/>
          <w:highlight w:val="none"/>
        </w:rPr>
        <w:fldChar w:fldCharType="separate"/>
      </w:r>
      <w:r>
        <w:rPr>
          <w:color w:val="auto"/>
          <w:highlight w:val="none"/>
        </w:rPr>
        <w:t xml:space="preserve">50</w:t>
      </w:r>
      <w:r>
        <w:rPr>
          <w:color w:val="auto"/>
          <w:highlight w:val="none"/>
        </w:rPr>
        <w:fldChar w:fldCharType="end"/>
      </w:r>
      <w:r>
        <w:rPr>
          <w:rFonts w:hint="eastAsia" w:ascii="宋体" w:hAnsi="宋体" w:eastAsia="宋体" w:cs="宋体"/>
          <w:bCs/>
          <w:color w:val="auto"/>
          <w:szCs w:val="28"/>
          <w:highlight w:val="none"/>
        </w:rPr>
        <w:fldChar w:fldCharType="end"/>
      </w:r>
      <w:r>
        <w:rPr>
          <w:color w:val="auto"/>
        </w:rPr>
      </w:r>
      <w:r/>
    </w:p>
    <w:p>
      <w:pPr>
        <w:pStyle w:val="925"/>
        <w:tabs>
          <w:tab w:val="right" w:pos="10092" w:leader="dot"/>
        </w:tabs>
        <w:rPr>
          <w:color w:val="auto"/>
          <w:highlight w:val="none"/>
        </w:rPr>
      </w:pPr>
      <w:r>
        <w:rPr>
          <w:rFonts w:hint="eastAsia" w:ascii="宋体" w:hAnsi="宋体" w:eastAsia="宋体" w:cs="宋体"/>
          <w:bCs/>
          <w:color w:val="auto"/>
          <w:szCs w:val="28"/>
          <w:highlight w:val="none"/>
        </w:rPr>
        <w:fldChar w:fldCharType="begin"/>
      </w:r>
      <w:r>
        <w:rPr>
          <w:rFonts w:hint="eastAsia" w:ascii="宋体" w:hAnsi="宋体" w:eastAsia="宋体" w:cs="宋体"/>
          <w:bCs/>
          <w:color w:val="auto"/>
          <w:szCs w:val="28"/>
          <w:highlight w:val="none"/>
        </w:rPr>
        <w:instrText xml:space="preserve"> HYPERLINK \l _Toc10476 </w:instrText>
      </w:r>
      <w:r>
        <w:rPr>
          <w:rFonts w:hint="eastAsia" w:ascii="宋体" w:hAnsi="宋体" w:eastAsia="宋体" w:cs="宋体"/>
          <w:bCs/>
          <w:color w:val="auto"/>
          <w:szCs w:val="28"/>
          <w:highlight w:val="none"/>
        </w:rPr>
        <w:fldChar w:fldCharType="separate"/>
      </w:r>
      <w:r>
        <w:rPr>
          <w:rFonts w:hint="eastAsia" w:ascii="宋体" w:hAnsi="宋体" w:eastAsia="宋体" w:cs="宋体"/>
          <w:color w:val="auto"/>
          <w:szCs w:val="24"/>
          <w:highlight w:val="none"/>
          <w:lang w:eastAsia="zh-CN"/>
        </w:rPr>
        <w:t xml:space="preserve">六</w:t>
      </w:r>
      <w:r>
        <w:rPr>
          <w:rFonts w:hint="eastAsia" w:ascii="宋体" w:hAnsi="宋体" w:eastAsia="宋体" w:cs="宋体"/>
          <w:color w:val="auto"/>
          <w:szCs w:val="24"/>
          <w:highlight w:val="none"/>
        </w:rPr>
        <w:t xml:space="preserve">、服务</w:t>
      </w:r>
      <w:r>
        <w:rPr>
          <w:rFonts w:hint="eastAsia" w:ascii="宋体" w:hAnsi="宋体" w:eastAsia="宋体" w:cs="宋体"/>
          <w:color w:val="auto"/>
          <w:highlight w:val="none"/>
        </w:rPr>
        <w:t xml:space="preserve">方案</w:t>
      </w:r>
      <w:r>
        <w:rPr>
          <w:color w:val="auto"/>
          <w:highlight w:val="none"/>
        </w:rPr>
        <w:tab/>
      </w:r>
      <w:r>
        <w:rPr>
          <w:color w:val="auto"/>
          <w:highlight w:val="none"/>
        </w:rPr>
        <w:fldChar w:fldCharType="begin"/>
      </w:r>
      <w:r>
        <w:rPr>
          <w:color w:val="auto"/>
          <w:highlight w:val="none"/>
        </w:rPr>
        <w:instrText xml:space="preserve"> PAGEREF _Toc10476 \h </w:instrText>
      </w:r>
      <w:r>
        <w:rPr>
          <w:color w:val="auto"/>
          <w:highlight w:val="none"/>
        </w:rPr>
        <w:fldChar w:fldCharType="separate"/>
      </w:r>
      <w:r>
        <w:rPr>
          <w:color w:val="auto"/>
          <w:highlight w:val="none"/>
        </w:rPr>
        <w:t xml:space="preserve">51</w:t>
      </w:r>
      <w:r>
        <w:rPr>
          <w:color w:val="auto"/>
          <w:highlight w:val="none"/>
        </w:rPr>
        <w:fldChar w:fldCharType="end"/>
      </w:r>
      <w:r>
        <w:rPr>
          <w:rFonts w:hint="eastAsia" w:ascii="宋体" w:hAnsi="宋体" w:eastAsia="宋体" w:cs="宋体"/>
          <w:bCs/>
          <w:color w:val="auto"/>
          <w:szCs w:val="28"/>
          <w:highlight w:val="none"/>
        </w:rPr>
        <w:fldChar w:fldCharType="end"/>
      </w:r>
      <w:r>
        <w:rPr>
          <w:color w:val="auto"/>
        </w:rPr>
      </w:r>
      <w:r/>
    </w:p>
    <w:p>
      <w:pPr>
        <w:pStyle w:val="925"/>
        <w:tabs>
          <w:tab w:val="right" w:pos="10092" w:leader="dot"/>
        </w:tabs>
        <w:rPr>
          <w:color w:val="auto"/>
          <w:highlight w:val="none"/>
        </w:rPr>
      </w:pPr>
      <w:r>
        <w:rPr>
          <w:rFonts w:hint="eastAsia" w:ascii="宋体" w:hAnsi="宋体" w:eastAsia="宋体" w:cs="宋体"/>
          <w:bCs/>
          <w:color w:val="auto"/>
          <w:szCs w:val="28"/>
          <w:highlight w:val="none"/>
        </w:rPr>
        <w:fldChar w:fldCharType="begin"/>
      </w:r>
      <w:r>
        <w:rPr>
          <w:rFonts w:hint="eastAsia" w:ascii="宋体" w:hAnsi="宋体" w:eastAsia="宋体" w:cs="宋体"/>
          <w:bCs/>
          <w:color w:val="auto"/>
          <w:szCs w:val="28"/>
          <w:highlight w:val="none"/>
        </w:rPr>
        <w:instrText xml:space="preserve"> HYPERLINK \l _Toc6517 </w:instrText>
      </w:r>
      <w:r>
        <w:rPr>
          <w:rFonts w:hint="eastAsia" w:ascii="宋体" w:hAnsi="宋体" w:eastAsia="宋体" w:cs="宋体"/>
          <w:bCs/>
          <w:color w:val="auto"/>
          <w:szCs w:val="28"/>
          <w:highlight w:val="none"/>
        </w:rPr>
        <w:fldChar w:fldCharType="separate"/>
      </w:r>
      <w:r>
        <w:rPr>
          <w:rFonts w:hint="eastAsia" w:ascii="宋体" w:hAnsi="宋体" w:eastAsia="宋体" w:cs="宋体"/>
          <w:bCs/>
          <w:color w:val="auto"/>
          <w:szCs w:val="32"/>
          <w:highlight w:val="none"/>
          <w:lang w:eastAsia="zh-CN"/>
        </w:rPr>
        <w:t xml:space="preserve">七</w:t>
      </w:r>
      <w:r>
        <w:rPr>
          <w:rFonts w:hint="eastAsia" w:ascii="宋体" w:hAnsi="宋体" w:eastAsia="宋体" w:cs="宋体"/>
          <w:bCs/>
          <w:color w:val="auto"/>
          <w:szCs w:val="32"/>
          <w:highlight w:val="none"/>
        </w:rPr>
        <w:t xml:space="preserve">、</w:t>
      </w:r>
      <w:r>
        <w:rPr>
          <w:rFonts w:hint="eastAsia" w:ascii="宋体" w:hAnsi="宋体" w:eastAsia="宋体" w:cs="宋体"/>
          <w:color w:val="auto"/>
          <w:highlight w:val="none"/>
        </w:rPr>
        <w:t xml:space="preserve">投标人情况介绍</w:t>
      </w:r>
      <w:r>
        <w:rPr>
          <w:color w:val="auto"/>
          <w:highlight w:val="none"/>
        </w:rPr>
        <w:tab/>
      </w:r>
      <w:r>
        <w:rPr>
          <w:color w:val="auto"/>
          <w:highlight w:val="none"/>
        </w:rPr>
        <w:fldChar w:fldCharType="begin"/>
      </w:r>
      <w:r>
        <w:rPr>
          <w:color w:val="auto"/>
          <w:highlight w:val="none"/>
        </w:rPr>
        <w:instrText xml:space="preserve"> PAGEREF _Toc6517 \h </w:instrText>
      </w:r>
      <w:r>
        <w:rPr>
          <w:color w:val="auto"/>
          <w:highlight w:val="none"/>
        </w:rPr>
        <w:fldChar w:fldCharType="separate"/>
      </w:r>
      <w:r>
        <w:rPr>
          <w:color w:val="auto"/>
          <w:highlight w:val="none"/>
        </w:rPr>
        <w:t xml:space="preserve">52</w:t>
      </w:r>
      <w:r>
        <w:rPr>
          <w:color w:val="auto"/>
          <w:highlight w:val="none"/>
        </w:rPr>
        <w:fldChar w:fldCharType="end"/>
      </w:r>
      <w:r>
        <w:rPr>
          <w:rFonts w:hint="eastAsia" w:ascii="宋体" w:hAnsi="宋体" w:eastAsia="宋体" w:cs="宋体"/>
          <w:bCs/>
          <w:color w:val="auto"/>
          <w:szCs w:val="28"/>
          <w:highlight w:val="none"/>
        </w:rPr>
        <w:fldChar w:fldCharType="end"/>
      </w:r>
      <w:r>
        <w:rPr>
          <w:color w:val="auto"/>
        </w:rPr>
      </w:r>
      <w:r/>
    </w:p>
    <w:p>
      <w:pPr>
        <w:pStyle w:val="925"/>
        <w:tabs>
          <w:tab w:val="right" w:pos="10092" w:leader="dot"/>
        </w:tabs>
        <w:rPr>
          <w:color w:val="auto"/>
          <w:highlight w:val="none"/>
        </w:rPr>
      </w:pPr>
      <w:r>
        <w:rPr>
          <w:rFonts w:hint="eastAsia" w:ascii="宋体" w:hAnsi="宋体" w:eastAsia="宋体" w:cs="宋体"/>
          <w:bCs/>
          <w:color w:val="auto"/>
          <w:szCs w:val="28"/>
          <w:highlight w:val="none"/>
        </w:rPr>
        <w:fldChar w:fldCharType="begin"/>
      </w:r>
      <w:r>
        <w:rPr>
          <w:rFonts w:hint="eastAsia" w:ascii="宋体" w:hAnsi="宋体" w:eastAsia="宋体" w:cs="宋体"/>
          <w:bCs/>
          <w:color w:val="auto"/>
          <w:szCs w:val="28"/>
          <w:highlight w:val="none"/>
        </w:rPr>
        <w:instrText xml:space="preserve"> HYPERLINK \l _Toc2715 </w:instrText>
      </w:r>
      <w:r>
        <w:rPr>
          <w:rFonts w:hint="eastAsia" w:ascii="宋体" w:hAnsi="宋体" w:eastAsia="宋体" w:cs="宋体"/>
          <w:bCs/>
          <w:color w:val="auto"/>
          <w:szCs w:val="28"/>
          <w:highlight w:val="none"/>
        </w:rPr>
        <w:fldChar w:fldCharType="separate"/>
      </w:r>
      <w:r>
        <w:rPr>
          <w:rFonts w:hint="eastAsia" w:ascii="宋体" w:hAnsi="宋体" w:eastAsia="宋体" w:cs="宋体"/>
          <w:color w:val="auto"/>
          <w:highlight w:val="none"/>
          <w:lang w:eastAsia="zh-CN"/>
        </w:rPr>
        <w:t xml:space="preserve">八</w:t>
      </w:r>
      <w:r>
        <w:rPr>
          <w:rFonts w:hint="eastAsia" w:ascii="宋体" w:hAnsi="宋体" w:eastAsia="宋体" w:cs="宋体"/>
          <w:color w:val="auto"/>
          <w:highlight w:val="none"/>
        </w:rPr>
        <w:t xml:space="preserve">、中小企业声明函</w:t>
      </w:r>
      <w:r>
        <w:rPr>
          <w:color w:val="auto"/>
          <w:highlight w:val="none"/>
        </w:rPr>
        <w:tab/>
      </w:r>
      <w:r>
        <w:rPr>
          <w:color w:val="auto"/>
          <w:highlight w:val="none"/>
        </w:rPr>
        <w:fldChar w:fldCharType="begin"/>
      </w:r>
      <w:r>
        <w:rPr>
          <w:color w:val="auto"/>
          <w:highlight w:val="none"/>
        </w:rPr>
        <w:instrText xml:space="preserve"> PAGEREF _Toc2715 \h </w:instrText>
      </w:r>
      <w:r>
        <w:rPr>
          <w:color w:val="auto"/>
          <w:highlight w:val="none"/>
        </w:rPr>
        <w:fldChar w:fldCharType="separate"/>
      </w:r>
      <w:r>
        <w:rPr>
          <w:color w:val="auto"/>
          <w:highlight w:val="none"/>
        </w:rPr>
        <w:t xml:space="preserve">57</w:t>
      </w:r>
      <w:r>
        <w:rPr>
          <w:color w:val="auto"/>
          <w:highlight w:val="none"/>
        </w:rPr>
        <w:fldChar w:fldCharType="end"/>
      </w:r>
      <w:r>
        <w:rPr>
          <w:rFonts w:hint="eastAsia" w:ascii="宋体" w:hAnsi="宋体" w:eastAsia="宋体" w:cs="宋体"/>
          <w:bCs/>
          <w:color w:val="auto"/>
          <w:szCs w:val="28"/>
          <w:highlight w:val="none"/>
        </w:rPr>
        <w:fldChar w:fldCharType="end"/>
      </w:r>
      <w:r>
        <w:rPr>
          <w:color w:val="auto"/>
        </w:rPr>
      </w:r>
      <w:r/>
    </w:p>
    <w:p>
      <w:pPr>
        <w:pStyle w:val="925"/>
        <w:tabs>
          <w:tab w:val="right" w:pos="10092" w:leader="dot"/>
        </w:tabs>
        <w:rPr>
          <w:color w:val="auto"/>
          <w:highlight w:val="none"/>
        </w:rPr>
      </w:pPr>
      <w:r>
        <w:rPr>
          <w:rFonts w:hint="eastAsia" w:ascii="宋体" w:hAnsi="宋体" w:eastAsia="宋体" w:cs="宋体"/>
          <w:bCs/>
          <w:color w:val="auto"/>
          <w:szCs w:val="28"/>
          <w:highlight w:val="none"/>
        </w:rPr>
        <w:fldChar w:fldCharType="begin"/>
      </w:r>
      <w:r>
        <w:rPr>
          <w:rFonts w:hint="eastAsia" w:ascii="宋体" w:hAnsi="宋体" w:eastAsia="宋体" w:cs="宋体"/>
          <w:bCs/>
          <w:color w:val="auto"/>
          <w:szCs w:val="28"/>
          <w:highlight w:val="none"/>
        </w:rPr>
        <w:instrText xml:space="preserve"> HYPERLINK \l _Toc1684 </w:instrText>
      </w:r>
      <w:r>
        <w:rPr>
          <w:rFonts w:hint="eastAsia" w:ascii="宋体" w:hAnsi="宋体" w:eastAsia="宋体" w:cs="宋体"/>
          <w:bCs/>
          <w:color w:val="auto"/>
          <w:szCs w:val="28"/>
          <w:highlight w:val="none"/>
        </w:rPr>
        <w:fldChar w:fldCharType="separate"/>
      </w:r>
      <w:r>
        <w:rPr>
          <w:rFonts w:hint="eastAsia" w:ascii="宋体" w:hAnsi="宋体" w:eastAsia="宋体" w:cs="宋体"/>
          <w:color w:val="auto"/>
          <w:highlight w:val="none"/>
          <w:lang w:eastAsia="zh-CN"/>
        </w:rPr>
        <w:t xml:space="preserve">九</w:t>
      </w:r>
      <w:r>
        <w:rPr>
          <w:rFonts w:hint="eastAsia" w:ascii="宋体" w:hAnsi="宋体" w:eastAsia="宋体" w:cs="宋体"/>
          <w:color w:val="auto"/>
          <w:highlight w:val="none"/>
        </w:rPr>
        <w:t xml:space="preserve">、残疾人福利性单位声明函</w:t>
      </w:r>
      <w:r>
        <w:rPr>
          <w:color w:val="auto"/>
          <w:highlight w:val="none"/>
        </w:rPr>
        <w:tab/>
      </w:r>
      <w:r>
        <w:rPr>
          <w:color w:val="auto"/>
          <w:highlight w:val="none"/>
        </w:rPr>
        <w:fldChar w:fldCharType="begin"/>
      </w:r>
      <w:r>
        <w:rPr>
          <w:color w:val="auto"/>
          <w:highlight w:val="none"/>
        </w:rPr>
        <w:instrText xml:space="preserve"> PAGEREF _Toc1684 \h </w:instrText>
      </w:r>
      <w:r>
        <w:rPr>
          <w:color w:val="auto"/>
          <w:highlight w:val="none"/>
        </w:rPr>
        <w:fldChar w:fldCharType="separate"/>
      </w:r>
      <w:r>
        <w:rPr>
          <w:color w:val="auto"/>
          <w:highlight w:val="none"/>
        </w:rPr>
        <w:t xml:space="preserve">60</w:t>
      </w:r>
      <w:r>
        <w:rPr>
          <w:color w:val="auto"/>
          <w:highlight w:val="none"/>
        </w:rPr>
        <w:fldChar w:fldCharType="end"/>
      </w:r>
      <w:r>
        <w:rPr>
          <w:rFonts w:hint="eastAsia" w:ascii="宋体" w:hAnsi="宋体" w:eastAsia="宋体" w:cs="宋体"/>
          <w:bCs/>
          <w:color w:val="auto"/>
          <w:szCs w:val="28"/>
          <w:highlight w:val="none"/>
        </w:rPr>
        <w:fldChar w:fldCharType="end"/>
      </w:r>
      <w:r>
        <w:rPr>
          <w:color w:val="auto"/>
        </w:rPr>
      </w:r>
      <w:r/>
    </w:p>
    <w:p>
      <w:pPr>
        <w:pStyle w:val="925"/>
        <w:tabs>
          <w:tab w:val="right" w:pos="10092" w:leader="dot"/>
        </w:tabs>
        <w:rPr>
          <w:color w:val="auto"/>
          <w:highlight w:val="none"/>
        </w:rPr>
      </w:pPr>
      <w:r>
        <w:rPr>
          <w:rFonts w:hint="eastAsia" w:ascii="宋体" w:hAnsi="宋体" w:eastAsia="宋体" w:cs="宋体"/>
          <w:bCs/>
          <w:color w:val="auto"/>
          <w:szCs w:val="28"/>
          <w:highlight w:val="none"/>
        </w:rPr>
        <w:fldChar w:fldCharType="begin"/>
      </w:r>
      <w:r>
        <w:rPr>
          <w:rFonts w:hint="eastAsia" w:ascii="宋体" w:hAnsi="宋体" w:eastAsia="宋体" w:cs="宋体"/>
          <w:bCs/>
          <w:color w:val="auto"/>
          <w:szCs w:val="28"/>
          <w:highlight w:val="none"/>
        </w:rPr>
        <w:instrText xml:space="preserve"> HYPERLINK \l _Toc7516 </w:instrText>
      </w:r>
      <w:r>
        <w:rPr>
          <w:rFonts w:hint="eastAsia" w:ascii="宋体" w:hAnsi="宋体" w:eastAsia="宋体" w:cs="宋体"/>
          <w:bCs/>
          <w:color w:val="auto"/>
          <w:szCs w:val="28"/>
          <w:highlight w:val="none"/>
        </w:rPr>
        <w:fldChar w:fldCharType="separate"/>
      </w:r>
      <w:r>
        <w:rPr>
          <w:rFonts w:hint="eastAsia" w:ascii="宋体" w:hAnsi="宋体" w:eastAsia="宋体" w:cs="宋体"/>
          <w:color w:val="auto"/>
          <w:highlight w:val="none"/>
        </w:rPr>
        <w:t xml:space="preserve">十、监狱企业的证明文件</w:t>
      </w:r>
      <w:r>
        <w:rPr>
          <w:color w:val="auto"/>
          <w:highlight w:val="none"/>
        </w:rPr>
        <w:tab/>
      </w:r>
      <w:r>
        <w:rPr>
          <w:color w:val="auto"/>
          <w:highlight w:val="none"/>
        </w:rPr>
        <w:fldChar w:fldCharType="begin"/>
      </w:r>
      <w:r>
        <w:rPr>
          <w:color w:val="auto"/>
          <w:highlight w:val="none"/>
        </w:rPr>
        <w:instrText xml:space="preserve"> PAGEREF _Toc7516 \h </w:instrText>
      </w:r>
      <w:r>
        <w:rPr>
          <w:color w:val="auto"/>
          <w:highlight w:val="none"/>
        </w:rPr>
        <w:fldChar w:fldCharType="separate"/>
      </w:r>
      <w:r>
        <w:rPr>
          <w:color w:val="auto"/>
          <w:highlight w:val="none"/>
        </w:rPr>
        <w:t xml:space="preserve">61</w:t>
      </w:r>
      <w:r>
        <w:rPr>
          <w:color w:val="auto"/>
          <w:highlight w:val="none"/>
        </w:rPr>
        <w:fldChar w:fldCharType="end"/>
      </w:r>
      <w:r>
        <w:rPr>
          <w:rFonts w:hint="eastAsia" w:ascii="宋体" w:hAnsi="宋体" w:eastAsia="宋体" w:cs="宋体"/>
          <w:bCs/>
          <w:color w:val="auto"/>
          <w:szCs w:val="28"/>
          <w:highlight w:val="none"/>
        </w:rPr>
        <w:fldChar w:fldCharType="end"/>
      </w:r>
      <w:r>
        <w:rPr>
          <w:color w:val="auto"/>
        </w:rPr>
      </w:r>
      <w:r/>
    </w:p>
    <w:p>
      <w:pPr>
        <w:pStyle w:val="925"/>
        <w:tabs>
          <w:tab w:val="right" w:pos="10092" w:leader="dot"/>
        </w:tabs>
        <w:rPr>
          <w:color w:val="auto"/>
          <w:highlight w:val="none"/>
        </w:rPr>
      </w:pPr>
      <w:r>
        <w:rPr>
          <w:rFonts w:hint="eastAsia" w:ascii="宋体" w:hAnsi="宋体" w:eastAsia="宋体" w:cs="宋体"/>
          <w:bCs/>
          <w:color w:val="auto"/>
          <w:szCs w:val="28"/>
          <w:highlight w:val="none"/>
        </w:rPr>
        <w:fldChar w:fldCharType="begin"/>
      </w:r>
      <w:r>
        <w:rPr>
          <w:rFonts w:hint="eastAsia" w:ascii="宋体" w:hAnsi="宋体" w:eastAsia="宋体" w:cs="宋体"/>
          <w:bCs/>
          <w:color w:val="auto"/>
          <w:szCs w:val="28"/>
          <w:highlight w:val="none"/>
        </w:rPr>
        <w:instrText xml:space="preserve"> HYPERLINK \l _Toc3609 </w:instrText>
      </w:r>
      <w:r>
        <w:rPr>
          <w:rFonts w:hint="eastAsia" w:ascii="宋体" w:hAnsi="宋体" w:eastAsia="宋体" w:cs="宋体"/>
          <w:bCs/>
          <w:color w:val="auto"/>
          <w:szCs w:val="28"/>
          <w:highlight w:val="none"/>
        </w:rPr>
        <w:fldChar w:fldCharType="separate"/>
      </w:r>
      <w:r>
        <w:rPr>
          <w:rFonts w:hint="eastAsia" w:ascii="宋体" w:hAnsi="宋体" w:eastAsia="宋体" w:cs="宋体"/>
          <w:color w:val="auto"/>
          <w:szCs w:val="32"/>
          <w:highlight w:val="none"/>
        </w:rPr>
        <w:t xml:space="preserve">十</w:t>
      </w:r>
      <w:r>
        <w:rPr>
          <w:rFonts w:hint="eastAsia" w:ascii="宋体" w:hAnsi="宋体" w:eastAsia="宋体" w:cs="宋体"/>
          <w:color w:val="auto"/>
          <w:szCs w:val="32"/>
          <w:highlight w:val="none"/>
          <w:lang w:eastAsia="zh-CN"/>
        </w:rPr>
        <w:t xml:space="preserve">一</w:t>
      </w:r>
      <w:r>
        <w:rPr>
          <w:rFonts w:hint="eastAsia" w:ascii="宋体" w:hAnsi="宋体" w:eastAsia="宋体" w:cs="宋体"/>
          <w:color w:val="auto"/>
          <w:szCs w:val="32"/>
          <w:highlight w:val="none"/>
        </w:rPr>
        <w:t xml:space="preserve">、技术参数响应及偏离表</w:t>
      </w:r>
      <w:r>
        <w:rPr>
          <w:color w:val="auto"/>
          <w:highlight w:val="none"/>
        </w:rPr>
        <w:tab/>
      </w:r>
      <w:r>
        <w:rPr>
          <w:color w:val="auto"/>
          <w:highlight w:val="none"/>
        </w:rPr>
        <w:fldChar w:fldCharType="begin"/>
      </w:r>
      <w:r>
        <w:rPr>
          <w:color w:val="auto"/>
          <w:highlight w:val="none"/>
        </w:rPr>
        <w:instrText xml:space="preserve"> PAGEREF _Toc3609 \h </w:instrText>
      </w:r>
      <w:r>
        <w:rPr>
          <w:color w:val="auto"/>
          <w:highlight w:val="none"/>
        </w:rPr>
        <w:fldChar w:fldCharType="separate"/>
      </w:r>
      <w:r>
        <w:rPr>
          <w:color w:val="auto"/>
          <w:highlight w:val="none"/>
        </w:rPr>
        <w:t xml:space="preserve">62</w:t>
      </w:r>
      <w:r>
        <w:rPr>
          <w:color w:val="auto"/>
          <w:highlight w:val="none"/>
        </w:rPr>
        <w:fldChar w:fldCharType="end"/>
      </w:r>
      <w:r>
        <w:rPr>
          <w:rFonts w:hint="eastAsia" w:ascii="宋体" w:hAnsi="宋体" w:eastAsia="宋体" w:cs="宋体"/>
          <w:bCs/>
          <w:color w:val="auto"/>
          <w:szCs w:val="28"/>
          <w:highlight w:val="none"/>
        </w:rPr>
        <w:fldChar w:fldCharType="end"/>
      </w:r>
      <w:r>
        <w:rPr>
          <w:color w:val="auto"/>
        </w:rPr>
      </w:r>
      <w:r/>
    </w:p>
    <w:p>
      <w:pPr>
        <w:pStyle w:val="925"/>
        <w:tabs>
          <w:tab w:val="right" w:pos="10092" w:leader="dot"/>
        </w:tabs>
        <w:rPr>
          <w:color w:val="auto"/>
          <w:highlight w:val="none"/>
        </w:rPr>
      </w:pPr>
      <w:r>
        <w:rPr>
          <w:rFonts w:hint="eastAsia" w:ascii="宋体" w:hAnsi="宋体" w:eastAsia="宋体" w:cs="宋体"/>
          <w:bCs/>
          <w:color w:val="auto"/>
          <w:szCs w:val="28"/>
          <w:highlight w:val="none"/>
        </w:rPr>
        <w:fldChar w:fldCharType="begin"/>
      </w:r>
      <w:r>
        <w:rPr>
          <w:rFonts w:hint="eastAsia" w:ascii="宋体" w:hAnsi="宋体" w:eastAsia="宋体" w:cs="宋体"/>
          <w:bCs/>
          <w:color w:val="auto"/>
          <w:szCs w:val="28"/>
          <w:highlight w:val="none"/>
        </w:rPr>
        <w:instrText xml:space="preserve"> HYPERLINK \l _Toc23827 </w:instrText>
      </w:r>
      <w:r>
        <w:rPr>
          <w:rFonts w:hint="eastAsia" w:ascii="宋体" w:hAnsi="宋体" w:eastAsia="宋体" w:cs="宋体"/>
          <w:bCs/>
          <w:color w:val="auto"/>
          <w:szCs w:val="28"/>
          <w:highlight w:val="none"/>
        </w:rPr>
        <w:fldChar w:fldCharType="separate"/>
      </w:r>
      <w:r>
        <w:rPr>
          <w:rFonts w:hint="eastAsia" w:ascii="宋体" w:hAnsi="宋体" w:eastAsia="宋体" w:cs="宋体"/>
          <w:color w:val="auto"/>
          <w:highlight w:val="none"/>
        </w:rPr>
        <w:t xml:space="preserve">十</w:t>
      </w:r>
      <w:r>
        <w:rPr>
          <w:rFonts w:hint="eastAsia" w:ascii="宋体" w:hAnsi="宋体" w:eastAsia="宋体" w:cs="宋体"/>
          <w:color w:val="auto"/>
          <w:highlight w:val="none"/>
          <w:lang w:eastAsia="zh-CN"/>
        </w:rPr>
        <w:t xml:space="preserve">二</w:t>
      </w:r>
      <w:r>
        <w:rPr>
          <w:rFonts w:hint="eastAsia" w:ascii="宋体" w:hAnsi="宋体" w:eastAsia="宋体" w:cs="宋体"/>
          <w:color w:val="auto"/>
          <w:highlight w:val="none"/>
        </w:rPr>
        <w:t xml:space="preserve">、商务条款响应及偏离表</w:t>
      </w:r>
      <w:r>
        <w:rPr>
          <w:color w:val="auto"/>
          <w:highlight w:val="none"/>
        </w:rPr>
        <w:tab/>
      </w:r>
      <w:r>
        <w:rPr>
          <w:color w:val="auto"/>
          <w:highlight w:val="none"/>
        </w:rPr>
        <w:fldChar w:fldCharType="begin"/>
      </w:r>
      <w:r>
        <w:rPr>
          <w:color w:val="auto"/>
          <w:highlight w:val="none"/>
        </w:rPr>
        <w:instrText xml:space="preserve"> PAGEREF _Toc23827 \h </w:instrText>
      </w:r>
      <w:r>
        <w:rPr>
          <w:color w:val="auto"/>
          <w:highlight w:val="none"/>
        </w:rPr>
        <w:fldChar w:fldCharType="separate"/>
      </w:r>
      <w:r>
        <w:rPr>
          <w:color w:val="auto"/>
          <w:highlight w:val="none"/>
        </w:rPr>
        <w:t xml:space="preserve">63</w:t>
      </w:r>
      <w:r>
        <w:rPr>
          <w:color w:val="auto"/>
          <w:highlight w:val="none"/>
        </w:rPr>
        <w:fldChar w:fldCharType="end"/>
      </w:r>
      <w:r>
        <w:rPr>
          <w:rFonts w:hint="eastAsia" w:ascii="宋体" w:hAnsi="宋体" w:eastAsia="宋体" w:cs="宋体"/>
          <w:bCs/>
          <w:color w:val="auto"/>
          <w:szCs w:val="28"/>
          <w:highlight w:val="none"/>
        </w:rPr>
        <w:fldChar w:fldCharType="end"/>
      </w:r>
      <w:r>
        <w:rPr>
          <w:color w:val="auto"/>
        </w:rPr>
      </w:r>
      <w:r/>
    </w:p>
    <w:p>
      <w:pPr>
        <w:pStyle w:val="925"/>
        <w:tabs>
          <w:tab w:val="right" w:pos="10092" w:leader="dot"/>
        </w:tabs>
        <w:rPr>
          <w:color w:val="auto"/>
          <w:highlight w:val="none"/>
        </w:rPr>
      </w:pPr>
      <w:r>
        <w:rPr>
          <w:rFonts w:hint="eastAsia" w:ascii="宋体" w:hAnsi="宋体" w:eastAsia="宋体" w:cs="宋体"/>
          <w:bCs/>
          <w:color w:val="auto"/>
          <w:szCs w:val="28"/>
          <w:highlight w:val="none"/>
        </w:rPr>
        <w:fldChar w:fldCharType="begin"/>
      </w:r>
      <w:r>
        <w:rPr>
          <w:rFonts w:hint="eastAsia" w:ascii="宋体" w:hAnsi="宋体" w:eastAsia="宋体" w:cs="宋体"/>
          <w:bCs/>
          <w:color w:val="auto"/>
          <w:szCs w:val="28"/>
          <w:highlight w:val="none"/>
        </w:rPr>
        <w:instrText xml:space="preserve"> HYPERLINK \l _Toc2886 </w:instrText>
      </w:r>
      <w:r>
        <w:rPr>
          <w:rFonts w:hint="eastAsia" w:ascii="宋体" w:hAnsi="宋体" w:eastAsia="宋体" w:cs="宋体"/>
          <w:bCs/>
          <w:color w:val="auto"/>
          <w:szCs w:val="28"/>
          <w:highlight w:val="none"/>
        </w:rPr>
        <w:fldChar w:fldCharType="separate"/>
      </w:r>
      <w:r>
        <w:rPr>
          <w:rFonts w:hint="eastAsia" w:ascii="宋体" w:hAnsi="宋体" w:eastAsia="宋体" w:cs="宋体"/>
          <w:color w:val="auto"/>
          <w:highlight w:val="none"/>
        </w:rPr>
        <w:t xml:space="preserve">十</w:t>
      </w:r>
      <w:r>
        <w:rPr>
          <w:rFonts w:hint="eastAsia" w:ascii="宋体" w:hAnsi="宋体" w:eastAsia="宋体" w:cs="宋体"/>
          <w:color w:val="auto"/>
          <w:highlight w:val="none"/>
          <w:lang w:eastAsia="zh-CN"/>
        </w:rPr>
        <w:t xml:space="preserve">三</w:t>
      </w:r>
      <w:r>
        <w:rPr>
          <w:rFonts w:hint="eastAsia" w:ascii="宋体" w:hAnsi="宋体" w:eastAsia="宋体" w:cs="宋体"/>
          <w:color w:val="auto"/>
          <w:highlight w:val="none"/>
        </w:rPr>
        <w:t xml:space="preserve">、其他材料</w:t>
      </w:r>
      <w:r>
        <w:rPr>
          <w:color w:val="auto"/>
          <w:highlight w:val="none"/>
        </w:rPr>
        <w:tab/>
      </w:r>
      <w:r>
        <w:rPr>
          <w:color w:val="auto"/>
          <w:highlight w:val="none"/>
        </w:rPr>
        <w:fldChar w:fldCharType="begin"/>
      </w:r>
      <w:r>
        <w:rPr>
          <w:color w:val="auto"/>
          <w:highlight w:val="none"/>
        </w:rPr>
        <w:instrText xml:space="preserve"> PAGEREF _Toc2886 \h </w:instrText>
      </w:r>
      <w:r>
        <w:rPr>
          <w:color w:val="auto"/>
          <w:highlight w:val="none"/>
        </w:rPr>
        <w:fldChar w:fldCharType="separate"/>
      </w:r>
      <w:r>
        <w:rPr>
          <w:color w:val="auto"/>
          <w:highlight w:val="none"/>
        </w:rPr>
        <w:t xml:space="preserve">64</w:t>
      </w:r>
      <w:r>
        <w:rPr>
          <w:color w:val="auto"/>
          <w:highlight w:val="none"/>
        </w:rPr>
        <w:fldChar w:fldCharType="end"/>
      </w:r>
      <w:r>
        <w:rPr>
          <w:rFonts w:hint="eastAsia" w:ascii="宋体" w:hAnsi="宋体" w:eastAsia="宋体" w:cs="宋体"/>
          <w:bCs/>
          <w:color w:val="auto"/>
          <w:szCs w:val="28"/>
          <w:highlight w:val="none"/>
        </w:rPr>
        <w:fldChar w:fldCharType="end"/>
      </w:r>
      <w:r>
        <w:rPr>
          <w:color w:val="auto"/>
        </w:rPr>
      </w:r>
      <w:r/>
    </w:p>
    <w:p>
      <w:pPr>
        <w:pStyle w:val="911"/>
        <w:spacing w:line="360" w:lineRule="auto"/>
        <w:tabs>
          <w:tab w:val="left" w:pos="1440" w:leader="none"/>
        </w:tabs>
        <w:rPr>
          <w:rFonts w:hint="eastAsia" w:ascii="宋体" w:hAnsi="宋体" w:eastAsia="宋体" w:cs="宋体"/>
          <w:b/>
          <w:bCs/>
          <w:color w:val="auto"/>
          <w:sz w:val="28"/>
          <w:szCs w:val="28"/>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pgNumType w:start="0"/>
          <w:cols w:num="1" w:sep="0" w:space="1701" w:equalWidth="1"/>
          <w:docGrid w:linePitch="360"/>
          <w:titlePg/>
        </w:sectPr>
      </w:pPr>
      <w:r>
        <w:rPr>
          <w:rFonts w:hint="eastAsia" w:ascii="宋体" w:hAnsi="宋体" w:eastAsia="宋体" w:cs="宋体"/>
          <w:bCs/>
          <w:color w:val="auto"/>
          <w:szCs w:val="28"/>
          <w:highlight w:val="none"/>
        </w:rPr>
        <w:fldChar w:fldCharType="end"/>
      </w:r>
      <w:r>
        <w:rPr>
          <w:color w:val="auto"/>
        </w:rPr>
      </w:r>
      <w:r/>
    </w:p>
    <w:p>
      <w:pPr>
        <w:pStyle w:val="927"/>
        <w:spacing w:line="360" w:lineRule="auto"/>
        <w:rPr>
          <w:rFonts w:hint="eastAsia" w:ascii="宋体" w:hAnsi="宋体" w:eastAsia="宋体" w:cs="宋体"/>
          <w:color w:val="auto"/>
          <w:highlight w:val="none"/>
        </w:rPr>
      </w:pPr>
      <w:r>
        <w:rPr>
          <w:color w:val="auto"/>
        </w:rPr>
      </w:r>
      <w:bookmarkEnd w:id="1"/>
      <w:r>
        <w:rPr>
          <w:color w:val="auto"/>
        </w:rPr>
      </w:r>
      <w:bookmarkStart w:id="7" w:name="_Toc35266018"/>
      <w:r>
        <w:rPr>
          <w:color w:val="auto"/>
        </w:rPr>
      </w:r>
      <w:bookmarkStart w:id="8" w:name="_Toc54615237"/>
      <w:r>
        <w:rPr>
          <w:color w:val="auto"/>
        </w:rPr>
      </w:r>
      <w:bookmarkStart w:id="9" w:name="_Toc38368118"/>
      <w:r>
        <w:rPr>
          <w:color w:val="auto"/>
        </w:rPr>
      </w:r>
      <w:bookmarkStart w:id="10" w:name="_Toc27719"/>
      <w:r>
        <w:rPr>
          <w:rFonts w:hint="eastAsia" w:ascii="宋体" w:hAnsi="宋体" w:eastAsia="宋体" w:cs="宋体"/>
          <w:color w:val="auto"/>
          <w:highlight w:val="none"/>
        </w:rPr>
        <w:t xml:space="preserve">第一章  </w:t>
      </w:r>
      <w:bookmarkEnd w:id="7"/>
      <w:r>
        <w:rPr>
          <w:color w:val="auto"/>
        </w:rPr>
      </w:r>
      <w:bookmarkEnd w:id="8"/>
      <w:r>
        <w:rPr>
          <w:color w:val="auto"/>
        </w:rPr>
      </w:r>
      <w:bookmarkEnd w:id="9"/>
      <w:r>
        <w:rPr>
          <w:color w:val="auto"/>
        </w:rPr>
      </w:r>
      <w:bookmarkStart w:id="11" w:name="_Toc120614211"/>
      <w:r>
        <w:rPr>
          <w:rFonts w:hint="eastAsia" w:ascii="宋体" w:hAnsi="宋体" w:eastAsia="宋体" w:cs="宋体"/>
          <w:color w:val="auto"/>
          <w:highlight w:val="none"/>
          <w:lang w:eastAsia="zh-CN"/>
        </w:rPr>
        <w:t xml:space="preserve">招标公告</w:t>
      </w:r>
      <w:bookmarkEnd w:id="10"/>
      <w:r>
        <w:rPr>
          <w:color w:val="auto"/>
        </w:rPr>
      </w:r>
      <w:r/>
    </w:p>
    <w:p>
      <w:pPr>
        <w:pStyle w:val="911"/>
        <w:spacing w:line="360" w:lineRule="auto"/>
        <w:shd w:val="clear" w:color="auto" w:fill="ffffff"/>
        <w:widowControl/>
        <w:rPr>
          <w:rFonts w:hint="eastAsia" w:ascii="宋体" w:hAnsi="宋体" w:eastAsia="宋体" w:cs="宋体"/>
          <w:color w:val="auto"/>
          <w:spacing w:val="8"/>
          <w:sz w:val="24"/>
          <w:szCs w:val="24"/>
          <w:highlight w:val="none"/>
        </w:rPr>
      </w:pPr>
      <w:r>
        <w:rPr>
          <w:rFonts w:hint="eastAsia" w:ascii="宋体" w:hAnsi="宋体" w:eastAsia="宋体" w:cs="宋体"/>
          <w:color w:val="auto"/>
          <w:sz w:val="24"/>
          <w:szCs w:val="24"/>
          <w:highlight w:val="none"/>
          <w:lang w:eastAsia="zh-CN"/>
        </w:rPr>
        <w:t xml:space="preserve">大新镇居家养老上门服务项目</w:t>
      </w:r>
      <w:r>
        <w:rPr>
          <w:rFonts w:hint="eastAsia" w:ascii="宋体" w:hAnsi="宋体" w:eastAsia="宋体" w:cs="宋体"/>
          <w:color w:val="auto"/>
          <w:sz w:val="24"/>
          <w:szCs w:val="24"/>
          <w:highlight w:val="none"/>
        </w:rPr>
        <w:t xml:space="preserve">的潜在投标人</w:t>
      </w:r>
      <w:r>
        <w:rPr>
          <w:rFonts w:hint="eastAsia" w:ascii="宋体" w:hAnsi="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在“苏采云政府采购一体化平台”中参与项目并下载获取电子招标文件，并于</w:t>
      </w:r>
      <w:bookmarkStart w:id="12" w:name="EB49bf6e8a132943fba15dfdc1bf3bba75"/>
      <w:r>
        <w:rPr>
          <w:color w:val="auto"/>
        </w:rPr>
      </w:r>
      <w:bookmarkEnd w:id="12"/>
      <w:r>
        <w:rPr>
          <w:rFonts w:hint="eastAsia" w:ascii="宋体" w:hAnsi="宋体" w:cs="宋体"/>
          <w:color w:val="auto"/>
          <w:sz w:val="24"/>
          <w:szCs w:val="24"/>
          <w:highlight w:val="none"/>
          <w:lang w:val="en-US" w:eastAsia="zh-CN"/>
        </w:rPr>
        <w:t xml:space="preserve">2024年07月18日</w:t>
      </w:r>
      <w:r>
        <w:rPr>
          <w:rFonts w:hint="eastAsia" w:ascii="宋体" w:hAnsi="宋体" w:cs="宋体"/>
          <w:color w:val="auto"/>
          <w:sz w:val="24"/>
          <w:szCs w:val="24"/>
          <w:highlight w:val="none"/>
          <w:lang w:val="en-US" w:eastAsia="zh-CN"/>
        </w:rPr>
        <w:t xml:space="preserve">13:30</w:t>
      </w:r>
      <w:r>
        <w:rPr>
          <w:rFonts w:hint="eastAsia" w:ascii="宋体" w:hAnsi="宋体" w:eastAsia="宋体" w:cs="宋体"/>
          <w:color w:val="auto"/>
          <w:sz w:val="24"/>
          <w:szCs w:val="24"/>
          <w:highlight w:val="none"/>
        </w:rPr>
        <w:t xml:space="preserve">（北京时间）前上传电子投标文件。</w:t>
      </w:r>
      <w:r>
        <w:rPr>
          <w:color w:val="auto"/>
        </w:rPr>
      </w:r>
      <w:r/>
    </w:p>
    <w:p>
      <w:pPr>
        <w:pStyle w:val="911"/>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一、项目基本情况</w:t>
      </w:r>
      <w:r>
        <w:rPr>
          <w:color w:val="auto"/>
        </w:rPr>
      </w:r>
      <w:r/>
    </w:p>
    <w:p>
      <w:pPr>
        <w:pStyle w:val="911"/>
        <w:ind w:firstLine="555"/>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项目编号：JSZC-320582-JHYZ-G2024-0016</w:t>
      </w:r>
      <w:r>
        <w:rPr>
          <w:color w:val="auto"/>
        </w:rPr>
      </w:r>
      <w:r/>
    </w:p>
    <w:p>
      <w:pPr>
        <w:pStyle w:val="911"/>
        <w:ind w:firstLine="555"/>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项目名称：</w:t>
      </w:r>
      <w:r>
        <w:rPr>
          <w:rFonts w:hint="eastAsia" w:ascii="宋体" w:hAnsi="宋体" w:cs="宋体"/>
          <w:color w:val="auto"/>
          <w:spacing w:val="8"/>
          <w:sz w:val="24"/>
          <w:highlight w:val="none"/>
          <w:lang w:eastAsia="zh-CN"/>
        </w:rPr>
        <w:t xml:space="preserve">大新镇居家养老上门服务项目</w:t>
      </w:r>
      <w:r>
        <w:rPr>
          <w:color w:val="auto"/>
        </w:rPr>
      </w:r>
      <w:r/>
    </w:p>
    <w:p>
      <w:pPr>
        <w:pStyle w:val="911"/>
        <w:ind w:firstLine="555"/>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预算金额：</w:t>
      </w:r>
      <w:bookmarkStart w:id="13" w:name="EB1a0e1eba70434d918dcf5b8e03079bcd"/>
      <w:r>
        <w:rPr>
          <w:rFonts w:hint="eastAsia" w:ascii="宋体" w:hAnsi="宋体" w:eastAsia="宋体" w:cs="宋体"/>
          <w:color w:val="auto"/>
          <w:spacing w:val="8"/>
          <w:sz w:val="24"/>
          <w:highlight w:val="none"/>
          <w:lang w:val="en-US" w:eastAsia="zh-CN"/>
        </w:rPr>
        <w:t xml:space="preserve">3000000</w:t>
      </w:r>
      <w:r>
        <w:rPr>
          <w:rFonts w:hint="eastAsia" w:ascii="宋体" w:hAnsi="宋体" w:eastAsia="宋体" w:cs="宋体"/>
          <w:color w:val="auto"/>
          <w:spacing w:val="8"/>
          <w:sz w:val="24"/>
          <w:highlight w:val="none"/>
        </w:rPr>
        <w:t xml:space="preserve">元</w:t>
      </w:r>
      <w:bookmarkEnd w:id="13"/>
      <w:r>
        <w:rPr>
          <w:color w:val="auto"/>
        </w:rPr>
      </w:r>
      <w:r/>
    </w:p>
    <w:p>
      <w:pPr>
        <w:pStyle w:val="911"/>
        <w:ind w:firstLine="555"/>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lang w:val="en-US" w:eastAsia="zh-CN"/>
        </w:rPr>
        <w:t xml:space="preserve">最高限价：3000000</w:t>
      </w:r>
      <w:r>
        <w:rPr>
          <w:rFonts w:hint="eastAsia" w:ascii="宋体" w:hAnsi="宋体" w:eastAsia="宋体" w:cs="宋体"/>
          <w:color w:val="auto"/>
          <w:spacing w:val="8"/>
          <w:sz w:val="24"/>
          <w:highlight w:val="none"/>
        </w:rPr>
        <w:t xml:space="preserve">元</w:t>
      </w:r>
      <w:r>
        <w:rPr>
          <w:color w:val="auto"/>
        </w:rPr>
      </w:r>
      <w:r/>
    </w:p>
    <w:p>
      <w:pPr>
        <w:pStyle w:val="911"/>
        <w:ind w:firstLine="555"/>
        <w:spacing w:line="360" w:lineRule="auto"/>
        <w:shd w:val="clear" w:color="auto" w:fill="ffffff"/>
        <w:widowControl/>
        <w:rPr>
          <w:rFonts w:ascii="宋体" w:hAnsi="宋体" w:eastAsia="宋体" w:cs="宋体"/>
          <w:color w:val="auto"/>
          <w:spacing w:val="8"/>
          <w:sz w:val="24"/>
          <w:highlight w:val="none"/>
        </w:rPr>
      </w:pPr>
      <w:r>
        <w:rPr>
          <w:rFonts w:ascii="宋体" w:hAnsi="宋体" w:eastAsia="宋体" w:cs="宋体"/>
          <w:color w:val="auto"/>
          <w:spacing w:val="8"/>
          <w:sz w:val="24"/>
          <w:highlight w:val="none"/>
          <w:lang w:val="en-US" w:eastAsia="zh-CN"/>
        </w:rPr>
        <w:t xml:space="preserve">本次招标投标报价不高于</w:t>
      </w:r>
      <w:r>
        <w:rPr>
          <w:rFonts w:hint="eastAsia" w:ascii="宋体" w:hAnsi="宋体" w:eastAsia="宋体" w:cs="宋体"/>
          <w:color w:val="auto"/>
          <w:spacing w:val="8"/>
          <w:sz w:val="24"/>
          <w:highlight w:val="none"/>
          <w:lang w:val="en-US" w:eastAsia="zh-CN"/>
        </w:rPr>
        <w:t xml:space="preserve">最高限价</w:t>
      </w:r>
      <w:r>
        <w:rPr>
          <w:rFonts w:ascii="宋体" w:hAnsi="宋体" w:eastAsia="宋体" w:cs="宋体"/>
          <w:color w:val="auto"/>
          <w:spacing w:val="8"/>
          <w:sz w:val="24"/>
          <w:highlight w:val="none"/>
          <w:lang w:val="en-US" w:eastAsia="zh-CN"/>
        </w:rPr>
        <w:t xml:space="preserve">为有效投标报价。超</w:t>
      </w:r>
      <w:r>
        <w:rPr>
          <w:rFonts w:hint="eastAsia" w:ascii="宋体" w:hAnsi="宋体" w:eastAsia="宋体" w:cs="宋体"/>
          <w:color w:val="auto"/>
          <w:spacing w:val="8"/>
          <w:sz w:val="24"/>
          <w:highlight w:val="none"/>
          <w:lang w:val="en-US" w:eastAsia="zh-CN"/>
        </w:rPr>
        <w:t xml:space="preserve">最高限价</w:t>
      </w:r>
      <w:r>
        <w:rPr>
          <w:rFonts w:ascii="宋体" w:hAnsi="宋体" w:eastAsia="宋体" w:cs="宋体"/>
          <w:color w:val="auto"/>
          <w:spacing w:val="8"/>
          <w:sz w:val="24"/>
          <w:highlight w:val="none"/>
          <w:lang w:val="en-US" w:eastAsia="zh-CN"/>
        </w:rPr>
        <w:t xml:space="preserve">的投标报价为无效投标报价。</w:t>
      </w:r>
      <w:r>
        <w:rPr>
          <w:color w:val="auto"/>
        </w:rPr>
      </w:r>
      <w:r/>
    </w:p>
    <w:p>
      <w:pPr>
        <w:pStyle w:val="911"/>
        <w:ind w:firstLine="555"/>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采购需求：</w:t>
      </w:r>
      <w:bookmarkStart w:id="14" w:name="EB07b3bccf5c0e4a39a123ff811f911745"/>
      <w:r>
        <w:rPr>
          <w:rFonts w:hint="eastAsia" w:ascii="宋体" w:hAnsi="宋体" w:eastAsia="宋体" w:cs="宋体"/>
          <w:color w:val="auto"/>
          <w:spacing w:val="8"/>
          <w:sz w:val="24"/>
          <w:highlight w:val="none"/>
        </w:rPr>
        <w:t xml:space="preserve">本项目为</w:t>
      </w:r>
      <w:r>
        <w:rPr>
          <w:rFonts w:hint="eastAsia" w:ascii="宋体" w:hAnsi="宋体" w:cs="宋体"/>
          <w:color w:val="auto"/>
          <w:spacing w:val="8"/>
          <w:sz w:val="24"/>
          <w:highlight w:val="none"/>
          <w:lang w:eastAsia="zh-CN"/>
        </w:rPr>
        <w:t xml:space="preserve">张家港市大新镇人民政府</w:t>
      </w:r>
      <w:r>
        <w:rPr>
          <w:rFonts w:hint="eastAsia" w:ascii="宋体" w:hAnsi="宋体" w:eastAsia="宋体" w:cs="宋体"/>
          <w:color w:val="auto"/>
          <w:spacing w:val="8"/>
          <w:sz w:val="24"/>
          <w:highlight w:val="none"/>
        </w:rPr>
        <w:t xml:space="preserve">采购的大新镇居家养老上门服务项目。</w:t>
      </w:r>
      <w:bookmarkEnd w:id="14"/>
      <w:r>
        <w:rPr>
          <w:color w:val="auto"/>
        </w:rPr>
      </w:r>
      <w:r/>
    </w:p>
    <w:p>
      <w:pPr>
        <w:pStyle w:val="911"/>
        <w:ind w:firstLine="555"/>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合同履行期限：</w:t>
      </w:r>
      <w:r>
        <w:rPr>
          <w:rFonts w:hint="eastAsia" w:ascii="宋体" w:hAnsi="宋体" w:cs="宋体"/>
          <w:color w:val="auto"/>
          <w:spacing w:val="8"/>
          <w:sz w:val="24"/>
          <w:highlight w:val="none"/>
          <w:lang w:val="en-US" w:eastAsia="zh-CN"/>
        </w:rPr>
        <w:t xml:space="preserve">合同签订后2年的服务期。</w:t>
      </w:r>
      <w:r>
        <w:rPr>
          <w:color w:val="auto"/>
        </w:rPr>
      </w:r>
      <w:r/>
    </w:p>
    <w:p>
      <w:pPr>
        <w:pStyle w:val="911"/>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二、申请人的资格要求：</w:t>
      </w:r>
      <w:r>
        <w:rPr>
          <w:color w:val="auto"/>
        </w:rPr>
      </w:r>
      <w:r/>
    </w:p>
    <w:p>
      <w:pPr>
        <w:pStyle w:val="911"/>
        <w:ind w:firstLine="555"/>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1.满足《中华人民共和国政府采购法》第二十二条规定；</w:t>
      </w:r>
      <w:r>
        <w:rPr>
          <w:color w:val="auto"/>
        </w:rPr>
      </w:r>
      <w:r/>
    </w:p>
    <w:p>
      <w:pPr>
        <w:pStyle w:val="911"/>
        <w:ind w:firstLine="555"/>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2.落实政府采购政策需满足的资格要求:</w:t>
      </w:r>
      <w:r>
        <w:rPr>
          <w:color w:val="auto"/>
        </w:rPr>
      </w:r>
      <w:r/>
    </w:p>
    <w:p>
      <w:pPr>
        <w:pStyle w:val="911"/>
        <w:ind w:firstLine="512"/>
        <w:spacing w:line="360" w:lineRule="auto"/>
        <w:shd w:val="clear" w:color="auto" w:fill="ffffff"/>
        <w:widowControl/>
        <w:rPr>
          <w:rFonts w:hint="eastAsia" w:ascii="宋体" w:hAnsi="宋体" w:eastAsia="宋体" w:cs="宋体"/>
          <w:color w:val="auto"/>
          <w:spacing w:val="8"/>
          <w:sz w:val="24"/>
          <w:highlight w:val="none"/>
        </w:rPr>
      </w:pPr>
      <w:r>
        <w:rPr>
          <w:color w:val="auto"/>
        </w:rPr>
      </w:r>
      <w:bookmarkStart w:id="15" w:name="EBb3688b4234134491b6f86e45c882287f"/>
      <w:r>
        <w:rPr>
          <w:color w:val="auto"/>
        </w:rPr>
      </w:r>
      <w:bookmarkEnd w:id="15"/>
      <w:r>
        <w:rPr>
          <w:rFonts w:hint="eastAsia" w:ascii="宋体" w:hAnsi="宋体" w:cs="宋体"/>
          <w:color w:val="auto"/>
          <w:spacing w:val="8"/>
          <w:sz w:val="24"/>
          <w:highlight w:val="none"/>
          <w:lang w:eastAsia="zh-CN"/>
        </w:rPr>
        <w:t xml:space="preserve">无。</w:t>
      </w:r>
      <w:r>
        <w:rPr>
          <w:color w:val="auto"/>
        </w:rPr>
      </w:r>
      <w:r/>
    </w:p>
    <w:p>
      <w:pPr>
        <w:pStyle w:val="911"/>
        <w:ind w:firstLine="555"/>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3.本项目的特定资格要求：</w:t>
      </w:r>
      <w:r>
        <w:rPr>
          <w:color w:val="auto"/>
        </w:rPr>
      </w:r>
      <w:r/>
    </w:p>
    <w:p>
      <w:pPr>
        <w:pStyle w:val="915"/>
        <w:rPr>
          <w:rFonts w:hint="eastAsia" w:eastAsia="宋体"/>
          <w:color w:val="auto"/>
          <w:highlight w:val="none"/>
        </w:rPr>
      </w:pPr>
      <w:r>
        <w:rPr>
          <w:rFonts w:hint="eastAsia" w:ascii="宋体" w:hAnsi="宋体" w:eastAsia="宋体" w:cs="宋体"/>
          <w:color w:val="auto"/>
          <w:spacing w:val="8"/>
          <w:sz w:val="24"/>
          <w:szCs w:val="22"/>
          <w:highlight w:val="none"/>
          <w:lang w:val="en-US" w:eastAsia="zh-CN" w:bidi="ar-SA"/>
        </w:rPr>
        <w:t xml:space="preserve">无。</w:t>
      </w:r>
      <w:r>
        <w:rPr>
          <w:color w:val="auto"/>
        </w:rPr>
      </w:r>
      <w:r/>
    </w:p>
    <w:p>
      <w:pPr>
        <w:pStyle w:val="911"/>
        <w:ind w:firstLine="555"/>
        <w:spacing w:line="360" w:lineRule="auto"/>
        <w:shd w:val="clear" w:color="auto" w:fill="ffffff"/>
        <w:widowControl/>
        <w:rPr>
          <w:rFonts w:hint="eastAsia" w:ascii="宋体" w:hAnsi="宋体" w:eastAsia="宋体" w:cs="宋体"/>
          <w:i/>
          <w:iCs/>
          <w:color w:val="auto"/>
          <w:spacing w:val="8"/>
          <w:sz w:val="24"/>
          <w:highlight w:val="none"/>
          <w:u w:val="single"/>
        </w:rPr>
      </w:pPr>
      <w:r>
        <w:rPr>
          <w:color w:val="auto"/>
        </w:rPr>
      </w:r>
      <w:bookmarkStart w:id="16" w:name="EB2e222552591745cd9af6e9d18c1a40c7"/>
      <w:r>
        <w:rPr>
          <w:color w:val="auto"/>
        </w:rPr>
      </w:r>
      <w:bookmarkEnd w:id="16"/>
      <w:r>
        <w:rPr>
          <w:rFonts w:hint="eastAsia" w:ascii="宋体" w:hAnsi="宋体" w:cs="宋体"/>
          <w:i/>
          <w:iCs/>
          <w:color w:val="auto"/>
          <w:spacing w:val="8"/>
          <w:sz w:val="24"/>
          <w:highlight w:val="none"/>
          <w:u w:val="single"/>
          <w:lang w:val="en-US" w:eastAsia="zh-CN"/>
        </w:rPr>
        <w:t xml:space="preserve">4.</w:t>
      </w:r>
      <w:r>
        <w:rPr>
          <w:rFonts w:hint="eastAsia" w:ascii="宋体" w:hAnsi="宋体" w:eastAsia="宋体" w:cs="宋体"/>
          <w:i/>
          <w:iCs/>
          <w:color w:val="auto"/>
          <w:spacing w:val="8"/>
          <w:sz w:val="24"/>
          <w:highlight w:val="none"/>
          <w:u w:val="single"/>
        </w:rPr>
        <w:t xml:space="preserve">本项目不接受联合体投标</w:t>
      </w:r>
      <w:r>
        <w:rPr>
          <w:rFonts w:hint="eastAsia" w:ascii="宋体" w:hAnsi="宋体" w:cs="宋体"/>
          <w:i/>
          <w:iCs/>
          <w:color w:val="auto"/>
          <w:spacing w:val="8"/>
          <w:sz w:val="24"/>
          <w:highlight w:val="none"/>
          <w:u w:val="single"/>
          <w:lang w:eastAsia="zh-CN"/>
        </w:rPr>
        <w:t xml:space="preserve">；</w:t>
      </w:r>
      <w:r>
        <w:rPr>
          <w:rFonts w:hint="eastAsia" w:ascii="宋体" w:hAnsi="宋体" w:eastAsia="宋体" w:cs="宋体"/>
          <w:i/>
          <w:iCs/>
          <w:color w:val="auto"/>
          <w:spacing w:val="8"/>
          <w:sz w:val="24"/>
          <w:highlight w:val="none"/>
          <w:u w:val="single"/>
        </w:rPr>
        <w:t xml:space="preserve"> </w:t>
      </w:r>
      <w:r>
        <w:rPr>
          <w:color w:val="auto"/>
        </w:rPr>
      </w:r>
      <w:r/>
    </w:p>
    <w:p>
      <w:pPr>
        <w:pStyle w:val="911"/>
        <w:ind w:firstLine="555"/>
        <w:spacing w:line="360" w:lineRule="auto"/>
        <w:shd w:val="clear" w:color="auto" w:fill="ffffff"/>
        <w:widowControl/>
        <w:rPr>
          <w:rStyle w:val="913"/>
          <w:rFonts w:hint="eastAsia" w:ascii="宋体" w:hAnsi="宋体" w:eastAsia="宋体" w:cs="宋体"/>
          <w:b w:val="0"/>
          <w:i/>
          <w:iCs/>
          <w:color w:val="auto"/>
          <w:spacing w:val="7"/>
          <w:sz w:val="24"/>
          <w:szCs w:val="24"/>
          <w:highlight w:val="none"/>
          <w:u w:val="single"/>
        </w:rPr>
      </w:pPr>
      <w:r>
        <w:rPr>
          <w:rStyle w:val="913"/>
          <w:rFonts w:hint="eastAsia" w:ascii="宋体" w:hAnsi="宋体" w:eastAsia="宋体" w:cs="宋体"/>
          <w:b w:val="0"/>
          <w:i/>
          <w:iCs/>
          <w:color w:val="auto"/>
          <w:spacing w:val="7"/>
          <w:sz w:val="24"/>
          <w:szCs w:val="24"/>
          <w:highlight w:val="none"/>
          <w:u w:val="single"/>
          <w:lang w:val="en-US" w:eastAsia="zh-CN"/>
        </w:rPr>
        <w:t xml:space="preserve">5.</w:t>
      </w:r>
      <w:r>
        <w:rPr>
          <w:rStyle w:val="913"/>
          <w:rFonts w:hint="eastAsia" w:ascii="宋体" w:hAnsi="宋体" w:eastAsia="宋体" w:cs="宋体"/>
          <w:b w:val="0"/>
          <w:i/>
          <w:iCs/>
          <w:color w:val="auto"/>
          <w:spacing w:val="7"/>
          <w:sz w:val="24"/>
          <w:szCs w:val="24"/>
          <w:highlight w:val="none"/>
          <w:u w:val="single"/>
        </w:rPr>
        <w:t xml:space="preserve">拒绝下述供应商参加本次采购活动： </w:t>
      </w:r>
      <w:r>
        <w:rPr>
          <w:color w:val="auto"/>
        </w:rPr>
      </w:r>
      <w:r/>
    </w:p>
    <w:p>
      <w:pPr>
        <w:pStyle w:val="911"/>
        <w:ind w:firstLine="555"/>
        <w:spacing w:line="360" w:lineRule="auto"/>
        <w:shd w:val="clear" w:color="auto" w:fill="ffffff"/>
        <w:widowControl/>
        <w:rPr>
          <w:rStyle w:val="913"/>
          <w:rFonts w:hint="eastAsia" w:ascii="宋体" w:hAnsi="宋体" w:eastAsia="宋体" w:cs="宋体"/>
          <w:b w:val="0"/>
          <w:i/>
          <w:iCs/>
          <w:color w:val="auto"/>
          <w:spacing w:val="7"/>
          <w:sz w:val="24"/>
          <w:szCs w:val="24"/>
          <w:highlight w:val="none"/>
          <w:u w:val="single"/>
        </w:rPr>
      </w:pPr>
      <w:r>
        <w:rPr>
          <w:rStyle w:val="913"/>
          <w:rFonts w:hint="eastAsia" w:ascii="宋体" w:hAnsi="宋体" w:eastAsia="宋体" w:cs="宋体"/>
          <w:b w:val="0"/>
          <w:i/>
          <w:iCs/>
          <w:color w:val="auto"/>
          <w:spacing w:val="7"/>
          <w:sz w:val="24"/>
          <w:szCs w:val="24"/>
          <w:highlight w:val="none"/>
          <w:u w:val="single"/>
          <w:lang w:val="en-US" w:eastAsia="zh-CN"/>
        </w:rPr>
        <w:t xml:space="preserve">5.1</w:t>
      </w:r>
      <w:r>
        <w:rPr>
          <w:rStyle w:val="913"/>
          <w:rFonts w:hint="eastAsia" w:ascii="宋体" w:hAnsi="宋体" w:eastAsia="宋体" w:cs="宋体"/>
          <w:b w:val="0"/>
          <w:i/>
          <w:iCs/>
          <w:color w:val="auto"/>
          <w:spacing w:val="7"/>
          <w:sz w:val="24"/>
          <w:szCs w:val="24"/>
          <w:highlight w:val="none"/>
          <w:u w:val="single"/>
        </w:rPr>
        <w:t xml:space="preserve">供应商单位负责人为同一人或者存在直接控股、管理关系的不同供应商，不得参加同一合同项下的政府采购活动。 </w:t>
      </w:r>
      <w:r>
        <w:rPr>
          <w:color w:val="auto"/>
        </w:rPr>
      </w:r>
      <w:r/>
    </w:p>
    <w:p>
      <w:pPr>
        <w:pStyle w:val="911"/>
        <w:ind w:firstLine="555"/>
        <w:spacing w:line="360" w:lineRule="auto"/>
        <w:shd w:val="clear" w:color="auto" w:fill="ffffff"/>
        <w:widowControl/>
        <w:rPr>
          <w:rStyle w:val="913"/>
          <w:rFonts w:hint="eastAsia" w:ascii="宋体" w:hAnsi="宋体" w:eastAsia="宋体" w:cs="宋体"/>
          <w:b w:val="0"/>
          <w:i/>
          <w:iCs/>
          <w:color w:val="auto"/>
          <w:spacing w:val="7"/>
          <w:sz w:val="24"/>
          <w:szCs w:val="24"/>
          <w:highlight w:val="none"/>
          <w:u w:val="single"/>
        </w:rPr>
      </w:pPr>
      <w:r>
        <w:rPr>
          <w:rStyle w:val="913"/>
          <w:rFonts w:hint="eastAsia" w:ascii="宋体" w:hAnsi="宋体" w:eastAsia="宋体" w:cs="宋体"/>
          <w:b w:val="0"/>
          <w:i/>
          <w:iCs/>
          <w:color w:val="auto"/>
          <w:spacing w:val="7"/>
          <w:sz w:val="24"/>
          <w:szCs w:val="24"/>
          <w:highlight w:val="none"/>
          <w:u w:val="single"/>
          <w:lang w:val="en-US" w:eastAsia="zh-CN"/>
        </w:rPr>
        <w:t xml:space="preserve">5.2</w:t>
      </w:r>
      <w:r>
        <w:rPr>
          <w:rStyle w:val="913"/>
          <w:rFonts w:hint="eastAsia" w:ascii="宋体" w:hAnsi="宋体" w:eastAsia="宋体" w:cs="宋体"/>
          <w:b w:val="0"/>
          <w:i/>
          <w:iCs/>
          <w:color w:val="auto"/>
          <w:spacing w:val="7"/>
          <w:sz w:val="24"/>
          <w:szCs w:val="24"/>
          <w:highlight w:val="none"/>
          <w:u w:val="single"/>
        </w:rPr>
        <w:t xml:space="preserve">凡为采购项目提供整体设计、规范编制或者项目管理、监理、检测等服务的供应商，不得再参加本项目的采购活动。</w:t>
      </w:r>
      <w:r>
        <w:rPr>
          <w:color w:val="auto"/>
        </w:rPr>
      </w:r>
      <w:r/>
    </w:p>
    <w:p>
      <w:pPr>
        <w:pStyle w:val="911"/>
        <w:ind w:firstLine="555"/>
        <w:spacing w:line="360" w:lineRule="auto"/>
        <w:shd w:val="clear" w:color="auto" w:fill="ffffff"/>
        <w:widowControl/>
        <w:rPr>
          <w:rStyle w:val="913"/>
          <w:rFonts w:hint="eastAsia" w:ascii="宋体" w:hAnsi="宋体" w:eastAsia="宋体" w:cs="宋体"/>
          <w:b w:val="0"/>
          <w:i/>
          <w:iCs/>
          <w:color w:val="auto"/>
          <w:spacing w:val="7"/>
          <w:sz w:val="24"/>
          <w:szCs w:val="24"/>
          <w:highlight w:val="none"/>
          <w:u w:val="single"/>
        </w:rPr>
      </w:pPr>
      <w:r>
        <w:rPr>
          <w:rStyle w:val="913"/>
          <w:rFonts w:hint="eastAsia" w:ascii="宋体" w:hAnsi="宋体" w:eastAsia="宋体" w:cs="宋体"/>
          <w:b w:val="0"/>
          <w:i/>
          <w:iCs/>
          <w:color w:val="auto"/>
          <w:spacing w:val="7"/>
          <w:sz w:val="24"/>
          <w:szCs w:val="24"/>
          <w:highlight w:val="none"/>
          <w:u w:val="single"/>
          <w:lang w:val="en-US" w:eastAsia="zh-CN"/>
        </w:rPr>
        <w:t xml:space="preserve">5.3</w:t>
      </w:r>
      <w:r>
        <w:rPr>
          <w:rStyle w:val="913"/>
          <w:rFonts w:hint="eastAsia" w:ascii="宋体" w:hAnsi="宋体" w:eastAsia="宋体" w:cs="宋体"/>
          <w:b w:val="0"/>
          <w:i/>
          <w:iCs/>
          <w:color w:val="auto"/>
          <w:spacing w:val="7"/>
          <w:sz w:val="24"/>
          <w:szCs w:val="24"/>
          <w:highlight w:val="none"/>
          <w:u w:val="single"/>
        </w:rPr>
        <w:t xml:space="preserve">法人的分支机构不得参加投标（除银行、保险、石油石化、电力、电信等行业特殊情况外）</w:t>
      </w:r>
      <w:r>
        <w:rPr>
          <w:rStyle w:val="913"/>
          <w:rFonts w:hint="eastAsia" w:ascii="宋体" w:hAnsi="宋体" w:eastAsia="宋体" w:cs="宋体"/>
          <w:b w:val="0"/>
          <w:i/>
          <w:iCs/>
          <w:color w:val="auto"/>
          <w:spacing w:val="7"/>
          <w:sz w:val="24"/>
          <w:szCs w:val="24"/>
          <w:highlight w:val="none"/>
          <w:u w:val="single"/>
          <w:lang w:eastAsia="zh-CN"/>
        </w:rPr>
        <w:t xml:space="preserve">。</w:t>
      </w:r>
      <w:r>
        <w:rPr>
          <w:rStyle w:val="913"/>
          <w:rFonts w:hint="eastAsia" w:ascii="宋体" w:hAnsi="宋体" w:eastAsia="宋体" w:cs="宋体"/>
          <w:b w:val="0"/>
          <w:i/>
          <w:iCs/>
          <w:color w:val="auto"/>
          <w:spacing w:val="7"/>
          <w:sz w:val="24"/>
          <w:szCs w:val="24"/>
          <w:highlight w:val="none"/>
          <w:u w:val="single"/>
        </w:rPr>
        <w:t xml:space="preserve"> </w:t>
      </w:r>
      <w:r>
        <w:rPr>
          <w:color w:val="auto"/>
        </w:rPr>
      </w:r>
      <w:r/>
    </w:p>
    <w:p>
      <w:pPr>
        <w:pStyle w:val="911"/>
        <w:ind w:firstLine="555"/>
        <w:spacing w:line="360" w:lineRule="auto"/>
        <w:shd w:val="clear" w:color="auto" w:fill="ffffff"/>
        <w:widowControl/>
        <w:rPr>
          <w:rStyle w:val="913"/>
          <w:rFonts w:hint="eastAsia" w:ascii="宋体" w:hAnsi="宋体" w:eastAsia="宋体" w:cs="宋体"/>
          <w:b w:val="0"/>
          <w:color w:val="auto"/>
          <w:spacing w:val="7"/>
          <w:sz w:val="24"/>
          <w:szCs w:val="24"/>
          <w:highlight w:val="none"/>
        </w:rPr>
      </w:pPr>
      <w:r>
        <w:rPr>
          <w:rStyle w:val="913"/>
          <w:rFonts w:hint="eastAsia" w:ascii="宋体" w:hAnsi="宋体" w:eastAsia="宋体" w:cs="宋体"/>
          <w:b w:val="0"/>
          <w:i/>
          <w:iCs/>
          <w:color w:val="auto"/>
          <w:spacing w:val="7"/>
          <w:sz w:val="24"/>
          <w:szCs w:val="24"/>
          <w:highlight w:val="none"/>
          <w:u w:val="single"/>
          <w:lang w:val="en-US" w:eastAsia="zh-CN"/>
        </w:rPr>
        <w:t xml:space="preserve">5.4</w:t>
      </w:r>
      <w:r>
        <w:rPr>
          <w:rStyle w:val="913"/>
          <w:rFonts w:hint="eastAsia" w:ascii="宋体" w:hAnsi="宋体" w:eastAsia="宋体" w:cs="宋体"/>
          <w:b w:val="0"/>
          <w:i/>
          <w:iCs/>
          <w:color w:val="auto"/>
          <w:spacing w:val="7"/>
          <w:sz w:val="24"/>
          <w:szCs w:val="24"/>
          <w:highlight w:val="none"/>
          <w:u w:val="singl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color w:val="auto"/>
        </w:rPr>
      </w:r>
      <w:r/>
    </w:p>
    <w:p>
      <w:pPr>
        <w:pStyle w:val="911"/>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三、获取招标文件</w:t>
      </w:r>
      <w:r>
        <w:rPr>
          <w:color w:val="auto"/>
        </w:rPr>
      </w:r>
      <w:r/>
    </w:p>
    <w:p>
      <w:pPr>
        <w:pStyle w:val="911"/>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cs="宋体"/>
          <w:color w:val="auto"/>
          <w:spacing w:val="8"/>
          <w:sz w:val="24"/>
          <w:highlight w:val="none"/>
          <w:lang w:val="en-US" w:eastAsia="zh-CN"/>
        </w:rPr>
        <w:t xml:space="preserve">1.</w:t>
      </w:r>
      <w:r>
        <w:rPr>
          <w:rFonts w:hint="eastAsia" w:ascii="宋体" w:hAnsi="宋体" w:eastAsia="宋体" w:cs="宋体"/>
          <w:color w:val="auto"/>
          <w:spacing w:val="8"/>
          <w:sz w:val="24"/>
          <w:highlight w:val="none"/>
        </w:rPr>
        <w:t xml:space="preserve">时间：</w:t>
      </w:r>
      <w:r>
        <w:rPr>
          <w:rFonts w:hint="eastAsia" w:ascii="宋体" w:hAnsi="宋体" w:eastAsia="宋体" w:cs="宋体"/>
          <w:color w:val="auto"/>
          <w:spacing w:val="8"/>
          <w:sz w:val="24"/>
          <w:highlight w:val="none"/>
        </w:rPr>
        <w:t xml:space="preserve">2024年0</w:t>
      </w:r>
      <w:r>
        <w:rPr>
          <w:rFonts w:hint="eastAsia" w:ascii="宋体" w:hAnsi="宋体" w:cs="宋体"/>
          <w:color w:val="auto"/>
          <w:spacing w:val="8"/>
          <w:sz w:val="24"/>
          <w:highlight w:val="none"/>
          <w:lang w:val="en-US" w:eastAsia="zh-CN"/>
        </w:rPr>
        <w:t xml:space="preserve">6</w:t>
      </w:r>
      <w:r>
        <w:rPr>
          <w:rFonts w:hint="eastAsia" w:ascii="宋体" w:hAnsi="宋体" w:eastAsia="宋体" w:cs="宋体"/>
          <w:color w:val="auto"/>
          <w:spacing w:val="8"/>
          <w:sz w:val="24"/>
          <w:highlight w:val="none"/>
        </w:rPr>
        <w:t xml:space="preserve">月</w:t>
      </w:r>
      <w:r>
        <w:rPr>
          <w:rFonts w:hint="eastAsia" w:ascii="宋体" w:hAnsi="宋体" w:cs="宋体"/>
          <w:color w:val="auto"/>
          <w:spacing w:val="8"/>
          <w:sz w:val="24"/>
          <w:highlight w:val="none"/>
          <w:lang w:val="en-US" w:eastAsia="zh-CN"/>
        </w:rPr>
        <w:t xml:space="preserve">28</w:t>
      </w:r>
      <w:r>
        <w:rPr>
          <w:rFonts w:hint="eastAsia" w:ascii="宋体" w:hAnsi="宋体" w:eastAsia="宋体" w:cs="宋体"/>
          <w:color w:val="auto"/>
          <w:spacing w:val="8"/>
          <w:sz w:val="24"/>
          <w:highlight w:val="none"/>
        </w:rPr>
        <w:t xml:space="preserve">日至2024年0</w:t>
      </w:r>
      <w:r>
        <w:rPr>
          <w:rFonts w:hint="eastAsia" w:ascii="宋体" w:hAnsi="宋体" w:cs="宋体"/>
          <w:color w:val="auto"/>
          <w:spacing w:val="8"/>
          <w:sz w:val="24"/>
          <w:highlight w:val="none"/>
          <w:lang w:val="en-US" w:eastAsia="zh-CN"/>
        </w:rPr>
        <w:t xml:space="preserve">7</w:t>
      </w:r>
      <w:r>
        <w:rPr>
          <w:rFonts w:hint="eastAsia" w:ascii="宋体" w:hAnsi="宋体" w:eastAsia="宋体" w:cs="宋体"/>
          <w:color w:val="auto"/>
          <w:spacing w:val="8"/>
          <w:sz w:val="24"/>
          <w:highlight w:val="none"/>
        </w:rPr>
        <w:t xml:space="preserve">月</w:t>
      </w:r>
      <w:r>
        <w:rPr>
          <w:rFonts w:hint="eastAsia" w:ascii="宋体" w:hAnsi="宋体" w:cs="宋体"/>
          <w:color w:val="auto"/>
          <w:spacing w:val="8"/>
          <w:sz w:val="24"/>
          <w:highlight w:val="none"/>
          <w:lang w:val="en-US" w:eastAsia="zh-CN"/>
        </w:rPr>
        <w:t xml:space="preserve">04</w:t>
      </w:r>
      <w:r>
        <w:rPr>
          <w:rFonts w:hint="eastAsia" w:ascii="宋体" w:hAnsi="宋体" w:eastAsia="宋体" w:cs="宋体"/>
          <w:color w:val="auto"/>
          <w:spacing w:val="8"/>
          <w:sz w:val="24"/>
          <w:highlight w:val="none"/>
        </w:rPr>
        <w:t xml:space="preserve">日</w:t>
      </w:r>
      <w:r>
        <w:rPr>
          <w:rFonts w:hint="eastAsia" w:ascii="宋体" w:hAnsi="宋体" w:eastAsia="宋体" w:cs="宋体"/>
          <w:color w:val="auto"/>
          <w:spacing w:val="8"/>
          <w:sz w:val="24"/>
          <w:highlight w:val="none"/>
        </w:rPr>
        <w:t xml:space="preserve">，每天上午00:00-12:00，下午12:00-23:59（北京时间，法定节假日除外）</w:t>
      </w:r>
      <w:r>
        <w:rPr>
          <w:rFonts w:hint="eastAsia" w:ascii="宋体" w:hAnsi="宋体" w:cs="宋体"/>
          <w:color w:val="auto"/>
          <w:spacing w:val="8"/>
          <w:sz w:val="24"/>
          <w:highlight w:val="none"/>
          <w:lang w:eastAsia="zh-CN"/>
        </w:rPr>
        <w:t xml:space="preserve">。</w:t>
      </w:r>
      <w:r>
        <w:rPr>
          <w:color w:val="auto"/>
        </w:rPr>
      </w:r>
      <w:r/>
    </w:p>
    <w:p>
      <w:pPr>
        <w:pStyle w:val="911"/>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cs="宋体"/>
          <w:color w:val="auto"/>
          <w:spacing w:val="8"/>
          <w:sz w:val="24"/>
          <w:highlight w:val="none"/>
          <w:lang w:val="en-US" w:eastAsia="zh-CN"/>
        </w:rPr>
        <w:t xml:space="preserve">2.</w:t>
      </w:r>
      <w:r>
        <w:rPr>
          <w:rFonts w:hint="eastAsia" w:ascii="宋体" w:hAnsi="宋体" w:eastAsia="宋体" w:cs="宋体"/>
          <w:color w:val="auto"/>
          <w:spacing w:val="8"/>
          <w:sz w:val="24"/>
          <w:highlight w:val="none"/>
        </w:rPr>
        <w:t xml:space="preserve">地点：在“</w:t>
      </w:r>
      <w:r>
        <w:rPr>
          <w:rFonts w:hint="eastAsia" w:ascii="宋体" w:hAnsi="宋体" w:cs="宋体"/>
          <w:color w:val="auto"/>
          <w:spacing w:val="8"/>
          <w:sz w:val="24"/>
          <w:highlight w:val="none"/>
          <w:lang w:eastAsia="zh-CN"/>
        </w:rPr>
        <w:t xml:space="preserve">苏采云</w:t>
      </w:r>
      <w:r>
        <w:rPr>
          <w:rFonts w:hint="eastAsia" w:ascii="宋体" w:hAnsi="宋体" w:eastAsia="宋体" w:cs="宋体"/>
          <w:color w:val="auto"/>
          <w:spacing w:val="8"/>
          <w:sz w:val="24"/>
          <w:highlight w:val="none"/>
        </w:rPr>
        <w:t xml:space="preserve">”</w:t>
      </w:r>
      <w:r>
        <w:rPr>
          <w:rFonts w:hint="eastAsia" w:ascii="宋体" w:hAnsi="宋体" w:cs="宋体"/>
          <w:color w:val="auto"/>
          <w:spacing w:val="8"/>
          <w:sz w:val="24"/>
          <w:highlight w:val="none"/>
          <w:lang w:eastAsia="zh-CN"/>
        </w:rPr>
        <w:t xml:space="preserve">系统</w:t>
      </w:r>
      <w:r>
        <w:rPr>
          <w:rFonts w:hint="eastAsia" w:ascii="宋体" w:hAnsi="宋体" w:eastAsia="宋体" w:cs="宋体"/>
          <w:color w:val="auto"/>
          <w:spacing w:val="8"/>
          <w:sz w:val="24"/>
          <w:highlight w:val="none"/>
        </w:rPr>
        <w:t xml:space="preserve">自行免费下载招标文件。</w:t>
      </w:r>
      <w:r>
        <w:rPr>
          <w:color w:val="auto"/>
        </w:rPr>
      </w:r>
      <w:r/>
    </w:p>
    <w:p>
      <w:pPr>
        <w:pStyle w:val="911"/>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cs="宋体"/>
          <w:color w:val="auto"/>
          <w:spacing w:val="8"/>
          <w:sz w:val="24"/>
          <w:highlight w:val="none"/>
          <w:lang w:val="en-US" w:eastAsia="zh-CN"/>
        </w:rPr>
        <w:t xml:space="preserve">3.</w:t>
      </w:r>
      <w:r>
        <w:rPr>
          <w:rFonts w:hint="eastAsia" w:ascii="宋体" w:hAnsi="宋体" w:eastAsia="宋体" w:cs="宋体"/>
          <w:color w:val="auto"/>
          <w:spacing w:val="8"/>
          <w:sz w:val="24"/>
          <w:highlight w:val="none"/>
        </w:rPr>
        <w:t xml:space="preserve">方式：</w:t>
      </w:r>
      <w:r>
        <w:rPr>
          <w:color w:val="auto"/>
        </w:rPr>
      </w:r>
      <w:r/>
    </w:p>
    <w:p>
      <w:pPr>
        <w:pStyle w:val="911"/>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（1）CA证书办理</w:t>
      </w:r>
      <w:r>
        <w:rPr>
          <w:color w:val="auto"/>
        </w:rPr>
      </w:r>
      <w:r/>
    </w:p>
    <w:p>
      <w:pPr>
        <w:pStyle w:val="911"/>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供应商</w:t>
      </w:r>
      <w:r>
        <w:rPr>
          <w:rFonts w:hint="eastAsia" w:ascii="宋体" w:hAnsi="宋体" w:eastAsia="宋体" w:cs="宋体"/>
          <w:color w:val="auto"/>
          <w:spacing w:val="8"/>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color w:val="auto"/>
        </w:rPr>
      </w:r>
      <w:r/>
    </w:p>
    <w:p>
      <w:pPr>
        <w:pStyle w:val="911"/>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（2）参与采购活动</w:t>
      </w:r>
      <w:r>
        <w:rPr>
          <w:color w:val="auto"/>
        </w:rPr>
      </w:r>
      <w:r/>
    </w:p>
    <w:p>
      <w:pPr>
        <w:pStyle w:val="911"/>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auto"/>
        </w:rPr>
      </w:r>
      <w:r/>
    </w:p>
    <w:p>
      <w:pPr>
        <w:pStyle w:val="911"/>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（3）电子投标准备</w:t>
      </w:r>
      <w:r>
        <w:rPr>
          <w:color w:val="auto"/>
        </w:rPr>
      </w:r>
      <w:r/>
    </w:p>
    <w:p>
      <w:pPr>
        <w:pStyle w:val="911"/>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color w:val="auto"/>
        </w:rPr>
      </w:r>
      <w:r/>
    </w:p>
    <w:p>
      <w:pPr>
        <w:pStyle w:val="911"/>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在系统操作过程中如有疑问，请按以下方式联系：</w:t>
      </w:r>
      <w:r>
        <w:rPr>
          <w:color w:val="auto"/>
        </w:rPr>
      </w:r>
      <w:r/>
    </w:p>
    <w:p>
      <w:pPr>
        <w:pStyle w:val="911"/>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注册咨询：18261002950；</w:t>
      </w:r>
      <w:r>
        <w:rPr>
          <w:color w:val="auto"/>
        </w:rPr>
      </w:r>
      <w:r/>
    </w:p>
    <w:p>
      <w:pPr>
        <w:pStyle w:val="911"/>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CA技术咨询电话：400-608-6099；</w:t>
      </w:r>
      <w:r>
        <w:rPr>
          <w:color w:val="auto"/>
        </w:rPr>
      </w:r>
      <w:r/>
    </w:p>
    <w:p>
      <w:pPr>
        <w:pStyle w:val="911"/>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签章使用问题：025-83633811、025-83633812、15380932027、15371015030；</w:t>
      </w:r>
      <w:r>
        <w:rPr>
          <w:color w:val="auto"/>
        </w:rPr>
      </w:r>
      <w:r/>
    </w:p>
    <w:p>
      <w:pPr>
        <w:pStyle w:val="911"/>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系统使用指导与咨询：联系电话：18261002950</w:t>
      </w:r>
      <w:r>
        <w:rPr>
          <w:rFonts w:hint="eastAsia" w:ascii="宋体" w:hAnsi="宋体" w:cs="宋体"/>
          <w:color w:val="auto"/>
          <w:spacing w:val="8"/>
          <w:sz w:val="24"/>
          <w:highlight w:val="none"/>
          <w:lang w:eastAsia="zh-CN"/>
        </w:rPr>
        <w:t xml:space="preserve">。</w:t>
      </w:r>
      <w:r>
        <w:rPr>
          <w:color w:val="auto"/>
        </w:rPr>
      </w:r>
      <w:r/>
    </w:p>
    <w:p>
      <w:pPr>
        <w:pStyle w:val="911"/>
        <w:ind w:firstLine="5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4.售价：免费。</w:t>
      </w:r>
      <w:r>
        <w:rPr>
          <w:color w:val="auto"/>
        </w:rPr>
      </w:r>
      <w:r/>
    </w:p>
    <w:p>
      <w:pPr>
        <w:pStyle w:val="911"/>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四、提交投标文件截止时间、开标时间和地点</w:t>
      </w:r>
      <w:r>
        <w:rPr>
          <w:color w:val="auto"/>
        </w:rPr>
      </w:r>
      <w:r/>
    </w:p>
    <w:p>
      <w:pPr>
        <w:pStyle w:val="911"/>
        <w:ind w:firstLine="555"/>
        <w:spacing w:line="360" w:lineRule="auto"/>
        <w:shd w:val="clear" w:color="auto" w:fill="ffffff"/>
        <w:widowControl/>
        <w:rPr>
          <w:rFonts w:hint="eastAsia" w:ascii="宋体" w:hAnsi="宋体" w:cs="宋体"/>
          <w:color w:val="auto"/>
          <w:spacing w:val="8"/>
          <w:sz w:val="24"/>
          <w:highlight w:val="none"/>
        </w:rPr>
      </w:pPr>
      <w:r>
        <w:rPr>
          <w:rFonts w:hint="eastAsia" w:ascii="宋体" w:hAnsi="宋体" w:cs="宋体"/>
          <w:color w:val="auto"/>
          <w:spacing w:val="8"/>
          <w:sz w:val="24"/>
          <w:highlight w:val="none"/>
          <w:lang w:val="en-US" w:eastAsia="zh-CN"/>
        </w:rPr>
        <w:t xml:space="preserve">1.加密的电子投标文件上传截止时间：</w:t>
      </w:r>
      <w:r>
        <w:rPr>
          <w:rFonts w:hint="eastAsia" w:ascii="宋体" w:hAnsi="宋体" w:cs="宋体"/>
          <w:color w:val="auto"/>
          <w:sz w:val="24"/>
          <w:szCs w:val="24"/>
          <w:highlight w:val="none"/>
          <w:lang w:val="en-US" w:eastAsia="zh-CN"/>
        </w:rPr>
        <w:t xml:space="preserve">2024年07月18日</w:t>
      </w:r>
      <w:r>
        <w:rPr>
          <w:rFonts w:hint="eastAsia" w:ascii="宋体" w:hAnsi="宋体" w:cs="宋体"/>
          <w:color w:val="auto"/>
          <w:sz w:val="24"/>
          <w:szCs w:val="24"/>
          <w:highlight w:val="none"/>
          <w:lang w:val="en-US" w:eastAsia="zh-CN"/>
        </w:rPr>
        <w:t xml:space="preserve">13:30</w:t>
      </w:r>
      <w:r>
        <w:rPr>
          <w:rFonts w:hint="eastAsia" w:ascii="宋体" w:hAnsi="宋体" w:cs="宋体"/>
          <w:color w:val="auto"/>
          <w:spacing w:val="8"/>
          <w:sz w:val="24"/>
          <w:highlight w:val="none"/>
          <w:lang w:val="en-US" w:eastAsia="zh-CN"/>
        </w:rPr>
        <w:t xml:space="preserve">（北京时间），投标人登录苏采云政府采购一体化平台，进入“参与详情”页面，上传电子投标文件。</w:t>
      </w:r>
      <w:r>
        <w:rPr>
          <w:color w:val="auto"/>
        </w:rPr>
      </w:r>
      <w:r/>
    </w:p>
    <w:p>
      <w:pPr>
        <w:pStyle w:val="911"/>
        <w:ind w:firstLine="555"/>
        <w:spacing w:line="360" w:lineRule="auto"/>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lang w:val="en-US" w:eastAsia="zh-CN"/>
        </w:rPr>
        <w:t xml:space="preserve">注：考虑网络上传速度因素，请投标供应商适当提前上传电子投标文件。</w:t>
      </w:r>
      <w:r>
        <w:rPr>
          <w:color w:val="auto"/>
        </w:rPr>
      </w:r>
      <w:r/>
    </w:p>
    <w:p>
      <w:pPr>
        <w:pStyle w:val="911"/>
        <w:ind w:firstLine="555"/>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cs="宋体"/>
          <w:color w:val="auto"/>
          <w:spacing w:val="8"/>
          <w:sz w:val="24"/>
          <w:highlight w:val="none"/>
          <w:lang w:val="en-US" w:eastAsia="zh-CN"/>
        </w:rPr>
        <w:t xml:space="preserve">2.开标</w:t>
      </w:r>
      <w:r>
        <w:rPr>
          <w:rFonts w:hint="eastAsia" w:ascii="宋体" w:hAnsi="宋体" w:eastAsia="宋体" w:cs="宋体"/>
          <w:color w:val="auto"/>
          <w:spacing w:val="8"/>
          <w:sz w:val="24"/>
          <w:highlight w:val="none"/>
        </w:rPr>
        <w:t xml:space="preserve">时间：</w:t>
      </w:r>
      <w:bookmarkStart w:id="17" w:name="EB47b1af47eddb4c2d87568ed0f320c968"/>
      <w:r>
        <w:rPr>
          <w:color w:val="auto"/>
        </w:rPr>
      </w:r>
      <w:bookmarkEnd w:id="17"/>
      <w:r>
        <w:rPr>
          <w:rFonts w:hint="eastAsia" w:ascii="宋体" w:hAnsi="宋体" w:cs="宋体"/>
          <w:color w:val="auto"/>
          <w:sz w:val="24"/>
          <w:szCs w:val="24"/>
          <w:highlight w:val="none"/>
          <w:lang w:val="en-US" w:eastAsia="zh-CN"/>
        </w:rPr>
        <w:t xml:space="preserve">2024年07月18日</w:t>
      </w:r>
      <w:r>
        <w:rPr>
          <w:rFonts w:hint="eastAsia" w:ascii="宋体" w:hAnsi="宋体" w:cs="宋体"/>
          <w:color w:val="auto"/>
          <w:sz w:val="24"/>
          <w:szCs w:val="24"/>
          <w:highlight w:val="none"/>
          <w:lang w:val="en-US" w:eastAsia="zh-CN"/>
        </w:rPr>
        <w:t xml:space="preserve">13:30</w:t>
      </w:r>
      <w:r>
        <w:rPr>
          <w:rFonts w:hint="eastAsia" w:ascii="宋体" w:hAnsi="宋体" w:eastAsia="宋体" w:cs="宋体"/>
          <w:color w:val="auto"/>
          <w:spacing w:val="8"/>
          <w:sz w:val="24"/>
          <w:highlight w:val="none"/>
        </w:rPr>
        <w:t xml:space="preserve">（北京时间）</w:t>
      </w:r>
      <w:r>
        <w:rPr>
          <w:color w:val="auto"/>
        </w:rPr>
      </w:r>
      <w:r/>
    </w:p>
    <w:p>
      <w:pPr>
        <w:pStyle w:val="911"/>
        <w:ind w:firstLine="555"/>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lang w:val="en-US" w:eastAsia="zh-CN"/>
        </w:rPr>
        <w:t xml:space="preserve">3.开标地点：“苏采云”系统（网址：</w:t>
      </w:r>
      <w:r>
        <w:rPr>
          <w:rFonts w:hint="eastAsia" w:ascii="宋体" w:hAnsi="宋体" w:eastAsia="宋体" w:cs="宋体"/>
          <w:color w:val="auto"/>
          <w:spacing w:val="8"/>
          <w:sz w:val="24"/>
          <w:highlight w:val="none"/>
          <w:lang w:val="en-US" w:eastAsia="zh-CN"/>
        </w:rPr>
        <w:fldChar w:fldCharType="begin"/>
      </w:r>
      <w:r>
        <w:rPr>
          <w:rFonts w:hint="eastAsia" w:ascii="宋体" w:hAnsi="宋体" w:eastAsia="宋体" w:cs="宋体"/>
          <w:color w:val="auto"/>
          <w:spacing w:val="8"/>
          <w:sz w:val="24"/>
          <w:highlight w:val="none"/>
          <w:lang w:val="en-US" w:eastAsia="zh-CN"/>
        </w:rPr>
        <w:instrText xml:space="preserve"> HYPERLINK "http://jszfcg.jsczt.cn/）。" </w:instrText>
      </w:r>
      <w:r>
        <w:rPr>
          <w:rFonts w:hint="eastAsia" w:ascii="宋体" w:hAnsi="宋体" w:eastAsia="宋体" w:cs="宋体"/>
          <w:color w:val="auto"/>
          <w:spacing w:val="8"/>
          <w:sz w:val="24"/>
          <w:highlight w:val="none"/>
          <w:lang w:val="en-US" w:eastAsia="zh-CN"/>
        </w:rPr>
        <w:fldChar w:fldCharType="separate"/>
      </w:r>
      <w:r>
        <w:rPr>
          <w:rFonts w:hint="eastAsia" w:ascii="宋体" w:hAnsi="宋体" w:eastAsia="宋体" w:cs="宋体"/>
          <w:color w:val="auto"/>
          <w:spacing w:val="8"/>
          <w:sz w:val="24"/>
          <w:highlight w:val="none"/>
          <w:lang w:val="en-US" w:eastAsia="zh-CN"/>
        </w:rPr>
        <w:t xml:space="preserve">http://jszfcg.jsczt.cn/）。</w:t>
      </w:r>
      <w:r>
        <w:rPr>
          <w:rFonts w:hint="eastAsia" w:ascii="宋体" w:hAnsi="宋体" w:eastAsia="宋体" w:cs="宋体"/>
          <w:color w:val="auto"/>
          <w:spacing w:val="8"/>
          <w:sz w:val="24"/>
          <w:highlight w:val="none"/>
          <w:lang w:val="en-US" w:eastAsia="zh-CN"/>
        </w:rPr>
        <w:fldChar w:fldCharType="end"/>
      </w:r>
      <w:r>
        <w:rPr>
          <w:color w:val="auto"/>
        </w:rPr>
      </w:r>
      <w:r/>
    </w:p>
    <w:p>
      <w:pPr>
        <w:pStyle w:val="911"/>
        <w:ind w:firstLine="555"/>
        <w:spacing w:line="360" w:lineRule="auto"/>
        <w:shd w:val="clear" w:color="auto" w:fill="ffffff"/>
        <w:widowControl/>
        <w:rPr>
          <w:rFonts w:ascii="宋体" w:hAnsi="宋体" w:eastAsia="宋体" w:cs="宋体"/>
          <w:color w:val="auto"/>
          <w:spacing w:val="8"/>
          <w:sz w:val="24"/>
          <w:highlight w:val="none"/>
        </w:rPr>
      </w:pPr>
      <w:r>
        <w:rPr>
          <w:rFonts w:hint="eastAsia" w:ascii="宋体" w:hAnsi="宋体" w:eastAsia="宋体" w:cs="宋体"/>
          <w:color w:val="auto"/>
          <w:spacing w:val="8"/>
          <w:sz w:val="24"/>
          <w:highlight w:val="none"/>
          <w:lang w:val="en-US" w:eastAsia="zh-CN"/>
        </w:rPr>
        <w:t xml:space="preserve">4.现场地址：张家港市杨舍镇滨河路1号（国泰金融广场C座8楼、9楼开标室）</w:t>
      </w:r>
      <w:r>
        <w:rPr>
          <w:color w:val="auto"/>
        </w:rPr>
      </w:r>
      <w:r/>
    </w:p>
    <w:p>
      <w:pPr>
        <w:pStyle w:val="911"/>
        <w:ind w:firstLine="555"/>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lang w:val="en-US" w:eastAsia="zh-CN"/>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color w:val="auto"/>
        </w:rPr>
      </w:r>
      <w:r/>
    </w:p>
    <w:p>
      <w:pPr>
        <w:pStyle w:val="911"/>
        <w:ind w:firstLine="555"/>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lang w:val="en-US" w:eastAsia="zh-CN"/>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color w:val="auto"/>
        </w:rPr>
      </w:r>
      <w:r/>
    </w:p>
    <w:p>
      <w:pPr>
        <w:pStyle w:val="911"/>
        <w:ind w:firstLine="555"/>
        <w:spacing w:line="360" w:lineRule="auto"/>
        <w:shd w:val="clear" w:color="auto" w:fill="ffffff"/>
        <w:widowControl/>
        <w:rPr>
          <w:rFonts w:hint="eastAsia" w:ascii="宋体" w:hAnsi="宋体" w:eastAsia="宋体" w:cs="宋体"/>
          <w:b/>
          <w:bCs/>
          <w:color w:val="auto"/>
          <w:spacing w:val="8"/>
          <w:sz w:val="24"/>
          <w:highlight w:val="none"/>
        </w:rPr>
      </w:pPr>
      <w:r>
        <w:rPr>
          <w:rFonts w:hint="eastAsia" w:ascii="宋体" w:hAnsi="宋体" w:eastAsia="宋体" w:cs="宋体"/>
          <w:b/>
          <w:bCs/>
          <w:color w:val="auto"/>
          <w:spacing w:val="8"/>
          <w:sz w:val="24"/>
          <w:highlight w:val="none"/>
          <w:lang w:val="en-US" w:eastAsia="zh-CN"/>
        </w:rPr>
        <w:t xml:space="preserve">请供应商确保电脑、系统及其他设备（视频输入输出设备等）无误，且开标直至项目结束始终保持系统在线状态。</w:t>
      </w:r>
      <w:r>
        <w:rPr>
          <w:color w:val="auto"/>
        </w:rPr>
      </w:r>
      <w:r/>
    </w:p>
    <w:p>
      <w:pPr>
        <w:pStyle w:val="911"/>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lang w:val="en-US" w:eastAsia="zh-CN"/>
        </w:rPr>
        <w:t xml:space="preserve">五、公告期限</w:t>
      </w:r>
      <w:r>
        <w:rPr>
          <w:color w:val="auto"/>
        </w:rPr>
      </w:r>
      <w:r/>
    </w:p>
    <w:p>
      <w:pPr>
        <w:pStyle w:val="911"/>
        <w:ind w:firstLine="512"/>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自本公告发布之日起5个工作日。</w:t>
      </w:r>
      <w:r>
        <w:rPr>
          <w:color w:val="auto"/>
        </w:rPr>
      </w:r>
      <w:r/>
    </w:p>
    <w:p>
      <w:pPr>
        <w:pStyle w:val="911"/>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六、其他补充事宜</w:t>
      </w:r>
      <w:r>
        <w:rPr>
          <w:color w:val="auto"/>
        </w:rPr>
      </w:r>
      <w:r/>
    </w:p>
    <w:p>
      <w:pPr>
        <w:pStyle w:val="950"/>
        <w:ind w:left="0" w:firstLine="512"/>
        <w:spacing w:line="360" w:lineRule="auto"/>
        <w:rPr>
          <w:rFonts w:hint="eastAsia" w:ascii="宋体" w:hAnsi="宋体" w:eastAsia="宋体" w:cs="宋体"/>
          <w:b w:val="0"/>
          <w:bCs w:val="0"/>
          <w:i w:val="0"/>
          <w:iCs/>
          <w:color w:val="auto"/>
          <w:spacing w:val="8"/>
          <w:sz w:val="24"/>
          <w:highlight w:val="none"/>
        </w:rPr>
      </w:pPr>
      <w:r>
        <w:rPr>
          <w:rFonts w:hint="eastAsia" w:ascii="宋体" w:hAnsi="宋体" w:eastAsia="宋体" w:cs="宋体"/>
          <w:b w:val="0"/>
          <w:bCs w:val="0"/>
          <w:i w:val="0"/>
          <w:iCs/>
          <w:color w:val="auto"/>
          <w:spacing w:val="8"/>
          <w:sz w:val="24"/>
          <w:highlight w:val="none"/>
        </w:rPr>
        <w:t xml:space="preserve">1.本次采购的有关信息在以下网站上发布：江苏政府采购网、苏州市政府采购网；</w:t>
      </w:r>
      <w:r>
        <w:rPr>
          <w:color w:val="auto"/>
        </w:rPr>
      </w:r>
      <w:r/>
    </w:p>
    <w:p>
      <w:pPr>
        <w:pStyle w:val="950"/>
        <w:ind w:left="0" w:firstLine="512"/>
        <w:spacing w:line="360" w:lineRule="auto"/>
        <w:rPr>
          <w:rFonts w:hint="eastAsia" w:ascii="宋体" w:hAnsi="宋体" w:eastAsia="宋体" w:cs="宋体"/>
          <w:b w:val="0"/>
          <w:bCs w:val="0"/>
          <w:i w:val="0"/>
          <w:iCs/>
          <w:color w:val="auto"/>
          <w:spacing w:val="8"/>
          <w:sz w:val="24"/>
          <w:highlight w:val="none"/>
        </w:rPr>
      </w:pPr>
      <w:r>
        <w:rPr>
          <w:rFonts w:hint="eastAsia" w:ascii="宋体" w:hAnsi="宋体" w:eastAsia="宋体" w:cs="宋体"/>
          <w:b w:val="0"/>
          <w:bCs w:val="0"/>
          <w:i w:val="0"/>
          <w:iCs/>
          <w:color w:val="auto"/>
          <w:spacing w:val="8"/>
          <w:sz w:val="24"/>
          <w:highlight w:val="none"/>
        </w:rPr>
        <w:t xml:space="preserve">2.有关该采购项目的澄清、修正及中标等信息亦在以上网站发布，请随时关注</w:t>
      </w:r>
      <w:r>
        <w:rPr>
          <w:rFonts w:hint="eastAsia" w:ascii="宋体" w:hAnsi="宋体" w:cs="宋体"/>
          <w:b w:val="0"/>
          <w:bCs w:val="0"/>
          <w:i w:val="0"/>
          <w:iCs/>
          <w:color w:val="auto"/>
          <w:spacing w:val="8"/>
          <w:sz w:val="24"/>
          <w:highlight w:val="none"/>
          <w:lang w:eastAsia="zh-CN"/>
        </w:rPr>
        <w:t xml:space="preserve">；</w:t>
      </w:r>
      <w:r>
        <w:rPr>
          <w:color w:val="auto"/>
        </w:rPr>
      </w:r>
      <w:r/>
    </w:p>
    <w:p>
      <w:pPr>
        <w:pStyle w:val="950"/>
        <w:ind w:left="0" w:firstLine="512"/>
        <w:spacing w:line="360" w:lineRule="auto"/>
        <w:rPr>
          <w:rFonts w:ascii="宋体" w:hAnsi="宋体" w:eastAsia="宋体" w:cs="宋体"/>
          <w:b w:val="0"/>
          <w:bCs w:val="0"/>
          <w:i w:val="0"/>
          <w:iCs/>
          <w:color w:val="auto"/>
          <w:spacing w:val="8"/>
          <w:sz w:val="24"/>
          <w:highlight w:val="none"/>
        </w:rPr>
      </w:pPr>
      <w:r>
        <w:rPr>
          <w:rFonts w:hint="eastAsia" w:ascii="宋体" w:hAnsi="宋体" w:eastAsia="宋体" w:cs="宋体"/>
          <w:b w:val="0"/>
          <w:bCs w:val="0"/>
          <w:i w:val="0"/>
          <w:iCs/>
          <w:color w:val="auto"/>
          <w:spacing w:val="8"/>
          <w:sz w:val="24"/>
          <w:highlight w:val="none"/>
        </w:rPr>
        <w:t xml:space="preserve">3.</w:t>
      </w:r>
      <w:r>
        <w:rPr>
          <w:rFonts w:hint="eastAsia" w:ascii="宋体" w:hAnsi="宋体" w:cs="宋体"/>
          <w:b w:val="0"/>
          <w:bCs w:val="0"/>
          <w:i w:val="0"/>
          <w:iCs/>
          <w:color w:val="auto"/>
          <w:spacing w:val="8"/>
          <w:sz w:val="24"/>
          <w:highlight w:val="none"/>
          <w:lang w:val="en-US" w:eastAsia="zh-CN"/>
        </w:rPr>
        <w:t xml:space="preserve">本次招标不收取投标保证金。</w:t>
      </w:r>
      <w:r>
        <w:rPr>
          <w:color w:val="auto"/>
        </w:rPr>
      </w:r>
      <w:r/>
    </w:p>
    <w:p>
      <w:pPr>
        <w:pStyle w:val="911"/>
        <w:jc w:val="left"/>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七、对本次招标提出询问，请按以下方式联系。</w:t>
      </w:r>
      <w:r>
        <w:rPr>
          <w:color w:val="auto"/>
        </w:rPr>
      </w:r>
      <w:r/>
    </w:p>
    <w:p>
      <w:pPr>
        <w:pStyle w:val="911"/>
        <w:ind w:firstLine="420"/>
        <w:jc w:val="left"/>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1.采购人信息</w:t>
      </w:r>
      <w:r>
        <w:rPr>
          <w:color w:val="auto"/>
        </w:rPr>
      </w:r>
      <w:r/>
    </w:p>
    <w:p>
      <w:pPr>
        <w:pStyle w:val="911"/>
        <w:ind w:left="420" w:firstLine="420"/>
        <w:jc w:val="left"/>
        <w:spacing w:line="44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名</w:t>
      </w:r>
      <w:r>
        <w:rPr>
          <w:rFonts w:hint="eastAsia" w:ascii="宋体" w:hAnsi="宋体" w:cs="宋体"/>
          <w:color w:val="auto"/>
          <w:spacing w:val="8"/>
          <w:sz w:val="24"/>
          <w:highlight w:val="none"/>
          <w:lang w:val="en-US" w:eastAsia="zh-CN"/>
        </w:rPr>
        <w:t xml:space="preserve">   </w:t>
      </w:r>
      <w:r>
        <w:rPr>
          <w:rFonts w:hint="eastAsia" w:ascii="宋体" w:hAnsi="宋体" w:cs="宋体"/>
          <w:color w:val="auto"/>
          <w:spacing w:val="8"/>
          <w:sz w:val="24"/>
          <w:highlight w:val="none"/>
        </w:rPr>
        <w:t xml:space="preserve"> 称：</w:t>
      </w:r>
      <w:bookmarkStart w:id="18" w:name="EB501cd5b3fe6c4563a9f307532ed21a6a"/>
      <w:r>
        <w:rPr>
          <w:rFonts w:hint="eastAsia" w:ascii="宋体" w:hAnsi="宋体" w:cs="宋体"/>
          <w:color w:val="auto"/>
          <w:spacing w:val="8"/>
          <w:sz w:val="24"/>
          <w:highlight w:val="none"/>
        </w:rPr>
        <w:t xml:space="preserve">张家港市大新镇人民政府</w:t>
      </w:r>
      <w:bookmarkEnd w:id="18"/>
      <w:r>
        <w:rPr>
          <w:color w:val="auto"/>
        </w:rPr>
      </w:r>
      <w:r/>
    </w:p>
    <w:p>
      <w:pPr>
        <w:pStyle w:val="911"/>
        <w:ind w:left="420" w:firstLine="420"/>
        <w:jc w:val="left"/>
        <w:spacing w:line="440" w:lineRule="exact"/>
        <w:shd w:val="clear" w:color="auto" w:fill="ffffff"/>
        <w:widowControl/>
        <w:rPr>
          <w:rFonts w:ascii="宋体" w:hAnsi="宋体" w:cs="宋体"/>
          <w:color w:val="auto"/>
          <w:spacing w:val="8"/>
          <w:sz w:val="24"/>
          <w:highlight w:val="none"/>
        </w:rPr>
      </w:pPr>
      <w:r>
        <w:rPr>
          <w:rFonts w:hint="eastAsia" w:ascii="宋体" w:hAnsi="宋体" w:cs="宋体"/>
          <w:color w:val="auto"/>
          <w:spacing w:val="8"/>
          <w:sz w:val="24"/>
          <w:highlight w:val="none"/>
        </w:rPr>
        <w:t xml:space="preserve">地</w:t>
      </w:r>
      <w:r>
        <w:rPr>
          <w:rFonts w:hint="eastAsia" w:ascii="宋体" w:hAnsi="宋体" w:cs="宋体"/>
          <w:color w:val="auto"/>
          <w:spacing w:val="8"/>
          <w:sz w:val="24"/>
          <w:highlight w:val="none"/>
          <w:lang w:val="en-US" w:eastAsia="zh-CN"/>
        </w:rPr>
        <w:t xml:space="preserve">    </w:t>
      </w:r>
      <w:r>
        <w:rPr>
          <w:rFonts w:hint="eastAsia" w:ascii="宋体" w:hAnsi="宋体" w:cs="宋体"/>
          <w:color w:val="auto"/>
          <w:spacing w:val="8"/>
          <w:sz w:val="24"/>
          <w:highlight w:val="none"/>
        </w:rPr>
        <w:t xml:space="preserve">址：</w:t>
      </w:r>
      <w:bookmarkStart w:id="19" w:name="EBd07eeaef382a48c08fc17717998c3570"/>
      <w:r>
        <w:rPr>
          <w:rFonts w:hint="eastAsia" w:ascii="宋体" w:hAnsi="宋体" w:cs="宋体"/>
          <w:color w:val="auto"/>
          <w:spacing w:val="8"/>
          <w:sz w:val="24"/>
          <w:highlight w:val="none"/>
        </w:rPr>
        <w:t xml:space="preserve">江苏省苏州市张家港市大新镇府前西路</w:t>
      </w:r>
      <w:bookmarkEnd w:id="19"/>
      <w:r>
        <w:rPr>
          <w:color w:val="auto"/>
        </w:rPr>
      </w:r>
      <w:r/>
    </w:p>
    <w:p>
      <w:pPr>
        <w:pStyle w:val="911"/>
        <w:ind w:left="420" w:firstLine="420"/>
        <w:jc w:val="left"/>
        <w:spacing w:line="360" w:lineRule="auto"/>
        <w:shd w:val="clear" w:color="auto" w:fill="ffffff"/>
        <w:widowControl/>
        <w:rPr>
          <w:rFonts w:ascii="宋体" w:hAnsi="宋体" w:eastAsia="宋体" w:cs="宋体"/>
          <w:color w:val="auto"/>
          <w:spacing w:val="8"/>
          <w:sz w:val="24"/>
          <w:highlight w:val="none"/>
        </w:rPr>
      </w:pPr>
      <w:r>
        <w:rPr>
          <w:rFonts w:hint="eastAsia" w:ascii="宋体" w:hAnsi="宋体" w:cs="宋体"/>
          <w:color w:val="auto"/>
          <w:spacing w:val="8"/>
          <w:sz w:val="24"/>
          <w:highlight w:val="none"/>
        </w:rPr>
        <w:t xml:space="preserve">联系方式：</w:t>
      </w:r>
      <w:bookmarkStart w:id="20" w:name="EB7befa21e35194f9c80b342eef990eba7"/>
      <w:r>
        <w:rPr>
          <w:rFonts w:hint="eastAsia" w:ascii="宋体" w:hAnsi="宋体" w:cs="宋体"/>
          <w:color w:val="auto"/>
          <w:spacing w:val="8"/>
          <w:sz w:val="24"/>
          <w:highlight w:val="none"/>
        </w:rPr>
        <w:t xml:space="preserve">0512-58760958</w:t>
      </w:r>
      <w:bookmarkEnd w:id="20"/>
      <w:r>
        <w:rPr>
          <w:color w:val="auto"/>
        </w:rPr>
      </w:r>
      <w:r/>
    </w:p>
    <w:p>
      <w:pPr>
        <w:pStyle w:val="911"/>
        <w:ind w:left="420"/>
        <w:jc w:val="left"/>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2.采购代理机构信息</w:t>
      </w:r>
      <w:r>
        <w:rPr>
          <w:color w:val="auto"/>
        </w:rPr>
      </w:r>
      <w:r/>
    </w:p>
    <w:p>
      <w:pPr>
        <w:pStyle w:val="911"/>
        <w:ind w:firstLine="8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名 </w:t>
      </w:r>
      <w:r>
        <w:rPr>
          <w:rFonts w:hint="eastAsia" w:ascii="宋体" w:hAnsi="宋体" w:cs="宋体"/>
          <w:color w:val="auto"/>
          <w:spacing w:val="8"/>
          <w:sz w:val="24"/>
          <w:highlight w:val="none"/>
          <w:lang w:val="en-US" w:eastAsia="zh-CN"/>
        </w:rPr>
        <w:t xml:space="preserve">   </w:t>
      </w:r>
      <w:r>
        <w:rPr>
          <w:rFonts w:hint="eastAsia" w:ascii="宋体" w:hAnsi="宋体" w:eastAsia="宋体" w:cs="宋体"/>
          <w:color w:val="auto"/>
          <w:spacing w:val="8"/>
          <w:sz w:val="24"/>
          <w:highlight w:val="none"/>
        </w:rPr>
        <w:t xml:space="preserve">称：</w:t>
      </w:r>
      <w:bookmarkStart w:id="21" w:name="EB87bd51c9d802413bae3fcd0e825858ca"/>
      <w:r>
        <w:rPr>
          <w:rFonts w:hint="eastAsia" w:ascii="宋体" w:hAnsi="宋体" w:eastAsia="宋体" w:cs="宋体"/>
          <w:color w:val="auto"/>
          <w:spacing w:val="8"/>
          <w:sz w:val="24"/>
          <w:highlight w:val="none"/>
        </w:rPr>
        <w:t xml:space="preserve">张家港市金浩源招投标代理有限公司</w:t>
      </w:r>
      <w:bookmarkEnd w:id="21"/>
      <w:r>
        <w:rPr>
          <w:color w:val="auto"/>
        </w:rPr>
      </w:r>
      <w:r/>
    </w:p>
    <w:p>
      <w:pPr>
        <w:pStyle w:val="911"/>
        <w:ind w:firstLine="8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地　</w:t>
      </w:r>
      <w:r>
        <w:rPr>
          <w:rFonts w:hint="eastAsia" w:ascii="宋体" w:hAnsi="宋体" w:cs="宋体"/>
          <w:color w:val="auto"/>
          <w:spacing w:val="8"/>
          <w:sz w:val="24"/>
          <w:highlight w:val="none"/>
          <w:lang w:val="en-US" w:eastAsia="zh-CN"/>
        </w:rPr>
        <w:t xml:space="preserve">  </w:t>
      </w:r>
      <w:r>
        <w:rPr>
          <w:rFonts w:hint="eastAsia" w:ascii="宋体" w:hAnsi="宋体" w:eastAsia="宋体" w:cs="宋体"/>
          <w:color w:val="auto"/>
          <w:spacing w:val="8"/>
          <w:sz w:val="24"/>
          <w:highlight w:val="none"/>
        </w:rPr>
        <w:t xml:space="preserve">址：</w:t>
      </w:r>
      <w:bookmarkStart w:id="22" w:name="EB3628905c7ca0415cbb9a8f0a4d7b3377"/>
      <w:r>
        <w:rPr>
          <w:rFonts w:hint="eastAsia" w:ascii="宋体" w:hAnsi="宋体" w:eastAsia="宋体" w:cs="宋体"/>
          <w:color w:val="auto"/>
          <w:spacing w:val="8"/>
          <w:sz w:val="24"/>
          <w:highlight w:val="none"/>
        </w:rPr>
        <w:t xml:space="preserve">张家港市杨舍镇港城大道</w:t>
      </w:r>
      <w:r>
        <w:rPr>
          <w:rFonts w:hint="eastAsia" w:ascii="宋体" w:hAnsi="宋体" w:cs="宋体"/>
          <w:color w:val="auto"/>
          <w:spacing w:val="8"/>
          <w:sz w:val="24"/>
          <w:highlight w:val="none"/>
          <w:lang w:val="en-US" w:eastAsia="zh-CN"/>
        </w:rPr>
        <w:t xml:space="preserve">606</w:t>
      </w:r>
      <w:r>
        <w:rPr>
          <w:rFonts w:hint="eastAsia" w:ascii="宋体" w:hAnsi="宋体" w:eastAsia="宋体" w:cs="宋体"/>
          <w:color w:val="auto"/>
          <w:spacing w:val="8"/>
          <w:sz w:val="24"/>
          <w:highlight w:val="none"/>
        </w:rPr>
        <w:t xml:space="preserve">号</w:t>
      </w:r>
      <w:r>
        <w:rPr>
          <w:rFonts w:hint="eastAsia" w:ascii="宋体" w:hAnsi="宋体" w:cs="宋体"/>
          <w:color w:val="auto"/>
          <w:spacing w:val="8"/>
          <w:sz w:val="24"/>
          <w:highlight w:val="none"/>
          <w:lang w:eastAsia="zh-CN"/>
        </w:rPr>
        <w:t xml:space="preserve">创投</w:t>
      </w:r>
      <w:r>
        <w:rPr>
          <w:rFonts w:hint="eastAsia" w:ascii="宋体" w:hAnsi="宋体" w:eastAsia="宋体" w:cs="宋体"/>
          <w:color w:val="auto"/>
          <w:spacing w:val="8"/>
          <w:sz w:val="24"/>
          <w:highlight w:val="none"/>
        </w:rPr>
        <w:t xml:space="preserve">大厦2305室</w:t>
      </w:r>
      <w:bookmarkEnd w:id="22"/>
      <w:r>
        <w:rPr>
          <w:color w:val="auto"/>
        </w:rPr>
      </w:r>
      <w:r/>
    </w:p>
    <w:p>
      <w:pPr>
        <w:pStyle w:val="911"/>
        <w:ind w:firstLine="8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联系方式：</w:t>
      </w:r>
      <w:bookmarkStart w:id="23" w:name="EB78fabdffbc284811a36702afe16991bc"/>
      <w:r>
        <w:rPr>
          <w:rFonts w:hint="eastAsia" w:ascii="宋体" w:hAnsi="宋体" w:eastAsia="宋体" w:cs="宋体"/>
          <w:color w:val="auto"/>
          <w:spacing w:val="8"/>
          <w:sz w:val="24"/>
          <w:highlight w:val="none"/>
        </w:rPr>
        <w:t xml:space="preserve">1</w:t>
      </w:r>
      <w:bookmarkEnd w:id="23"/>
      <w:r>
        <w:rPr>
          <w:rFonts w:hint="eastAsia" w:ascii="宋体" w:hAnsi="宋体" w:eastAsia="宋体" w:cs="宋体"/>
          <w:color w:val="auto"/>
          <w:spacing w:val="8"/>
          <w:sz w:val="24"/>
          <w:highlight w:val="none"/>
        </w:rPr>
        <w:t xml:space="preserve">8915713650</w:t>
      </w:r>
      <w:r>
        <w:rPr>
          <w:color w:val="auto"/>
        </w:rPr>
      </w:r>
      <w:r/>
    </w:p>
    <w:p>
      <w:pPr>
        <w:pStyle w:val="911"/>
        <w:ind w:firstLine="42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3.项目联系方式</w:t>
      </w:r>
      <w:r>
        <w:rPr>
          <w:color w:val="auto"/>
        </w:rPr>
      </w:r>
      <w:r/>
    </w:p>
    <w:p>
      <w:pPr>
        <w:pStyle w:val="911"/>
        <w:ind w:left="8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项目联系人：</w:t>
      </w:r>
      <w:r>
        <w:rPr>
          <w:rFonts w:hint="eastAsia" w:ascii="宋体" w:hAnsi="宋体" w:eastAsia="宋体" w:cs="宋体"/>
          <w:color w:val="auto"/>
          <w:spacing w:val="8"/>
          <w:sz w:val="24"/>
          <w:highlight w:val="none"/>
          <w:lang w:eastAsia="zh-CN"/>
        </w:rPr>
        <w:t xml:space="preserve">周莉</w:t>
      </w:r>
      <w:r>
        <w:rPr>
          <w:color w:val="auto"/>
        </w:rPr>
      </w:r>
      <w:r/>
    </w:p>
    <w:p>
      <w:pPr>
        <w:pStyle w:val="911"/>
        <w:ind w:firstLine="840"/>
        <w:spacing w:line="360" w:lineRule="auto"/>
        <w:shd w:val="clear" w:color="auto" w:fill="ffffff"/>
        <w:widowControl/>
        <w:rPr>
          <w:rFonts w:hint="eastAsia" w:ascii="宋体" w:hAnsi="宋体" w:eastAsia="宋体" w:cs="宋体"/>
          <w:color w:val="auto"/>
          <w:spacing w:val="8"/>
          <w:sz w:val="24"/>
          <w:highlight w:val="none"/>
        </w:rPr>
      </w:pPr>
      <w:r>
        <w:rPr>
          <w:rFonts w:hint="eastAsia" w:ascii="宋体" w:hAnsi="宋体" w:eastAsia="宋体" w:cs="宋体"/>
          <w:color w:val="auto"/>
          <w:spacing w:val="8"/>
          <w:sz w:val="24"/>
          <w:highlight w:val="none"/>
        </w:rPr>
        <w:t xml:space="preserve">电　</w:t>
      </w:r>
      <w:r>
        <w:rPr>
          <w:rFonts w:hint="eastAsia" w:ascii="宋体" w:hAnsi="宋体" w:cs="宋体"/>
          <w:color w:val="auto"/>
          <w:spacing w:val="8"/>
          <w:sz w:val="24"/>
          <w:highlight w:val="none"/>
          <w:lang w:val="en-US" w:eastAsia="zh-CN"/>
        </w:rPr>
        <w:t xml:space="preserve">    </w:t>
      </w:r>
      <w:r>
        <w:rPr>
          <w:rFonts w:hint="eastAsia" w:ascii="宋体" w:hAnsi="宋体" w:eastAsia="宋体" w:cs="宋体"/>
          <w:color w:val="auto"/>
          <w:spacing w:val="8"/>
          <w:sz w:val="24"/>
          <w:highlight w:val="none"/>
        </w:rPr>
        <w:t xml:space="preserve">话：18915713650</w:t>
      </w:r>
      <w:r>
        <w:rPr>
          <w:color w:val="auto"/>
        </w:rPr>
      </w:r>
      <w:r/>
    </w:p>
    <w:p>
      <w:pPr>
        <w:pStyle w:val="911"/>
        <w:ind w:firstLine="4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ab/>
      </w:r>
      <w:r>
        <w:rPr>
          <w:color w:val="auto"/>
        </w:rPr>
      </w:r>
      <w:r/>
    </w:p>
    <w:p>
      <w:pPr>
        <w:pStyle w:val="927"/>
        <w:pageBreakBefore/>
        <w:spacing w:line="360" w:lineRule="auto"/>
        <w:rPr>
          <w:rFonts w:hint="eastAsia" w:ascii="宋体" w:hAnsi="宋体" w:eastAsia="宋体" w:cs="宋体"/>
          <w:color w:val="auto"/>
          <w:highlight w:val="none"/>
        </w:rPr>
      </w:pPr>
      <w:r>
        <w:rPr>
          <w:color w:val="auto"/>
        </w:rPr>
      </w:r>
      <w:bookmarkStart w:id="24" w:name="_Toc18639"/>
      <w:r>
        <w:rPr>
          <w:color w:val="auto"/>
        </w:rPr>
      </w:r>
      <w:bookmarkStart w:id="25" w:name="_Toc54615238"/>
      <w:r>
        <w:rPr>
          <w:color w:val="auto"/>
        </w:rPr>
      </w:r>
      <w:bookmarkStart w:id="26" w:name="_Toc38368119"/>
      <w:r>
        <w:rPr>
          <w:color w:val="auto"/>
        </w:rPr>
      </w:r>
      <w:bookmarkStart w:id="27" w:name="_Toc35266019"/>
      <w:r>
        <w:rPr>
          <w:rFonts w:hint="eastAsia" w:ascii="宋体" w:hAnsi="宋体" w:eastAsia="宋体" w:cs="宋体"/>
          <w:color w:val="auto"/>
          <w:highlight w:val="none"/>
        </w:rPr>
        <w:t xml:space="preserve">第二章  </w:t>
      </w:r>
      <w:bookmarkEnd w:id="2"/>
      <w:r>
        <w:rPr>
          <w:color w:val="auto"/>
        </w:rPr>
      </w:r>
      <w:bookmarkEnd w:id="3"/>
      <w:r>
        <w:rPr>
          <w:color w:val="auto"/>
        </w:rPr>
      </w:r>
      <w:bookmarkEnd w:id="4"/>
      <w:r>
        <w:rPr>
          <w:color w:val="auto"/>
        </w:rPr>
      </w:r>
      <w:bookmarkEnd w:id="5"/>
      <w:r>
        <w:rPr>
          <w:color w:val="auto"/>
        </w:rPr>
      </w:r>
      <w:bookmarkEnd w:id="6"/>
      <w:r>
        <w:rPr>
          <w:color w:val="auto"/>
        </w:rPr>
      </w:r>
      <w:bookmarkEnd w:id="11"/>
      <w:r>
        <w:rPr>
          <w:color w:val="auto"/>
        </w:rPr>
      </w:r>
      <w:bookmarkStart w:id="28" w:name="_Toc16938518"/>
      <w:r>
        <w:rPr>
          <w:color w:val="auto"/>
        </w:rPr>
      </w:r>
      <w:bookmarkStart w:id="29" w:name="_Toc20823274"/>
      <w:r>
        <w:rPr>
          <w:color w:val="auto"/>
        </w:rPr>
      </w:r>
      <w:bookmarkStart w:id="30" w:name="_Toc120614213"/>
      <w:r>
        <w:rPr>
          <w:color w:val="auto"/>
        </w:rPr>
      </w:r>
      <w:bookmarkStart w:id="31" w:name="_Toc513029202"/>
      <w:r>
        <w:rPr>
          <w:rFonts w:hint="eastAsia" w:ascii="宋体" w:hAnsi="宋体" w:eastAsia="宋体" w:cs="宋体"/>
          <w:color w:val="auto"/>
          <w:highlight w:val="none"/>
        </w:rPr>
        <w:t xml:space="preserve">投标人须知</w:t>
      </w:r>
      <w:bookmarkEnd w:id="24"/>
      <w:r>
        <w:rPr>
          <w:color w:val="auto"/>
        </w:rPr>
      </w:r>
      <w:bookmarkEnd w:id="25"/>
      <w:r>
        <w:rPr>
          <w:color w:val="auto"/>
        </w:rPr>
      </w:r>
      <w:bookmarkEnd w:id="26"/>
      <w:r>
        <w:rPr>
          <w:color w:val="auto"/>
        </w:rPr>
      </w:r>
      <w:bookmarkEnd w:id="27"/>
      <w:r>
        <w:rPr>
          <w:color w:val="auto"/>
        </w:rPr>
      </w:r>
      <w:bookmarkEnd w:id="28"/>
      <w:r>
        <w:rPr>
          <w:color w:val="auto"/>
        </w:rPr>
      </w:r>
      <w:bookmarkEnd w:id="29"/>
      <w:r>
        <w:rPr>
          <w:color w:val="auto"/>
        </w:rPr>
      </w:r>
      <w:bookmarkEnd w:id="30"/>
      <w:r>
        <w:rPr>
          <w:color w:val="auto"/>
        </w:rPr>
      </w:r>
      <w:bookmarkEnd w:id="31"/>
      <w:r>
        <w:rPr>
          <w:color w:val="auto"/>
        </w:rPr>
      </w:r>
      <w:r/>
    </w:p>
    <w:p>
      <w:pPr>
        <w:pStyle w:val="912"/>
        <w:jc w:val="left"/>
        <w:pageBreakBefore w:val="0"/>
        <w:spacing w:line="440" w:lineRule="exact"/>
        <w:rPr>
          <w:rStyle w:val="951"/>
          <w:rFonts w:hint="eastAsia" w:ascii="宋体" w:hAnsi="宋体" w:eastAsia="宋体" w:cs="宋体"/>
          <w:b w:val="0"/>
          <w:bCs/>
          <w:color w:val="auto"/>
          <w:highlight w:val="none"/>
        </w:rPr>
      </w:pPr>
      <w:r>
        <w:rPr>
          <w:color w:val="auto"/>
        </w:rPr>
      </w:r>
      <w:bookmarkStart w:id="32" w:name="_Toc513029203"/>
      <w:r>
        <w:rPr>
          <w:color w:val="auto"/>
        </w:rPr>
      </w:r>
      <w:bookmarkStart w:id="33" w:name="_Toc120614214"/>
      <w:r>
        <w:rPr>
          <w:color w:val="auto"/>
        </w:rPr>
      </w:r>
      <w:bookmarkStart w:id="34" w:name="_Toc16938519"/>
      <w:r>
        <w:rPr>
          <w:color w:val="auto"/>
        </w:rPr>
      </w:r>
      <w:bookmarkStart w:id="35" w:name="_Toc38368120"/>
      <w:r>
        <w:rPr>
          <w:color w:val="auto"/>
        </w:rPr>
      </w:r>
      <w:bookmarkStart w:id="36" w:name="_Toc35266020"/>
      <w:r>
        <w:rPr>
          <w:color w:val="auto"/>
        </w:rPr>
      </w:r>
      <w:bookmarkStart w:id="37" w:name="_Toc23818"/>
      <w:r>
        <w:rPr>
          <w:color w:val="auto"/>
        </w:rPr>
      </w:r>
      <w:bookmarkStart w:id="38" w:name="_Toc54615239"/>
      <w:r>
        <w:rPr>
          <w:color w:val="auto"/>
        </w:rPr>
      </w:r>
      <w:bookmarkStart w:id="39" w:name="_Toc20823275"/>
      <w:r>
        <w:rPr>
          <w:color w:val="auto"/>
        </w:rPr>
      </w:r>
      <w:bookmarkStart w:id="40" w:name="_Toc513029242"/>
      <w:r>
        <w:rPr>
          <w:color w:val="auto"/>
        </w:rPr>
      </w:r>
      <w:bookmarkStart w:id="41" w:name="_Toc20823314"/>
      <w:r>
        <w:rPr>
          <w:color w:val="auto"/>
        </w:rPr>
      </w:r>
      <w:bookmarkStart w:id="42" w:name="_Toc120614221"/>
      <w:r>
        <w:rPr>
          <w:color w:val="auto"/>
        </w:rPr>
      </w:r>
      <w:bookmarkStart w:id="43" w:name="_Toc16938558"/>
      <w:r>
        <w:rPr>
          <w:color w:val="auto"/>
        </w:rPr>
      </w:r>
      <w:bookmarkStart w:id="44" w:name="_Toc479757207"/>
      <w:r>
        <w:rPr>
          <w:rStyle w:val="951"/>
          <w:rFonts w:hint="eastAsia" w:ascii="宋体" w:hAnsi="宋体" w:eastAsia="宋体" w:cs="宋体"/>
          <w:b w:val="0"/>
          <w:bCs/>
          <w:color w:val="auto"/>
          <w:highlight w:val="none"/>
        </w:rPr>
        <w:t xml:space="preserve">一、总则</w:t>
      </w:r>
      <w:bookmarkEnd w:id="32"/>
      <w:r>
        <w:rPr>
          <w:color w:val="auto"/>
        </w:rPr>
      </w:r>
      <w:bookmarkEnd w:id="33"/>
      <w:r>
        <w:rPr>
          <w:color w:val="auto"/>
        </w:rPr>
      </w:r>
      <w:bookmarkEnd w:id="34"/>
      <w:r>
        <w:rPr>
          <w:color w:val="auto"/>
        </w:rPr>
      </w:r>
      <w:bookmarkEnd w:id="35"/>
      <w:r>
        <w:rPr>
          <w:color w:val="auto"/>
        </w:rPr>
      </w:r>
      <w:bookmarkEnd w:id="36"/>
      <w:r>
        <w:rPr>
          <w:color w:val="auto"/>
        </w:rPr>
      </w:r>
      <w:bookmarkEnd w:id="37"/>
      <w:r>
        <w:rPr>
          <w:color w:val="auto"/>
        </w:rPr>
      </w:r>
      <w:bookmarkEnd w:id="38"/>
      <w:r>
        <w:rPr>
          <w:color w:val="auto"/>
        </w:rPr>
      </w:r>
      <w:bookmarkEnd w:id="39"/>
      <w:r>
        <w:rPr>
          <w:color w:val="auto"/>
        </w:rPr>
      </w:r>
      <w:r/>
    </w:p>
    <w:p>
      <w:pPr>
        <w:pStyle w:val="911"/>
        <w:ind w:firstLine="420"/>
        <w:keepLines/>
        <w:keepNext/>
        <w:pageBreakBefore w:val="0"/>
        <w:spacing w:line="440" w:lineRule="exact"/>
        <w:rPr>
          <w:rFonts w:hint="eastAsia" w:ascii="宋体" w:hAnsi="宋体" w:eastAsia="宋体" w:cs="宋体"/>
          <w:color w:val="auto"/>
          <w:sz w:val="28"/>
          <w:szCs w:val="28"/>
          <w:highlight w:val="none"/>
        </w:rPr>
        <w:outlineLvl w:val="3"/>
      </w:pPr>
      <w:r>
        <w:rPr>
          <w:color w:val="auto"/>
        </w:rPr>
      </w:r>
      <w:bookmarkStart w:id="45" w:name="_Hlt16619475"/>
      <w:r>
        <w:rPr>
          <w:color w:val="auto"/>
        </w:rPr>
      </w:r>
      <w:bookmarkEnd w:id="45"/>
      <w:r>
        <w:rPr>
          <w:color w:val="auto"/>
        </w:rPr>
      </w:r>
      <w:bookmarkStart w:id="46" w:name="_Toc458694821"/>
      <w:r>
        <w:rPr>
          <w:color w:val="auto"/>
        </w:rPr>
      </w:r>
      <w:bookmarkStart w:id="47" w:name="_Toc513029204"/>
      <w:r>
        <w:rPr>
          <w:color w:val="auto"/>
        </w:rPr>
      </w:r>
      <w:bookmarkStart w:id="48" w:name="_Toc16938520"/>
      <w:r>
        <w:rPr>
          <w:color w:val="auto"/>
        </w:rPr>
      </w:r>
      <w:bookmarkStart w:id="49" w:name="_Toc20823276"/>
      <w:r>
        <w:rPr>
          <w:rFonts w:hint="eastAsia" w:ascii="宋体" w:hAnsi="宋体" w:eastAsia="宋体" w:cs="宋体"/>
          <w:color w:val="auto"/>
          <w:sz w:val="28"/>
          <w:szCs w:val="28"/>
          <w:highlight w:val="none"/>
        </w:rPr>
        <w:t xml:space="preserve">1</w:t>
      </w:r>
      <w:bookmarkEnd w:id="46"/>
      <w:r>
        <w:rPr>
          <w:rFonts w:hint="eastAsia" w:ascii="宋体" w:hAnsi="宋体" w:eastAsia="宋体" w:cs="宋体"/>
          <w:b/>
          <w:color w:val="auto"/>
          <w:sz w:val="28"/>
          <w:szCs w:val="28"/>
          <w:highlight w:val="none"/>
        </w:rPr>
        <w:t xml:space="preserve">、</w:t>
      </w:r>
      <w:r>
        <w:rPr>
          <w:rFonts w:hint="eastAsia" w:ascii="宋体" w:hAnsi="宋体" w:eastAsia="宋体" w:cs="宋体"/>
          <w:color w:val="auto"/>
          <w:sz w:val="28"/>
          <w:szCs w:val="28"/>
          <w:highlight w:val="none"/>
        </w:rPr>
        <w:t xml:space="preserve">招标方式</w:t>
      </w:r>
      <w:bookmarkEnd w:id="47"/>
      <w:r>
        <w:rPr>
          <w:color w:val="auto"/>
        </w:rPr>
      </w:r>
      <w:bookmarkEnd w:id="48"/>
      <w:r>
        <w:rPr>
          <w:color w:val="auto"/>
        </w:rPr>
      </w:r>
      <w:bookmarkEnd w:id="49"/>
      <w:r>
        <w:rPr>
          <w:color w:val="auto"/>
        </w:rPr>
      </w:r>
      <w:r/>
    </w:p>
    <w:p>
      <w:pPr>
        <w:pStyle w:val="911"/>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本次招标采取公开招标方式，本招标文件仅适用于招标公告中所述项目。</w:t>
      </w:r>
      <w:r>
        <w:rPr>
          <w:color w:val="auto"/>
        </w:rPr>
      </w:r>
      <w:r/>
    </w:p>
    <w:p>
      <w:pPr>
        <w:pStyle w:val="911"/>
        <w:ind w:firstLine="420"/>
        <w:keepLines/>
        <w:keepNext/>
        <w:pageBreakBefore w:val="0"/>
        <w:spacing w:line="440" w:lineRule="exact"/>
        <w:rPr>
          <w:rFonts w:hint="eastAsia" w:ascii="宋体" w:hAnsi="宋体" w:eastAsia="宋体" w:cs="宋体"/>
          <w:color w:val="auto"/>
          <w:sz w:val="28"/>
          <w:szCs w:val="28"/>
          <w:highlight w:val="none"/>
        </w:rPr>
        <w:outlineLvl w:val="3"/>
      </w:pPr>
      <w:r>
        <w:rPr>
          <w:color w:val="auto"/>
        </w:rPr>
      </w:r>
      <w:bookmarkStart w:id="50" w:name="_Toc16938521"/>
      <w:r>
        <w:rPr>
          <w:color w:val="auto"/>
        </w:rPr>
      </w:r>
      <w:bookmarkStart w:id="51" w:name="_Toc20823277"/>
      <w:r>
        <w:rPr>
          <w:color w:val="auto"/>
        </w:rPr>
      </w:r>
      <w:bookmarkStart w:id="52" w:name="_Toc513029205"/>
      <w:r>
        <w:rPr>
          <w:rFonts w:hint="eastAsia" w:ascii="宋体" w:hAnsi="宋体" w:eastAsia="宋体" w:cs="宋体"/>
          <w:color w:val="auto"/>
          <w:sz w:val="28"/>
          <w:szCs w:val="28"/>
          <w:highlight w:val="none"/>
        </w:rPr>
        <w:t xml:space="preserve">2、合格的投标人</w:t>
      </w:r>
      <w:bookmarkEnd w:id="50"/>
      <w:r>
        <w:rPr>
          <w:color w:val="auto"/>
        </w:rPr>
      </w:r>
      <w:bookmarkEnd w:id="51"/>
      <w:r>
        <w:rPr>
          <w:color w:val="auto"/>
        </w:rPr>
      </w:r>
      <w:bookmarkEnd w:id="52"/>
      <w:r>
        <w:rPr>
          <w:color w:val="auto"/>
        </w:rPr>
      </w:r>
      <w:r/>
    </w:p>
    <w:p>
      <w:pPr>
        <w:pStyle w:val="911"/>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2.1满足招标公告中投标人的资格要求的规定。</w:t>
      </w:r>
      <w:r>
        <w:rPr>
          <w:color w:val="auto"/>
        </w:rPr>
      </w:r>
      <w:r/>
    </w:p>
    <w:p>
      <w:pPr>
        <w:pStyle w:val="911"/>
        <w:ind w:firstLine="480"/>
        <w:pageBreakBefore w:val="0"/>
        <w:spacing w:line="440" w:lineRule="exact"/>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2.2 满足本文件实质性要求的规定</w:t>
      </w:r>
      <w:r>
        <w:rPr>
          <w:rFonts w:hint="eastAsia" w:ascii="宋体" w:hAnsi="宋体" w:eastAsia="宋体" w:cs="宋体"/>
          <w:b/>
          <w:color w:val="auto"/>
          <w:sz w:val="24"/>
          <w:highlight w:val="none"/>
        </w:rPr>
        <w:t xml:space="preserve">（本招标文件中斜体且有下划线部分为实质性要求）。</w:t>
      </w:r>
      <w:r>
        <w:rPr>
          <w:color w:val="auto"/>
        </w:rPr>
      </w:r>
      <w:r/>
    </w:p>
    <w:p>
      <w:pPr>
        <w:pStyle w:val="911"/>
        <w:ind w:firstLine="420"/>
        <w:keepLines/>
        <w:keepNext/>
        <w:pageBreakBefore w:val="0"/>
        <w:spacing w:line="440" w:lineRule="exact"/>
        <w:rPr>
          <w:rFonts w:hint="eastAsia" w:ascii="宋体" w:hAnsi="宋体" w:eastAsia="宋体" w:cs="宋体"/>
          <w:color w:val="auto"/>
          <w:sz w:val="28"/>
          <w:szCs w:val="28"/>
          <w:highlight w:val="none"/>
        </w:rPr>
        <w:outlineLvl w:val="3"/>
      </w:pPr>
      <w:r>
        <w:rPr>
          <w:color w:val="auto"/>
        </w:rPr>
      </w:r>
      <w:bookmarkStart w:id="53" w:name="_Toc20823278"/>
      <w:r>
        <w:rPr>
          <w:color w:val="auto"/>
        </w:rPr>
      </w:r>
      <w:bookmarkStart w:id="54" w:name="_Toc513029206"/>
      <w:r>
        <w:rPr>
          <w:color w:val="auto"/>
        </w:rPr>
      </w:r>
      <w:bookmarkStart w:id="55" w:name="_Toc16938522"/>
      <w:r>
        <w:rPr>
          <w:rFonts w:hint="eastAsia" w:ascii="宋体" w:hAnsi="宋体" w:eastAsia="宋体" w:cs="宋体"/>
          <w:color w:val="auto"/>
          <w:sz w:val="28"/>
          <w:szCs w:val="28"/>
          <w:highlight w:val="none"/>
        </w:rPr>
        <w:t xml:space="preserve">3、适用法律</w:t>
      </w:r>
      <w:bookmarkEnd w:id="53"/>
      <w:r>
        <w:rPr>
          <w:color w:val="auto"/>
        </w:rPr>
      </w:r>
      <w:bookmarkEnd w:id="54"/>
      <w:r>
        <w:rPr>
          <w:color w:val="auto"/>
        </w:rPr>
      </w:r>
      <w:bookmarkEnd w:id="55"/>
      <w:r>
        <w:rPr>
          <w:color w:val="auto"/>
        </w:rPr>
      </w:r>
      <w:r/>
    </w:p>
    <w:p>
      <w:pPr>
        <w:pStyle w:val="911"/>
        <w:ind w:firstLine="42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本次招标及由此产生的合同受中华人民共和国有关的法律法规制约和保护。</w:t>
      </w:r>
      <w:r>
        <w:rPr>
          <w:color w:val="auto"/>
        </w:rPr>
      </w:r>
      <w:r/>
    </w:p>
    <w:p>
      <w:pPr>
        <w:pStyle w:val="911"/>
        <w:ind w:firstLine="420"/>
        <w:keepLines/>
        <w:keepNext/>
        <w:pageBreakBefore w:val="0"/>
        <w:spacing w:line="440" w:lineRule="exact"/>
        <w:rPr>
          <w:rFonts w:hint="eastAsia" w:ascii="宋体" w:hAnsi="宋体" w:eastAsia="宋体" w:cs="宋体"/>
          <w:color w:val="auto"/>
          <w:sz w:val="28"/>
          <w:szCs w:val="28"/>
          <w:highlight w:val="none"/>
        </w:rPr>
        <w:outlineLvl w:val="3"/>
      </w:pPr>
      <w:r>
        <w:rPr>
          <w:color w:val="auto"/>
        </w:rPr>
      </w:r>
      <w:bookmarkStart w:id="56" w:name="_Toc462564067"/>
      <w:r>
        <w:rPr>
          <w:color w:val="auto"/>
        </w:rPr>
      </w:r>
      <w:bookmarkStart w:id="57" w:name="_Toc513029207"/>
      <w:r>
        <w:rPr>
          <w:color w:val="auto"/>
        </w:rPr>
      </w:r>
      <w:bookmarkStart w:id="58" w:name="_Toc16938523"/>
      <w:r>
        <w:rPr>
          <w:color w:val="auto"/>
        </w:rPr>
      </w:r>
      <w:bookmarkStart w:id="59" w:name="_Toc20823279"/>
      <w:r>
        <w:rPr>
          <w:rFonts w:hint="eastAsia" w:ascii="宋体" w:hAnsi="宋体" w:eastAsia="宋体" w:cs="宋体"/>
          <w:color w:val="auto"/>
          <w:sz w:val="28"/>
          <w:szCs w:val="28"/>
          <w:highlight w:val="none"/>
        </w:rPr>
        <w:t xml:space="preserve">4、投标费用</w:t>
      </w:r>
      <w:bookmarkEnd w:id="56"/>
      <w:r>
        <w:rPr>
          <w:color w:val="auto"/>
        </w:rPr>
      </w:r>
      <w:bookmarkEnd w:id="57"/>
      <w:r>
        <w:rPr>
          <w:color w:val="auto"/>
        </w:rPr>
      </w:r>
      <w:bookmarkEnd w:id="58"/>
      <w:r>
        <w:rPr>
          <w:color w:val="auto"/>
        </w:rPr>
      </w:r>
      <w:bookmarkEnd w:id="59"/>
      <w:r>
        <w:rPr>
          <w:color w:val="auto"/>
        </w:rPr>
      </w:r>
      <w:r/>
    </w:p>
    <w:p>
      <w:pPr>
        <w:pStyle w:val="911"/>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4.1</w:t>
      </w:r>
      <w:r>
        <w:rPr>
          <w:rFonts w:hint="eastAsia" w:ascii="宋体" w:hAnsi="宋体" w:eastAsia="宋体" w:cs="宋体"/>
          <w:color w:val="auto"/>
          <w:sz w:val="24"/>
          <w:highlight w:val="none"/>
        </w:rPr>
        <w:t xml:space="preserve"> 投标人应自行承担所有与参加投标有关的费用，无论投标过程中的做法和结果如何，</w:t>
      </w:r>
      <w:r>
        <w:rPr>
          <w:rFonts w:hint="eastAsia" w:ascii="宋体" w:hAnsi="宋体" w:eastAsia="宋体" w:cs="宋体"/>
          <w:color w:val="auto"/>
          <w:sz w:val="24"/>
          <w:highlight w:val="none"/>
          <w:lang w:eastAsia="zh-CN"/>
        </w:rPr>
        <w:t xml:space="preserve">张家港市金浩源招投标代理有限公司</w:t>
      </w:r>
      <w:r>
        <w:rPr>
          <w:rFonts w:hint="eastAsia" w:ascii="宋体" w:hAnsi="宋体" w:eastAsia="宋体" w:cs="宋体"/>
          <w:color w:val="auto"/>
          <w:sz w:val="24"/>
          <w:highlight w:val="none"/>
        </w:rPr>
        <w:t xml:space="preserve">在任何情况下均无义务和责任承担这些费用。</w:t>
      </w:r>
      <w:r>
        <w:rPr>
          <w:color w:val="auto"/>
        </w:rPr>
      </w:r>
      <w:r/>
    </w:p>
    <w:p>
      <w:pPr>
        <w:pStyle w:val="952"/>
        <w:ind w:firstLine="500"/>
        <w:pageBreakBefore w:val="0"/>
        <w:spacing w:line="440" w:lineRule="exact"/>
        <w:rPr>
          <w:rStyle w:val="913"/>
          <w:rFonts w:hint="eastAsia" w:ascii="宋体" w:hAnsi="宋体" w:eastAsia="宋体" w:cs="宋体"/>
          <w:b w:val="0"/>
          <w:color w:val="auto"/>
          <w:spacing w:val="7"/>
          <w:sz w:val="24"/>
          <w:highlight w:val="none"/>
        </w:rPr>
        <w:outlineLvl w:val="9"/>
      </w:pPr>
      <w:r>
        <w:rPr>
          <w:rStyle w:val="913"/>
          <w:rFonts w:hint="eastAsia" w:ascii="宋体" w:hAnsi="宋体" w:eastAsia="宋体" w:cs="宋体"/>
          <w:b w:val="0"/>
          <w:color w:val="auto"/>
          <w:spacing w:val="7"/>
          <w:sz w:val="24"/>
          <w:highlight w:val="none"/>
        </w:rPr>
        <w:t xml:space="preserve">4.2 本次招标采购代理机构收取代理服务费。</w:t>
      </w:r>
      <w:r>
        <w:rPr>
          <w:color w:val="auto"/>
        </w:rPr>
      </w:r>
      <w:r/>
    </w:p>
    <w:p>
      <w:pPr>
        <w:pStyle w:val="952"/>
        <w:ind w:firstLine="500"/>
        <w:pageBreakBefore w:val="0"/>
        <w:spacing w:line="440" w:lineRule="exact"/>
        <w:rPr>
          <w:rStyle w:val="913"/>
          <w:rFonts w:hint="eastAsia" w:ascii="宋体" w:hAnsi="宋体" w:eastAsia="宋体" w:cs="宋体"/>
          <w:b w:val="0"/>
          <w:color w:val="auto"/>
          <w:spacing w:val="7"/>
          <w:sz w:val="24"/>
          <w:highlight w:val="none"/>
        </w:rPr>
        <w:outlineLvl w:val="9"/>
      </w:pPr>
      <w:r>
        <w:rPr>
          <w:rStyle w:val="913"/>
          <w:rFonts w:hint="eastAsia" w:ascii="宋体" w:hAnsi="宋体" w:eastAsia="宋体" w:cs="宋体"/>
          <w:b w:val="0"/>
          <w:color w:val="auto"/>
          <w:spacing w:val="7"/>
          <w:sz w:val="24"/>
          <w:highlight w:val="none"/>
        </w:rPr>
        <w:t xml:space="preserve">  4.2.1 本项目采购代理服务费由 中标（成交）供应商 支付;</w:t>
      </w:r>
      <w:r>
        <w:rPr>
          <w:color w:val="auto"/>
        </w:rPr>
      </w:r>
      <w:r/>
    </w:p>
    <w:p>
      <w:pPr>
        <w:pStyle w:val="952"/>
        <w:ind w:firstLine="500"/>
        <w:pageBreakBefore w:val="0"/>
        <w:spacing w:line="440" w:lineRule="exact"/>
        <w:rPr>
          <w:rStyle w:val="913"/>
          <w:rFonts w:hint="eastAsia" w:ascii="宋体" w:hAnsi="宋体" w:eastAsia="宋体" w:cs="宋体"/>
          <w:b w:val="0"/>
          <w:color w:val="auto"/>
          <w:spacing w:val="7"/>
          <w:sz w:val="24"/>
          <w:highlight w:val="none"/>
        </w:rPr>
        <w:outlineLvl w:val="9"/>
      </w:pPr>
      <w:r>
        <w:rPr>
          <w:rStyle w:val="913"/>
          <w:rFonts w:hint="eastAsia" w:ascii="宋体" w:hAnsi="宋体" w:eastAsia="宋体" w:cs="宋体"/>
          <w:b w:val="0"/>
          <w:color w:val="auto"/>
          <w:spacing w:val="7"/>
          <w:sz w:val="24"/>
          <w:highlight w:val="none"/>
        </w:rPr>
        <w:t xml:space="preserve">  4.2.2 代理费用收取方式： 转账</w:t>
      </w:r>
      <w:r>
        <w:rPr>
          <w:color w:val="auto"/>
        </w:rPr>
      </w:r>
      <w:r/>
    </w:p>
    <w:p>
      <w:pPr>
        <w:pStyle w:val="952"/>
        <w:ind w:firstLine="500"/>
        <w:pageBreakBefore w:val="0"/>
        <w:spacing w:line="440" w:lineRule="exact"/>
        <w:rPr>
          <w:rFonts w:hint="eastAsia" w:ascii="宋体" w:hAnsi="宋体" w:eastAsia="宋体" w:cs="宋体"/>
          <w:color w:val="auto"/>
          <w:sz w:val="24"/>
          <w:highlight w:val="none"/>
        </w:rPr>
        <w:outlineLvl w:val="9"/>
      </w:pPr>
      <w:r>
        <w:rPr>
          <w:rStyle w:val="913"/>
          <w:rFonts w:hint="eastAsia" w:ascii="宋体" w:hAnsi="宋体" w:eastAsia="宋体" w:cs="宋体"/>
          <w:b w:val="0"/>
          <w:color w:val="auto"/>
          <w:spacing w:val="7"/>
          <w:sz w:val="24"/>
          <w:highlight w:val="none"/>
        </w:rPr>
        <w:t xml:space="preserve">  4.2.3 代理费用收取标准：由中标人按照预算金额的如下比例进行计算：即100万元内1.5%、100～500万元内1.1%、500～1000万元内0.8%、1000～5000万元内0.5%</w:t>
      </w:r>
      <w:r>
        <w:rPr>
          <w:rStyle w:val="913"/>
          <w:rFonts w:hint="eastAsia" w:ascii="宋体" w:hAnsi="宋体" w:eastAsia="宋体" w:cs="宋体"/>
          <w:b w:val="0"/>
          <w:color w:val="auto"/>
          <w:spacing w:val="7"/>
          <w:sz w:val="24"/>
          <w:highlight w:val="none"/>
          <w:lang w:eastAsia="zh-CN"/>
        </w:rPr>
        <w:t xml:space="preserve">，</w:t>
      </w:r>
      <w:r>
        <w:rPr>
          <w:rStyle w:val="913"/>
          <w:rFonts w:hint="eastAsia" w:ascii="宋体" w:hAnsi="宋体" w:eastAsia="宋体" w:cs="宋体"/>
          <w:b w:val="0"/>
          <w:color w:val="auto"/>
          <w:spacing w:val="7"/>
          <w:sz w:val="24"/>
          <w:highlight w:val="none"/>
        </w:rPr>
        <w:t xml:space="preserve">差额定率累进法计算并支付成交服务费，</w:t>
      </w:r>
      <w:r>
        <w:rPr>
          <w:rStyle w:val="913"/>
          <w:rFonts w:hint="eastAsia" w:ascii="宋体" w:hAnsi="宋体" w:eastAsia="宋体" w:cs="宋体"/>
          <w:b w:val="0"/>
          <w:color w:val="auto"/>
          <w:spacing w:val="7"/>
          <w:sz w:val="24"/>
          <w:highlight w:val="none"/>
          <w:lang w:val="en-US" w:eastAsia="zh-CN"/>
        </w:rPr>
        <w:t xml:space="preserve">即37000.00元，</w:t>
      </w:r>
      <w:r>
        <w:rPr>
          <w:rStyle w:val="913"/>
          <w:rFonts w:hint="eastAsia" w:ascii="宋体" w:hAnsi="宋体" w:eastAsia="宋体" w:cs="宋体"/>
          <w:b w:val="0"/>
          <w:color w:val="auto"/>
          <w:spacing w:val="7"/>
          <w:sz w:val="24"/>
          <w:highlight w:val="none"/>
        </w:rPr>
        <w:t xml:space="preserve">该费用由中标人在签订合同前向采购代理机构一次性付清。</w:t>
      </w:r>
      <w:bookmarkStart w:id="60" w:name="EB4bef91ec166246f78c716ddc8194a87a"/>
      <w:r>
        <w:rPr>
          <w:color w:val="auto"/>
        </w:rPr>
      </w:r>
      <w:bookmarkEnd w:id="60"/>
      <w:r>
        <w:rPr>
          <w:color w:val="auto"/>
        </w:rPr>
      </w:r>
      <w:r/>
    </w:p>
    <w:p>
      <w:pPr>
        <w:pStyle w:val="911"/>
        <w:ind w:firstLine="414"/>
        <w:keepLines/>
        <w:keepNext/>
        <w:pageBreakBefore w:val="0"/>
        <w:spacing w:line="440" w:lineRule="exact"/>
        <w:rPr>
          <w:rFonts w:hint="eastAsia" w:ascii="宋体" w:hAnsi="宋体" w:eastAsia="宋体" w:cs="宋体"/>
          <w:color w:val="auto"/>
          <w:sz w:val="28"/>
          <w:szCs w:val="28"/>
          <w:highlight w:val="none"/>
        </w:rPr>
        <w:outlineLvl w:val="3"/>
      </w:pPr>
      <w:r>
        <w:rPr>
          <w:rFonts w:hint="eastAsia" w:ascii="宋体" w:hAnsi="宋体" w:eastAsia="宋体" w:cs="宋体"/>
          <w:color w:val="auto"/>
          <w:sz w:val="28"/>
          <w:szCs w:val="28"/>
          <w:highlight w:val="none"/>
        </w:rPr>
        <w:t xml:space="preserve">5、招标文件的约束力</w:t>
      </w:r>
      <w:r>
        <w:rPr>
          <w:color w:val="auto"/>
        </w:rPr>
      </w:r>
      <w:r/>
    </w:p>
    <w:p>
      <w:pPr>
        <w:pStyle w:val="911"/>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5.1</w:t>
      </w:r>
      <w:r>
        <w:rPr>
          <w:rFonts w:hint="eastAsia" w:ascii="宋体" w:hAnsi="宋体" w:eastAsia="宋体" w:cs="宋体"/>
          <w:color w:val="auto"/>
          <w:sz w:val="24"/>
          <w:highlight w:val="none"/>
        </w:rPr>
        <w:t xml:space="preserve"> 投标人一旦参加本项目采购活动，即被认为接受了本招标文件的规定和约束。</w:t>
      </w:r>
      <w:r>
        <w:rPr>
          <w:color w:val="auto"/>
        </w:rPr>
      </w:r>
      <w:r/>
    </w:p>
    <w:p>
      <w:pPr>
        <w:pStyle w:val="912"/>
        <w:jc w:val="left"/>
        <w:pageBreakBefore w:val="0"/>
        <w:spacing w:line="440" w:lineRule="exact"/>
        <w:rPr>
          <w:rStyle w:val="951"/>
          <w:rFonts w:hint="eastAsia" w:ascii="宋体" w:hAnsi="宋体" w:eastAsia="宋体" w:cs="宋体"/>
          <w:b w:val="0"/>
          <w:bCs w:val="0"/>
          <w:color w:val="auto"/>
          <w:highlight w:val="none"/>
        </w:rPr>
      </w:pPr>
      <w:r>
        <w:rPr>
          <w:color w:val="auto"/>
        </w:rPr>
      </w:r>
      <w:bookmarkStart w:id="61" w:name="_Toc120614215"/>
      <w:r>
        <w:rPr>
          <w:color w:val="auto"/>
        </w:rPr>
      </w:r>
      <w:bookmarkStart w:id="62" w:name="_Toc54615240"/>
      <w:r>
        <w:rPr>
          <w:color w:val="auto"/>
        </w:rPr>
      </w:r>
      <w:bookmarkStart w:id="63" w:name="_Toc16938525"/>
      <w:r>
        <w:rPr>
          <w:color w:val="auto"/>
        </w:rPr>
      </w:r>
      <w:bookmarkStart w:id="64" w:name="_Toc20823281"/>
      <w:r>
        <w:rPr>
          <w:color w:val="auto"/>
        </w:rPr>
      </w:r>
      <w:bookmarkStart w:id="65" w:name="_Toc513029209"/>
      <w:r>
        <w:rPr>
          <w:color w:val="auto"/>
        </w:rPr>
      </w:r>
      <w:bookmarkStart w:id="66" w:name="_Toc1941"/>
      <w:r>
        <w:rPr>
          <w:color w:val="auto"/>
        </w:rPr>
      </w:r>
      <w:bookmarkStart w:id="67" w:name="_Toc38368121"/>
      <w:r>
        <w:rPr>
          <w:color w:val="auto"/>
        </w:rPr>
      </w:r>
      <w:bookmarkStart w:id="68" w:name="_Toc35266021"/>
      <w:r>
        <w:rPr>
          <w:rStyle w:val="951"/>
          <w:rFonts w:hint="eastAsia" w:ascii="宋体" w:hAnsi="宋体" w:eastAsia="宋体" w:cs="宋体"/>
          <w:b w:val="0"/>
          <w:bCs w:val="0"/>
          <w:color w:val="auto"/>
          <w:highlight w:val="none"/>
        </w:rPr>
        <w:t xml:space="preserve">二、招标文件</w:t>
      </w:r>
      <w:bookmarkEnd w:id="61"/>
      <w:r>
        <w:rPr>
          <w:color w:val="auto"/>
        </w:rPr>
      </w:r>
      <w:bookmarkEnd w:id="62"/>
      <w:r>
        <w:rPr>
          <w:color w:val="auto"/>
        </w:rPr>
      </w:r>
      <w:bookmarkEnd w:id="63"/>
      <w:r>
        <w:rPr>
          <w:color w:val="auto"/>
        </w:rPr>
      </w:r>
      <w:bookmarkEnd w:id="64"/>
      <w:r>
        <w:rPr>
          <w:color w:val="auto"/>
        </w:rPr>
      </w:r>
      <w:bookmarkEnd w:id="65"/>
      <w:r>
        <w:rPr>
          <w:color w:val="auto"/>
        </w:rPr>
      </w:r>
      <w:bookmarkEnd w:id="66"/>
      <w:r>
        <w:rPr>
          <w:color w:val="auto"/>
        </w:rPr>
      </w:r>
      <w:bookmarkEnd w:id="67"/>
      <w:r>
        <w:rPr>
          <w:color w:val="auto"/>
        </w:rPr>
      </w:r>
      <w:bookmarkEnd w:id="68"/>
      <w:r>
        <w:rPr>
          <w:color w:val="auto"/>
        </w:rPr>
      </w:r>
      <w:r/>
    </w:p>
    <w:p>
      <w:pPr>
        <w:pStyle w:val="911"/>
        <w:ind w:firstLine="420"/>
        <w:keepLines/>
        <w:keepNext/>
        <w:pageBreakBefore w:val="0"/>
        <w:spacing w:line="440" w:lineRule="exact"/>
        <w:rPr>
          <w:rFonts w:hint="eastAsia" w:ascii="宋体" w:hAnsi="宋体" w:eastAsia="宋体" w:cs="宋体"/>
          <w:color w:val="auto"/>
          <w:sz w:val="28"/>
          <w:szCs w:val="28"/>
          <w:highlight w:val="none"/>
        </w:rPr>
        <w:outlineLvl w:val="3"/>
      </w:pPr>
      <w:r>
        <w:rPr>
          <w:color w:val="auto"/>
        </w:rPr>
      </w:r>
      <w:bookmarkStart w:id="69" w:name="_Toc513029210"/>
      <w:r>
        <w:rPr>
          <w:color w:val="auto"/>
        </w:rPr>
      </w:r>
      <w:bookmarkStart w:id="70" w:name="_Toc20823282"/>
      <w:r>
        <w:rPr>
          <w:color w:val="auto"/>
        </w:rPr>
      </w:r>
      <w:bookmarkStart w:id="71" w:name="_Toc16938526"/>
      <w:r>
        <w:rPr>
          <w:rFonts w:hint="eastAsia" w:ascii="宋体" w:hAnsi="宋体" w:eastAsia="宋体" w:cs="宋体"/>
          <w:color w:val="auto"/>
          <w:sz w:val="28"/>
          <w:szCs w:val="28"/>
          <w:highlight w:val="none"/>
        </w:rPr>
        <w:t xml:space="preserve">6、招标文件构成</w:t>
      </w:r>
      <w:bookmarkEnd w:id="69"/>
      <w:r>
        <w:rPr>
          <w:color w:val="auto"/>
        </w:rPr>
      </w:r>
      <w:bookmarkEnd w:id="70"/>
      <w:r>
        <w:rPr>
          <w:color w:val="auto"/>
        </w:rPr>
      </w:r>
      <w:bookmarkEnd w:id="71"/>
      <w:r>
        <w:rPr>
          <w:color w:val="auto"/>
        </w:rPr>
      </w:r>
      <w:r/>
    </w:p>
    <w:p>
      <w:pPr>
        <w:pStyle w:val="911"/>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6.1</w:t>
      </w:r>
      <w:r>
        <w:rPr>
          <w:rFonts w:hint="eastAsia" w:ascii="宋体" w:hAnsi="宋体" w:eastAsia="宋体" w:cs="宋体"/>
          <w:color w:val="auto"/>
          <w:sz w:val="24"/>
          <w:highlight w:val="none"/>
        </w:rPr>
        <w:t xml:space="preserve"> 招标文件有以下部分组成：</w:t>
      </w:r>
      <w:r>
        <w:rPr>
          <w:color w:val="auto"/>
        </w:rPr>
      </w:r>
      <w:r/>
    </w:p>
    <w:p>
      <w:pPr>
        <w:pStyle w:val="911"/>
        <w:ind w:firstLine="36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（1）投标邀请</w:t>
      </w:r>
      <w:r>
        <w:rPr>
          <w:color w:val="auto"/>
        </w:rPr>
      </w:r>
      <w:r/>
    </w:p>
    <w:p>
      <w:pPr>
        <w:pStyle w:val="911"/>
        <w:ind w:firstLine="36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（2）投标人须知</w:t>
      </w:r>
      <w:r>
        <w:rPr>
          <w:color w:val="auto"/>
        </w:rPr>
      </w:r>
      <w:r/>
    </w:p>
    <w:p>
      <w:pPr>
        <w:pStyle w:val="911"/>
        <w:ind w:firstLine="36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（3）合同条款及格式</w:t>
      </w:r>
      <w:r>
        <w:rPr>
          <w:color w:val="auto"/>
        </w:rPr>
      </w:r>
      <w:r/>
    </w:p>
    <w:p>
      <w:pPr>
        <w:pStyle w:val="911"/>
        <w:ind w:firstLine="36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（4）项目需求</w:t>
      </w:r>
      <w:r>
        <w:rPr>
          <w:color w:val="auto"/>
        </w:rPr>
      </w:r>
      <w:r/>
    </w:p>
    <w:p>
      <w:pPr>
        <w:pStyle w:val="911"/>
        <w:ind w:firstLine="36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（5）评标方法与评标标准</w:t>
      </w:r>
      <w:r>
        <w:rPr>
          <w:color w:val="auto"/>
        </w:rPr>
      </w:r>
      <w:r/>
    </w:p>
    <w:p>
      <w:pPr>
        <w:pStyle w:val="911"/>
        <w:ind w:firstLine="36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（6）投标文件格式</w:t>
      </w:r>
      <w:r>
        <w:rPr>
          <w:color w:val="auto"/>
        </w:rPr>
      </w:r>
      <w:r/>
    </w:p>
    <w:p>
      <w:pPr>
        <w:pStyle w:val="911"/>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w:t>
      </w:r>
      <w:r>
        <w:rPr>
          <w:rFonts w:hint="eastAsia" w:ascii="宋体" w:hAnsi="宋体" w:eastAsia="宋体" w:cs="宋体"/>
          <w:color w:val="auto"/>
          <w:sz w:val="24"/>
          <w:highlight w:val="none"/>
          <w:lang w:eastAsia="zh-CN"/>
        </w:rPr>
        <w:t xml:space="preserve">张家港市金浩源招投标代理有限公司</w:t>
      </w:r>
      <w:r>
        <w:rPr>
          <w:rFonts w:hint="eastAsia" w:ascii="宋体" w:hAnsi="宋体" w:eastAsia="宋体" w:cs="宋体"/>
          <w:color w:val="auto"/>
          <w:sz w:val="24"/>
          <w:highlight w:val="none"/>
        </w:rPr>
        <w:t xml:space="preserve">联系解决。</w:t>
      </w:r>
      <w:r>
        <w:rPr>
          <w:color w:val="auto"/>
        </w:rPr>
      </w:r>
      <w:r/>
    </w:p>
    <w:p>
      <w:pPr>
        <w:pStyle w:val="911"/>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6.2</w:t>
      </w:r>
      <w:r>
        <w:rPr>
          <w:rFonts w:hint="eastAsia" w:ascii="宋体" w:hAnsi="宋体" w:eastAsia="宋体" w:cs="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auto"/>
        </w:rPr>
      </w:r>
      <w:r/>
    </w:p>
    <w:p>
      <w:pPr>
        <w:pStyle w:val="911"/>
        <w:ind w:firstLine="560"/>
        <w:keepLines/>
        <w:keepNext/>
        <w:pageBreakBefore w:val="0"/>
        <w:spacing w:line="440" w:lineRule="exact"/>
        <w:rPr>
          <w:rFonts w:hint="eastAsia" w:ascii="宋体" w:hAnsi="宋体" w:cs="Arial"/>
          <w:color w:val="auto"/>
          <w:sz w:val="28"/>
          <w:szCs w:val="28"/>
          <w:highlight w:val="none"/>
        </w:rPr>
        <w:outlineLvl w:val="3"/>
      </w:pPr>
      <w:r>
        <w:rPr>
          <w:color w:val="auto"/>
        </w:rPr>
      </w:r>
      <w:bookmarkStart w:id="72" w:name="_Toc16938527"/>
      <w:r>
        <w:rPr>
          <w:color w:val="auto"/>
        </w:rPr>
      </w:r>
      <w:bookmarkStart w:id="73" w:name="_Toc20823283"/>
      <w:r>
        <w:rPr>
          <w:color w:val="auto"/>
        </w:rPr>
      </w:r>
      <w:bookmarkStart w:id="74" w:name="_Toc513029211"/>
      <w:r>
        <w:rPr>
          <w:color w:val="auto"/>
        </w:rPr>
      </w:r>
      <w:bookmarkStart w:id="75" w:name="_Toc462564070"/>
      <w:r>
        <w:rPr>
          <w:rFonts w:hint="eastAsia" w:ascii="宋体" w:hAnsi="宋体" w:eastAsia="宋体" w:cs="宋体"/>
          <w:color w:val="auto"/>
          <w:sz w:val="28"/>
          <w:szCs w:val="28"/>
          <w:highlight w:val="none"/>
        </w:rPr>
        <w:t xml:space="preserve">7、招标文件的</w:t>
      </w:r>
      <w:bookmarkEnd w:id="72"/>
      <w:r>
        <w:rPr>
          <w:color w:val="auto"/>
        </w:rPr>
      </w:r>
      <w:bookmarkEnd w:id="73"/>
      <w:r>
        <w:rPr>
          <w:color w:val="auto"/>
        </w:rPr>
      </w:r>
      <w:bookmarkEnd w:id="74"/>
      <w:r>
        <w:rPr>
          <w:color w:val="auto"/>
        </w:rPr>
      </w:r>
      <w:bookmarkEnd w:id="75"/>
      <w:r>
        <w:rPr>
          <w:rFonts w:hint="eastAsia" w:ascii="宋体" w:hAnsi="宋体" w:cs="Arial"/>
          <w:color w:val="auto"/>
          <w:sz w:val="28"/>
          <w:szCs w:val="28"/>
          <w:highlight w:val="none"/>
        </w:rPr>
        <w:t xml:space="preserve">澄清或修改</w:t>
      </w:r>
      <w:r>
        <w:rPr>
          <w:color w:val="auto"/>
        </w:rPr>
      </w:r>
      <w:r/>
    </w:p>
    <w:p>
      <w:pPr>
        <w:pStyle w:val="911"/>
        <w:ind w:firstLine="480"/>
        <w:keepLines/>
        <w:keepNext/>
        <w:pageBreakBefore w:val="0"/>
        <w:spacing w:line="440" w:lineRule="exact"/>
        <w:rPr>
          <w:rFonts w:hint="eastAsia" w:ascii="宋体" w:hAnsi="宋体" w:eastAsia="宋体" w:cs="宋体"/>
          <w:color w:val="auto"/>
          <w:sz w:val="24"/>
          <w:highlight w:val="none"/>
        </w:rPr>
        <w:outlineLvl w:val="3"/>
      </w:pPr>
      <w:r>
        <w:rPr>
          <w:rFonts w:hint="eastAsia" w:ascii="宋体" w:hAnsi="宋体" w:eastAsia="宋体" w:cs="宋体"/>
          <w:color w:val="auto"/>
          <w:sz w:val="24"/>
          <w:highlight w:val="none"/>
        </w:rPr>
        <w:t xml:space="preserve">7.1在投标截止时间前。</w:t>
      </w:r>
      <w:bookmarkStart w:id="76" w:name="EBeec936f32a574d52a4992a8b94773f89"/>
      <w:r>
        <w:rPr>
          <w:rFonts w:hint="eastAsia" w:ascii="宋体" w:hAnsi="宋体" w:eastAsia="宋体" w:cs="宋体"/>
          <w:color w:val="auto"/>
          <w:sz w:val="24"/>
          <w:highlight w:val="none"/>
        </w:rPr>
        <w:t xml:space="preserve">张家港市金浩源招投标代理有限公司</w:t>
      </w:r>
      <w:bookmarkEnd w:id="76"/>
      <w:r>
        <w:rPr>
          <w:rFonts w:hint="eastAsia" w:ascii="宋体" w:hAnsi="宋体" w:eastAsia="宋体" w:cs="宋体"/>
          <w:color w:val="auto"/>
          <w:sz w:val="24"/>
          <w:highlight w:val="none"/>
        </w:rPr>
        <w:t xml:space="preserve">可以对招标文件进行澄清或修改。</w:t>
      </w:r>
      <w:r>
        <w:rPr>
          <w:color w:val="auto"/>
        </w:rPr>
      </w:r>
      <w:r/>
    </w:p>
    <w:p>
      <w:pPr>
        <w:pStyle w:val="911"/>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w:t>
      </w:r>
      <w:bookmarkStart w:id="77" w:name="EB14f04c7329d342c2b5d53bfcbbeaa167"/>
      <w:r>
        <w:rPr>
          <w:rFonts w:hint="eastAsia" w:ascii="宋体" w:hAnsi="宋体" w:eastAsia="宋体" w:cs="宋体"/>
          <w:color w:val="auto"/>
          <w:sz w:val="24"/>
          <w:highlight w:val="none"/>
        </w:rPr>
        <w:t xml:space="preserve">张家港市金浩源招投标代理有限公司</w:t>
      </w:r>
      <w:bookmarkEnd w:id="77"/>
      <w:r>
        <w:rPr>
          <w:rFonts w:hint="eastAsia" w:ascii="宋体" w:hAnsi="宋体" w:eastAsia="宋体" w:cs="宋体"/>
          <w:color w:val="auto"/>
          <w:sz w:val="24"/>
          <w:highlight w:val="none"/>
        </w:rPr>
        <w:t xml:space="preserve">有权按照法定的要求推迟投标截止日期和开标日期。</w:t>
      </w:r>
      <w:r>
        <w:rPr>
          <w:color w:val="auto"/>
        </w:rPr>
      </w:r>
      <w:r/>
    </w:p>
    <w:p>
      <w:pPr>
        <w:pStyle w:val="911"/>
        <w:ind w:firstLine="48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7.3招标文件的实质性变动或修改将在政府采购公告媒体网通知，投标人可自行下载。补充文件将作为招标文件的组成部分，并对投标人具有约束力。</w:t>
      </w:r>
      <w:r>
        <w:rPr>
          <w:color w:val="auto"/>
        </w:rPr>
      </w:r>
      <w:r/>
    </w:p>
    <w:p>
      <w:pPr>
        <w:pStyle w:val="912"/>
        <w:jc w:val="left"/>
        <w:pageBreakBefore w:val="0"/>
        <w:spacing w:line="440" w:lineRule="exact"/>
        <w:rPr>
          <w:rStyle w:val="951"/>
          <w:rFonts w:hint="eastAsia" w:ascii="宋体" w:hAnsi="宋体"/>
          <w:b w:val="0"/>
          <w:bCs/>
          <w:color w:val="auto"/>
          <w:highlight w:val="none"/>
        </w:rPr>
      </w:pPr>
      <w:r>
        <w:rPr>
          <w:color w:val="auto"/>
        </w:rPr>
      </w:r>
      <w:bookmarkStart w:id="78" w:name="_Toc462564072"/>
      <w:r>
        <w:rPr>
          <w:color w:val="auto"/>
        </w:rPr>
      </w:r>
      <w:bookmarkStart w:id="79" w:name="_Toc513029213"/>
      <w:r>
        <w:rPr>
          <w:color w:val="auto"/>
        </w:rPr>
      </w:r>
      <w:bookmarkStart w:id="80" w:name="_Toc16938529"/>
      <w:r>
        <w:rPr>
          <w:color w:val="auto"/>
        </w:rPr>
      </w:r>
      <w:bookmarkStart w:id="81" w:name="_Toc54615241"/>
      <w:r>
        <w:rPr>
          <w:color w:val="auto"/>
        </w:rPr>
      </w:r>
      <w:bookmarkStart w:id="82" w:name="_Toc38368122"/>
      <w:r>
        <w:rPr>
          <w:color w:val="auto"/>
        </w:rPr>
      </w:r>
      <w:bookmarkStart w:id="83" w:name="_Toc25648"/>
      <w:r>
        <w:rPr>
          <w:color w:val="auto"/>
        </w:rPr>
      </w:r>
      <w:bookmarkStart w:id="84" w:name="_Toc35266022"/>
      <w:r>
        <w:rPr>
          <w:color w:val="auto"/>
        </w:rPr>
      </w:r>
      <w:bookmarkStart w:id="85" w:name="_Toc120614216"/>
      <w:r>
        <w:rPr>
          <w:color w:val="auto"/>
        </w:rPr>
      </w:r>
      <w:bookmarkStart w:id="86" w:name="_Toc20823285"/>
      <w:r>
        <w:rPr>
          <w:rStyle w:val="951"/>
          <w:rFonts w:hint="eastAsia" w:ascii="宋体" w:hAnsi="宋体"/>
          <w:b w:val="0"/>
          <w:bCs/>
          <w:color w:val="auto"/>
          <w:highlight w:val="none"/>
        </w:rPr>
        <w:t xml:space="preserve">三、投标文件的编制</w:t>
      </w:r>
      <w:bookmarkEnd w:id="78"/>
      <w:r>
        <w:rPr>
          <w:color w:val="auto"/>
        </w:rPr>
      </w:r>
      <w:bookmarkEnd w:id="79"/>
      <w:r>
        <w:rPr>
          <w:color w:val="auto"/>
        </w:rPr>
      </w:r>
      <w:bookmarkEnd w:id="80"/>
      <w:r>
        <w:rPr>
          <w:color w:val="auto"/>
        </w:rPr>
      </w:r>
      <w:bookmarkEnd w:id="81"/>
      <w:r>
        <w:rPr>
          <w:color w:val="auto"/>
        </w:rPr>
      </w:r>
      <w:bookmarkEnd w:id="82"/>
      <w:r>
        <w:rPr>
          <w:color w:val="auto"/>
        </w:rPr>
      </w:r>
      <w:bookmarkEnd w:id="83"/>
      <w:r>
        <w:rPr>
          <w:color w:val="auto"/>
        </w:rPr>
      </w:r>
      <w:bookmarkEnd w:id="84"/>
      <w:r>
        <w:rPr>
          <w:color w:val="auto"/>
        </w:rPr>
      </w:r>
      <w:bookmarkEnd w:id="85"/>
      <w:r>
        <w:rPr>
          <w:color w:val="auto"/>
        </w:rPr>
      </w:r>
      <w:bookmarkEnd w:id="86"/>
      <w:r>
        <w:rPr>
          <w:color w:val="auto"/>
        </w:rPr>
      </w:r>
      <w:r/>
    </w:p>
    <w:p>
      <w:pPr>
        <w:pStyle w:val="911"/>
        <w:ind w:firstLine="560"/>
        <w:keepLines/>
        <w:keepNext/>
        <w:pageBreakBefore w:val="0"/>
        <w:spacing w:line="440" w:lineRule="exact"/>
        <w:rPr>
          <w:rFonts w:hint="eastAsia" w:ascii="宋体" w:hAnsi="宋体" w:cs="Arial"/>
          <w:b/>
          <w:color w:val="auto"/>
          <w:sz w:val="28"/>
          <w:szCs w:val="28"/>
          <w:highlight w:val="none"/>
        </w:rPr>
        <w:outlineLvl w:val="3"/>
      </w:pPr>
      <w:r>
        <w:rPr>
          <w:color w:val="auto"/>
        </w:rPr>
      </w:r>
      <w:bookmarkStart w:id="87" w:name="_Toc16938530"/>
      <w:r>
        <w:rPr>
          <w:color w:val="auto"/>
        </w:rPr>
      </w:r>
      <w:bookmarkStart w:id="88" w:name="_Toc462564073"/>
      <w:r>
        <w:rPr>
          <w:color w:val="auto"/>
        </w:rPr>
      </w:r>
      <w:bookmarkStart w:id="89" w:name="_Toc20823286"/>
      <w:r>
        <w:rPr>
          <w:color w:val="auto"/>
        </w:rPr>
      </w:r>
      <w:bookmarkStart w:id="90" w:name="_Toc513029214"/>
      <w:r>
        <w:rPr>
          <w:rFonts w:hint="eastAsia" w:ascii="宋体" w:hAnsi="宋体" w:cs="Arial"/>
          <w:color w:val="auto"/>
          <w:sz w:val="28"/>
          <w:szCs w:val="28"/>
          <w:highlight w:val="none"/>
        </w:rPr>
        <w:t xml:space="preserve">8</w:t>
      </w:r>
      <w:r>
        <w:rPr>
          <w:rFonts w:ascii="宋体" w:hAnsi="宋体" w:cs="Arial"/>
          <w:color w:val="auto"/>
          <w:sz w:val="28"/>
          <w:szCs w:val="28"/>
          <w:highlight w:val="none"/>
        </w:rPr>
        <w:t xml:space="preserve">、</w:t>
      </w:r>
      <w:r>
        <w:rPr>
          <w:rFonts w:hint="eastAsia" w:ascii="宋体" w:hAnsi="宋体" w:cs="Arial"/>
          <w:color w:val="auto"/>
          <w:sz w:val="28"/>
          <w:szCs w:val="28"/>
          <w:highlight w:val="none"/>
        </w:rPr>
        <w:t xml:space="preserve">投标文件的语言及度量衡单位</w:t>
      </w:r>
      <w:bookmarkEnd w:id="87"/>
      <w:r>
        <w:rPr>
          <w:color w:val="auto"/>
        </w:rPr>
      </w:r>
      <w:bookmarkEnd w:id="88"/>
      <w:r>
        <w:rPr>
          <w:color w:val="auto"/>
        </w:rPr>
      </w:r>
      <w:bookmarkEnd w:id="89"/>
      <w:r>
        <w:rPr>
          <w:color w:val="auto"/>
        </w:rPr>
      </w:r>
      <w:bookmarkEnd w:id="90"/>
      <w:r>
        <w:rPr>
          <w:color w:val="auto"/>
        </w:rPr>
      </w:r>
      <w:r/>
    </w:p>
    <w:p>
      <w:pPr>
        <w:pStyle w:val="911"/>
        <w:ind w:firstLine="480"/>
        <w:pageBreakBefore w:val="0"/>
        <w:spacing w:line="440" w:lineRule="exact"/>
        <w:rPr>
          <w:rFonts w:hint="eastAsia" w:ascii="宋体" w:hAnsi="宋体"/>
          <w:color w:val="auto"/>
          <w:sz w:val="24"/>
          <w:highlight w:val="none"/>
        </w:rPr>
      </w:pPr>
      <w:r>
        <w:rPr>
          <w:rFonts w:hint="eastAsia" w:ascii="宋体" w:hAnsi="宋体"/>
          <w:bCs/>
          <w:color w:val="auto"/>
          <w:sz w:val="24"/>
          <w:highlight w:val="none"/>
        </w:rPr>
        <w:t xml:space="preserve">8.1</w:t>
      </w:r>
      <w:r>
        <w:rPr>
          <w:rFonts w:hint="eastAsia" w:ascii="宋体" w:hAnsi="宋体"/>
          <w:color w:val="auto"/>
          <w:sz w:val="24"/>
          <w:highlight w:val="none"/>
        </w:rPr>
        <w:t xml:space="preserve"> 投标人提交的投标文件以及投标人与</w:t>
      </w:r>
      <w:bookmarkStart w:id="91" w:name="EB93850d2cac274df984aa2f93878c3cfe"/>
      <w:r>
        <w:rPr>
          <w:rFonts w:hint="eastAsia" w:ascii="宋体" w:hAnsi="宋体"/>
          <w:color w:val="auto"/>
          <w:sz w:val="24"/>
          <w:highlight w:val="none"/>
        </w:rPr>
        <w:t xml:space="preserve">张家港市金浩源招投标代理有限公司</w:t>
      </w:r>
      <w:bookmarkEnd w:id="91"/>
      <w:r>
        <w:rPr>
          <w:rFonts w:hint="eastAsia" w:ascii="宋体" w:hAnsi="宋体"/>
          <w:color w:val="auto"/>
          <w:sz w:val="24"/>
          <w:highlight w:val="none"/>
        </w:rPr>
        <w:t xml:space="preserve">就有关投标的所有来往通知、函件和文件均应使用</w:t>
      </w:r>
      <w:r>
        <w:rPr>
          <w:rFonts w:hint="eastAsia" w:ascii="宋体" w:hAnsi="宋体"/>
          <w:b/>
          <w:bCs/>
          <w:color w:val="auto"/>
          <w:sz w:val="24"/>
          <w:highlight w:val="none"/>
        </w:rPr>
        <w:t xml:space="preserve">简体中文</w:t>
      </w:r>
      <w:r>
        <w:rPr>
          <w:rFonts w:hint="eastAsia" w:ascii="宋体" w:hAnsi="宋体"/>
          <w:color w:val="auto"/>
          <w:sz w:val="24"/>
          <w:highlight w:val="none"/>
        </w:rPr>
        <w:t xml:space="preserve">。</w:t>
      </w:r>
      <w:r>
        <w:rPr>
          <w:color w:val="auto"/>
        </w:rPr>
      </w:r>
      <w:r/>
    </w:p>
    <w:p>
      <w:pPr>
        <w:pStyle w:val="911"/>
        <w:ind w:firstLine="480"/>
        <w:pageBreakBefore w:val="0"/>
        <w:spacing w:line="440" w:lineRule="exact"/>
        <w:rPr>
          <w:rFonts w:hint="eastAsia" w:ascii="宋体" w:hAnsi="宋体"/>
          <w:color w:val="auto"/>
          <w:sz w:val="24"/>
          <w:highlight w:val="none"/>
        </w:rPr>
      </w:pPr>
      <w:r>
        <w:rPr>
          <w:rFonts w:hint="eastAsia" w:ascii="宋体" w:hAnsi="宋体"/>
          <w:bCs/>
          <w:color w:val="auto"/>
          <w:sz w:val="24"/>
          <w:highlight w:val="none"/>
        </w:rPr>
        <w:t xml:space="preserve">8.2</w:t>
      </w:r>
      <w:r>
        <w:rPr>
          <w:rFonts w:hint="eastAsia" w:ascii="宋体" w:hAnsi="宋体"/>
          <w:color w:val="auto"/>
          <w:sz w:val="24"/>
          <w:highlight w:val="none"/>
        </w:rPr>
        <w:t xml:space="preserve"> 除技术性能另有规定外，投标文件所使用的度量衡单位，均须采用国家法定计量单位。</w:t>
      </w:r>
      <w:r>
        <w:rPr>
          <w:color w:val="auto"/>
        </w:rPr>
      </w:r>
      <w:r/>
    </w:p>
    <w:p>
      <w:pPr>
        <w:pStyle w:val="911"/>
        <w:ind w:firstLine="420"/>
        <w:keepLines/>
        <w:keepNext/>
        <w:pageBreakBefore w:val="0"/>
        <w:spacing w:line="440" w:lineRule="exact"/>
        <w:rPr>
          <w:rFonts w:hint="eastAsia" w:ascii="宋体" w:hAnsi="宋体" w:cs="Arial"/>
          <w:color w:val="auto"/>
          <w:sz w:val="28"/>
          <w:szCs w:val="28"/>
          <w:highlight w:val="none"/>
        </w:rPr>
        <w:outlineLvl w:val="3"/>
      </w:pPr>
      <w:r>
        <w:rPr>
          <w:color w:val="auto"/>
        </w:rPr>
      </w:r>
      <w:bookmarkStart w:id="92" w:name="_Toc16938531"/>
      <w:r>
        <w:rPr>
          <w:color w:val="auto"/>
        </w:rPr>
      </w:r>
      <w:bookmarkStart w:id="93" w:name="_Toc513029215"/>
      <w:r>
        <w:rPr>
          <w:color w:val="auto"/>
        </w:rPr>
      </w:r>
      <w:bookmarkStart w:id="94" w:name="_Toc462564074"/>
      <w:r>
        <w:rPr>
          <w:color w:val="auto"/>
        </w:rPr>
      </w:r>
      <w:bookmarkStart w:id="95" w:name="_Toc20823287"/>
      <w:r>
        <w:rPr>
          <w:rFonts w:hint="eastAsia" w:ascii="宋体" w:hAnsi="宋体" w:cs="Arial"/>
          <w:color w:val="auto"/>
          <w:sz w:val="28"/>
          <w:szCs w:val="28"/>
          <w:highlight w:val="none"/>
        </w:rPr>
        <w:t xml:space="preserve">9、投标文件构成</w:t>
      </w:r>
      <w:bookmarkEnd w:id="92"/>
      <w:r>
        <w:rPr>
          <w:color w:val="auto"/>
        </w:rPr>
      </w:r>
      <w:bookmarkEnd w:id="93"/>
      <w:r>
        <w:rPr>
          <w:color w:val="auto"/>
        </w:rPr>
      </w:r>
      <w:bookmarkEnd w:id="94"/>
      <w:r>
        <w:rPr>
          <w:color w:val="auto"/>
        </w:rPr>
      </w:r>
      <w:bookmarkEnd w:id="95"/>
      <w:r>
        <w:rPr>
          <w:color w:val="auto"/>
        </w:rPr>
      </w:r>
      <w:r/>
    </w:p>
    <w:p>
      <w:pPr>
        <w:pStyle w:val="911"/>
        <w:ind w:firstLine="480"/>
        <w:pageBreakBefore w:val="0"/>
        <w:spacing w:line="440" w:lineRule="exact"/>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 投标人编写的投标文件应包括投标函、开标一览表、资格证明文件、技术人员介绍、第四章项目需求中实质性要求响应对照表、技术及服务方案、投标人情况介绍等部分。</w:t>
      </w:r>
      <w:r>
        <w:rPr>
          <w:color w:val="auto"/>
        </w:rPr>
      </w:r>
      <w:r/>
    </w:p>
    <w:p>
      <w:pPr>
        <w:pStyle w:val="911"/>
        <w:ind w:firstLine="482"/>
        <w:pageBreakBefore w:val="0"/>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9.2 特别提醒：投标人必须在投标文件接收截止时间之前在系统中提交所有与开评标相关的资料。开评标现场不接收任何资料。</w:t>
      </w:r>
      <w:r>
        <w:rPr>
          <w:color w:val="auto"/>
        </w:rPr>
      </w:r>
      <w:r/>
    </w:p>
    <w:p>
      <w:pPr>
        <w:pStyle w:val="911"/>
        <w:ind w:firstLine="420"/>
        <w:keepLines/>
        <w:keepNext/>
        <w:pageBreakBefore w:val="0"/>
        <w:spacing w:line="440" w:lineRule="exact"/>
        <w:rPr>
          <w:rFonts w:hint="eastAsia" w:ascii="宋体" w:hAnsi="宋体" w:cs="Arial"/>
          <w:color w:val="auto"/>
          <w:sz w:val="28"/>
          <w:szCs w:val="28"/>
          <w:highlight w:val="none"/>
        </w:rPr>
        <w:outlineLvl w:val="3"/>
      </w:pPr>
      <w:r>
        <w:rPr>
          <w:color w:val="auto"/>
        </w:rPr>
      </w:r>
      <w:bookmarkStart w:id="96" w:name="_Hlt26954838"/>
      <w:r>
        <w:rPr>
          <w:color w:val="auto"/>
        </w:rPr>
      </w:r>
      <w:bookmarkEnd w:id="96"/>
      <w:r>
        <w:rPr>
          <w:color w:val="auto"/>
        </w:rPr>
      </w:r>
      <w:bookmarkStart w:id="97" w:name="_Hlt26668975"/>
      <w:r>
        <w:rPr>
          <w:color w:val="auto"/>
        </w:rPr>
      </w:r>
      <w:bookmarkEnd w:id="97"/>
      <w:r>
        <w:rPr>
          <w:color w:val="auto"/>
        </w:rPr>
      </w:r>
      <w:bookmarkStart w:id="98" w:name="_Hlt26670360"/>
      <w:r>
        <w:rPr>
          <w:color w:val="auto"/>
        </w:rPr>
      </w:r>
      <w:bookmarkEnd w:id="98"/>
      <w:r>
        <w:rPr>
          <w:color w:val="auto"/>
        </w:rPr>
      </w:r>
      <w:bookmarkStart w:id="99" w:name="_Toc513029219"/>
      <w:r>
        <w:rPr>
          <w:color w:val="auto"/>
        </w:rPr>
      </w:r>
      <w:bookmarkStart w:id="100" w:name="_Toc49090509"/>
      <w:r>
        <w:rPr>
          <w:color w:val="auto"/>
        </w:rPr>
      </w:r>
      <w:bookmarkStart w:id="101" w:name="_Toc14577357"/>
      <w:r>
        <w:rPr>
          <w:color w:val="auto"/>
        </w:rPr>
      </w:r>
      <w:bookmarkStart w:id="102" w:name="_Toc513029216"/>
      <w:r>
        <w:rPr>
          <w:color w:val="auto"/>
        </w:rPr>
      </w:r>
      <w:bookmarkStart w:id="103" w:name="_Toc14577354"/>
      <w:r>
        <w:rPr>
          <w:color w:val="auto"/>
        </w:rPr>
      </w:r>
      <w:bookmarkStart w:id="104" w:name="_Toc49090507"/>
      <w:r>
        <w:rPr>
          <w:rFonts w:hint="eastAsia" w:ascii="宋体" w:hAnsi="宋体" w:cs="Arial"/>
          <w:color w:val="auto"/>
          <w:sz w:val="28"/>
          <w:szCs w:val="28"/>
          <w:highlight w:val="none"/>
        </w:rPr>
        <w:t xml:space="preserve">10、投标函和开标一览表</w:t>
      </w:r>
      <w:r>
        <w:rPr>
          <w:color w:val="auto"/>
        </w:rPr>
      </w:r>
      <w:r/>
    </w:p>
    <w:p>
      <w:pPr>
        <w:pStyle w:val="911"/>
        <w:ind w:firstLine="480"/>
        <w:pageBreakBefore w:val="0"/>
        <w:spacing w:line="440" w:lineRule="exact"/>
        <w:rPr>
          <w:rFonts w:hint="eastAsia" w:ascii="宋体" w:hAnsi="宋体"/>
          <w:color w:val="auto"/>
          <w:sz w:val="24"/>
          <w:highlight w:val="none"/>
        </w:rPr>
      </w:pPr>
      <w:r>
        <w:rPr>
          <w:rFonts w:hint="eastAsia" w:ascii="宋体" w:hAnsi="宋体"/>
          <w:bCs/>
          <w:color w:val="auto"/>
          <w:sz w:val="24"/>
          <w:highlight w:val="none"/>
        </w:rPr>
        <w:t xml:space="preserve">10.1</w:t>
      </w:r>
      <w:r>
        <w:rPr>
          <w:rFonts w:hint="eastAsia" w:ascii="宋体" w:hAnsi="宋体"/>
          <w:color w:val="auto"/>
          <w:sz w:val="24"/>
          <w:highlight w:val="none"/>
        </w:rPr>
        <w:t xml:space="preserve"> 投标人应按照招标文件中提供的格式完整、正确填写投标函、开标一览表。</w:t>
      </w:r>
      <w:r>
        <w:rPr>
          <w:color w:val="auto"/>
        </w:rPr>
      </w:r>
      <w:r/>
    </w:p>
    <w:p>
      <w:pPr>
        <w:pStyle w:val="911"/>
        <w:ind w:firstLine="480"/>
        <w:pageBreakBefore w:val="0"/>
        <w:spacing w:line="440" w:lineRule="exact"/>
        <w:rPr>
          <w:rFonts w:hint="eastAsia" w:ascii="宋体" w:hAnsi="宋体"/>
          <w:color w:val="auto"/>
          <w:sz w:val="24"/>
          <w:highlight w:val="none"/>
        </w:rPr>
      </w:pPr>
      <w:r>
        <w:rPr>
          <w:rFonts w:hint="eastAsia" w:ascii="宋体" w:hAnsi="宋体"/>
          <w:bCs/>
          <w:color w:val="auto"/>
          <w:sz w:val="24"/>
          <w:highlight w:val="none"/>
        </w:rPr>
        <w:t xml:space="preserve">10.2</w:t>
      </w:r>
      <w:r>
        <w:rPr>
          <w:rFonts w:hint="eastAsia" w:ascii="宋体" w:hAnsi="宋体"/>
          <w:color w:val="auto"/>
          <w:sz w:val="24"/>
          <w:highlight w:val="none"/>
        </w:rPr>
        <w:t xml:space="preserve"> </w:t>
      </w:r>
      <w:r>
        <w:rPr>
          <w:rFonts w:hint="eastAsia" w:ascii="宋体" w:hAnsi="宋体"/>
          <w:bCs/>
          <w:color w:val="auto"/>
          <w:sz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b/>
          <w:bCs/>
          <w:color w:val="auto"/>
          <w:sz w:val="24"/>
          <w:highlight w:val="none"/>
        </w:rPr>
        <w:t xml:space="preserve">。</w:t>
      </w:r>
      <w:r>
        <w:rPr>
          <w:color w:val="auto"/>
        </w:rPr>
      </w:r>
      <w:r/>
    </w:p>
    <w:p>
      <w:pPr>
        <w:pStyle w:val="911"/>
        <w:ind w:firstLine="420"/>
        <w:keepLines/>
        <w:keepNext/>
        <w:pageBreakBefore w:val="0"/>
        <w:spacing w:line="440" w:lineRule="exact"/>
        <w:rPr>
          <w:rFonts w:hint="eastAsia" w:ascii="宋体" w:hAnsi="宋体" w:cs="Arial"/>
          <w:color w:val="auto"/>
          <w:sz w:val="28"/>
          <w:szCs w:val="28"/>
          <w:highlight w:val="none"/>
        </w:rPr>
        <w:outlineLvl w:val="3"/>
      </w:pPr>
      <w:r>
        <w:rPr>
          <w:rFonts w:hint="eastAsia" w:ascii="宋体" w:hAnsi="宋体" w:cs="Arial"/>
          <w:color w:val="auto"/>
          <w:sz w:val="28"/>
          <w:szCs w:val="28"/>
          <w:highlight w:val="none"/>
        </w:rPr>
        <w:t xml:space="preserve">11、投标人资格证明文件</w:t>
      </w:r>
      <w:bookmarkEnd w:id="99"/>
      <w:r>
        <w:rPr>
          <w:color w:val="auto"/>
        </w:rPr>
      </w:r>
      <w:bookmarkEnd w:id="100"/>
      <w:r>
        <w:rPr>
          <w:color w:val="auto"/>
        </w:rPr>
      </w:r>
      <w:bookmarkEnd w:id="101"/>
      <w:r>
        <w:rPr>
          <w:color w:val="auto"/>
        </w:rPr>
      </w:r>
      <w:r/>
    </w:p>
    <w:p>
      <w:pPr>
        <w:pStyle w:val="911"/>
        <w:ind w:firstLine="480"/>
        <w:pageBreakBefore w:val="0"/>
        <w:spacing w:line="440" w:lineRule="exact"/>
        <w:rPr>
          <w:rFonts w:hint="eastAsia" w:ascii="宋体" w:hAnsi="宋体"/>
          <w:color w:val="auto"/>
          <w:sz w:val="24"/>
          <w:highlight w:val="none"/>
        </w:rPr>
      </w:pPr>
      <w:r>
        <w:rPr>
          <w:rFonts w:hint="eastAsia" w:ascii="宋体" w:hAnsi="宋体"/>
          <w:color w:val="auto"/>
          <w:sz w:val="24"/>
          <w:highlight w:val="none"/>
        </w:rPr>
        <w:t xml:space="preserve">11.1</w:t>
      </w:r>
      <w:bookmarkStart w:id="105" w:name="_Hlt26668999"/>
      <w:r>
        <w:rPr>
          <w:color w:val="auto"/>
        </w:rPr>
      </w:r>
      <w:bookmarkEnd w:id="105"/>
      <w:r>
        <w:rPr>
          <w:rFonts w:hint="eastAsia" w:ascii="宋体" w:hAnsi="宋体"/>
          <w:color w:val="auto"/>
          <w:sz w:val="24"/>
          <w:highlight w:val="none"/>
        </w:rPr>
        <w:t xml:space="preserve">投标人应按招标文件的要求提交资格证明文件。</w:t>
      </w:r>
      <w:r>
        <w:rPr>
          <w:color w:val="auto"/>
        </w:rPr>
      </w:r>
      <w:r/>
    </w:p>
    <w:p>
      <w:pPr>
        <w:pStyle w:val="911"/>
        <w:ind w:firstLine="420"/>
        <w:keepLines/>
        <w:keepNext/>
        <w:pageBreakBefore w:val="0"/>
        <w:spacing w:line="440" w:lineRule="exact"/>
        <w:rPr>
          <w:rFonts w:hint="eastAsia" w:ascii="宋体" w:hAnsi="宋体" w:cs="Arial"/>
          <w:color w:val="auto"/>
          <w:sz w:val="28"/>
          <w:szCs w:val="28"/>
          <w:highlight w:val="none"/>
        </w:rPr>
        <w:outlineLvl w:val="3"/>
      </w:pPr>
      <w:r>
        <w:rPr>
          <w:color w:val="auto"/>
        </w:rPr>
      </w:r>
      <w:bookmarkEnd w:id="102"/>
      <w:r>
        <w:rPr>
          <w:color w:val="auto"/>
        </w:rPr>
      </w:r>
      <w:bookmarkEnd w:id="103"/>
      <w:r>
        <w:rPr>
          <w:color w:val="auto"/>
        </w:rPr>
      </w:r>
      <w:bookmarkEnd w:id="104"/>
      <w:r>
        <w:rPr>
          <w:color w:val="auto"/>
        </w:rPr>
      </w:r>
      <w:bookmarkStart w:id="106" w:name="_Toc14577355"/>
      <w:r>
        <w:rPr>
          <w:color w:val="auto"/>
        </w:rPr>
      </w:r>
      <w:bookmarkStart w:id="107" w:name="_Toc49090508"/>
      <w:r>
        <w:rPr>
          <w:rFonts w:hint="eastAsia" w:ascii="宋体" w:hAnsi="宋体" w:cs="Arial"/>
          <w:color w:val="auto"/>
          <w:sz w:val="28"/>
          <w:szCs w:val="28"/>
          <w:highlight w:val="none"/>
        </w:rPr>
        <w:t xml:space="preserve">12、</w:t>
      </w:r>
      <w:bookmarkEnd w:id="106"/>
      <w:r>
        <w:rPr>
          <w:color w:val="auto"/>
        </w:rPr>
      </w:r>
      <w:bookmarkEnd w:id="107"/>
      <w:r>
        <w:rPr>
          <w:rFonts w:hint="eastAsia" w:ascii="宋体" w:hAnsi="宋体" w:cs="Arial"/>
          <w:color w:val="auto"/>
          <w:sz w:val="28"/>
          <w:szCs w:val="28"/>
          <w:highlight w:val="none"/>
        </w:rPr>
        <w:t xml:space="preserve">投标配置与分项报价表（或经费测算表）</w:t>
      </w:r>
      <w:r>
        <w:rPr>
          <w:color w:val="auto"/>
        </w:rPr>
      </w:r>
      <w:r/>
    </w:p>
    <w:p>
      <w:pPr>
        <w:pStyle w:val="911"/>
        <w:ind w:firstLine="480"/>
        <w:pageBreakBefore w:val="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 </w:t>
      </w:r>
      <w:r>
        <w:rPr>
          <w:rFonts w:hint="eastAsia" w:ascii="宋体" w:hAnsi="宋体"/>
          <w:b/>
          <w:color w:val="auto"/>
          <w:sz w:val="24"/>
          <w:highlight w:val="none"/>
        </w:rPr>
        <w:t xml:space="preserve">投标人应按照招标文件规定格式填报。每项货物和服务等只允许有一个报价 。</w:t>
      </w:r>
      <w:r>
        <w:rPr>
          <w:color w:val="auto"/>
        </w:rPr>
      </w:r>
      <w:r/>
    </w:p>
    <w:p>
      <w:pPr>
        <w:pStyle w:val="911"/>
        <w:ind w:firstLine="480"/>
        <w:pageBreakBefore w:val="0"/>
        <w:spacing w:line="440" w:lineRule="exact"/>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s="宋体"/>
          <w:color w:val="auto"/>
          <w:sz w:val="24"/>
          <w:highlight w:val="none"/>
        </w:rPr>
        <w:t xml:space="preserve">2.2 标的物</w:t>
      </w:r>
      <w:r>
        <w:rPr>
          <w:color w:val="auto"/>
        </w:rPr>
      </w:r>
      <w:r/>
    </w:p>
    <w:p>
      <w:pPr>
        <w:pStyle w:val="911"/>
        <w:ind w:firstLine="480"/>
        <w:pageBreakBefore w:val="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12.2.1采购人需求的有关服务等。</w:t>
      </w:r>
      <w:r>
        <w:rPr>
          <w:color w:val="auto"/>
        </w:rPr>
      </w:r>
      <w:r/>
    </w:p>
    <w:p>
      <w:pPr>
        <w:pStyle w:val="918"/>
        <w:ind w:firstLine="480"/>
        <w:pageBreakBefore w:val="0"/>
        <w:spacing w:line="440" w:lineRule="exact"/>
        <w:rPr>
          <w:rFonts w:hint="eastAsia" w:ascii="宋体" w:eastAsia="宋体"/>
          <w:color w:val="auto"/>
          <w:highlight w:val="none"/>
        </w:rPr>
      </w:pPr>
      <w:r>
        <w:rPr>
          <w:rFonts w:hint="eastAsia" w:ascii="宋体" w:eastAsia="宋体"/>
          <w:bCs/>
          <w:color w:val="auto"/>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color w:val="auto"/>
        </w:rPr>
      </w:r>
      <w:r/>
    </w:p>
    <w:p>
      <w:pPr>
        <w:pStyle w:val="911"/>
        <w:ind w:firstLine="480"/>
        <w:pageBreakBefore w:val="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12.3投标货币</w:t>
      </w:r>
      <w:r>
        <w:rPr>
          <w:color w:val="auto"/>
        </w:rPr>
      </w:r>
      <w:r/>
    </w:p>
    <w:p>
      <w:pPr>
        <w:pStyle w:val="911"/>
        <w:ind w:firstLine="480"/>
        <w:pageBreakBefore w:val="0"/>
        <w:spacing w:line="440" w:lineRule="exact"/>
        <w:rPr>
          <w:rFonts w:hint="eastAsia" w:ascii="宋体" w:hAnsi="宋体" w:cs="宋体"/>
          <w:bCs/>
          <w:color w:val="auto"/>
          <w:sz w:val="24"/>
          <w:highlight w:val="none"/>
        </w:rPr>
      </w:pPr>
      <w:r>
        <w:rPr>
          <w:rFonts w:hint="eastAsia" w:ascii="宋体" w:hAnsi="宋体" w:cs="宋体"/>
          <w:color w:val="auto"/>
          <w:sz w:val="24"/>
          <w:highlight w:val="none"/>
        </w:rPr>
        <w:t xml:space="preserve">投标文件中的货物单价和总价无特殊规定的采用人民币报价，以元为</w:t>
      </w:r>
      <w:r>
        <w:rPr>
          <w:rFonts w:hint="eastAsia" w:ascii="宋体" w:hAnsi="宋体" w:cs="宋体"/>
          <w:bCs/>
          <w:color w:val="auto"/>
          <w:sz w:val="24"/>
          <w:highlight w:val="none"/>
        </w:rPr>
        <w:t xml:space="preserve">单位标注。招标文件中另有规定的按规定执行。</w:t>
      </w:r>
      <w:r>
        <w:rPr>
          <w:color w:val="auto"/>
        </w:rPr>
      </w:r>
      <w:r/>
    </w:p>
    <w:p>
      <w:pPr>
        <w:pStyle w:val="947"/>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12.4 项目总价应包括但不限于人员费用（工资、福利、培训、社会保险等）、服务所用设备工具购置及维修费用、服务所用材料消耗费用、管理费用、利润、税金、政策性文件规定及合同包含的所有风险、责任等各项应有费用。</w:t>
      </w:r>
      <w:r>
        <w:rPr>
          <w:color w:val="auto"/>
        </w:rPr>
      </w:r>
      <w:r/>
    </w:p>
    <w:p>
      <w:pPr>
        <w:pStyle w:val="954"/>
        <w:ind w:firstLine="480"/>
        <w:pageBreakBefore w:val="0"/>
        <w:spacing w:line="440" w:lineRule="exact"/>
        <w:rPr>
          <w:rFonts w:ascii="宋体" w:hAnsi="宋体"/>
          <w:bCs/>
          <w:color w:val="auto"/>
          <w:sz w:val="24"/>
          <w:highlight w:val="none"/>
        </w:rPr>
      </w:pPr>
      <w:r>
        <w:rPr>
          <w:color w:val="auto"/>
        </w:rPr>
      </w:r>
      <w:bookmarkStart w:id="108" w:name="EB8486dd9157984dc9aa62437fb6aa6f0f"/>
      <w:r>
        <w:rPr>
          <w:color w:val="auto"/>
        </w:rPr>
      </w:r>
      <w:bookmarkEnd w:id="108"/>
      <w:r>
        <w:rPr>
          <w:rFonts w:hint="eastAsia" w:ascii="宋体" w:hAnsi="宋体" w:cs="宋体"/>
          <w:bCs/>
          <w:color w:val="auto"/>
          <w:sz w:val="24"/>
          <w:highlight w:val="none"/>
        </w:rPr>
        <w:t xml:space="preserve">12.5 本报价必须充分考虑所有可能影响到报价的价格因素，一旦投标结束最终成交，如发生漏、缺、少项，都将被认为是中标人的报价让利行为</w:t>
      </w:r>
      <w:r>
        <w:rPr>
          <w:rFonts w:hint="eastAsia" w:ascii="宋体" w:hAnsi="宋体"/>
          <w:bCs/>
          <w:color w:val="auto"/>
          <w:sz w:val="24"/>
          <w:highlight w:val="none"/>
        </w:rPr>
        <w:t xml:space="preserve">。</w:t>
      </w:r>
      <w:bookmarkStart w:id="109" w:name="_Hlt26670486"/>
      <w:r>
        <w:rPr>
          <w:color w:val="auto"/>
        </w:rPr>
      </w:r>
      <w:bookmarkEnd w:id="109"/>
      <w:r>
        <w:rPr>
          <w:color w:val="auto"/>
        </w:rPr>
      </w:r>
      <w:bookmarkStart w:id="110" w:name="_Hlt26670482"/>
      <w:r>
        <w:rPr>
          <w:color w:val="auto"/>
        </w:rPr>
      </w:r>
      <w:bookmarkEnd w:id="110"/>
      <w:r>
        <w:rPr>
          <w:color w:val="auto"/>
        </w:rPr>
      </w:r>
      <w:bookmarkStart w:id="111" w:name="_Hlt26954846"/>
      <w:r>
        <w:rPr>
          <w:color w:val="auto"/>
        </w:rPr>
      </w:r>
      <w:bookmarkEnd w:id="111"/>
      <w:r>
        <w:rPr>
          <w:color w:val="auto"/>
        </w:rPr>
      </w:r>
      <w:bookmarkStart w:id="112" w:name="_Hlt26954848"/>
      <w:r>
        <w:rPr>
          <w:color w:val="auto"/>
        </w:rPr>
      </w:r>
      <w:bookmarkEnd w:id="112"/>
      <w:r>
        <w:rPr>
          <w:color w:val="auto"/>
        </w:rPr>
      </w:r>
      <w:bookmarkStart w:id="113" w:name="_Hlt26954731"/>
      <w:r>
        <w:rPr>
          <w:color w:val="auto"/>
        </w:rPr>
      </w:r>
      <w:bookmarkEnd w:id="113"/>
      <w:r>
        <w:rPr>
          <w:color w:val="auto"/>
        </w:rPr>
      </w:r>
      <w:r/>
    </w:p>
    <w:p>
      <w:pPr>
        <w:pStyle w:val="911"/>
        <w:ind w:firstLine="420"/>
        <w:keepLines/>
        <w:keepNext/>
        <w:pageBreakBefore w:val="0"/>
        <w:spacing w:line="440" w:lineRule="exact"/>
        <w:rPr>
          <w:rFonts w:hint="eastAsia" w:ascii="宋体" w:hAnsi="宋体"/>
          <w:color w:val="auto"/>
          <w:sz w:val="28"/>
          <w:szCs w:val="28"/>
          <w:highlight w:val="none"/>
        </w:rPr>
        <w:outlineLvl w:val="3"/>
      </w:pPr>
      <w:r>
        <w:rPr>
          <w:color w:val="auto"/>
        </w:rPr>
      </w:r>
      <w:bookmarkStart w:id="114" w:name="_Toc14577359"/>
      <w:r>
        <w:rPr>
          <w:color w:val="auto"/>
        </w:rPr>
      </w:r>
      <w:bookmarkStart w:id="115" w:name="_Toc49090510"/>
      <w:r>
        <w:rPr>
          <w:rFonts w:hint="eastAsia" w:ascii="宋体" w:hAnsi="宋体" w:cs="Arial"/>
          <w:color w:val="auto"/>
          <w:sz w:val="28"/>
          <w:szCs w:val="28"/>
          <w:highlight w:val="none"/>
        </w:rPr>
        <w:t xml:space="preserve">13</w:t>
      </w:r>
      <w:r>
        <w:rPr>
          <w:rFonts w:ascii="宋体" w:hAnsi="宋体" w:cs="Arial"/>
          <w:color w:val="auto"/>
          <w:sz w:val="28"/>
          <w:szCs w:val="28"/>
          <w:highlight w:val="none"/>
        </w:rPr>
        <w:t xml:space="preserve">、</w:t>
      </w:r>
      <w:r>
        <w:rPr>
          <w:rFonts w:hint="eastAsia" w:ascii="宋体" w:hAnsi="宋体"/>
          <w:color w:val="auto"/>
          <w:sz w:val="28"/>
          <w:szCs w:val="28"/>
          <w:highlight w:val="none"/>
        </w:rPr>
        <w:t xml:space="preserve">技术及服务方案</w:t>
      </w:r>
      <w:r>
        <w:rPr>
          <w:color w:val="auto"/>
        </w:rPr>
      </w:r>
      <w:r/>
    </w:p>
    <w:p>
      <w:pPr>
        <w:pStyle w:val="954"/>
        <w:ind w:firstLine="480"/>
        <w:pageBreakBefore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13.1根据自己对需求的理解撰写需求分析和服务方案。</w:t>
      </w:r>
      <w:r>
        <w:rPr>
          <w:color w:val="auto"/>
        </w:rPr>
      </w:r>
      <w:r/>
    </w:p>
    <w:p>
      <w:pPr>
        <w:pStyle w:val="954"/>
        <w:ind w:firstLine="480"/>
        <w:pageBreakBefore w:val="0"/>
        <w:spacing w:line="440" w:lineRule="exact"/>
        <w:rPr>
          <w:rFonts w:hint="eastAsia" w:ascii="宋体" w:hAnsi="宋体"/>
          <w:color w:val="auto"/>
          <w:highlight w:val="none"/>
        </w:rPr>
      </w:pPr>
      <w:r>
        <w:rPr>
          <w:rFonts w:hint="eastAsia" w:ascii="宋体" w:hAnsi="宋体"/>
          <w:color w:val="auto"/>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rPr>
          <w:color w:val="auto"/>
        </w:rPr>
      </w:r>
      <w:r/>
    </w:p>
    <w:p>
      <w:pPr>
        <w:pStyle w:val="911"/>
        <w:ind w:firstLine="420"/>
        <w:keepLines/>
        <w:keepNext/>
        <w:pageBreakBefore w:val="0"/>
        <w:spacing w:line="440" w:lineRule="exact"/>
        <w:rPr>
          <w:rFonts w:hint="eastAsia" w:ascii="宋体" w:hAnsi="宋体"/>
          <w:color w:val="auto"/>
          <w:sz w:val="24"/>
          <w:highlight w:val="none"/>
        </w:rPr>
        <w:outlineLvl w:val="3"/>
      </w:pPr>
      <w:r>
        <w:rPr>
          <w:rFonts w:hint="eastAsia" w:ascii="宋体" w:hAnsi="宋体" w:cs="Arial"/>
          <w:color w:val="auto"/>
          <w:sz w:val="28"/>
          <w:szCs w:val="28"/>
          <w:highlight w:val="none"/>
        </w:rPr>
        <w:t xml:space="preserve">14、</w:t>
      </w:r>
      <w:r>
        <w:rPr>
          <w:rFonts w:hint="eastAsia" w:ascii="宋体" w:hAnsi="宋体"/>
          <w:color w:val="auto"/>
          <w:sz w:val="28"/>
          <w:szCs w:val="28"/>
          <w:highlight w:val="none"/>
        </w:rPr>
        <w:t xml:space="preserve">投标人情况介绍</w:t>
      </w:r>
      <w:r>
        <w:rPr>
          <w:color w:val="auto"/>
        </w:rPr>
      </w:r>
      <w:r/>
    </w:p>
    <w:p>
      <w:pPr>
        <w:pStyle w:val="955"/>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14.1 投标人的总体情况应在电子投标文件中作出说明。</w:t>
      </w:r>
      <w:r>
        <w:rPr>
          <w:color w:val="auto"/>
        </w:rPr>
      </w:r>
      <w:r/>
    </w:p>
    <w:p>
      <w:pPr>
        <w:pStyle w:val="911"/>
        <w:ind w:firstLine="420"/>
        <w:keepLines/>
        <w:keepNext/>
        <w:pageBreakBefore w:val="0"/>
        <w:spacing w:line="440" w:lineRule="exact"/>
        <w:rPr>
          <w:rFonts w:hint="eastAsia" w:ascii="宋体" w:hAnsi="宋体" w:cs="Arial"/>
          <w:color w:val="auto"/>
          <w:sz w:val="28"/>
          <w:szCs w:val="28"/>
          <w:highlight w:val="none"/>
        </w:rPr>
        <w:outlineLvl w:val="3"/>
      </w:pPr>
      <w:r>
        <w:rPr>
          <w:color w:val="auto"/>
        </w:rPr>
      </w:r>
      <w:bookmarkEnd w:id="114"/>
      <w:r>
        <w:rPr>
          <w:color w:val="auto"/>
        </w:rPr>
      </w:r>
      <w:bookmarkEnd w:id="115"/>
      <w:r>
        <w:rPr>
          <w:color w:val="auto"/>
        </w:rPr>
      </w:r>
      <w:bookmarkStart w:id="116" w:name="EBf6e5e332cb7245ab8f3a9801503c122b"/>
      <w:r>
        <w:rPr>
          <w:color w:val="auto"/>
        </w:rPr>
      </w:r>
      <w:bookmarkEnd w:id="116"/>
      <w:r>
        <w:rPr>
          <w:color w:val="auto"/>
        </w:rPr>
      </w:r>
      <w:bookmarkStart w:id="117" w:name="_Hlt26954734"/>
      <w:r>
        <w:rPr>
          <w:color w:val="auto"/>
        </w:rPr>
      </w:r>
      <w:bookmarkEnd w:id="117"/>
      <w:r>
        <w:rPr>
          <w:color w:val="auto"/>
        </w:rPr>
      </w:r>
      <w:bookmarkStart w:id="118" w:name="_Hlt26954850"/>
      <w:r>
        <w:rPr>
          <w:color w:val="auto"/>
        </w:rPr>
      </w:r>
      <w:bookmarkEnd w:id="118"/>
      <w:r>
        <w:rPr>
          <w:color w:val="auto"/>
        </w:rPr>
      </w:r>
      <w:bookmarkStart w:id="119" w:name="_Hlt26670489"/>
      <w:r>
        <w:rPr>
          <w:color w:val="auto"/>
        </w:rPr>
      </w:r>
      <w:bookmarkEnd w:id="119"/>
      <w:r>
        <w:rPr>
          <w:color w:val="auto"/>
        </w:rPr>
      </w:r>
      <w:bookmarkStart w:id="120" w:name="_Toc14577360"/>
      <w:r>
        <w:rPr>
          <w:color w:val="auto"/>
        </w:rPr>
      </w:r>
      <w:bookmarkStart w:id="121" w:name="_Toc49090511"/>
      <w:r>
        <w:rPr>
          <w:rFonts w:hint="eastAsia" w:ascii="宋体" w:hAnsi="宋体" w:cs="Arial"/>
          <w:color w:val="auto"/>
          <w:sz w:val="28"/>
          <w:szCs w:val="28"/>
          <w:highlight w:val="none"/>
        </w:rPr>
        <w:t xml:space="preserve">15、投标保证金</w:t>
      </w:r>
      <w:r>
        <w:rPr>
          <w:color w:val="auto"/>
        </w:rPr>
      </w:r>
      <w:r/>
    </w:p>
    <w:p>
      <w:pPr>
        <w:pStyle w:val="954"/>
        <w:ind w:firstLine="480"/>
        <w:pageBreakBefore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15.1本次招标不收取投标保证金。</w:t>
      </w:r>
      <w:r>
        <w:rPr>
          <w:color w:val="auto"/>
        </w:rPr>
      </w:r>
      <w:r/>
    </w:p>
    <w:p>
      <w:pPr>
        <w:pStyle w:val="911"/>
        <w:ind w:firstLine="420"/>
        <w:keepLines/>
        <w:keepNext/>
        <w:pageBreakBefore w:val="0"/>
        <w:spacing w:line="440" w:lineRule="exact"/>
        <w:rPr>
          <w:rFonts w:hint="eastAsia" w:ascii="宋体" w:hAnsi="宋体" w:cs="Arial"/>
          <w:color w:val="auto"/>
          <w:sz w:val="28"/>
          <w:szCs w:val="28"/>
          <w:highlight w:val="none"/>
        </w:rPr>
        <w:outlineLvl w:val="3"/>
      </w:pPr>
      <w:r>
        <w:rPr>
          <w:rFonts w:hint="eastAsia" w:ascii="宋体" w:hAnsi="宋体" w:cs="Arial"/>
          <w:color w:val="auto"/>
          <w:sz w:val="28"/>
          <w:szCs w:val="28"/>
          <w:highlight w:val="none"/>
        </w:rPr>
        <w:t xml:space="preserve">16、投标有效期</w:t>
      </w:r>
      <w:bookmarkEnd w:id="120"/>
      <w:r>
        <w:rPr>
          <w:color w:val="auto"/>
        </w:rPr>
      </w:r>
      <w:bookmarkEnd w:id="121"/>
      <w:r>
        <w:rPr>
          <w:color w:val="auto"/>
        </w:rPr>
      </w:r>
      <w:r/>
    </w:p>
    <w:p>
      <w:pPr>
        <w:pStyle w:val="911"/>
        <w:ind w:firstLine="480"/>
        <w:pageBreakBefore w:val="0"/>
        <w:spacing w:line="440" w:lineRule="exact"/>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 投标有效期为</w:t>
      </w:r>
      <w:bookmarkStart w:id="122" w:name="EB42bffacbc3774d8f9be92be41fabfc13"/>
      <w:r>
        <w:rPr>
          <w:rFonts w:hint="eastAsia" w:ascii="宋体" w:hAnsi="宋体"/>
          <w:bCs/>
          <w:color w:val="auto"/>
          <w:sz w:val="24"/>
          <w:highlight w:val="none"/>
        </w:rPr>
        <w:t xml:space="preserve">张家港市金浩源招投标代理有限公司</w:t>
      </w:r>
      <w:bookmarkEnd w:id="122"/>
      <w:r>
        <w:rPr>
          <w:rFonts w:hint="eastAsia" w:ascii="宋体" w:hAnsi="宋体"/>
          <w:bCs/>
          <w:color w:val="auto"/>
          <w:sz w:val="24"/>
          <w:highlight w:val="none"/>
        </w:rPr>
        <w:t xml:space="preserve">规定的开标之日后</w:t>
      </w:r>
      <w:r>
        <w:rPr>
          <w:rFonts w:hint="eastAsia" w:ascii="宋体" w:hAnsi="宋体"/>
          <w:b/>
          <w:bCs/>
          <w:color w:val="auto"/>
          <w:sz w:val="24"/>
          <w:highlight w:val="none"/>
        </w:rPr>
        <w:t xml:space="preserve">九十（90）天</w:t>
      </w:r>
      <w:r>
        <w:rPr>
          <w:rFonts w:hint="eastAsia" w:ascii="宋体" w:hAnsi="宋体"/>
          <w:bCs/>
          <w:color w:val="auto"/>
          <w:sz w:val="24"/>
          <w:highlight w:val="none"/>
        </w:rPr>
        <w:t xml:space="preserve">。投标有效期比规定短的将被视为非响应性投标而予以拒绝。</w:t>
      </w:r>
      <w:r>
        <w:rPr>
          <w:color w:val="auto"/>
        </w:rPr>
      </w:r>
      <w:r/>
    </w:p>
    <w:p>
      <w:pPr>
        <w:pStyle w:val="911"/>
        <w:ind w:firstLine="480"/>
        <w:pageBreakBefore w:val="0"/>
        <w:spacing w:line="440" w:lineRule="exact"/>
        <w:rPr>
          <w:rFonts w:hint="eastAsia" w:ascii="宋体" w:hAnsi="宋体"/>
          <w:bCs/>
          <w:color w:val="auto"/>
          <w:sz w:val="24"/>
          <w:highlight w:val="none"/>
        </w:rPr>
      </w:pPr>
      <w:r>
        <w:rPr>
          <w:rFonts w:hint="eastAsia" w:ascii="宋体" w:hAnsi="宋体"/>
          <w:color w:val="auto"/>
          <w:sz w:val="24"/>
          <w:highlight w:val="none"/>
        </w:rPr>
        <w:t xml:space="preserve">16.2</w:t>
      </w:r>
      <w:r>
        <w:rPr>
          <w:rFonts w:hint="eastAsia" w:ascii="宋体" w:hAnsi="宋体"/>
          <w:bCs/>
          <w:color w:val="auto"/>
          <w:sz w:val="24"/>
          <w:highlight w:val="none"/>
        </w:rPr>
        <w:t xml:space="preserve"> 在特殊情况下，</w:t>
      </w:r>
      <w:bookmarkStart w:id="123" w:name="EB1a73f2f6d8ff43b6a705c8d1929594b0"/>
      <w:r>
        <w:rPr>
          <w:rFonts w:hint="eastAsia" w:ascii="宋体" w:hAnsi="宋体"/>
          <w:bCs/>
          <w:color w:val="auto"/>
          <w:sz w:val="24"/>
          <w:highlight w:val="none"/>
        </w:rPr>
        <w:t xml:space="preserve">张家港市金浩源招投标代理有限公司</w:t>
      </w:r>
      <w:bookmarkEnd w:id="123"/>
      <w:r>
        <w:rPr>
          <w:rFonts w:hint="eastAsia" w:ascii="宋体" w:hAnsi="宋体"/>
          <w:bCs/>
          <w:color w:val="auto"/>
          <w:sz w:val="24"/>
          <w:highlight w:val="none"/>
        </w:rPr>
        <w:t xml:space="preserve">于原投标有效期满之前，可向投标人提出延长投标有效期的要求。这种要求与答复均应采用书面形式。投标人可以拒绝</w:t>
      </w:r>
      <w:bookmarkStart w:id="124" w:name="EBcd0282bdfe9441e3bba982eac64d1aaa"/>
      <w:r>
        <w:rPr>
          <w:rFonts w:hint="eastAsia" w:ascii="宋体" w:hAnsi="宋体"/>
          <w:bCs/>
          <w:color w:val="auto"/>
          <w:sz w:val="24"/>
          <w:highlight w:val="none"/>
        </w:rPr>
        <w:t xml:space="preserve">张家港市金浩源招投标代理有限公司</w:t>
      </w:r>
      <w:bookmarkEnd w:id="124"/>
      <w:r>
        <w:rPr>
          <w:rFonts w:hint="eastAsia" w:ascii="宋体" w:hAnsi="宋体"/>
          <w:bCs/>
          <w:color w:val="auto"/>
          <w:sz w:val="24"/>
          <w:highlight w:val="none"/>
        </w:rPr>
        <w:t xml:space="preserve">的这一要求而放弃投标</w:t>
      </w:r>
      <w:r>
        <w:rPr>
          <w:rFonts w:hint="eastAsia" w:ascii="宋体" w:hAnsi="宋体"/>
          <w:color w:val="auto"/>
          <w:sz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color w:val="auto"/>
        </w:rPr>
      </w:r>
      <w:r/>
    </w:p>
    <w:p>
      <w:pPr>
        <w:pStyle w:val="956"/>
        <w:ind w:firstLine="500"/>
        <w:pageBreakBefore w:val="0"/>
        <w:spacing w:line="440" w:lineRule="exact"/>
        <w:rPr>
          <w:rStyle w:val="913"/>
          <w:rFonts w:ascii="宋体" w:hAnsi="宋体" w:eastAsia="宋体" w:cs="宋体"/>
          <w:b w:val="0"/>
          <w:color w:val="auto"/>
          <w:spacing w:val="7"/>
          <w:sz w:val="24"/>
          <w:highlight w:val="none"/>
        </w:rPr>
        <w:outlineLvl w:val="3"/>
      </w:pPr>
      <w:r>
        <w:rPr>
          <w:rStyle w:val="913"/>
          <w:rFonts w:ascii="宋体" w:hAnsi="宋体" w:eastAsia="宋体" w:cs="宋体"/>
          <w:b w:val="0"/>
          <w:color w:val="auto"/>
          <w:spacing w:val="7"/>
          <w:sz w:val="28"/>
          <w:szCs w:val="28"/>
          <w:highlight w:val="none"/>
        </w:rPr>
        <w:t xml:space="preserve">17、投标文件的签署</w:t>
      </w:r>
      <w:r>
        <w:rPr>
          <w:color w:val="auto"/>
        </w:rPr>
      </w:r>
      <w:r/>
    </w:p>
    <w:p>
      <w:pPr>
        <w:pStyle w:val="956"/>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17.1 本招标文件所表述（指定）的公章是指法定名称章，不包括合同专用章、业务专用章等印章。</w:t>
      </w:r>
      <w:r>
        <w:rPr>
          <w:color w:val="auto"/>
        </w:rPr>
      </w:r>
      <w:r/>
    </w:p>
    <w:p>
      <w:pPr>
        <w:pStyle w:val="912"/>
        <w:jc w:val="left"/>
        <w:pageBreakBefore w:val="0"/>
        <w:spacing w:line="440" w:lineRule="exact"/>
        <w:rPr>
          <w:rFonts w:hint="eastAsia" w:ascii="宋体" w:hAnsi="宋体" w:eastAsia="宋体"/>
          <w:bCs w:val="0"/>
          <w:color w:val="auto"/>
          <w:sz w:val="32"/>
          <w:szCs w:val="32"/>
          <w:highlight w:val="none"/>
        </w:rPr>
      </w:pPr>
      <w:r>
        <w:rPr>
          <w:color w:val="auto"/>
        </w:rPr>
      </w:r>
      <w:bookmarkStart w:id="125" w:name="_Toc6388848"/>
      <w:r>
        <w:rPr>
          <w:color w:val="auto"/>
        </w:rPr>
      </w:r>
      <w:bookmarkStart w:id="126" w:name="_Toc38368123"/>
      <w:r>
        <w:rPr>
          <w:color w:val="auto"/>
        </w:rPr>
      </w:r>
      <w:bookmarkStart w:id="127" w:name="_Toc54615242"/>
      <w:r>
        <w:rPr>
          <w:color w:val="auto"/>
        </w:rPr>
      </w:r>
      <w:bookmarkStart w:id="128" w:name="_Toc17370"/>
      <w:r>
        <w:rPr>
          <w:color w:val="auto"/>
        </w:rPr>
      </w:r>
      <w:bookmarkStart w:id="129" w:name="_Toc6389296"/>
      <w:r>
        <w:rPr>
          <w:color w:val="auto"/>
        </w:rPr>
      </w:r>
      <w:bookmarkStart w:id="130" w:name="_Toc16938540"/>
      <w:r>
        <w:rPr>
          <w:color w:val="auto"/>
        </w:rPr>
      </w:r>
      <w:bookmarkStart w:id="131" w:name="_Toc513029224"/>
      <w:r>
        <w:rPr>
          <w:color w:val="auto"/>
        </w:rPr>
      </w:r>
      <w:bookmarkStart w:id="132" w:name="_Toc35266023"/>
      <w:r>
        <w:rPr>
          <w:color w:val="auto"/>
        </w:rPr>
      </w:r>
      <w:bookmarkStart w:id="133" w:name="_Toc20823296"/>
      <w:r>
        <w:rPr>
          <w:color w:val="auto"/>
        </w:rPr>
      </w:r>
      <w:bookmarkStart w:id="134" w:name="_Toc120614217"/>
      <w:r>
        <w:rPr>
          <w:color w:val="auto"/>
        </w:rPr>
      </w:r>
      <w:bookmarkStart w:id="135" w:name="_Hlt26954852"/>
      <w:r>
        <w:rPr>
          <w:color w:val="auto"/>
        </w:rPr>
      </w:r>
      <w:bookmarkEnd w:id="135"/>
      <w:r>
        <w:rPr>
          <w:color w:val="auto"/>
        </w:rPr>
      </w:r>
      <w:bookmarkStart w:id="136" w:name="_Hlt26954739"/>
      <w:r>
        <w:rPr>
          <w:color w:val="auto"/>
        </w:rPr>
      </w:r>
      <w:bookmarkEnd w:id="136"/>
      <w:r>
        <w:rPr>
          <w:color w:val="auto"/>
        </w:rPr>
      </w:r>
      <w:bookmarkStart w:id="137" w:name="EBfdb2e00cf1ee477a9cdb47d13b603829"/>
      <w:r>
        <w:rPr>
          <w:color w:val="auto"/>
        </w:rPr>
      </w:r>
      <w:bookmarkEnd w:id="137"/>
      <w:r>
        <w:rPr>
          <w:rStyle w:val="951"/>
          <w:rFonts w:hint="eastAsia" w:ascii="宋体" w:hAnsi="宋体"/>
          <w:b w:val="0"/>
          <w:bCs w:val="0"/>
          <w:color w:val="auto"/>
          <w:highlight w:val="none"/>
        </w:rPr>
        <w:t xml:space="preserve">四、投标文件的制作、上传、递交</w:t>
      </w:r>
      <w:bookmarkEnd w:id="125"/>
      <w:r>
        <w:rPr>
          <w:color w:val="auto"/>
        </w:rPr>
      </w:r>
      <w:bookmarkEnd w:id="126"/>
      <w:r>
        <w:rPr>
          <w:color w:val="auto"/>
        </w:rPr>
      </w:r>
      <w:bookmarkEnd w:id="127"/>
      <w:r>
        <w:rPr>
          <w:color w:val="auto"/>
        </w:rPr>
      </w:r>
      <w:bookmarkEnd w:id="128"/>
      <w:r>
        <w:rPr>
          <w:color w:val="auto"/>
        </w:rPr>
      </w:r>
      <w:bookmarkEnd w:id="129"/>
      <w:r>
        <w:rPr>
          <w:color w:val="auto"/>
        </w:rPr>
      </w:r>
      <w:bookmarkEnd w:id="132"/>
      <w:r>
        <w:rPr>
          <w:color w:val="auto"/>
        </w:rPr>
      </w:r>
      <w:r/>
    </w:p>
    <w:p>
      <w:pPr>
        <w:pStyle w:val="957"/>
        <w:ind w:firstLine="500"/>
        <w:pageBreakBefore w:val="0"/>
        <w:spacing w:line="440" w:lineRule="exact"/>
        <w:rPr>
          <w:rStyle w:val="913"/>
          <w:rFonts w:ascii="宋体" w:hAnsi="宋体" w:eastAsia="宋体" w:cs="宋体"/>
          <w:b w:val="0"/>
          <w:color w:val="auto"/>
          <w:spacing w:val="7"/>
          <w:sz w:val="28"/>
          <w:highlight w:val="none"/>
        </w:rPr>
        <w:outlineLvl w:val="3"/>
      </w:pPr>
      <w:r>
        <w:rPr>
          <w:rStyle w:val="913"/>
          <w:rFonts w:ascii="宋体" w:hAnsi="宋体" w:eastAsia="宋体" w:cs="宋体"/>
          <w:b w:val="0"/>
          <w:color w:val="auto"/>
          <w:spacing w:val="7"/>
          <w:sz w:val="28"/>
          <w:highlight w:val="none"/>
        </w:rPr>
        <w:t xml:space="preserve">18、投标文件的递交</w:t>
      </w:r>
      <w:r>
        <w:rPr>
          <w:color w:val="auto"/>
        </w:rPr>
      </w:r>
      <w:r/>
    </w:p>
    <w:p>
      <w:pPr>
        <w:pStyle w:val="957"/>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18.1 电子投标文件的递交</w:t>
      </w:r>
      <w:r>
        <w:rPr>
          <w:color w:val="auto"/>
        </w:rPr>
      </w:r>
      <w:r/>
    </w:p>
    <w:p>
      <w:pPr>
        <w:pStyle w:val="957"/>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投标人应当按照《操作手册》规定，在投标截止时间前制作并上传电子投标文件。</w:t>
      </w:r>
      <w:r>
        <w:rPr>
          <w:color w:val="auto"/>
        </w:rPr>
      </w:r>
      <w:r/>
    </w:p>
    <w:p>
      <w:pPr>
        <w:pStyle w:val="911"/>
        <w:ind w:firstLine="420"/>
        <w:keepLines/>
        <w:keepNext/>
        <w:pageBreakBefore w:val="0"/>
        <w:spacing w:line="440" w:lineRule="exact"/>
        <w:rPr>
          <w:rFonts w:hint="eastAsia" w:ascii="宋体" w:hAnsi="宋体" w:cs="Arial"/>
          <w:color w:val="auto"/>
          <w:sz w:val="28"/>
          <w:szCs w:val="28"/>
          <w:highlight w:val="none"/>
        </w:rPr>
        <w:outlineLvl w:val="3"/>
      </w:pPr>
      <w:r>
        <w:rPr>
          <w:color w:val="auto"/>
        </w:rPr>
      </w:r>
      <w:bookmarkStart w:id="138" w:name="EB5e78b12e89984a20ab881c475623475b"/>
      <w:r>
        <w:rPr>
          <w:color w:val="auto"/>
        </w:rPr>
      </w:r>
      <w:bookmarkEnd w:id="138"/>
      <w:r>
        <w:rPr>
          <w:color w:val="auto"/>
        </w:rPr>
      </w:r>
      <w:bookmarkStart w:id="139" w:name="_Toc6388850"/>
      <w:r>
        <w:rPr>
          <w:color w:val="auto"/>
        </w:rPr>
      </w:r>
      <w:bookmarkStart w:id="140" w:name="_Toc6389298"/>
      <w:r>
        <w:rPr>
          <w:rFonts w:hint="eastAsia" w:ascii="宋体" w:hAnsi="宋体" w:cs="Arial"/>
          <w:color w:val="auto"/>
          <w:sz w:val="28"/>
          <w:szCs w:val="28"/>
          <w:highlight w:val="none"/>
        </w:rPr>
        <w:t xml:space="preserve">19、投标截止日期</w:t>
      </w:r>
      <w:bookmarkEnd w:id="139"/>
      <w:r>
        <w:rPr>
          <w:color w:val="auto"/>
        </w:rPr>
      </w:r>
      <w:bookmarkEnd w:id="140"/>
      <w:r>
        <w:rPr>
          <w:color w:val="auto"/>
        </w:rPr>
      </w:r>
      <w:r/>
    </w:p>
    <w:p>
      <w:pPr>
        <w:pStyle w:val="958"/>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19.1 投标人上传电子投标文件的时间不得迟于招标公告中规定的投标截止时间。</w:t>
      </w:r>
      <w:r>
        <w:rPr>
          <w:color w:val="auto"/>
        </w:rPr>
      </w:r>
      <w:r/>
    </w:p>
    <w:p>
      <w:pPr>
        <w:pStyle w:val="958"/>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投标人应充分考虑到网络环境、网络带宽等风险因素，如因投标人自身原因造成的电子投标文件上传不成功由投标人自行承担全部责任。</w:t>
      </w:r>
      <w:r>
        <w:rPr>
          <w:color w:val="auto"/>
        </w:rPr>
      </w:r>
      <w:r/>
    </w:p>
    <w:p>
      <w:pPr>
        <w:pStyle w:val="911"/>
        <w:ind w:firstLine="420"/>
        <w:keepLines/>
        <w:keepNext/>
        <w:pageBreakBefore w:val="0"/>
        <w:spacing w:line="440" w:lineRule="exact"/>
        <w:rPr>
          <w:rFonts w:hint="eastAsia" w:ascii="宋体" w:hAnsi="宋体" w:cs="Arial"/>
          <w:color w:val="auto"/>
          <w:sz w:val="28"/>
          <w:szCs w:val="28"/>
          <w:highlight w:val="none"/>
        </w:rPr>
        <w:outlineLvl w:val="3"/>
      </w:pPr>
      <w:r>
        <w:rPr>
          <w:color w:val="auto"/>
        </w:rPr>
      </w:r>
      <w:bookmarkStart w:id="141" w:name="_Toc6388851"/>
      <w:r>
        <w:rPr>
          <w:color w:val="auto"/>
        </w:rPr>
      </w:r>
      <w:bookmarkStart w:id="142" w:name="_Toc6389299"/>
      <w:r>
        <w:rPr>
          <w:color w:val="auto"/>
        </w:rPr>
      </w:r>
      <w:bookmarkStart w:id="143" w:name="EB4c6421107b4c4e38bf2769d0237905a7"/>
      <w:r>
        <w:rPr>
          <w:color w:val="auto"/>
        </w:rPr>
      </w:r>
      <w:bookmarkEnd w:id="143"/>
      <w:r>
        <w:rPr>
          <w:rFonts w:hint="eastAsia" w:ascii="宋体" w:hAnsi="宋体" w:cs="Arial"/>
          <w:color w:val="auto"/>
          <w:sz w:val="28"/>
          <w:szCs w:val="28"/>
          <w:highlight w:val="none"/>
        </w:rPr>
        <w:t xml:space="preserve">20、投标文件的递交</w:t>
      </w:r>
      <w:bookmarkEnd w:id="141"/>
      <w:r>
        <w:rPr>
          <w:color w:val="auto"/>
        </w:rPr>
      </w:r>
      <w:bookmarkEnd w:id="142"/>
      <w:r>
        <w:rPr>
          <w:color w:val="auto"/>
        </w:rPr>
      </w:r>
      <w:r/>
    </w:p>
    <w:p>
      <w:pPr>
        <w:pStyle w:val="911"/>
        <w:ind w:firstLine="480"/>
        <w:pageBreakBefore w:val="0"/>
        <w:spacing w:line="440" w:lineRule="exact"/>
        <w:rPr>
          <w:rFonts w:hint="eastAsia" w:ascii="宋体" w:hAnsi="宋体"/>
          <w:color w:val="auto"/>
          <w:sz w:val="24"/>
          <w:highlight w:val="none"/>
        </w:rPr>
      </w:pPr>
      <w:r>
        <w:rPr>
          <w:rFonts w:hint="eastAsia" w:ascii="宋体" w:hAnsi="宋体"/>
          <w:color w:val="auto"/>
          <w:sz w:val="24"/>
          <w:highlight w:val="none"/>
        </w:rPr>
        <w:t xml:space="preserve">20.1</w:t>
      </w:r>
      <w:bookmarkStart w:id="144" w:name="EBfffe463a2deb4e7cad93cb8e37ffda5e"/>
      <w:r>
        <w:rPr>
          <w:rFonts w:hint="eastAsia" w:ascii="宋体" w:hAnsi="宋体"/>
          <w:color w:val="auto"/>
          <w:sz w:val="24"/>
          <w:highlight w:val="none"/>
        </w:rPr>
        <w:t xml:space="preserve">张家港市金浩源招投标代理有限公司</w:t>
      </w:r>
      <w:bookmarkEnd w:id="144"/>
      <w:r>
        <w:rPr>
          <w:rFonts w:hint="eastAsia" w:ascii="宋体" w:hAnsi="宋体"/>
          <w:color w:val="auto"/>
          <w:sz w:val="24"/>
          <w:highlight w:val="none"/>
        </w:rPr>
        <w:t xml:space="preserve">拒绝接收在其规定的投标截止时间后递交的任何投标文件。</w:t>
      </w:r>
      <w:r>
        <w:rPr>
          <w:color w:val="auto"/>
        </w:rPr>
      </w:r>
      <w:r/>
    </w:p>
    <w:p>
      <w:pPr>
        <w:pStyle w:val="911"/>
        <w:ind w:firstLine="420"/>
        <w:keepLines/>
        <w:keepNext/>
        <w:pageBreakBefore w:val="0"/>
        <w:spacing w:line="440" w:lineRule="exact"/>
        <w:rPr>
          <w:rFonts w:hint="eastAsia" w:ascii="宋体" w:hAnsi="宋体" w:cs="Arial"/>
          <w:color w:val="auto"/>
          <w:sz w:val="28"/>
          <w:szCs w:val="28"/>
          <w:highlight w:val="none"/>
        </w:rPr>
        <w:outlineLvl w:val="3"/>
      </w:pPr>
      <w:r>
        <w:rPr>
          <w:color w:val="auto"/>
        </w:rPr>
      </w:r>
      <w:bookmarkStart w:id="145" w:name="_Toc6388852"/>
      <w:r>
        <w:rPr>
          <w:color w:val="auto"/>
        </w:rPr>
      </w:r>
      <w:bookmarkStart w:id="146" w:name="_Toc6389300"/>
      <w:r>
        <w:rPr>
          <w:rFonts w:hint="eastAsia" w:ascii="宋体" w:hAnsi="宋体" w:cs="Arial"/>
          <w:color w:val="auto"/>
          <w:sz w:val="28"/>
          <w:szCs w:val="28"/>
          <w:highlight w:val="none"/>
        </w:rPr>
        <w:t xml:space="preserve">21、投标文件的修改和撤回</w:t>
      </w:r>
      <w:bookmarkEnd w:id="145"/>
      <w:r>
        <w:rPr>
          <w:color w:val="auto"/>
        </w:rPr>
      </w:r>
      <w:bookmarkEnd w:id="146"/>
      <w:r>
        <w:rPr>
          <w:color w:val="auto"/>
        </w:rPr>
      </w:r>
      <w:r/>
    </w:p>
    <w:p>
      <w:pPr>
        <w:pStyle w:val="959"/>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21.1 投标人在递交投标文件后，可以修改或撤回其投标文件，但这种修改和撤回，必须在规定的投标截止时间前，具体操作方法见《操作手册》。</w:t>
      </w:r>
      <w:r>
        <w:rPr>
          <w:color w:val="auto"/>
        </w:rPr>
      </w:r>
      <w:r/>
    </w:p>
    <w:p>
      <w:pPr>
        <w:pStyle w:val="959"/>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21.2 投标人撤回电子投标文件，则认为其不再参与本项目投标活动。</w:t>
      </w:r>
      <w:r>
        <w:rPr>
          <w:color w:val="auto"/>
        </w:rPr>
      </w:r>
      <w:r/>
    </w:p>
    <w:p>
      <w:pPr>
        <w:pStyle w:val="959"/>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21.3 在投标截止时间之后，投标人不得对其电子投标文件作任何修改。</w:t>
      </w:r>
      <w:r>
        <w:rPr>
          <w:color w:val="auto"/>
        </w:rPr>
      </w:r>
      <w:r/>
    </w:p>
    <w:p>
      <w:pPr>
        <w:pStyle w:val="959"/>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21.4 在投标截止时间至招标文件中规定的投标有效期满之间的这段时间内，投标人不得撤销其投标。</w:t>
      </w:r>
      <w:r>
        <w:rPr>
          <w:color w:val="auto"/>
        </w:rPr>
      </w:r>
      <w:r/>
    </w:p>
    <w:p>
      <w:pPr>
        <w:pStyle w:val="959"/>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21.5 不论投标人中标与否，投标文件均不退回。</w:t>
      </w:r>
      <w:r>
        <w:rPr>
          <w:color w:val="auto"/>
        </w:rPr>
      </w:r>
      <w:r/>
    </w:p>
    <w:p>
      <w:pPr>
        <w:pStyle w:val="912"/>
        <w:jc w:val="left"/>
        <w:pageBreakBefore w:val="0"/>
        <w:spacing w:line="440" w:lineRule="exact"/>
        <w:rPr>
          <w:rFonts w:hint="eastAsia"/>
          <w:color w:val="auto"/>
          <w:highlight w:val="none"/>
        </w:rPr>
      </w:pPr>
      <w:r>
        <w:rPr>
          <w:color w:val="auto"/>
        </w:rPr>
      </w:r>
      <w:bookmarkEnd w:id="130"/>
      <w:r>
        <w:rPr>
          <w:color w:val="auto"/>
        </w:rPr>
      </w:r>
      <w:bookmarkEnd w:id="131"/>
      <w:r>
        <w:rPr>
          <w:color w:val="auto"/>
        </w:rPr>
      </w:r>
      <w:bookmarkEnd w:id="133"/>
      <w:r>
        <w:rPr>
          <w:color w:val="auto"/>
        </w:rPr>
      </w:r>
      <w:bookmarkEnd w:id="134"/>
      <w:r>
        <w:rPr>
          <w:color w:val="auto"/>
        </w:rPr>
      </w:r>
      <w:bookmarkStart w:id="147" w:name="_Toc38368124"/>
      <w:r>
        <w:rPr>
          <w:color w:val="auto"/>
        </w:rPr>
      </w:r>
      <w:bookmarkStart w:id="148" w:name="_Toc16938545"/>
      <w:r>
        <w:rPr>
          <w:color w:val="auto"/>
        </w:rPr>
      </w:r>
      <w:bookmarkStart w:id="149" w:name="_Toc20823301"/>
      <w:r>
        <w:rPr>
          <w:color w:val="auto"/>
        </w:rPr>
      </w:r>
      <w:bookmarkStart w:id="150" w:name="_Toc26079"/>
      <w:r>
        <w:rPr>
          <w:color w:val="auto"/>
        </w:rPr>
      </w:r>
      <w:bookmarkStart w:id="151" w:name="EB7c302f080cf342679641097daf23b42b"/>
      <w:r>
        <w:rPr>
          <w:color w:val="auto"/>
        </w:rPr>
      </w:r>
      <w:bookmarkEnd w:id="151"/>
      <w:r>
        <w:rPr>
          <w:color w:val="auto"/>
        </w:rPr>
      </w:r>
      <w:bookmarkStart w:id="152" w:name="_Toc35266024"/>
      <w:r>
        <w:rPr>
          <w:color w:val="auto"/>
        </w:rPr>
      </w:r>
      <w:bookmarkStart w:id="153" w:name="_Toc120614218"/>
      <w:r>
        <w:rPr>
          <w:color w:val="auto"/>
        </w:rPr>
      </w:r>
      <w:bookmarkStart w:id="154" w:name="_Toc54615243"/>
      <w:r>
        <w:rPr>
          <w:color w:val="auto"/>
        </w:rPr>
      </w:r>
      <w:bookmarkStart w:id="155" w:name="_Toc513029229"/>
      <w:r>
        <w:rPr>
          <w:rStyle w:val="951"/>
          <w:rFonts w:hint="eastAsia" w:ascii="宋体" w:hAnsi="宋体" w:eastAsia="宋体"/>
          <w:b w:val="0"/>
          <w:bCs w:val="0"/>
          <w:color w:val="auto"/>
          <w:highlight w:val="none"/>
        </w:rPr>
        <w:t xml:space="preserve">五、开标与评标</w:t>
      </w:r>
      <w:bookmarkEnd w:id="147"/>
      <w:r>
        <w:rPr>
          <w:color w:val="auto"/>
        </w:rPr>
      </w:r>
      <w:bookmarkEnd w:id="148"/>
      <w:r>
        <w:rPr>
          <w:color w:val="auto"/>
        </w:rPr>
      </w:r>
      <w:bookmarkEnd w:id="149"/>
      <w:r>
        <w:rPr>
          <w:color w:val="auto"/>
        </w:rPr>
      </w:r>
      <w:bookmarkEnd w:id="150"/>
      <w:r>
        <w:rPr>
          <w:color w:val="auto"/>
        </w:rPr>
      </w:r>
      <w:bookmarkEnd w:id="152"/>
      <w:r>
        <w:rPr>
          <w:color w:val="auto"/>
        </w:rPr>
      </w:r>
      <w:bookmarkEnd w:id="153"/>
      <w:r>
        <w:rPr>
          <w:color w:val="auto"/>
        </w:rPr>
      </w:r>
      <w:bookmarkEnd w:id="154"/>
      <w:r>
        <w:rPr>
          <w:color w:val="auto"/>
        </w:rPr>
      </w:r>
      <w:bookmarkEnd w:id="155"/>
      <w:r>
        <w:rPr>
          <w:color w:val="auto"/>
        </w:rPr>
      </w:r>
      <w:r/>
    </w:p>
    <w:p>
      <w:pPr>
        <w:pStyle w:val="911"/>
        <w:ind w:firstLine="420"/>
        <w:keepLines/>
        <w:keepNext/>
        <w:pageBreakBefore w:val="0"/>
        <w:spacing w:line="440" w:lineRule="exact"/>
        <w:rPr>
          <w:rFonts w:hint="eastAsia" w:ascii="宋体" w:hAnsi="宋体" w:cs="Arial"/>
          <w:color w:val="auto"/>
          <w:sz w:val="28"/>
          <w:szCs w:val="28"/>
          <w:highlight w:val="none"/>
        </w:rPr>
        <w:outlineLvl w:val="3"/>
      </w:pPr>
      <w:r>
        <w:rPr>
          <w:color w:val="auto"/>
        </w:rPr>
      </w:r>
      <w:bookmarkStart w:id="156" w:name="_Toc513029230"/>
      <w:r>
        <w:rPr>
          <w:color w:val="auto"/>
        </w:rPr>
      </w:r>
      <w:bookmarkStart w:id="157" w:name="_Toc16938546"/>
      <w:r>
        <w:rPr>
          <w:color w:val="auto"/>
        </w:rPr>
      </w:r>
      <w:bookmarkStart w:id="158" w:name="_Toc20823302"/>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2、开标</w:t>
      </w:r>
      <w:bookmarkEnd w:id="156"/>
      <w:r>
        <w:rPr>
          <w:color w:val="auto"/>
        </w:rPr>
      </w:r>
      <w:bookmarkEnd w:id="157"/>
      <w:r>
        <w:rPr>
          <w:color w:val="auto"/>
        </w:rPr>
      </w:r>
      <w:bookmarkEnd w:id="158"/>
      <w:r>
        <w:rPr>
          <w:color w:val="auto"/>
        </w:rPr>
      </w:r>
      <w:r/>
    </w:p>
    <w:p>
      <w:pPr>
        <w:pStyle w:val="960"/>
        <w:ind w:firstLine="500"/>
        <w:pageBreakBefore w:val="0"/>
        <w:spacing w:line="440" w:lineRule="exact"/>
        <w:rPr>
          <w:rStyle w:val="913"/>
          <w:rFonts w:hint="eastAsia" w:ascii="宋体" w:hAnsi="宋体" w:eastAsia="宋体" w:cs="宋体"/>
          <w:b w:val="0"/>
          <w:color w:val="auto"/>
          <w:spacing w:val="7"/>
          <w:sz w:val="24"/>
          <w:highlight w:val="none"/>
        </w:rPr>
        <w:outlineLvl w:val="9"/>
      </w:pPr>
      <w:r>
        <w:rPr>
          <w:rStyle w:val="913"/>
          <w:rFonts w:hint="eastAsia" w:ascii="宋体" w:hAnsi="宋体" w:eastAsia="宋体" w:cs="宋体"/>
          <w:b w:val="0"/>
          <w:color w:val="auto"/>
          <w:spacing w:val="7"/>
          <w:sz w:val="24"/>
          <w:highlight w:val="none"/>
        </w:rPr>
        <w:t xml:space="preserve">2</w:t>
      </w:r>
      <w:r>
        <w:rPr>
          <w:rStyle w:val="913"/>
          <w:rFonts w:hint="eastAsia" w:ascii="宋体" w:hAnsi="宋体" w:eastAsia="宋体" w:cs="宋体"/>
          <w:b w:val="0"/>
          <w:color w:val="auto"/>
          <w:spacing w:val="7"/>
          <w:sz w:val="24"/>
          <w:highlight w:val="none"/>
          <w:lang w:val="en-US" w:eastAsia="zh-CN"/>
        </w:rPr>
        <w:t xml:space="preserve">2</w:t>
      </w:r>
      <w:r>
        <w:rPr>
          <w:rStyle w:val="913"/>
          <w:rFonts w:hint="eastAsia" w:ascii="宋体" w:hAnsi="宋体" w:eastAsia="宋体" w:cs="宋体"/>
          <w:b w:val="0"/>
          <w:color w:val="auto"/>
          <w:spacing w:val="7"/>
          <w:sz w:val="24"/>
          <w:highlight w:val="none"/>
        </w:rPr>
        <w:t xml:space="preserve">.1采购代理机构按采购公告规定的时间、地点主持不见面开标活动。开标仪式由采购代理机构主持。</w:t>
      </w:r>
      <w:r>
        <w:rPr>
          <w:color w:val="auto"/>
        </w:rPr>
      </w:r>
      <w:r/>
    </w:p>
    <w:p>
      <w:pPr>
        <w:pStyle w:val="960"/>
        <w:ind w:firstLine="500"/>
        <w:pageBreakBefore w:val="0"/>
        <w:spacing w:line="440" w:lineRule="exact"/>
        <w:rPr>
          <w:rStyle w:val="913"/>
          <w:rFonts w:hint="eastAsia" w:ascii="宋体" w:hAnsi="宋体" w:eastAsia="宋体" w:cs="宋体"/>
          <w:b w:val="0"/>
          <w:color w:val="auto"/>
          <w:spacing w:val="7"/>
          <w:sz w:val="24"/>
          <w:highlight w:val="none"/>
        </w:rPr>
        <w:outlineLvl w:val="9"/>
      </w:pPr>
      <w:r>
        <w:rPr>
          <w:rStyle w:val="913"/>
          <w:rFonts w:hint="eastAsia" w:ascii="宋体" w:hAnsi="宋体" w:eastAsia="宋体" w:cs="宋体"/>
          <w:b w:val="0"/>
          <w:color w:val="auto"/>
          <w:spacing w:val="7"/>
          <w:sz w:val="24"/>
          <w:highlight w:val="none"/>
        </w:rPr>
        <w:t xml:space="preserve">2</w:t>
      </w:r>
      <w:r>
        <w:rPr>
          <w:rStyle w:val="913"/>
          <w:rFonts w:hint="eastAsia" w:ascii="宋体" w:hAnsi="宋体" w:eastAsia="宋体" w:cs="宋体"/>
          <w:b w:val="0"/>
          <w:color w:val="auto"/>
          <w:spacing w:val="7"/>
          <w:sz w:val="24"/>
          <w:highlight w:val="none"/>
          <w:lang w:val="en-US" w:eastAsia="zh-CN"/>
        </w:rPr>
        <w:t xml:space="preserve">2</w:t>
      </w:r>
      <w:r>
        <w:rPr>
          <w:rStyle w:val="913"/>
          <w:rFonts w:hint="eastAsia" w:ascii="宋体" w:hAnsi="宋体" w:eastAsia="宋体" w:cs="宋体"/>
          <w:b w:val="0"/>
          <w:color w:val="auto"/>
          <w:spacing w:val="7"/>
          <w:sz w:val="24"/>
          <w:highlight w:val="none"/>
        </w:rPr>
        <w:t xml:space="preserve">.2参加开标的投标法定代表人或授权代理人须在项目开标前登录苏采云不见面开标系统，进入网上不见面开标大厅，做好相关准备工作。</w:t>
      </w:r>
      <w:r>
        <w:rPr>
          <w:color w:val="auto"/>
        </w:rPr>
      </w:r>
      <w:r/>
    </w:p>
    <w:p>
      <w:pPr>
        <w:pStyle w:val="960"/>
        <w:ind w:firstLine="500"/>
        <w:keepLines w:val="0"/>
        <w:keepNext w:val="0"/>
        <w:pageBreakBefore w:val="0"/>
        <w:spacing w:line="440" w:lineRule="exact"/>
        <w:rPr>
          <w:rStyle w:val="913"/>
          <w:rFonts w:hint="eastAsia" w:ascii="宋体" w:hAnsi="宋体" w:eastAsia="宋体" w:cs="宋体"/>
          <w:b w:val="0"/>
          <w:color w:val="auto"/>
          <w:spacing w:val="7"/>
          <w:sz w:val="24"/>
          <w:highlight w:val="none"/>
        </w:rPr>
        <w:outlineLvl w:val="9"/>
      </w:pPr>
      <w:r>
        <w:rPr>
          <w:rStyle w:val="913"/>
          <w:rFonts w:hint="eastAsia" w:ascii="宋体" w:hAnsi="宋体" w:eastAsia="宋体" w:cs="宋体"/>
          <w:b w:val="0"/>
          <w:color w:val="auto"/>
          <w:spacing w:val="7"/>
          <w:sz w:val="24"/>
          <w:highlight w:val="none"/>
        </w:rPr>
        <w:t xml:space="preserve">2</w:t>
      </w:r>
      <w:r>
        <w:rPr>
          <w:rStyle w:val="913"/>
          <w:rFonts w:hint="eastAsia" w:ascii="宋体" w:hAnsi="宋体" w:eastAsia="宋体" w:cs="宋体"/>
          <w:b w:val="0"/>
          <w:color w:val="auto"/>
          <w:spacing w:val="7"/>
          <w:sz w:val="24"/>
          <w:highlight w:val="none"/>
          <w:lang w:val="en-US" w:eastAsia="zh-CN"/>
        </w:rPr>
        <w:t xml:space="preserve">2</w:t>
      </w:r>
      <w:r>
        <w:rPr>
          <w:rStyle w:val="913"/>
          <w:rFonts w:hint="eastAsia" w:ascii="宋体" w:hAnsi="宋体" w:eastAsia="宋体" w:cs="宋体"/>
          <w:b w:val="0"/>
          <w:color w:val="auto"/>
          <w:spacing w:val="7"/>
          <w:sz w:val="24"/>
          <w:highlight w:val="none"/>
        </w:rPr>
        <w:t xml:space="preserve">.3本项目开标后在规定的解密时间内，投标人须自行登录网上开标大厅解密投标文件，解密时间为30分钟，因自身原因导致解密失败的，由投标人自行承担相关责任。</w:t>
      </w:r>
      <w:r>
        <w:rPr>
          <w:color w:val="auto"/>
        </w:rPr>
      </w:r>
      <w:r/>
    </w:p>
    <w:p>
      <w:pPr>
        <w:pStyle w:val="960"/>
        <w:ind w:firstLine="500"/>
        <w:keepLines w:val="0"/>
        <w:keepNext w:val="0"/>
        <w:pageBreakBefore w:val="0"/>
        <w:spacing w:line="440" w:lineRule="exact"/>
        <w:rPr>
          <w:rStyle w:val="913"/>
          <w:rFonts w:hint="eastAsia" w:ascii="宋体" w:hAnsi="宋体" w:eastAsia="宋体" w:cs="宋体"/>
          <w:b w:val="0"/>
          <w:color w:val="auto"/>
          <w:spacing w:val="7"/>
          <w:sz w:val="24"/>
          <w:highlight w:val="none"/>
        </w:rPr>
        <w:outlineLvl w:val="9"/>
      </w:pPr>
      <w:r>
        <w:rPr>
          <w:rStyle w:val="913"/>
          <w:rFonts w:hint="eastAsia" w:ascii="宋体" w:hAnsi="宋体" w:eastAsia="宋体" w:cs="宋体"/>
          <w:b w:val="0"/>
          <w:color w:val="auto"/>
          <w:spacing w:val="7"/>
          <w:sz w:val="24"/>
          <w:highlight w:val="none"/>
        </w:rPr>
        <w:t xml:space="preserve">2</w:t>
      </w:r>
      <w:r>
        <w:rPr>
          <w:rStyle w:val="913"/>
          <w:rFonts w:hint="eastAsia" w:ascii="宋体" w:hAnsi="宋体" w:eastAsia="宋体" w:cs="宋体"/>
          <w:b w:val="0"/>
          <w:color w:val="auto"/>
          <w:spacing w:val="7"/>
          <w:sz w:val="24"/>
          <w:highlight w:val="none"/>
          <w:lang w:val="en-US" w:eastAsia="zh-CN"/>
        </w:rPr>
        <w:t xml:space="preserve">2</w:t>
      </w:r>
      <w:r>
        <w:rPr>
          <w:rStyle w:val="913"/>
          <w:rFonts w:hint="eastAsia" w:ascii="宋体" w:hAnsi="宋体" w:eastAsia="宋体" w:cs="宋体"/>
          <w:b w:val="0"/>
          <w:color w:val="auto"/>
          <w:spacing w:val="7"/>
          <w:sz w:val="24"/>
          <w:highlight w:val="none"/>
        </w:rPr>
        <w:t xml:space="preserve">.4采购代理机构在开标仪式上，将公布投标人的名称、投标价格，并将作唱标记录。</w:t>
      </w:r>
      <w:r>
        <w:rPr>
          <w:color w:val="auto"/>
        </w:rPr>
      </w:r>
      <w:r/>
    </w:p>
    <w:p>
      <w:pPr>
        <w:pStyle w:val="911"/>
        <w:ind w:firstLine="508"/>
        <w:keepLines w:val="0"/>
        <w:keepNext w:val="0"/>
        <w:pageBreakBefore w:val="0"/>
        <w:spacing w:line="440" w:lineRule="exact"/>
        <w:rPr>
          <w:rFonts w:hint="eastAsia" w:ascii="宋体" w:hAnsi="宋体" w:eastAsia="宋体"/>
          <w:color w:val="auto"/>
          <w:sz w:val="24"/>
          <w:highlight w:val="none"/>
        </w:rPr>
      </w:pPr>
      <w:r>
        <w:rPr>
          <w:rStyle w:val="913"/>
          <w:rFonts w:hint="eastAsia" w:ascii="宋体" w:hAnsi="宋体" w:eastAsia="宋体" w:cs="宋体"/>
          <w:b w:val="0"/>
          <w:color w:val="auto"/>
          <w:spacing w:val="7"/>
          <w:sz w:val="24"/>
          <w:highlight w:val="none"/>
        </w:rPr>
        <w:t xml:space="preserve">2</w:t>
      </w:r>
      <w:r>
        <w:rPr>
          <w:rStyle w:val="913"/>
          <w:rFonts w:hint="eastAsia" w:ascii="宋体" w:hAnsi="宋体" w:eastAsia="宋体" w:cs="宋体"/>
          <w:b w:val="0"/>
          <w:color w:val="auto"/>
          <w:spacing w:val="7"/>
          <w:sz w:val="24"/>
          <w:highlight w:val="none"/>
          <w:lang w:val="en-US" w:eastAsia="zh-CN"/>
        </w:rPr>
        <w:t xml:space="preserve">2</w:t>
      </w:r>
      <w:r>
        <w:rPr>
          <w:rStyle w:val="913"/>
          <w:rFonts w:hint="eastAsia" w:ascii="宋体" w:hAnsi="宋体" w:eastAsia="宋体" w:cs="宋体"/>
          <w:b w:val="0"/>
          <w:color w:val="auto"/>
          <w:spacing w:val="7"/>
          <w:sz w:val="24"/>
          <w:highlight w:val="none"/>
        </w:rPr>
        <w:t xml:space="preserve">.5投标人代表对开标过程和开标记录有疑义，以及认为采购人、采购代理机构相关工作人员有需要回避的情形的，应通过不见面开标大厅提出询问或者回避申请。采购人、采购代理机构对</w:t>
      </w:r>
      <w:r>
        <w:rPr>
          <w:rFonts w:hint="eastAsia" w:ascii="宋体" w:hAnsi="宋体" w:eastAsia="宋体"/>
          <w:color w:val="auto"/>
          <w:sz w:val="24"/>
          <w:highlight w:val="none"/>
        </w:rPr>
        <w:t xml:space="preserve">投标人代表提出的询问或者回避申请应当及时处理。</w:t>
      </w:r>
      <w:bookmarkStart w:id="159" w:name="_Toc20823303"/>
      <w:r>
        <w:rPr>
          <w:color w:val="auto"/>
        </w:rPr>
      </w:r>
      <w:bookmarkStart w:id="160" w:name="EB45a41a7a147945c0bb92535f2d40058d"/>
      <w:r>
        <w:rPr>
          <w:color w:val="auto"/>
        </w:rPr>
      </w:r>
      <w:bookmarkEnd w:id="160"/>
      <w:r>
        <w:rPr>
          <w:color w:val="auto"/>
        </w:rPr>
      </w:r>
      <w:bookmarkStart w:id="161" w:name="_Toc16938547"/>
      <w:r>
        <w:rPr>
          <w:color w:val="auto"/>
        </w:rPr>
      </w:r>
      <w:bookmarkStart w:id="162" w:name="_Toc513029231"/>
      <w:r>
        <w:rPr>
          <w:color w:val="auto"/>
        </w:rPr>
      </w:r>
      <w:r/>
    </w:p>
    <w:p>
      <w:pPr>
        <w:pStyle w:val="911"/>
        <w:ind w:firstLine="560"/>
        <w:pageBreakBefore w:val="0"/>
        <w:spacing w:line="440" w:lineRule="exact"/>
        <w:rPr>
          <w:rFonts w:hint="eastAsia" w:ascii="宋体" w:hAnsi="宋体" w:cs="Arial"/>
          <w:color w:val="auto"/>
          <w:sz w:val="28"/>
          <w:szCs w:val="28"/>
          <w:highlight w:val="none"/>
        </w:rPr>
      </w:pPr>
      <w:r>
        <w:rPr>
          <w:rFonts w:hint="eastAsia" w:ascii="宋体" w:hAnsi="宋体" w:eastAsia="宋体"/>
          <w:color w:val="auto"/>
          <w:sz w:val="28"/>
          <w:szCs w:val="28"/>
          <w:highlight w:val="none"/>
        </w:rPr>
        <w:t xml:space="preserve">23、评标委</w:t>
      </w:r>
      <w:r>
        <w:rPr>
          <w:rFonts w:hint="eastAsia" w:ascii="宋体" w:hAnsi="宋体" w:cs="Arial"/>
          <w:color w:val="auto"/>
          <w:sz w:val="28"/>
          <w:szCs w:val="28"/>
          <w:highlight w:val="none"/>
        </w:rPr>
        <w:t xml:space="preserve">员会</w:t>
      </w:r>
      <w:r>
        <w:rPr>
          <w:color w:val="auto"/>
        </w:rPr>
      </w:r>
      <w:r/>
    </w:p>
    <w:p>
      <w:pPr>
        <w:pStyle w:val="911"/>
        <w:pageBreakBefore w:val="0"/>
        <w:spacing w:line="440" w:lineRule="exact"/>
        <w:rPr>
          <w:rFonts w:hint="eastAsia" w:ascii="宋体" w:hAnsi="宋体"/>
          <w:color w:val="auto"/>
          <w:sz w:val="24"/>
          <w:highlight w:val="none"/>
        </w:rPr>
      </w:pPr>
      <w:r>
        <w:rPr>
          <w:rFonts w:hint="eastAsia" w:ascii="宋体" w:hAnsi="宋体"/>
          <w:b/>
          <w:bCs/>
          <w:color w:val="auto"/>
          <w:sz w:val="24"/>
          <w:highlight w:val="none"/>
        </w:rPr>
        <w:t xml:space="preserve">  </w:t>
      </w:r>
      <w:r>
        <w:rPr>
          <w:rFonts w:hint="eastAsia" w:ascii="宋体" w:hAnsi="宋体"/>
          <w:color w:val="auto"/>
          <w:sz w:val="24"/>
          <w:highlight w:val="none"/>
        </w:rPr>
        <w:t xml:space="preserve">  2</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.1评标委员会由采购代理机构依法组建，负责本项目的评标事务。</w:t>
      </w:r>
      <w:r>
        <w:rPr>
          <w:color w:val="auto"/>
        </w:rPr>
      </w:r>
      <w:r/>
    </w:p>
    <w:p>
      <w:pPr>
        <w:pStyle w:val="911"/>
        <w:ind w:firstLine="480"/>
        <w:pageBreakBefore w:val="0"/>
        <w:spacing w:line="44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.2评标委员会独立履行下列职责：</w:t>
      </w:r>
      <w:r>
        <w:rPr>
          <w:color w:val="auto"/>
        </w:rPr>
      </w:r>
      <w:r/>
    </w:p>
    <w:p>
      <w:pPr>
        <w:pStyle w:val="911"/>
        <w:ind w:firstLine="480"/>
        <w:pageBreakBefore w:val="0"/>
        <w:spacing w:line="44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.2.1审查投标文件是否符合招标文件的要求，并作出评价；</w:t>
      </w:r>
      <w:r>
        <w:rPr>
          <w:color w:val="auto"/>
        </w:rPr>
      </w:r>
      <w:r/>
    </w:p>
    <w:p>
      <w:pPr>
        <w:pStyle w:val="911"/>
        <w:ind w:firstLine="480"/>
        <w:pageBreakBefore w:val="0"/>
        <w:spacing w:line="44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.2.2可以要求投标供应商对投标文件有关事项作出解释或澄清；</w:t>
      </w:r>
      <w:r>
        <w:rPr>
          <w:color w:val="auto"/>
        </w:rPr>
      </w:r>
      <w:r/>
    </w:p>
    <w:p>
      <w:pPr>
        <w:pStyle w:val="911"/>
        <w:ind w:firstLine="480"/>
        <w:pageBreakBefore w:val="0"/>
        <w:spacing w:line="44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.2.3推荐中标候选供应商名单，或者受采购人委托按照事先确定的办法直接确定中标供应商；</w:t>
      </w:r>
      <w:r>
        <w:rPr>
          <w:color w:val="auto"/>
        </w:rPr>
      </w:r>
      <w:r/>
    </w:p>
    <w:p>
      <w:pPr>
        <w:pStyle w:val="911"/>
        <w:ind w:firstLine="480"/>
        <w:pageBreakBefore w:val="0"/>
        <w:spacing w:line="44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.2.4向采购代理机构或者有关部门报告非法干预评标工作的行为。</w:t>
      </w:r>
      <w:r>
        <w:rPr>
          <w:color w:val="auto"/>
        </w:rPr>
      </w:r>
      <w:r/>
    </w:p>
    <w:p>
      <w:pPr>
        <w:pStyle w:val="911"/>
        <w:ind w:firstLine="480"/>
        <w:pageBreakBefore w:val="0"/>
        <w:spacing w:line="44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.3评标委员会成员应当履行下列义务：</w:t>
      </w:r>
      <w:r>
        <w:rPr>
          <w:color w:val="auto"/>
        </w:rPr>
      </w:r>
      <w:r/>
    </w:p>
    <w:p>
      <w:pPr>
        <w:pStyle w:val="911"/>
        <w:ind w:firstLine="480"/>
        <w:pageBreakBefore w:val="0"/>
        <w:spacing w:line="44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.3.1遵纪守法，客观、公正、廉洁地履行职责；</w:t>
      </w:r>
      <w:r>
        <w:rPr>
          <w:color w:val="auto"/>
        </w:rPr>
      </w:r>
      <w:r/>
    </w:p>
    <w:p>
      <w:pPr>
        <w:pStyle w:val="911"/>
        <w:ind w:firstLine="480"/>
        <w:pageBreakBefore w:val="0"/>
        <w:spacing w:line="44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.3.2按照招标文件规定的评标办法和评标标准进行评标，对评审意见承担个人责任；</w:t>
      </w:r>
      <w:r>
        <w:rPr>
          <w:color w:val="auto"/>
        </w:rPr>
      </w:r>
      <w:r/>
    </w:p>
    <w:p>
      <w:pPr>
        <w:pStyle w:val="911"/>
        <w:ind w:firstLine="480"/>
        <w:pageBreakBefore w:val="0"/>
        <w:spacing w:line="44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.3.3对评标过程和结果，以及投标人的商业秘密保密；</w:t>
      </w:r>
      <w:r>
        <w:rPr>
          <w:color w:val="auto"/>
        </w:rPr>
      </w:r>
      <w:r/>
    </w:p>
    <w:p>
      <w:pPr>
        <w:pStyle w:val="911"/>
        <w:ind w:firstLine="480"/>
        <w:pageBreakBefore w:val="0"/>
        <w:spacing w:line="44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.3.4参与评标报告的起草；</w:t>
      </w:r>
      <w:r>
        <w:rPr>
          <w:color w:val="auto"/>
        </w:rPr>
      </w:r>
      <w:r/>
    </w:p>
    <w:p>
      <w:pPr>
        <w:pStyle w:val="911"/>
        <w:ind w:firstLine="480"/>
        <w:pageBreakBefore w:val="0"/>
        <w:spacing w:line="44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.3.5配合采购代理机构答复投标供应商提出的质疑；</w:t>
      </w:r>
      <w:r>
        <w:rPr>
          <w:color w:val="auto"/>
        </w:rPr>
      </w:r>
      <w:r/>
    </w:p>
    <w:p>
      <w:pPr>
        <w:pStyle w:val="911"/>
        <w:ind w:firstLine="480"/>
        <w:pageBreakBefore w:val="0"/>
        <w:spacing w:line="44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.3.6配合相关部门的投诉处理工作。</w:t>
      </w:r>
      <w:r>
        <w:rPr>
          <w:color w:val="auto"/>
        </w:rPr>
      </w:r>
      <w:r/>
    </w:p>
    <w:p>
      <w:pPr>
        <w:pStyle w:val="911"/>
        <w:ind w:firstLine="420"/>
        <w:keepLines/>
        <w:keepNext/>
        <w:pageBreakBefore w:val="0"/>
        <w:spacing w:line="440" w:lineRule="exact"/>
        <w:rPr>
          <w:rFonts w:hint="eastAsia" w:ascii="宋体" w:hAnsi="宋体" w:cs="Arial"/>
          <w:color w:val="auto"/>
          <w:sz w:val="28"/>
          <w:szCs w:val="28"/>
          <w:highlight w:val="none"/>
        </w:rPr>
        <w:outlineLvl w:val="3"/>
      </w:pPr>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4</w:t>
      </w:r>
      <w:r>
        <w:rPr>
          <w:rFonts w:ascii="宋体" w:hAnsi="宋体" w:cs="Arial"/>
          <w:color w:val="auto"/>
          <w:sz w:val="28"/>
          <w:szCs w:val="28"/>
          <w:highlight w:val="none"/>
        </w:rPr>
        <w:t xml:space="preserve">．</w:t>
      </w:r>
      <w:r>
        <w:rPr>
          <w:rFonts w:hint="eastAsia" w:ascii="宋体" w:hAnsi="宋体" w:cs="Arial"/>
          <w:color w:val="auto"/>
          <w:sz w:val="28"/>
          <w:szCs w:val="28"/>
          <w:highlight w:val="none"/>
        </w:rPr>
        <w:t xml:space="preserve">评标过程的保密</w:t>
      </w:r>
      <w:bookmarkEnd w:id="159"/>
      <w:r>
        <w:rPr>
          <w:color w:val="auto"/>
        </w:rPr>
      </w:r>
      <w:bookmarkEnd w:id="161"/>
      <w:r>
        <w:rPr>
          <w:color w:val="auto"/>
        </w:rPr>
      </w:r>
      <w:bookmarkEnd w:id="162"/>
      <w:r>
        <w:rPr>
          <w:rFonts w:hint="eastAsia" w:ascii="宋体" w:hAnsi="宋体" w:cs="Arial"/>
          <w:color w:val="auto"/>
          <w:sz w:val="28"/>
          <w:szCs w:val="28"/>
          <w:highlight w:val="none"/>
        </w:rPr>
        <w:t xml:space="preserve">与公正</w:t>
      </w:r>
      <w:r>
        <w:rPr>
          <w:color w:val="auto"/>
        </w:rPr>
      </w:r>
      <w:r/>
    </w:p>
    <w:p>
      <w:pPr>
        <w:pStyle w:val="911"/>
        <w:ind w:firstLine="480"/>
        <w:pageBreakBefore w:val="0"/>
        <w:spacing w:line="440" w:lineRule="exact"/>
        <w:rPr>
          <w:rFonts w:hint="eastAsia" w:ascii="宋体" w:hAnsi="宋体"/>
          <w:bCs/>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4.1</w:t>
      </w:r>
      <w:r>
        <w:rPr>
          <w:rFonts w:hint="eastAsia" w:ascii="宋体" w:hAnsi="宋体"/>
          <w:bCs/>
          <w:color w:val="auto"/>
          <w:sz w:val="24"/>
          <w:highlight w:val="none"/>
        </w:rPr>
        <w:t xml:space="preserve">公开开标后，直至向中标的投标人授予合同时止，凡是与审查、澄清、评价和比较投标的有关资料以及授标建议等，均不得向投标人或与评标无关的其他人员透露。</w:t>
      </w:r>
      <w:r>
        <w:rPr>
          <w:color w:val="auto"/>
        </w:rPr>
      </w:r>
      <w:r/>
    </w:p>
    <w:p>
      <w:pPr>
        <w:pStyle w:val="911"/>
        <w:ind w:firstLine="480"/>
        <w:pageBreakBefore w:val="0"/>
        <w:spacing w:line="440" w:lineRule="exact"/>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4.2在评标过程中，如果投标人试图向</w:t>
      </w:r>
      <w:bookmarkStart w:id="163" w:name="EB8495c46e8cb146ec80ae8c0f7928221c"/>
      <w:r>
        <w:rPr>
          <w:rFonts w:hint="eastAsia" w:ascii="宋体" w:hAnsi="宋体"/>
          <w:color w:val="auto"/>
          <w:sz w:val="24"/>
          <w:highlight w:val="none"/>
        </w:rPr>
        <w:t xml:space="preserve">张家港市金浩源招投标代理有限公司</w:t>
      </w:r>
      <w:bookmarkEnd w:id="163"/>
      <w:r>
        <w:rPr>
          <w:rFonts w:hint="eastAsia" w:ascii="宋体" w:hAnsi="宋体"/>
          <w:color w:val="auto"/>
          <w:sz w:val="24"/>
          <w:highlight w:val="none"/>
        </w:rPr>
        <w:t xml:space="preserve">和参与评标的人员施加任何影响，都将会导致其投标被拒绝。</w:t>
      </w:r>
      <w:r>
        <w:rPr>
          <w:color w:val="auto"/>
        </w:rPr>
      </w:r>
      <w:r/>
    </w:p>
    <w:p>
      <w:pPr>
        <w:pStyle w:val="911"/>
        <w:ind w:firstLine="420"/>
        <w:keepLines/>
        <w:keepNext/>
        <w:pageBreakBefore w:val="0"/>
        <w:spacing w:line="440" w:lineRule="exact"/>
        <w:rPr>
          <w:rFonts w:hint="eastAsia" w:ascii="宋体" w:hAnsi="宋体" w:cs="Arial"/>
          <w:color w:val="auto"/>
          <w:sz w:val="28"/>
          <w:szCs w:val="28"/>
          <w:highlight w:val="none"/>
        </w:rPr>
        <w:outlineLvl w:val="3"/>
      </w:pPr>
      <w:r>
        <w:rPr>
          <w:color w:val="auto"/>
        </w:rPr>
      </w:r>
      <w:bookmarkStart w:id="164" w:name="_Toc513029232"/>
      <w:r>
        <w:rPr>
          <w:color w:val="auto"/>
        </w:rPr>
      </w:r>
      <w:bookmarkStart w:id="165" w:name="_Toc20823304"/>
      <w:r>
        <w:rPr>
          <w:color w:val="auto"/>
        </w:rPr>
      </w:r>
      <w:bookmarkStart w:id="166" w:name="_Toc16938548"/>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5．投标的澄清</w:t>
      </w:r>
      <w:bookmarkEnd w:id="164"/>
      <w:r>
        <w:rPr>
          <w:color w:val="auto"/>
        </w:rPr>
      </w:r>
      <w:bookmarkEnd w:id="165"/>
      <w:r>
        <w:rPr>
          <w:color w:val="auto"/>
        </w:rPr>
      </w:r>
      <w:bookmarkEnd w:id="166"/>
      <w:r>
        <w:rPr>
          <w:color w:val="auto"/>
        </w:rPr>
      </w:r>
      <w:r/>
    </w:p>
    <w:p>
      <w:pPr>
        <w:pStyle w:val="911"/>
        <w:ind w:firstLine="480"/>
        <w:keepLines w:val="0"/>
        <w:keepNext w:val="0"/>
        <w:pageBreakBefore w:val="0"/>
        <w:spacing w:line="440" w:lineRule="exact"/>
        <w:rPr>
          <w:rFonts w:hint="eastAsia"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5.1评标期间，为有助于对投标文件的审查、评价和比较，评委会有权要求投标人对其投标文件进行澄清，但并非对每个投标人都作澄清要求。</w:t>
      </w:r>
      <w:r>
        <w:rPr>
          <w:color w:val="auto"/>
        </w:rPr>
      </w:r>
      <w:r/>
    </w:p>
    <w:p>
      <w:pPr>
        <w:pStyle w:val="961"/>
        <w:ind w:firstLine="500"/>
        <w:keepLines w:val="0"/>
        <w:keepNext w:val="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rPr>
          <w:color w:val="auto"/>
        </w:rPr>
      </w:r>
      <w:r/>
    </w:p>
    <w:p>
      <w:pPr>
        <w:pStyle w:val="911"/>
        <w:pageBreakBefore w:val="0"/>
        <w:spacing w:line="440" w:lineRule="exact"/>
        <w:rPr>
          <w:rFonts w:hint="eastAsia" w:ascii="宋体" w:hAnsi="宋体"/>
          <w:color w:val="auto"/>
          <w:sz w:val="24"/>
          <w:highlight w:val="none"/>
        </w:rPr>
      </w:pPr>
      <w:r>
        <w:rPr>
          <w:rFonts w:hint="eastAsia" w:ascii="宋体" w:hAnsi="宋体"/>
          <w:color w:val="auto"/>
          <w:sz w:val="24"/>
          <w:highlight w:val="none"/>
        </w:rPr>
        <w:t xml:space="preserve">   </w:t>
      </w:r>
      <w:bookmarkStart w:id="167" w:name="EB3164982f155e42e086cd4685f4d2aafa"/>
      <w:r>
        <w:rPr>
          <w:color w:val="auto"/>
        </w:rPr>
      </w:r>
      <w:bookmarkEnd w:id="167"/>
      <w:r>
        <w:rPr>
          <w:rFonts w:hint="eastAsia" w:ascii="宋体" w:hAnsi="宋体"/>
          <w:color w:val="auto"/>
          <w:sz w:val="24"/>
          <w:highlight w:val="none"/>
        </w:rPr>
        <w:t xml:space="preserve"> </w:t>
      </w:r>
      <w:r>
        <w:rPr>
          <w:rFonts w:ascii="宋体" w:hAnsi="宋体"/>
          <w:color w:val="auto"/>
          <w:sz w:val="24"/>
          <w:highlight w:val="none"/>
        </w:rPr>
        <w:t xml:space="preserve">2</w:t>
      </w:r>
      <w:r>
        <w:rPr>
          <w:rFonts w:hint="eastAsia" w:ascii="宋体" w:hAnsi="宋体"/>
          <w:color w:val="auto"/>
          <w:sz w:val="24"/>
          <w:highlight w:val="none"/>
        </w:rPr>
        <w:t xml:space="preserve">5.3接到评委会澄清要求的投标人如未按规定做出澄清，其风险由投标人自行承担。</w:t>
      </w:r>
      <w:r>
        <w:rPr>
          <w:color w:val="auto"/>
        </w:rPr>
      </w:r>
      <w:r/>
    </w:p>
    <w:p>
      <w:pPr>
        <w:pStyle w:val="911"/>
        <w:ind w:firstLine="420"/>
        <w:keepLines/>
        <w:keepNext/>
        <w:pageBreakBefore w:val="0"/>
        <w:spacing w:line="440" w:lineRule="exact"/>
        <w:rPr>
          <w:rFonts w:ascii="宋体" w:hAnsi="宋体" w:cs="Arial"/>
          <w:b/>
          <w:bCs/>
          <w:color w:val="auto"/>
          <w:sz w:val="28"/>
          <w:szCs w:val="28"/>
          <w:highlight w:val="none"/>
        </w:rPr>
        <w:outlineLvl w:val="3"/>
      </w:pPr>
      <w:r>
        <w:rPr>
          <w:color w:val="auto"/>
        </w:rPr>
      </w:r>
      <w:bookmarkStart w:id="168" w:name="_Toc20823305"/>
      <w:r>
        <w:rPr>
          <w:color w:val="auto"/>
        </w:rPr>
      </w:r>
      <w:bookmarkStart w:id="169" w:name="_Toc16938549"/>
      <w:r>
        <w:rPr>
          <w:color w:val="auto"/>
        </w:rPr>
      </w:r>
      <w:bookmarkStart w:id="170" w:name="_Toc513029233"/>
      <w:r>
        <w:rPr>
          <w:rFonts w:hint="eastAsia" w:ascii="宋体" w:hAnsi="宋体" w:cs="Arial"/>
          <w:color w:val="auto"/>
          <w:sz w:val="28"/>
          <w:szCs w:val="28"/>
          <w:highlight w:val="none"/>
        </w:rPr>
        <w:t xml:space="preserve">26、</w:t>
      </w:r>
      <w:bookmarkEnd w:id="168"/>
      <w:r>
        <w:rPr>
          <w:color w:val="auto"/>
        </w:rPr>
      </w:r>
      <w:bookmarkEnd w:id="169"/>
      <w:r>
        <w:rPr>
          <w:color w:val="auto"/>
        </w:rPr>
      </w:r>
      <w:bookmarkEnd w:id="170"/>
      <w:r>
        <w:rPr>
          <w:rFonts w:hint="eastAsia" w:ascii="宋体" w:hAnsi="宋体" w:cs="Arial"/>
          <w:b/>
          <w:bCs/>
          <w:color w:val="auto"/>
          <w:sz w:val="28"/>
          <w:szCs w:val="28"/>
          <w:highlight w:val="none"/>
        </w:rPr>
        <w:t xml:space="preserve">对投标文件的初审</w:t>
      </w:r>
      <w:r>
        <w:rPr>
          <w:color w:val="auto"/>
        </w:rPr>
      </w:r>
      <w:r/>
    </w:p>
    <w:p>
      <w:pPr>
        <w:pStyle w:val="911"/>
        <w:ind w:firstLine="480"/>
        <w:jc w:val="left"/>
        <w:pageBreakBefore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26.1</w:t>
      </w:r>
      <w:r>
        <w:rPr>
          <w:rFonts w:hint="eastAsia" w:ascii="宋体" w:hAnsi="宋体"/>
          <w:bCs/>
          <w:color w:val="auto"/>
          <w:sz w:val="24"/>
          <w:szCs w:val="24"/>
          <w:highlight w:val="none"/>
        </w:rPr>
        <w:t xml:space="preserve">投标文件初审分为资格审查和符合性审查。</w:t>
      </w:r>
      <w:r>
        <w:rPr>
          <w:color w:val="auto"/>
        </w:rPr>
      </w:r>
      <w:r/>
    </w:p>
    <w:p>
      <w:pPr>
        <w:pStyle w:val="911"/>
        <w:ind w:firstLine="480"/>
        <w:pageBreakBefore w:val="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26.1.1</w:t>
      </w:r>
      <w:r>
        <w:rPr>
          <w:rFonts w:hint="eastAsia" w:ascii="宋体" w:hAnsi="宋体"/>
          <w:bCs/>
          <w:color w:val="auto"/>
          <w:sz w:val="24"/>
          <w:szCs w:val="24"/>
          <w:highlight w:val="none"/>
        </w:rPr>
        <w:t xml:space="preserve">资格性审查</w:t>
      </w:r>
      <w:r>
        <w:rPr>
          <w:color w:val="auto"/>
        </w:rPr>
      </w:r>
      <w:r/>
    </w:p>
    <w:p>
      <w:pPr>
        <w:pStyle w:val="911"/>
        <w:ind w:firstLine="480"/>
        <w:pageBreakBefore w:val="0"/>
        <w:spacing w:line="440" w:lineRule="exact"/>
        <w:rPr>
          <w:rFonts w:hint="eastAsia" w:ascii="宋体" w:hAnsi="宋体" w:cs="Arial"/>
          <w:color w:val="auto"/>
          <w:sz w:val="24"/>
          <w:szCs w:val="24"/>
          <w:highlight w:val="none"/>
        </w:rPr>
      </w:pPr>
      <w:r>
        <w:rPr>
          <w:rFonts w:hint="eastAsia" w:ascii="宋体" w:hAnsi="宋体" w:cs="Arial"/>
          <w:color w:val="auto"/>
          <w:sz w:val="24"/>
          <w:szCs w:val="24"/>
          <w:highlight w:val="none"/>
        </w:rPr>
        <w:t xml:space="preserve">评委会</w:t>
      </w:r>
      <w:r>
        <w:rPr>
          <w:rFonts w:hint="eastAsia" w:ascii="宋体" w:hAnsi="宋体" w:cs="Arial"/>
          <w:color w:val="auto"/>
          <w:sz w:val="24"/>
          <w:szCs w:val="24"/>
          <w:highlight w:val="none"/>
          <w:lang w:eastAsia="zh-CN"/>
        </w:rPr>
        <w:t xml:space="preserve">（评委会由评审专家及采购人代表组成）</w:t>
      </w:r>
      <w:r>
        <w:rPr>
          <w:rFonts w:hint="eastAsia" w:ascii="宋体" w:hAnsi="宋体" w:cs="Arial"/>
          <w:color w:val="auto"/>
          <w:sz w:val="24"/>
          <w:szCs w:val="24"/>
          <w:highlight w:val="none"/>
        </w:rPr>
        <w:t xml:space="preserve">依法对投标人的资格进行审查。</w:t>
      </w:r>
      <w:r>
        <w:rPr>
          <w:color w:val="auto"/>
        </w:rPr>
      </w:r>
      <w:r/>
    </w:p>
    <w:p>
      <w:pPr>
        <w:pStyle w:val="911"/>
        <w:ind w:firstLine="505"/>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w:t>
      </w:r>
      <w:r>
        <w:rPr>
          <w:rFonts w:hint="eastAsia" w:ascii="宋体" w:hAnsi="宋体"/>
          <w:color w:val="auto"/>
          <w:sz w:val="24"/>
          <w:szCs w:val="24"/>
          <w:highlight w:val="none"/>
          <w:lang w:val="zh-CN"/>
        </w:rPr>
        <w:t xml:space="preserve">关于信用查询：</w:t>
      </w:r>
      <w:r>
        <w:rPr>
          <w:color w:val="auto"/>
        </w:rPr>
      </w:r>
      <w:r/>
    </w:p>
    <w:p>
      <w:pPr>
        <w:pStyle w:val="911"/>
        <w:ind w:firstLine="505"/>
        <w:pageBreakBefore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rPr>
          <w:color w:val="auto"/>
        </w:rPr>
      </w:r>
      <w:r/>
    </w:p>
    <w:p>
      <w:pPr>
        <w:pStyle w:val="911"/>
        <w:ind w:firstLine="505"/>
        <w:pageBreakBefore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w:t>
      </w:r>
      <w:r>
        <w:rPr>
          <w:rFonts w:hint="eastAsia" w:ascii="宋体" w:hAnsi="宋体"/>
          <w:color w:val="auto"/>
          <w:sz w:val="24"/>
          <w:szCs w:val="24"/>
          <w:highlight w:val="none"/>
        </w:rPr>
        <w:t xml:space="preserve">1.1.2</w:t>
      </w:r>
      <w:r>
        <w:rPr>
          <w:rFonts w:hint="eastAsia" w:ascii="宋体" w:hAnsi="宋体"/>
          <w:color w:val="auto"/>
          <w:sz w:val="24"/>
          <w:szCs w:val="24"/>
          <w:highlight w:val="none"/>
          <w:lang w:val="zh-CN"/>
        </w:rPr>
        <w:t xml:space="preserve">查询时间：投标文件递交截止时间。</w:t>
      </w:r>
      <w:r>
        <w:rPr>
          <w:color w:val="auto"/>
        </w:rPr>
      </w:r>
      <w:r/>
    </w:p>
    <w:p>
      <w:pPr>
        <w:pStyle w:val="911"/>
        <w:ind w:firstLine="505"/>
        <w:pageBreakBefore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lang w:val="zh-CN"/>
        </w:rPr>
        <w:t xml:space="preserve">2</w:t>
      </w:r>
      <w:r>
        <w:rPr>
          <w:rFonts w:hint="eastAsia" w:ascii="宋体" w:hAnsi="宋体"/>
          <w:color w:val="auto"/>
          <w:sz w:val="24"/>
          <w:szCs w:val="24"/>
          <w:highlight w:val="none"/>
        </w:rPr>
        <w:t xml:space="preserve">6</w:t>
      </w:r>
      <w:r>
        <w:rPr>
          <w:rFonts w:hint="eastAsia" w:ascii="宋体" w:hAnsi="宋体"/>
          <w:color w:val="auto"/>
          <w:sz w:val="24"/>
          <w:szCs w:val="24"/>
          <w:highlight w:val="none"/>
          <w:lang w:val="zh-CN"/>
        </w:rPr>
        <w:t xml:space="preserve">.1.1.1.</w:t>
      </w:r>
      <w:r>
        <w:rPr>
          <w:rFonts w:hint="eastAsia" w:ascii="宋体" w:hAnsi="宋体"/>
          <w:color w:val="auto"/>
          <w:sz w:val="24"/>
          <w:szCs w:val="24"/>
          <w:highlight w:val="none"/>
        </w:rPr>
        <w:t xml:space="preserve">3</w:t>
      </w:r>
      <w:r>
        <w:rPr>
          <w:rFonts w:hint="eastAsia" w:ascii="宋体" w:hAnsi="宋体"/>
          <w:color w:val="auto"/>
          <w:sz w:val="24"/>
          <w:szCs w:val="24"/>
          <w:highlight w:val="none"/>
          <w:lang w:val="zh-CN"/>
        </w:rPr>
        <w:t xml:space="preserve">查询渠道：“</w:t>
      </w:r>
      <w:r>
        <w:rPr>
          <w:rFonts w:hint="eastAsia" w:ascii="宋体" w:hAnsi="宋体"/>
          <w:color w:val="auto"/>
          <w:sz w:val="24"/>
          <w:szCs w:val="24"/>
          <w:highlight w:val="none"/>
          <w:lang w:val="zh-CN"/>
        </w:rPr>
        <w:t xml:space="preserve">信用中国</w:t>
      </w:r>
      <w:r>
        <w:rPr>
          <w:rFonts w:hint="eastAsia" w:ascii="宋体" w:hAnsi="宋体"/>
          <w:color w:val="auto"/>
          <w:sz w:val="24"/>
          <w:szCs w:val="24"/>
          <w:highlight w:val="none"/>
          <w:lang w:val="zh-CN"/>
        </w:rPr>
        <w:t xml:space="preserve">”。</w:t>
      </w:r>
      <w:r>
        <w:rPr>
          <w:color w:val="auto"/>
        </w:rPr>
      </w:r>
      <w:r/>
    </w:p>
    <w:p>
      <w:pPr>
        <w:pStyle w:val="911"/>
        <w:ind w:firstLine="480"/>
        <w:pageBreakBefore w:val="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26.1.2</w:t>
      </w:r>
      <w:r>
        <w:rPr>
          <w:rFonts w:hint="eastAsia" w:ascii="宋体" w:hAnsi="宋体"/>
          <w:bCs/>
          <w:color w:val="auto"/>
          <w:sz w:val="24"/>
          <w:szCs w:val="24"/>
          <w:highlight w:val="none"/>
        </w:rPr>
        <w:t xml:space="preserve">符合性审查：</w:t>
      </w:r>
      <w:r>
        <w:rPr>
          <w:color w:val="auto"/>
        </w:rPr>
      </w:r>
      <w:r/>
    </w:p>
    <w:p>
      <w:pPr>
        <w:pStyle w:val="911"/>
        <w:ind w:firstLine="480"/>
        <w:pageBreakBefore w:val="0"/>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依据招标文件的规定，由评委会对投标文件进行审查，以确定是否对招标文件的实质性要求作出响应。</w:t>
      </w:r>
      <w:r>
        <w:rPr>
          <w:color w:val="auto"/>
        </w:rPr>
      </w:r>
      <w:r/>
    </w:p>
    <w:p>
      <w:pPr>
        <w:pStyle w:val="911"/>
        <w:ind w:firstLine="480"/>
        <w:pageBreakBefore w:val="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rPr>
          <w:color w:val="auto"/>
        </w:rPr>
      </w:r>
      <w:r/>
    </w:p>
    <w:p>
      <w:pPr>
        <w:pStyle w:val="911"/>
        <w:ind w:firstLine="480"/>
        <w:pageBreakBefore w:val="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auto"/>
          <w:sz w:val="24"/>
          <w:szCs w:val="24"/>
          <w:highlight w:val="none"/>
        </w:rPr>
        <w:t xml:space="preserve">评委会决定投标文件的响应性只根据投标文件本身的内容，而不寻求外部的证据。</w:t>
      </w:r>
      <w:r>
        <w:rPr>
          <w:color w:val="auto"/>
        </w:rPr>
      </w:r>
      <w:r/>
    </w:p>
    <w:p>
      <w:pPr>
        <w:pStyle w:val="911"/>
        <w:ind w:firstLine="480"/>
        <w:pageBreakBefore w:val="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26.3 </w:t>
      </w:r>
      <w:r>
        <w:rPr>
          <w:rFonts w:hint="eastAsia" w:ascii="宋体" w:hAnsi="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rPr>
          <w:color w:val="auto"/>
        </w:rPr>
      </w:r>
      <w:r/>
    </w:p>
    <w:p>
      <w:pPr>
        <w:pStyle w:val="911"/>
        <w:ind w:firstLine="480"/>
        <w:pageBreakBefore w:val="0"/>
        <w:spacing w:line="44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26.4 投标文件报价出现前后不一致的，按下列规定修正：</w:t>
      </w:r>
      <w:r>
        <w:rPr>
          <w:rFonts w:hint="eastAsia" w:ascii="宋体" w:hAnsi="宋体"/>
          <w:bCs/>
          <w:color w:val="auto"/>
          <w:sz w:val="24"/>
          <w:szCs w:val="24"/>
          <w:highlight w:val="none"/>
        </w:rPr>
        <w:t xml:space="preserve"> </w:t>
      </w:r>
      <w:r>
        <w:rPr>
          <w:color w:val="auto"/>
        </w:rPr>
      </w:r>
      <w:r/>
    </w:p>
    <w:p>
      <w:pPr>
        <w:pStyle w:val="911"/>
        <w:ind w:firstLine="480"/>
        <w:jc w:val="left"/>
        <w:pageBreakBefore w:val="0"/>
        <w:spacing w:line="440" w:lineRule="exact"/>
        <w:rPr>
          <w:rFonts w:hint="eastAsia" w:ascii="宋体" w:hAnsi="宋体" w:cs="Arial"/>
          <w:color w:val="auto"/>
          <w:sz w:val="24"/>
          <w:szCs w:val="24"/>
          <w:highlight w:val="none"/>
        </w:rPr>
      </w:pPr>
      <w:r>
        <w:rPr>
          <w:rFonts w:hint="eastAsia" w:ascii="宋体" w:hAnsi="宋体"/>
          <w:color w:val="auto"/>
          <w:sz w:val="24"/>
          <w:szCs w:val="24"/>
          <w:highlight w:val="none"/>
        </w:rPr>
        <w:t xml:space="preserve">（1）</w:t>
      </w:r>
      <w:r>
        <w:rPr>
          <w:rFonts w:hint="eastAsia" w:ascii="宋体" w:hAnsi="宋体" w:cs="Arial"/>
          <w:color w:val="auto"/>
          <w:sz w:val="24"/>
          <w:szCs w:val="24"/>
          <w:highlight w:val="none"/>
        </w:rPr>
        <w:t xml:space="preserve">投标文件中开标一览表（报价表）内容与投标文件中相应内容不一致的，以开标一览表（报价表）为准；</w:t>
      </w:r>
      <w:r>
        <w:rPr>
          <w:color w:val="auto"/>
        </w:rPr>
      </w:r>
      <w:r/>
    </w:p>
    <w:p>
      <w:pPr>
        <w:pStyle w:val="911"/>
        <w:jc w:val="left"/>
        <w:pageBreakBefore w:val="0"/>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　　</w:t>
      </w:r>
      <w:r>
        <w:rPr>
          <w:rFonts w:hint="eastAsia" w:ascii="宋体" w:hAnsi="宋体"/>
          <w:color w:val="auto"/>
          <w:sz w:val="24"/>
          <w:szCs w:val="24"/>
          <w:highlight w:val="none"/>
        </w:rPr>
        <w:t xml:space="preserve">（2）</w:t>
      </w:r>
      <w:r>
        <w:rPr>
          <w:rFonts w:hint="eastAsia" w:ascii="宋体" w:hAnsi="宋体" w:cs="Arial"/>
          <w:color w:val="auto"/>
          <w:sz w:val="24"/>
          <w:szCs w:val="24"/>
          <w:highlight w:val="none"/>
        </w:rPr>
        <w:t xml:space="preserve">大写金额和小写金额不一致的，以大写金额为准；</w:t>
      </w:r>
      <w:r>
        <w:rPr>
          <w:color w:val="auto"/>
        </w:rPr>
      </w:r>
      <w:r/>
    </w:p>
    <w:p>
      <w:pPr>
        <w:pStyle w:val="911"/>
        <w:jc w:val="left"/>
        <w:pageBreakBefore w:val="0"/>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　　</w:t>
      </w:r>
      <w:r>
        <w:rPr>
          <w:rFonts w:hint="eastAsia" w:ascii="宋体" w:hAnsi="宋体"/>
          <w:color w:val="auto"/>
          <w:sz w:val="24"/>
          <w:szCs w:val="24"/>
          <w:highlight w:val="none"/>
        </w:rPr>
        <w:t xml:space="preserve">（3）</w:t>
      </w:r>
      <w:r>
        <w:rPr>
          <w:rFonts w:hint="eastAsia" w:ascii="宋体" w:hAnsi="宋体" w:cs="Arial"/>
          <w:color w:val="auto"/>
          <w:sz w:val="24"/>
          <w:szCs w:val="24"/>
          <w:highlight w:val="none"/>
        </w:rPr>
        <w:t xml:space="preserve">单价金额小数点或者百分比有明显错位的，以开标一览表的总价为准，并修改单价；</w:t>
      </w:r>
      <w:r>
        <w:rPr>
          <w:color w:val="auto"/>
        </w:rPr>
      </w:r>
      <w:r/>
    </w:p>
    <w:p>
      <w:pPr>
        <w:pStyle w:val="911"/>
        <w:jc w:val="left"/>
        <w:pageBreakBefore w:val="0"/>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　　</w:t>
      </w:r>
      <w:r>
        <w:rPr>
          <w:rFonts w:hint="eastAsia" w:ascii="宋体" w:hAnsi="宋体"/>
          <w:color w:val="auto"/>
          <w:sz w:val="24"/>
          <w:szCs w:val="24"/>
          <w:highlight w:val="none"/>
        </w:rPr>
        <w:t xml:space="preserve">（4）</w:t>
      </w:r>
      <w:r>
        <w:rPr>
          <w:rFonts w:hint="eastAsia" w:ascii="宋体" w:hAnsi="宋体" w:cs="Arial"/>
          <w:color w:val="auto"/>
          <w:sz w:val="24"/>
          <w:szCs w:val="24"/>
          <w:highlight w:val="none"/>
        </w:rPr>
        <w:t xml:space="preserve">总价金额与按单价汇总金额不一致的，以单价金额计算结果为准。</w:t>
      </w:r>
      <w:r>
        <w:rPr>
          <w:color w:val="auto"/>
        </w:rPr>
      </w:r>
      <w:r/>
    </w:p>
    <w:p>
      <w:pPr>
        <w:pStyle w:val="911"/>
        <w:ind w:firstLine="480"/>
        <w:jc w:val="left"/>
        <w:pageBreakBefore w:val="0"/>
        <w:spacing w:line="440" w:lineRule="exact"/>
        <w:rPr>
          <w:rFonts w:ascii="宋体" w:hAnsi="宋体" w:cs="Arial"/>
          <w:color w:val="auto"/>
          <w:sz w:val="24"/>
          <w:szCs w:val="24"/>
          <w:highlight w:val="none"/>
        </w:rPr>
      </w:pPr>
      <w:r>
        <w:rPr>
          <w:rFonts w:hint="eastAsia" w:ascii="宋体" w:hAnsi="宋体" w:cs="Arial"/>
          <w:color w:val="auto"/>
          <w:sz w:val="24"/>
          <w:szCs w:val="24"/>
          <w:highlight w:val="none"/>
        </w:rPr>
        <w:t xml:space="preserve">同时出现两种以上不一致的，按照前款规定的顺序修正。修正后的报价按照财政部</w:t>
      </w:r>
      <w:r>
        <w:rPr>
          <w:rFonts w:ascii="宋体" w:hAnsi="宋体" w:cs="Arial"/>
          <w:color w:val="auto"/>
          <w:sz w:val="24"/>
          <w:szCs w:val="24"/>
          <w:highlight w:val="none"/>
        </w:rPr>
        <w:t xml:space="preserve">87</w:t>
      </w:r>
      <w:r>
        <w:rPr>
          <w:rFonts w:hint="eastAsia" w:ascii="宋体" w:hAnsi="宋体" w:cs="Arial"/>
          <w:color w:val="auto"/>
          <w:sz w:val="24"/>
          <w:szCs w:val="24"/>
          <w:highlight w:val="none"/>
        </w:rPr>
        <w:t xml:space="preserve">号令第五十一条第二款的规定经投标人确认后产生约束力。</w:t>
      </w:r>
      <w:r>
        <w:rPr>
          <w:color w:val="auto"/>
        </w:rPr>
      </w:r>
      <w:r/>
    </w:p>
    <w:p>
      <w:pPr>
        <w:pStyle w:val="911"/>
        <w:ind w:firstLine="48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26.5 评委会将允许修正投标文件中不构成重大偏离的、微小的、非正规的、不一致的或不规则的地方，但这些修改不能影响任何投标人相应的名次排列。</w:t>
      </w:r>
      <w:r>
        <w:rPr>
          <w:color w:val="auto"/>
        </w:rPr>
      </w:r>
      <w:r/>
    </w:p>
    <w:p>
      <w:pPr>
        <w:pStyle w:val="962"/>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26.6 投标人在开、评标全过程中应保持通讯畅通。</w:t>
      </w:r>
      <w:r>
        <w:rPr>
          <w:color w:val="auto"/>
        </w:rPr>
      </w:r>
      <w:r/>
    </w:p>
    <w:p>
      <w:pPr>
        <w:pStyle w:val="911"/>
        <w:ind w:firstLine="420"/>
        <w:keepLines/>
        <w:keepNext/>
        <w:pageBreakBefore w:val="0"/>
        <w:spacing w:line="440" w:lineRule="exact"/>
        <w:rPr>
          <w:rFonts w:hint="eastAsia" w:ascii="宋体" w:hAnsi="宋体" w:cs="Arial"/>
          <w:color w:val="auto"/>
          <w:sz w:val="28"/>
          <w:szCs w:val="28"/>
          <w:highlight w:val="none"/>
        </w:rPr>
        <w:outlineLvl w:val="3"/>
      </w:pPr>
      <w:r>
        <w:rPr>
          <w:color w:val="auto"/>
        </w:rPr>
      </w:r>
      <w:bookmarkStart w:id="171" w:name="EB8e3ec86c09a94dac9cc9034e6027ee19"/>
      <w:r>
        <w:rPr>
          <w:color w:val="auto"/>
        </w:rPr>
      </w:r>
      <w:bookmarkEnd w:id="171"/>
      <w:r>
        <w:rPr>
          <w:color w:val="auto"/>
        </w:rPr>
      </w:r>
      <w:bookmarkStart w:id="172" w:name="_Toc20823306"/>
      <w:r>
        <w:rPr>
          <w:color w:val="auto"/>
        </w:rPr>
      </w:r>
      <w:bookmarkStart w:id="173" w:name="_Toc513029234"/>
      <w:r>
        <w:rPr>
          <w:color w:val="auto"/>
        </w:rPr>
      </w:r>
      <w:bookmarkStart w:id="174" w:name="_Toc16938550"/>
      <w:r>
        <w:rPr>
          <w:color w:val="auto"/>
        </w:rPr>
      </w:r>
      <w:bookmarkStart w:id="175" w:name="_Toc200451960"/>
      <w:r>
        <w:rPr>
          <w:rFonts w:ascii="宋体" w:hAnsi="宋体" w:cs="Arial"/>
          <w:color w:val="auto"/>
          <w:sz w:val="28"/>
          <w:szCs w:val="28"/>
          <w:highlight w:val="none"/>
        </w:rPr>
        <w:t xml:space="preserve">2</w:t>
      </w:r>
      <w:r>
        <w:rPr>
          <w:rFonts w:hint="eastAsia" w:ascii="宋体" w:hAnsi="宋体" w:cs="Arial"/>
          <w:color w:val="auto"/>
          <w:sz w:val="28"/>
          <w:szCs w:val="28"/>
          <w:highlight w:val="none"/>
        </w:rPr>
        <w:t xml:space="preserve">7、</w:t>
      </w:r>
      <w:bookmarkEnd w:id="172"/>
      <w:r>
        <w:rPr>
          <w:color w:val="auto"/>
        </w:rPr>
      </w:r>
      <w:bookmarkEnd w:id="173"/>
      <w:r>
        <w:rPr>
          <w:color w:val="auto"/>
        </w:rPr>
      </w:r>
      <w:bookmarkEnd w:id="174"/>
      <w:r>
        <w:rPr>
          <w:rFonts w:hint="eastAsia" w:ascii="宋体" w:hAnsi="宋体" w:cs="Arial"/>
          <w:color w:val="auto"/>
          <w:sz w:val="28"/>
          <w:szCs w:val="28"/>
          <w:highlight w:val="none"/>
        </w:rPr>
        <w:t xml:space="preserve">无效投标条款和废标条款</w:t>
      </w:r>
      <w:r>
        <w:rPr>
          <w:color w:val="auto"/>
        </w:rPr>
      </w:r>
      <w:r/>
    </w:p>
    <w:p>
      <w:pPr>
        <w:pStyle w:val="984"/>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27.1 无效投标条款</w:t>
      </w:r>
      <w:r>
        <w:rPr>
          <w:color w:val="auto"/>
        </w:rPr>
      </w:r>
      <w:r/>
    </w:p>
    <w:p>
      <w:pPr>
        <w:pStyle w:val="964"/>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 27.1.1 投标人未按照招标文件要求上传电子投标文件的；</w:t>
      </w:r>
      <w:r>
        <w:rPr>
          <w:color w:val="auto"/>
        </w:rPr>
      </w:r>
      <w:r/>
    </w:p>
    <w:p>
      <w:pPr>
        <w:pStyle w:val="964"/>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 27.1.2 投标人在规定时间内不解密投标文件或未成功解密投标文件的（因系统原因导致的除外)；</w:t>
      </w:r>
      <w:r>
        <w:rPr>
          <w:color w:val="auto"/>
        </w:rPr>
      </w:r>
      <w:r/>
    </w:p>
    <w:p>
      <w:pPr>
        <w:pStyle w:val="964"/>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 27.1.3 投标文件中没有《开标一览表》或《开标一览表》未加盖投标人公章的； </w:t>
      </w:r>
      <w:r>
        <w:rPr>
          <w:color w:val="auto"/>
        </w:rPr>
      </w:r>
      <w:r/>
    </w:p>
    <w:p>
      <w:pPr>
        <w:pStyle w:val="964"/>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 27.1.4 投标文件中任何有选择的报价；</w:t>
      </w:r>
      <w:r>
        <w:rPr>
          <w:color w:val="auto"/>
        </w:rPr>
      </w:r>
      <w:r/>
    </w:p>
    <w:p>
      <w:pPr>
        <w:pStyle w:val="964"/>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 27.1.5 投标文件报价出现前后不一致的，按招标文件规定修正后投标人不确认的； </w:t>
      </w:r>
      <w:r>
        <w:rPr>
          <w:color w:val="auto"/>
        </w:rPr>
      </w:r>
      <w:r/>
    </w:p>
    <w:p>
      <w:pPr>
        <w:pStyle w:val="964"/>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 27.1.6 不同投标人的投标文件由同一单位或者个人编制； </w:t>
      </w:r>
      <w:r>
        <w:rPr>
          <w:color w:val="auto"/>
        </w:rPr>
      </w:r>
      <w:r/>
    </w:p>
    <w:p>
      <w:pPr>
        <w:pStyle w:val="964"/>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 27.1.7 不同投标人委托同一单位或者个人办理投标事宜； </w:t>
      </w:r>
      <w:r>
        <w:rPr>
          <w:color w:val="auto"/>
        </w:rPr>
      </w:r>
      <w:r/>
    </w:p>
    <w:p>
      <w:pPr>
        <w:pStyle w:val="964"/>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 27.1.8 不同投标人的投标文件载明的项目管理成员或者联系人员为同一人；</w:t>
      </w:r>
      <w:r>
        <w:rPr>
          <w:color w:val="auto"/>
        </w:rPr>
      </w:r>
      <w:r/>
    </w:p>
    <w:p>
      <w:pPr>
        <w:pStyle w:val="964"/>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 27.1.9 不同投标人的投标文件异常一致或者投标报价呈规律性差异；</w:t>
      </w:r>
      <w:r>
        <w:rPr>
          <w:color w:val="auto"/>
        </w:rPr>
      </w:r>
      <w:r/>
    </w:p>
    <w:p>
      <w:pPr>
        <w:pStyle w:val="964"/>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 27.1.10 不同投标人的投标文件制作机器码一致的；</w:t>
      </w:r>
      <w:r>
        <w:rPr>
          <w:color w:val="auto"/>
        </w:rPr>
      </w:r>
      <w:r/>
    </w:p>
    <w:p>
      <w:pPr>
        <w:pStyle w:val="964"/>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 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color w:val="auto"/>
        </w:rPr>
      </w:r>
      <w:r/>
    </w:p>
    <w:p>
      <w:pPr>
        <w:pStyle w:val="964"/>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 27.1.12 凡“节能产品政府采购品目清单”中以★标注的政府强制采购产品，投标文件中未提供国家确定的认证机构出具的、处于有效期之内的节能产品认证证书的（若证书有附件（附录）的，附件（附录）须随证书一起提供)；</w:t>
      </w:r>
      <w:r>
        <w:rPr>
          <w:color w:val="auto"/>
        </w:rPr>
      </w:r>
      <w:r/>
    </w:p>
    <w:p>
      <w:pPr>
        <w:pStyle w:val="964"/>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 27.1.13 供应商被列入失信被执行人名单、重大税收违法案件当事人名单、政府采购严重违法失信行为记录名单以及其他不符合《中华人民共和国政府采购法》第二十二条规定条件的信用记录的；</w:t>
      </w:r>
      <w:r>
        <w:rPr>
          <w:color w:val="auto"/>
        </w:rPr>
      </w:r>
      <w:r/>
    </w:p>
    <w:p>
      <w:pPr>
        <w:pStyle w:val="964"/>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 27.1.14 不同供应商的单位负责人为同一人或者存在直接控股、管理关系的； </w:t>
      </w:r>
      <w:r>
        <w:rPr>
          <w:color w:val="auto"/>
        </w:rPr>
      </w:r>
      <w:r/>
    </w:p>
    <w:p>
      <w:pPr>
        <w:pStyle w:val="964"/>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 27.1.15 为采购项目提供整体设计、规范编制或者项目管理、监理、检测等服务的；</w:t>
      </w:r>
      <w:r>
        <w:rPr>
          <w:color w:val="auto"/>
        </w:rPr>
      </w:r>
      <w:r/>
    </w:p>
    <w:p>
      <w:pPr>
        <w:pStyle w:val="964"/>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 27.1.16 资格证明文件中要求加盖公章而未加盖公章的； </w:t>
      </w:r>
      <w:r>
        <w:rPr>
          <w:color w:val="auto"/>
        </w:rPr>
      </w:r>
      <w:r/>
    </w:p>
    <w:p>
      <w:pPr>
        <w:pStyle w:val="964"/>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 27.1.17 投标文件未按招标文件要求签署、盖章的； </w:t>
      </w:r>
      <w:r>
        <w:rPr>
          <w:color w:val="auto"/>
        </w:rPr>
      </w:r>
      <w:r/>
    </w:p>
    <w:p>
      <w:pPr>
        <w:pStyle w:val="964"/>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 27.1.18 不具备招标文件中规定的资格要求或未按招标文件规定的要求提供资格证明文件的； </w:t>
      </w:r>
      <w:r>
        <w:rPr>
          <w:color w:val="auto"/>
        </w:rPr>
      </w:r>
      <w:r/>
    </w:p>
    <w:p>
      <w:pPr>
        <w:pStyle w:val="964"/>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 27.1.19 报价超过招标文件中规定的预算金额或者最高限价的； </w:t>
      </w:r>
      <w:r>
        <w:rPr>
          <w:color w:val="auto"/>
        </w:rPr>
      </w:r>
      <w:r/>
    </w:p>
    <w:p>
      <w:pPr>
        <w:pStyle w:val="964"/>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 27.1.20 投标文件含有采购人不能接受的附加条件的； </w:t>
      </w:r>
      <w:r>
        <w:rPr>
          <w:color w:val="auto"/>
        </w:rPr>
      </w:r>
      <w:r/>
    </w:p>
    <w:p>
      <w:pPr>
        <w:pStyle w:val="964"/>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 27.1.21 不响应招标文件中规定的实质性要求的（本招标文件中斜体且有下划线部分为实质性要求）； </w:t>
      </w:r>
      <w:r>
        <w:rPr>
          <w:color w:val="auto"/>
        </w:rPr>
      </w:r>
      <w:r/>
    </w:p>
    <w:p>
      <w:pPr>
        <w:pStyle w:val="964"/>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 27.1.22 法律、法规和采购文件规定的其他无效情形; </w:t>
      </w:r>
      <w:r>
        <w:rPr>
          <w:color w:val="auto"/>
        </w:rPr>
      </w:r>
      <w:r/>
    </w:p>
    <w:p>
      <w:pPr>
        <w:pStyle w:val="965"/>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27.2 废标条款：</w:t>
      </w:r>
      <w:r>
        <w:rPr>
          <w:color w:val="auto"/>
        </w:rPr>
      </w:r>
      <w:r/>
    </w:p>
    <w:p>
      <w:pPr>
        <w:pStyle w:val="965"/>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 (1)符合专业条件的供应商或者对招标文件作实质响应的供应商不足三家的； </w:t>
      </w:r>
      <w:r>
        <w:rPr>
          <w:color w:val="auto"/>
        </w:rPr>
      </w:r>
      <w:r/>
    </w:p>
    <w:p>
      <w:pPr>
        <w:pStyle w:val="965"/>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 (2)出现影响采购公正的违法、违规行为的；</w:t>
      </w:r>
      <w:r>
        <w:rPr>
          <w:color w:val="auto"/>
        </w:rPr>
      </w:r>
      <w:r/>
    </w:p>
    <w:p>
      <w:pPr>
        <w:pStyle w:val="965"/>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 (3)投标人的报价均超过了采购预算，采购人不能支付的；</w:t>
      </w:r>
      <w:r>
        <w:rPr>
          <w:color w:val="auto"/>
        </w:rPr>
      </w:r>
      <w:r/>
    </w:p>
    <w:p>
      <w:pPr>
        <w:pStyle w:val="965"/>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 (4)因重大变故，采购任务取消的。</w:t>
      </w:r>
      <w:r>
        <w:rPr>
          <w:color w:val="auto"/>
        </w:rPr>
      </w:r>
      <w:r/>
    </w:p>
    <w:p>
      <w:pPr>
        <w:pStyle w:val="965"/>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27.3 投标截止时间结束后参加投标的供应商不足三家的处理：</w:t>
      </w:r>
      <w:r>
        <w:rPr>
          <w:color w:val="auto"/>
        </w:rPr>
      </w:r>
      <w:r/>
    </w:p>
    <w:p>
      <w:pPr>
        <w:pStyle w:val="965"/>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27.3.1 如出现投标截止时间结束后参加投标的供应商或者在评标期间对招标文件做出实质响应的供应商不足三家情况，按财政部第87号令第四十三条的规定执行。</w:t>
      </w:r>
      <w:r>
        <w:rPr>
          <w:color w:val="auto"/>
        </w:rPr>
      </w:r>
      <w:r/>
    </w:p>
    <w:p>
      <w:pPr>
        <w:pStyle w:val="912"/>
        <w:jc w:val="left"/>
        <w:rPr>
          <w:rFonts w:hint="eastAsia" w:ascii="宋体" w:hAnsi="宋体" w:eastAsia="宋体" w:cs="宋体"/>
          <w:b w:val="0"/>
          <w:bCs w:val="0"/>
          <w:color w:val="auto"/>
          <w:sz w:val="28"/>
          <w:szCs w:val="28"/>
          <w:highlight w:val="none"/>
        </w:rPr>
      </w:pPr>
      <w:r>
        <w:rPr>
          <w:color w:val="auto"/>
        </w:rPr>
      </w:r>
      <w:bookmarkStart w:id="176" w:name="EB369a3ca3706348fd9a6451dab4968a5b"/>
      <w:r>
        <w:rPr>
          <w:color w:val="auto"/>
        </w:rPr>
      </w:r>
      <w:bookmarkEnd w:id="176"/>
      <w:r>
        <w:rPr>
          <w:color w:val="auto"/>
        </w:rPr>
      </w:r>
      <w:bookmarkStart w:id="177" w:name="_Toc38368125"/>
      <w:r>
        <w:rPr>
          <w:color w:val="auto"/>
        </w:rPr>
      </w:r>
      <w:bookmarkStart w:id="178" w:name="_Toc35266025"/>
      <w:r>
        <w:rPr>
          <w:color w:val="auto"/>
        </w:rPr>
      </w:r>
      <w:bookmarkStart w:id="179" w:name="_Toc54615244"/>
      <w:r>
        <w:rPr>
          <w:color w:val="auto"/>
        </w:rPr>
      </w:r>
      <w:bookmarkStart w:id="180" w:name="_Toc16938551"/>
      <w:r>
        <w:rPr>
          <w:color w:val="auto"/>
        </w:rPr>
      </w:r>
      <w:bookmarkStart w:id="181" w:name="_Toc20823307"/>
      <w:r>
        <w:rPr>
          <w:color w:val="auto"/>
        </w:rPr>
      </w:r>
      <w:bookmarkStart w:id="182" w:name="_Toc513029235"/>
      <w:r>
        <w:rPr>
          <w:color w:val="auto"/>
        </w:rPr>
      </w:r>
      <w:bookmarkStart w:id="183" w:name="_Toc6263"/>
      <w:r>
        <w:rPr>
          <w:color w:val="auto"/>
        </w:rPr>
      </w:r>
      <w:bookmarkStart w:id="184" w:name="_Toc120614219"/>
      <w:r>
        <w:rPr>
          <w:rFonts w:hint="eastAsia" w:ascii="宋体" w:hAnsi="宋体" w:eastAsia="宋体" w:cs="宋体"/>
          <w:b w:val="0"/>
          <w:bCs w:val="0"/>
          <w:color w:val="auto"/>
          <w:sz w:val="28"/>
          <w:szCs w:val="28"/>
          <w:highlight w:val="none"/>
        </w:rPr>
        <w:t xml:space="preserve">六、</w:t>
      </w:r>
      <w:bookmarkEnd w:id="180"/>
      <w:r>
        <w:rPr>
          <w:color w:val="auto"/>
        </w:rPr>
      </w:r>
      <w:bookmarkEnd w:id="181"/>
      <w:r>
        <w:rPr>
          <w:color w:val="auto"/>
        </w:rPr>
      </w:r>
      <w:bookmarkEnd w:id="182"/>
      <w:r>
        <w:rPr>
          <w:rFonts w:hint="eastAsia" w:ascii="宋体" w:hAnsi="宋体" w:eastAsia="宋体" w:cs="宋体"/>
          <w:b w:val="0"/>
          <w:bCs w:val="0"/>
          <w:color w:val="auto"/>
          <w:sz w:val="28"/>
          <w:szCs w:val="28"/>
          <w:highlight w:val="none"/>
        </w:rPr>
        <w:t xml:space="preserve">定标</w:t>
      </w:r>
      <w:bookmarkEnd w:id="177"/>
      <w:r>
        <w:rPr>
          <w:color w:val="auto"/>
        </w:rPr>
      </w:r>
      <w:bookmarkEnd w:id="178"/>
      <w:r>
        <w:rPr>
          <w:color w:val="auto"/>
        </w:rPr>
      </w:r>
      <w:bookmarkEnd w:id="179"/>
      <w:r>
        <w:rPr>
          <w:color w:val="auto"/>
        </w:rPr>
      </w:r>
      <w:bookmarkEnd w:id="183"/>
      <w:r>
        <w:rPr>
          <w:color w:val="auto"/>
        </w:rPr>
      </w:r>
      <w:bookmarkEnd w:id="184"/>
      <w:r>
        <w:rPr>
          <w:color w:val="auto"/>
        </w:rPr>
      </w:r>
      <w:r/>
    </w:p>
    <w:p>
      <w:pPr>
        <w:pStyle w:val="911"/>
        <w:ind w:firstLine="420"/>
        <w:keepLines/>
        <w:keepNext/>
        <w:pageBreakBefore w:val="0"/>
        <w:spacing w:line="440" w:lineRule="exact"/>
        <w:rPr>
          <w:rFonts w:hint="eastAsia" w:ascii="宋体" w:hAnsi="宋体" w:cs="Arial"/>
          <w:color w:val="auto"/>
          <w:sz w:val="28"/>
          <w:szCs w:val="28"/>
          <w:highlight w:val="none"/>
        </w:rPr>
        <w:outlineLvl w:val="3"/>
      </w:pPr>
      <w:r>
        <w:rPr>
          <w:color w:val="auto"/>
        </w:rPr>
      </w:r>
      <w:bookmarkStart w:id="185" w:name="_Toc513029238"/>
      <w:r>
        <w:rPr>
          <w:color w:val="auto"/>
        </w:rPr>
      </w:r>
      <w:bookmarkStart w:id="186" w:name="_Toc20823310"/>
      <w:r>
        <w:rPr>
          <w:color w:val="auto"/>
        </w:rPr>
      </w:r>
      <w:bookmarkStart w:id="187" w:name="_Toc16938554"/>
      <w:r>
        <w:rPr>
          <w:rFonts w:hint="eastAsia" w:ascii="宋体" w:hAnsi="宋体" w:cs="Arial"/>
          <w:color w:val="auto"/>
          <w:sz w:val="28"/>
          <w:szCs w:val="28"/>
          <w:highlight w:val="none"/>
        </w:rPr>
        <w:t xml:space="preserve">28、</w:t>
      </w:r>
      <w:bookmarkEnd w:id="185"/>
      <w:r>
        <w:rPr>
          <w:rFonts w:hint="eastAsia" w:ascii="宋体" w:hAnsi="宋体" w:cs="Arial"/>
          <w:color w:val="auto"/>
          <w:sz w:val="28"/>
          <w:szCs w:val="28"/>
          <w:highlight w:val="none"/>
        </w:rPr>
        <w:t xml:space="preserve">确定</w:t>
      </w:r>
      <w:bookmarkEnd w:id="186"/>
      <w:r>
        <w:rPr>
          <w:color w:val="auto"/>
        </w:rPr>
      </w:r>
      <w:bookmarkEnd w:id="187"/>
      <w:r>
        <w:rPr>
          <w:rFonts w:hint="eastAsia" w:ascii="宋体" w:hAnsi="宋体" w:cs="Arial"/>
          <w:color w:val="auto"/>
          <w:sz w:val="28"/>
          <w:szCs w:val="28"/>
          <w:highlight w:val="none"/>
        </w:rPr>
        <w:t xml:space="preserve">中标单位</w:t>
      </w:r>
      <w:r>
        <w:rPr>
          <w:color w:val="auto"/>
        </w:rPr>
      </w:r>
      <w:r/>
    </w:p>
    <w:p>
      <w:pPr>
        <w:pStyle w:val="911"/>
        <w:ind w:firstLine="480"/>
        <w:pageBreakBefore w:val="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28.1评委会根据本招标文件规定评标办法与评标标准向采购人推荐出3名中标候选人。</w:t>
      </w:r>
      <w:r>
        <w:rPr>
          <w:color w:val="auto"/>
        </w:rPr>
      </w:r>
      <w:r/>
    </w:p>
    <w:p>
      <w:pPr>
        <w:pStyle w:val="966"/>
        <w:ind w:firstLine="508"/>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28.2 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r>
        <w:rPr>
          <w:color w:val="auto"/>
        </w:rPr>
      </w:r>
      <w:r/>
    </w:p>
    <w:p>
      <w:pPr>
        <w:pStyle w:val="911"/>
        <w:ind w:firstLine="480"/>
        <w:pageBreakBefore w:val="0"/>
        <w:spacing w:line="440" w:lineRule="exact"/>
        <w:rPr>
          <w:rFonts w:ascii="宋体" w:hAnsi="宋体"/>
          <w:color w:val="auto"/>
          <w:sz w:val="24"/>
          <w:highlight w:val="none"/>
        </w:rPr>
      </w:pPr>
      <w:r>
        <w:rPr>
          <w:color w:val="auto"/>
        </w:rPr>
      </w:r>
      <w:bookmarkEnd w:id="175"/>
      <w:r>
        <w:rPr>
          <w:color w:val="auto"/>
        </w:rPr>
      </w:r>
      <w:bookmarkStart w:id="188" w:name="EBfa38c9fe4db84c47a946c1558a3ddb8f"/>
      <w:r>
        <w:rPr>
          <w:color w:val="auto"/>
        </w:rPr>
      </w:r>
      <w:bookmarkEnd w:id="188"/>
      <w:r>
        <w:rPr>
          <w:rFonts w:hint="eastAsia" w:ascii="宋体" w:hAnsi="宋体"/>
          <w:bCs/>
          <w:color w:val="auto"/>
          <w:sz w:val="24"/>
          <w:highlight w:val="none"/>
        </w:rPr>
        <w:t xml:space="preserve">28.3</w:t>
      </w:r>
      <w:r>
        <w:rPr>
          <w:rFonts w:hint="eastAsia" w:ascii="宋体" w:hAnsi="宋体" w:cs="宋体"/>
          <w:color w:val="auto"/>
          <w:sz w:val="24"/>
          <w:highlight w:val="none"/>
        </w:rPr>
        <w:t xml:space="preserve">自中标人确定之日起2个工作日内，中标结果将在省级以上财政部门指定的媒体上进行公告，公告期限为1个工作日。</w:t>
      </w:r>
      <w:r>
        <w:rPr>
          <w:color w:val="auto"/>
        </w:rPr>
      </w:r>
      <w:r/>
    </w:p>
    <w:p>
      <w:pPr>
        <w:pStyle w:val="911"/>
        <w:ind w:firstLine="480"/>
        <w:pageBreakBefore w:val="0"/>
        <w:spacing w:line="440" w:lineRule="exact"/>
        <w:rPr>
          <w:rFonts w:hint="eastAsia" w:ascii="宋体" w:hAnsi="宋体"/>
          <w:color w:val="auto"/>
          <w:sz w:val="24"/>
          <w:highlight w:val="none"/>
        </w:rPr>
      </w:pPr>
      <w:r>
        <w:rPr>
          <w:rFonts w:hint="eastAsia" w:ascii="宋体" w:hAnsi="宋体"/>
          <w:color w:val="auto"/>
          <w:sz w:val="24"/>
          <w:highlight w:val="none"/>
        </w:rPr>
        <w:t xml:space="preserve">28.4若有充分证据证明，中标人出现下列情况之一的，一经查实，中标无效：</w:t>
      </w:r>
      <w:r>
        <w:rPr>
          <w:color w:val="auto"/>
        </w:rPr>
      </w:r>
      <w:r/>
    </w:p>
    <w:p>
      <w:pPr>
        <w:pStyle w:val="911"/>
        <w:ind w:firstLine="480"/>
        <w:pageBreakBefore w:val="0"/>
        <w:spacing w:line="440" w:lineRule="exact"/>
        <w:rPr>
          <w:rFonts w:ascii="宋体" w:hAnsi="宋体"/>
          <w:color w:val="auto"/>
          <w:sz w:val="24"/>
          <w:highlight w:val="none"/>
        </w:rPr>
      </w:pPr>
      <w:r>
        <w:rPr>
          <w:rFonts w:hint="eastAsia" w:ascii="宋体" w:hAnsi="宋体"/>
          <w:color w:val="auto"/>
          <w:sz w:val="24"/>
          <w:highlight w:val="none"/>
          <w:lang w:val="zh-CN"/>
        </w:rPr>
        <w:t xml:space="preserve">（1）提供虚假材料谋取中标的；</w:t>
      </w:r>
      <w:r>
        <w:rPr>
          <w:color w:val="auto"/>
        </w:rPr>
      </w:r>
      <w:r/>
    </w:p>
    <w:p>
      <w:pPr>
        <w:pStyle w:val="911"/>
        <w:ind w:firstLine="480"/>
        <w:pageBreakBefore w:val="0"/>
        <w:spacing w:line="440" w:lineRule="exact"/>
        <w:rPr>
          <w:rFonts w:hint="eastAsia" w:ascii="宋体" w:hAnsi="宋体"/>
          <w:color w:val="auto"/>
          <w:sz w:val="24"/>
          <w:highlight w:val="none"/>
        </w:rPr>
      </w:pPr>
      <w:r>
        <w:rPr>
          <w:rFonts w:hint="eastAsia" w:ascii="宋体" w:hAnsi="宋体"/>
          <w:color w:val="auto"/>
          <w:sz w:val="24"/>
          <w:highlight w:val="none"/>
          <w:lang w:val="zh-CN"/>
        </w:rPr>
        <w:t xml:space="preserve">（2）采取不正当手段诋毁、排挤其他供应商的；</w:t>
      </w:r>
      <w:r>
        <w:rPr>
          <w:color w:val="auto"/>
        </w:rPr>
      </w:r>
      <w:r/>
    </w:p>
    <w:p>
      <w:pPr>
        <w:pStyle w:val="911"/>
        <w:ind w:firstLine="480"/>
        <w:pageBreakBefore w:val="0"/>
        <w:spacing w:line="440" w:lineRule="exact"/>
        <w:rPr>
          <w:rFonts w:hint="eastAsia" w:ascii="宋体" w:hAnsi="宋体"/>
          <w:color w:val="auto"/>
          <w:sz w:val="24"/>
          <w:highlight w:val="none"/>
        </w:rPr>
      </w:pPr>
      <w:r>
        <w:rPr>
          <w:rFonts w:hint="eastAsia" w:ascii="宋体" w:hAnsi="宋体"/>
          <w:color w:val="auto"/>
          <w:sz w:val="24"/>
          <w:highlight w:val="none"/>
          <w:lang w:val="zh-CN"/>
        </w:rPr>
        <w:t xml:space="preserve">（3）与采购人、其他供应商或者采购代理机构恶意串通的；</w:t>
      </w:r>
      <w:r>
        <w:rPr>
          <w:color w:val="auto"/>
        </w:rPr>
      </w:r>
      <w:r/>
    </w:p>
    <w:p>
      <w:pPr>
        <w:pStyle w:val="911"/>
        <w:ind w:firstLine="480"/>
        <w:pageBreakBefore w:val="0"/>
        <w:spacing w:line="440" w:lineRule="exact"/>
        <w:rPr>
          <w:rFonts w:hint="eastAsia" w:ascii="宋体" w:hAnsi="宋体"/>
          <w:color w:val="auto"/>
          <w:sz w:val="24"/>
          <w:highlight w:val="none"/>
        </w:rPr>
      </w:pPr>
      <w:r>
        <w:rPr>
          <w:rFonts w:hint="eastAsia" w:ascii="宋体" w:hAnsi="宋体"/>
          <w:color w:val="auto"/>
          <w:sz w:val="24"/>
          <w:highlight w:val="none"/>
          <w:lang w:val="zh-CN"/>
        </w:rPr>
        <w:t xml:space="preserve">（4）向采购人、采购代理机构行贿或者提供其他不正当利益的；</w:t>
      </w:r>
      <w:r>
        <w:rPr>
          <w:color w:val="auto"/>
        </w:rPr>
      </w:r>
      <w:r/>
    </w:p>
    <w:p>
      <w:pPr>
        <w:pStyle w:val="911"/>
        <w:ind w:firstLine="480"/>
        <w:pageBreakBefore w:val="0"/>
        <w:spacing w:line="440" w:lineRule="exact"/>
        <w:rPr>
          <w:rFonts w:hint="eastAsia" w:ascii="宋体" w:hAnsi="宋体"/>
          <w:color w:val="auto"/>
          <w:sz w:val="24"/>
          <w:highlight w:val="none"/>
        </w:rPr>
      </w:pPr>
      <w:r>
        <w:rPr>
          <w:rFonts w:hint="eastAsia" w:ascii="宋体" w:hAnsi="宋体"/>
          <w:color w:val="auto"/>
          <w:sz w:val="24"/>
          <w:highlight w:val="none"/>
          <w:lang w:val="zh-CN"/>
        </w:rPr>
        <w:t xml:space="preserve">（5）在招标采购过程中与采购人进行协商谈判的；</w:t>
      </w:r>
      <w:r>
        <w:rPr>
          <w:color w:val="auto"/>
        </w:rPr>
      </w:r>
      <w:r/>
    </w:p>
    <w:p>
      <w:pPr>
        <w:pStyle w:val="911"/>
        <w:ind w:firstLine="480"/>
        <w:pageBreakBefore w:val="0"/>
        <w:spacing w:line="440" w:lineRule="exact"/>
        <w:rPr>
          <w:rFonts w:hint="eastAsia" w:ascii="宋体" w:hAnsi="宋体"/>
          <w:color w:val="auto"/>
          <w:sz w:val="24"/>
          <w:highlight w:val="none"/>
        </w:rPr>
      </w:pPr>
      <w:r>
        <w:rPr>
          <w:rFonts w:hint="eastAsia" w:ascii="宋体" w:hAnsi="宋体"/>
          <w:color w:val="auto"/>
          <w:sz w:val="24"/>
          <w:highlight w:val="none"/>
          <w:lang w:val="zh-CN"/>
        </w:rPr>
        <w:t xml:space="preserve">（6）向评标委员会行贿或者提供其他不正当利益。</w:t>
      </w:r>
      <w:r>
        <w:rPr>
          <w:color w:val="auto"/>
        </w:rPr>
      </w:r>
      <w:r/>
    </w:p>
    <w:p>
      <w:pPr>
        <w:pStyle w:val="911"/>
        <w:ind w:firstLine="560"/>
        <w:keepLines/>
        <w:keepNext/>
        <w:pageBreakBefore w:val="0"/>
        <w:spacing w:line="440" w:lineRule="exact"/>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29、质疑</w:t>
      </w:r>
      <w:r>
        <w:rPr>
          <w:color w:val="auto"/>
        </w:rPr>
      </w:r>
      <w:r/>
    </w:p>
    <w:p>
      <w:pPr>
        <w:pStyle w:val="911"/>
        <w:ind w:firstLine="48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29.1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color w:val="auto"/>
        </w:rPr>
      </w:r>
      <w:r/>
    </w:p>
    <w:p>
      <w:pPr>
        <w:pStyle w:val="911"/>
        <w:ind w:firstLine="48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29.2本次招标文件要求供应商在法定质疑期内一次性提出针对同一采购程序环节的质疑，否则不予受理。</w:t>
      </w:r>
      <w:r>
        <w:rPr>
          <w:color w:val="auto"/>
        </w:rPr>
      </w:r>
      <w:r/>
    </w:p>
    <w:p>
      <w:pPr>
        <w:pStyle w:val="911"/>
        <w:ind w:firstLine="48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29.3供应商提出质疑应当提交质疑函和必要的证明材料，质疑函应当包括下列内容：</w:t>
      </w:r>
      <w:r>
        <w:rPr>
          <w:color w:val="auto"/>
        </w:rPr>
      </w:r>
      <w:r/>
    </w:p>
    <w:p>
      <w:pPr>
        <w:pStyle w:val="911"/>
        <w:ind w:firstLine="48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（1）供应商的姓名或者名称（以提供的营业执照副本复印件为准）、地址、邮编、联系人及联系电话；</w:t>
      </w:r>
      <w:r>
        <w:rPr>
          <w:color w:val="auto"/>
        </w:rPr>
      </w:r>
      <w:r/>
    </w:p>
    <w:p>
      <w:pPr>
        <w:pStyle w:val="911"/>
        <w:ind w:firstLine="48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（2）质疑项目的名称、编号；</w:t>
      </w:r>
      <w:r>
        <w:rPr>
          <w:color w:val="auto"/>
        </w:rPr>
      </w:r>
      <w:r/>
    </w:p>
    <w:p>
      <w:pPr>
        <w:pStyle w:val="911"/>
        <w:ind w:firstLine="48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（3）具体、明确的质疑事项和与质疑事项相关的请求；</w:t>
      </w:r>
      <w:r>
        <w:rPr>
          <w:color w:val="auto"/>
        </w:rPr>
      </w:r>
      <w:r/>
    </w:p>
    <w:p>
      <w:pPr>
        <w:pStyle w:val="911"/>
        <w:ind w:firstLine="48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（4）事实依据；</w:t>
      </w:r>
      <w:r>
        <w:rPr>
          <w:color w:val="auto"/>
        </w:rPr>
      </w:r>
      <w:r/>
    </w:p>
    <w:p>
      <w:pPr>
        <w:pStyle w:val="911"/>
        <w:ind w:firstLine="48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（5）必要的法律依据；</w:t>
      </w:r>
      <w:r>
        <w:rPr>
          <w:color w:val="auto"/>
        </w:rPr>
      </w:r>
      <w:r/>
    </w:p>
    <w:p>
      <w:pPr>
        <w:pStyle w:val="911"/>
        <w:ind w:firstLine="48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（6）提出质疑的日期。</w:t>
      </w:r>
      <w:r>
        <w:rPr>
          <w:color w:val="auto"/>
        </w:rPr>
      </w:r>
      <w:r/>
    </w:p>
    <w:p>
      <w:pPr>
        <w:pStyle w:val="911"/>
        <w:ind w:firstLine="48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color w:val="auto"/>
        </w:rPr>
      </w:r>
      <w:r/>
    </w:p>
    <w:p>
      <w:pPr>
        <w:pStyle w:val="911"/>
        <w:ind w:firstLine="482"/>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供应商提交的质疑函必须按照《政府采购供应商质疑函范本》要求的格式和内容进行填写，质疑函范本下载网址详见链接：https://czju.suzhou.gov.cn/zfcg/html/content/20180305093615738.shtml。</w:t>
      </w:r>
      <w:r>
        <w:rPr>
          <w:color w:val="auto"/>
        </w:rPr>
      </w:r>
      <w:r/>
    </w:p>
    <w:p>
      <w:pPr>
        <w:pStyle w:val="911"/>
        <w:ind w:firstLine="480"/>
        <w:pageBreakBefore w:val="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29.4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rPr>
          <w:color w:val="auto"/>
        </w:rPr>
      </w:r>
      <w:r/>
    </w:p>
    <w:p>
      <w:pPr>
        <w:pStyle w:val="911"/>
        <w:ind w:firstLine="480"/>
        <w:pageBreakBefore w:val="0"/>
        <w:spacing w:line="440" w:lineRule="exact"/>
        <w:rPr>
          <w:rFonts w:hint="eastAsia" w:ascii="宋体" w:hAnsi="宋体"/>
          <w:color w:val="auto"/>
          <w:sz w:val="24"/>
          <w:highlight w:val="none"/>
        </w:rPr>
      </w:pPr>
      <w:r>
        <w:rPr>
          <w:rFonts w:hint="eastAsia" w:ascii="宋体" w:hAnsi="宋体" w:cs="宋体"/>
          <w:color w:val="auto"/>
          <w:sz w:val="24"/>
          <w:szCs w:val="24"/>
          <w:highlight w:val="none"/>
          <w:lang w:val="en-US" w:eastAsia="zh-CN"/>
        </w:rPr>
        <w:t xml:space="preserve">29.5接收质疑函的方式：书面形式（当场送达或邮寄方式），具体联系方式祥见招标公告</w:t>
      </w:r>
      <w:r>
        <w:rPr>
          <w:rFonts w:hint="eastAsia" w:ascii="宋体" w:hAnsi="宋体"/>
          <w:color w:val="auto"/>
          <w:sz w:val="24"/>
          <w:highlight w:val="none"/>
        </w:rPr>
        <w:t xml:space="preserve">。</w:t>
      </w:r>
      <w:r>
        <w:rPr>
          <w:color w:val="auto"/>
        </w:rPr>
      </w:r>
      <w:r/>
    </w:p>
    <w:p>
      <w:pPr>
        <w:pStyle w:val="915"/>
        <w:ind w:left="0" w:firstLine="480"/>
        <w:pageBreakBefore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 以下情形的质疑不予受理</w:t>
      </w:r>
      <w:r>
        <w:rPr>
          <w:color w:val="auto"/>
        </w:rPr>
      </w:r>
      <w:r/>
    </w:p>
    <w:p>
      <w:pPr>
        <w:pStyle w:val="915"/>
        <w:ind w:left="0" w:firstLine="480"/>
        <w:pageBreakBefore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.1 内容不符合《政府采购质疑和投诉办法》第十二条规定的质疑。</w:t>
      </w:r>
      <w:r>
        <w:rPr>
          <w:color w:val="auto"/>
        </w:rPr>
      </w:r>
      <w:r/>
    </w:p>
    <w:p>
      <w:pPr>
        <w:pStyle w:val="915"/>
        <w:ind w:left="0" w:firstLine="480"/>
        <w:pageBreakBefore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.2 超出政府采购法定期限的质疑。</w:t>
      </w:r>
      <w:r>
        <w:rPr>
          <w:color w:val="auto"/>
        </w:rPr>
      </w:r>
      <w:r/>
    </w:p>
    <w:p>
      <w:pPr>
        <w:pStyle w:val="915"/>
        <w:ind w:left="0" w:firstLine="480"/>
        <w:pageBreakBefore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.3 以传真、电子邮件等方式递交的非原件形式的质疑。</w:t>
      </w:r>
      <w:r>
        <w:rPr>
          <w:color w:val="auto"/>
        </w:rPr>
      </w:r>
      <w:r/>
    </w:p>
    <w:p>
      <w:pPr>
        <w:pStyle w:val="915"/>
        <w:ind w:left="0" w:firstLine="480"/>
        <w:pageBreakBefore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.4 未参加投标活动的供应商或在投标活动中自身权益未受到损害的供应商所提出的质疑。</w:t>
      </w:r>
      <w:r>
        <w:rPr>
          <w:color w:val="auto"/>
        </w:rPr>
      </w:r>
      <w:r/>
    </w:p>
    <w:p>
      <w:pPr>
        <w:pStyle w:val="915"/>
        <w:ind w:left="0" w:firstLine="480"/>
        <w:pageBreakBefore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.5供应商组成联合体参加投标，联合体中任何一方或多方未按要求签字、盖章、加盖公章的质疑。</w:t>
      </w:r>
      <w:r>
        <w:rPr>
          <w:color w:val="auto"/>
        </w:rPr>
      </w:r>
      <w:r/>
    </w:p>
    <w:p>
      <w:pPr>
        <w:pStyle w:val="915"/>
        <w:ind w:left="0" w:firstLine="480"/>
        <w:pageBreakBefore w:val="0"/>
        <w:spacing w:line="440" w:lineRule="exact"/>
        <w:rPr>
          <w:rFonts w:hint="eastAsia"/>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color w:val="auto"/>
        </w:rPr>
      </w:r>
      <w:r/>
    </w:p>
    <w:p>
      <w:pPr>
        <w:pStyle w:val="911"/>
        <w:ind w:firstLine="560"/>
        <w:keepLines/>
        <w:keepNext/>
        <w:pageBreakBefore w:val="0"/>
        <w:spacing w:line="440" w:lineRule="exact"/>
        <w:rPr>
          <w:rFonts w:ascii="宋体" w:hAnsi="宋体" w:cs="宋体"/>
          <w:color w:val="auto"/>
          <w:sz w:val="28"/>
          <w:szCs w:val="28"/>
          <w:highlight w:val="none"/>
        </w:rPr>
        <w:outlineLvl w:val="3"/>
      </w:pPr>
      <w:r>
        <w:rPr>
          <w:rFonts w:hint="eastAsia" w:ascii="宋体" w:hAnsi="宋体" w:cs="宋体"/>
          <w:color w:val="auto"/>
          <w:sz w:val="28"/>
          <w:szCs w:val="28"/>
          <w:highlight w:val="none"/>
        </w:rPr>
        <w:t xml:space="preserve">30、中标通知书</w:t>
      </w:r>
      <w:r>
        <w:rPr>
          <w:color w:val="auto"/>
        </w:rPr>
      </w:r>
      <w:r/>
    </w:p>
    <w:p>
      <w:pPr>
        <w:pStyle w:val="911"/>
        <w:ind w:firstLine="480"/>
        <w:pageBreakBefore w:val="0"/>
        <w:spacing w:line="440" w:lineRule="exact"/>
        <w:rPr>
          <w:rFonts w:hint="eastAsia" w:ascii="宋体" w:hAnsi="宋体"/>
          <w:color w:val="auto"/>
          <w:sz w:val="24"/>
          <w:szCs w:val="24"/>
          <w:highlight w:val="none"/>
        </w:rPr>
      </w:pPr>
      <w:r>
        <w:rPr>
          <w:rFonts w:hint="eastAsia" w:ascii="宋体" w:hAnsi="宋体"/>
          <w:color w:val="auto"/>
          <w:sz w:val="24"/>
          <w:highlight w:val="none"/>
        </w:rPr>
        <w:t xml:space="preserve">30.l在中标结果确定后2个工作日内，</w:t>
      </w:r>
      <w:bookmarkStart w:id="189" w:name="EB74ca8e7cbd0c43048dde3bacda3415fd"/>
      <w:r>
        <w:rPr>
          <w:rFonts w:hint="eastAsia" w:ascii="宋体" w:hAnsi="宋体"/>
          <w:color w:val="auto"/>
          <w:sz w:val="24"/>
          <w:highlight w:val="none"/>
        </w:rPr>
        <w:t xml:space="preserve">张家港市金浩源招投标代理有限公司</w:t>
      </w:r>
      <w:bookmarkEnd w:id="189"/>
      <w:r>
        <w:rPr>
          <w:rFonts w:hint="eastAsia" w:ascii="宋体" w:hAnsi="宋体"/>
          <w:color w:val="auto"/>
          <w:sz w:val="24"/>
          <w:highlight w:val="none"/>
        </w:rPr>
        <w:t xml:space="preserve">向中标供应商发出中标通知书。</w:t>
      </w:r>
      <w:r>
        <w:rPr>
          <w:color w:val="auto"/>
        </w:rPr>
      </w:r>
      <w:r/>
    </w:p>
    <w:p>
      <w:pPr>
        <w:pStyle w:val="911"/>
        <w:ind w:firstLine="480"/>
        <w:pageBreakBefore w:val="0"/>
        <w:spacing w:line="440" w:lineRule="exact"/>
        <w:rPr>
          <w:rFonts w:hint="eastAsia" w:ascii="宋体" w:hAnsi="宋体"/>
          <w:color w:val="auto"/>
          <w:sz w:val="24"/>
          <w:highlight w:val="none"/>
        </w:rPr>
      </w:pPr>
      <w:r>
        <w:rPr>
          <w:rFonts w:hint="eastAsia" w:ascii="宋体" w:hAnsi="宋体"/>
          <w:color w:val="auto"/>
          <w:sz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rPr>
          <w:color w:val="auto"/>
        </w:rPr>
      </w:r>
      <w:r/>
    </w:p>
    <w:p>
      <w:pPr>
        <w:pStyle w:val="912"/>
        <w:jc w:val="left"/>
        <w:rPr>
          <w:rFonts w:hint="eastAsia" w:ascii="宋体" w:hAnsi="宋体" w:eastAsia="宋体" w:cs="宋体"/>
          <w:b w:val="0"/>
          <w:bCs w:val="0"/>
          <w:color w:val="auto"/>
          <w:sz w:val="28"/>
          <w:szCs w:val="28"/>
          <w:highlight w:val="none"/>
        </w:rPr>
      </w:pPr>
      <w:r>
        <w:rPr>
          <w:color w:val="auto"/>
        </w:rPr>
      </w:r>
      <w:bookmarkStart w:id="190" w:name="_Toc25514"/>
      <w:r>
        <w:rPr>
          <w:rFonts w:hint="eastAsia" w:ascii="宋体" w:hAnsi="宋体" w:eastAsia="宋体" w:cs="宋体"/>
          <w:b w:val="0"/>
          <w:bCs w:val="0"/>
          <w:color w:val="auto"/>
          <w:sz w:val="28"/>
          <w:szCs w:val="28"/>
          <w:highlight w:val="none"/>
        </w:rPr>
        <w:t xml:space="preserve">七、授予合同</w:t>
      </w:r>
      <w:bookmarkEnd w:id="190"/>
      <w:r>
        <w:rPr>
          <w:color w:val="auto"/>
        </w:rPr>
      </w:r>
      <w:r/>
    </w:p>
    <w:p>
      <w:pPr>
        <w:pStyle w:val="911"/>
        <w:ind w:firstLine="560"/>
        <w:keepLines/>
        <w:keepNext/>
        <w:pageBreakBefore w:val="0"/>
        <w:spacing w:line="440" w:lineRule="exact"/>
        <w:rPr>
          <w:rFonts w:hint="eastAsia" w:ascii="宋体" w:hAnsi="宋体" w:cs="Arial"/>
          <w:bCs/>
          <w:color w:val="auto"/>
          <w:sz w:val="28"/>
          <w:szCs w:val="28"/>
          <w:highlight w:val="none"/>
        </w:rPr>
        <w:outlineLvl w:val="3"/>
      </w:pPr>
      <w:r>
        <w:rPr>
          <w:rFonts w:hint="eastAsia" w:ascii="宋体" w:hAnsi="宋体" w:cs="Arial"/>
          <w:bCs/>
          <w:color w:val="auto"/>
          <w:sz w:val="28"/>
          <w:szCs w:val="28"/>
          <w:highlight w:val="none"/>
        </w:rPr>
        <w:t xml:space="preserve">31. 签订合同</w:t>
      </w:r>
      <w:r>
        <w:rPr>
          <w:color w:val="auto"/>
        </w:rPr>
      </w:r>
      <w:r/>
    </w:p>
    <w:p>
      <w:pPr>
        <w:pStyle w:val="911"/>
        <w:ind w:firstLine="480"/>
        <w:pageBreakBefore w:val="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31.l中标人应按中标通知书规定的时间、地点,按照招标文件确定的事项与采购人签订政府采购合同，且原则上不得迟于中标通知书发出之日起十五日，否则给采购人造成损失的，中标人应承担赔偿责任。</w:t>
      </w:r>
      <w:r>
        <w:rPr>
          <w:color w:val="auto"/>
        </w:rPr>
      </w:r>
      <w:r/>
    </w:p>
    <w:p>
      <w:pPr>
        <w:pStyle w:val="911"/>
        <w:ind w:firstLine="480"/>
        <w:pageBreakBefore w:val="0"/>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31.2 招标文件、中标人的投标文件及招标过程中有关澄清、承诺文件均应作为合同附件。</w:t>
      </w:r>
      <w:r>
        <w:rPr>
          <w:color w:val="auto"/>
        </w:rPr>
      </w:r>
      <w:r/>
    </w:p>
    <w:p>
      <w:pPr>
        <w:pStyle w:val="911"/>
        <w:ind w:firstLine="480"/>
        <w:pageBreakBefore w:val="0"/>
        <w:spacing w:line="440" w:lineRule="exact"/>
        <w:rPr>
          <w:rFonts w:hint="eastAsia" w:ascii="宋体" w:hAnsi="宋体"/>
          <w:color w:val="auto"/>
          <w:sz w:val="24"/>
          <w:highlight w:val="none"/>
        </w:rPr>
      </w:pPr>
      <w:r>
        <w:rPr>
          <w:rFonts w:hint="eastAsia" w:ascii="宋体" w:hAnsi="宋体"/>
          <w:bCs/>
          <w:color w:val="auto"/>
          <w:sz w:val="24"/>
          <w:highlight w:val="none"/>
        </w:rPr>
        <w:t xml:space="preserve">31.3 签订合同后，中标人不得将货物及其他相关服务进行转包和分包</w:t>
      </w:r>
      <w:r>
        <w:rPr>
          <w:rFonts w:hint="eastAsia" w:ascii="宋体" w:hAnsi="宋体"/>
          <w:color w:val="auto"/>
          <w:sz w:val="24"/>
          <w:highlight w:val="none"/>
        </w:rPr>
        <w:t xml:space="preserve">。</w:t>
      </w:r>
      <w:r>
        <w:rPr>
          <w:color w:val="auto"/>
        </w:rPr>
      </w:r>
      <w:r/>
    </w:p>
    <w:p>
      <w:pPr>
        <w:pStyle w:val="911"/>
        <w:ind w:firstLine="560"/>
        <w:keepLines/>
        <w:keepNext/>
        <w:pageBreakBefore w:val="0"/>
        <w:spacing w:line="440" w:lineRule="exact"/>
        <w:rPr>
          <w:rFonts w:hint="eastAsia" w:ascii="宋体" w:hAnsi="宋体" w:cs="Arial"/>
          <w:bCs/>
          <w:color w:val="auto"/>
          <w:sz w:val="28"/>
          <w:szCs w:val="28"/>
          <w:highlight w:val="none"/>
        </w:rPr>
        <w:outlineLvl w:val="3"/>
      </w:pPr>
      <w:r>
        <w:rPr>
          <w:rFonts w:hint="eastAsia" w:ascii="宋体" w:hAnsi="宋体" w:cs="Arial"/>
          <w:bCs/>
          <w:color w:val="auto"/>
          <w:sz w:val="28"/>
          <w:szCs w:val="28"/>
          <w:highlight w:val="none"/>
        </w:rPr>
        <w:t xml:space="preserve">32、履约保证金</w:t>
      </w:r>
      <w:r>
        <w:rPr>
          <w:color w:val="auto"/>
        </w:rPr>
      </w:r>
      <w:r/>
    </w:p>
    <w:p>
      <w:pPr>
        <w:pStyle w:val="1041"/>
        <w:ind w:firstLine="500"/>
        <w:pageBreakBefore w:val="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32.1 合同签订前，中标人向采购单位交付的履约保证金为合同总价款 2％。</w:t>
      </w:r>
      <w:r>
        <w:rPr>
          <w:color w:val="auto"/>
        </w:rPr>
      </w:r>
      <w:r/>
    </w:p>
    <w:p>
      <w:pPr>
        <w:pStyle w:val="911"/>
        <w:ind w:firstLine="480"/>
        <w:pageBreakBefore w:val="0"/>
        <w:spacing w:line="440" w:lineRule="exact"/>
        <w:widowControl w:val="off"/>
        <w:rPr>
          <w:rFonts w:hint="eastAsia" w:ascii="宋体" w:hAnsi="宋体"/>
          <w:bCs/>
          <w:color w:val="auto"/>
          <w:sz w:val="24"/>
          <w:highlight w:val="none"/>
        </w:rPr>
      </w:pPr>
      <w:r>
        <w:rPr>
          <w:color w:val="auto"/>
        </w:rPr>
      </w:r>
      <w:bookmarkStart w:id="191" w:name="EB8c6891da72364e93a7598f4884fbe954"/>
      <w:r>
        <w:rPr>
          <w:color w:val="auto"/>
        </w:rPr>
      </w:r>
      <w:bookmarkEnd w:id="191"/>
      <w:r>
        <w:rPr>
          <w:rFonts w:hint="eastAsia" w:ascii="宋体" w:hAnsi="宋体"/>
          <w:bCs/>
          <w:color w:val="auto"/>
          <w:sz w:val="24"/>
          <w:highlight w:val="none"/>
        </w:rPr>
        <w:t xml:space="preserve">32.2 履约保证金必须是人民币。</w:t>
      </w:r>
      <w:r>
        <w:rPr>
          <w:rFonts w:hint="eastAsia" w:ascii="宋体" w:hAnsi="宋体"/>
          <w:color w:val="auto"/>
          <w:sz w:val="24"/>
          <w:highlight w:val="none"/>
        </w:rPr>
        <w:t xml:space="preserve">履约保证金应当以支票、汇票、本票或者金融机构、担保机构出具的保函等非现金形式提交。</w:t>
      </w:r>
      <w:r>
        <w:rPr>
          <w:color w:val="auto"/>
        </w:rPr>
      </w:r>
      <w:r/>
    </w:p>
    <w:p>
      <w:pPr>
        <w:pStyle w:val="911"/>
        <w:ind w:firstLine="560"/>
        <w:keepLines/>
        <w:keepNext/>
        <w:pageBreakBefore w:val="0"/>
        <w:spacing w:line="440" w:lineRule="exact"/>
        <w:widowControl w:val="off"/>
        <w:rPr>
          <w:rFonts w:hint="eastAsia" w:ascii="宋体" w:hAnsi="宋体" w:cs="Arial"/>
          <w:bCs/>
          <w:color w:val="auto"/>
          <w:sz w:val="28"/>
          <w:szCs w:val="28"/>
          <w:highlight w:val="none"/>
        </w:rPr>
        <w:outlineLvl w:val="3"/>
      </w:pPr>
      <w:r>
        <w:rPr>
          <w:rFonts w:hint="eastAsia" w:ascii="宋体" w:hAnsi="宋体" w:cs="Arial"/>
          <w:bCs/>
          <w:color w:val="auto"/>
          <w:sz w:val="28"/>
          <w:szCs w:val="28"/>
          <w:highlight w:val="none"/>
        </w:rPr>
        <w:t xml:space="preserve">33、货物和服务的追加、减少和添购。</w:t>
      </w:r>
      <w:r>
        <w:rPr>
          <w:color w:val="auto"/>
        </w:rPr>
      </w:r>
      <w:r/>
    </w:p>
    <w:p>
      <w:pPr>
        <w:pStyle w:val="911"/>
        <w:ind w:firstLine="48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rPr>
          <w:color w:val="auto"/>
        </w:rPr>
      </w:r>
      <w:r/>
    </w:p>
    <w:p>
      <w:pPr>
        <w:pStyle w:val="911"/>
        <w:ind w:firstLine="48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33.2采购结束后，采购人若由于各种客观原因，必须对采购项目所牵涉的货物和服务进行适当的减少时，在双方协商一致的前提下，可以按照招标采购时的价格水平做相应的调减，并据此签订补充合同。</w:t>
      </w:r>
      <w:r>
        <w:rPr>
          <w:color w:val="auto"/>
        </w:rPr>
      </w:r>
      <w:r/>
    </w:p>
    <w:p>
      <w:pPr>
        <w:pStyle w:val="911"/>
        <w:ind w:firstLine="560"/>
        <w:keepLines/>
        <w:keepNext/>
        <w:pageBreakBefore w:val="0"/>
        <w:spacing w:line="440" w:lineRule="exact"/>
        <w:widowControl w:val="off"/>
        <w:rPr>
          <w:rFonts w:hint="eastAsia" w:ascii="宋体" w:hAnsi="宋体" w:cs="Arial"/>
          <w:bCs/>
          <w:color w:val="auto"/>
          <w:sz w:val="28"/>
          <w:szCs w:val="28"/>
          <w:highlight w:val="none"/>
        </w:rPr>
        <w:outlineLvl w:val="3"/>
      </w:pPr>
      <w:r>
        <w:rPr>
          <w:rFonts w:hint="eastAsia" w:ascii="宋体" w:hAnsi="宋体" w:cs="宋体"/>
          <w:bCs/>
          <w:color w:val="auto"/>
          <w:sz w:val="28"/>
          <w:szCs w:val="28"/>
          <w:highlight w:val="none"/>
        </w:rPr>
        <w:t xml:space="preserve">34、监督和公证</w:t>
      </w:r>
      <w:r>
        <w:rPr>
          <w:color w:val="auto"/>
        </w:rPr>
      </w:r>
      <w:r/>
    </w:p>
    <w:p>
      <w:pPr>
        <w:pStyle w:val="911"/>
        <w:ind w:firstLine="480"/>
        <w:pageBreakBefore w:val="0"/>
        <w:spacing w:line="440" w:lineRule="exact"/>
        <w:widowControl w:val="off"/>
        <w:rPr>
          <w:rFonts w:hint="eastAsia" w:ascii="宋体" w:hAnsi="宋体" w:eastAsia="宋体" w:cs="宋体"/>
          <w:bCs/>
          <w:color w:val="auto"/>
          <w:sz w:val="24"/>
          <w:highlight w:val="none"/>
        </w:rPr>
      </w:pPr>
      <w:r>
        <w:rPr>
          <w:rFonts w:hint="eastAsia" w:ascii="宋体" w:hAnsi="宋体"/>
          <w:bCs/>
          <w:color w:val="auto"/>
          <w:sz w:val="24"/>
          <w:highlight w:val="none"/>
        </w:rPr>
        <w:t xml:space="preserve">34.1政府有关监督部门将对投标全过程进行监督</w:t>
      </w:r>
      <w:r>
        <w:rPr>
          <w:rFonts w:hint="eastAsia" w:ascii="宋体" w:hAnsi="宋体" w:eastAsia="宋体" w:cs="宋体"/>
          <w:bCs/>
          <w:color w:val="auto"/>
          <w:sz w:val="24"/>
          <w:highlight w:val="none"/>
        </w:rPr>
        <w:t xml:space="preserve">。</w:t>
      </w:r>
      <w:r>
        <w:rPr>
          <w:color w:val="auto"/>
        </w:rPr>
      </w:r>
      <w:r/>
    </w:p>
    <w:p>
      <w:pPr>
        <w:pStyle w:val="911"/>
        <w:ind w:firstLine="544"/>
        <w:spacing w:line="360" w:lineRule="auto"/>
        <w:rPr>
          <w:rFonts w:hint="eastAsia" w:ascii="宋体" w:hAnsi="宋体" w:eastAsia="宋体" w:cs="宋体"/>
          <w:color w:val="auto"/>
          <w:sz w:val="24"/>
          <w:szCs w:val="24"/>
          <w:highlight w:val="none"/>
        </w:rPr>
      </w:pPr>
      <w:r>
        <w:rPr>
          <w:color w:val="auto"/>
        </w:rPr>
      </w:r>
      <w:bookmarkStart w:id="192" w:name="EB0f9f45dd5e234a13a81c333deb906690"/>
      <w:r>
        <w:rPr>
          <w:color w:val="auto"/>
        </w:rPr>
      </w:r>
      <w:bookmarkEnd w:id="192"/>
      <w:r>
        <w:rPr>
          <w:color w:val="auto"/>
        </w:rPr>
      </w:r>
      <w:r/>
    </w:p>
    <w:p>
      <w:pPr>
        <w:pStyle w:val="927"/>
        <w:pageBreakBefore/>
        <w:spacing w:line="360" w:lineRule="auto"/>
        <w:rPr>
          <w:rFonts w:hint="eastAsia" w:ascii="宋体" w:hAnsi="宋体" w:eastAsia="宋体" w:cs="宋体"/>
          <w:color w:val="auto"/>
          <w:highlight w:val="none"/>
        </w:rPr>
      </w:pPr>
      <w:r>
        <w:rPr>
          <w:color w:val="auto"/>
        </w:rPr>
      </w:r>
      <w:bookmarkStart w:id="193" w:name="_Toc35266027"/>
      <w:r>
        <w:rPr>
          <w:color w:val="auto"/>
        </w:rPr>
      </w:r>
      <w:bookmarkStart w:id="194" w:name="_Toc38368127"/>
      <w:r>
        <w:rPr>
          <w:color w:val="auto"/>
        </w:rPr>
      </w:r>
      <w:bookmarkStart w:id="195" w:name="_Toc54615245"/>
      <w:r>
        <w:rPr>
          <w:color w:val="auto"/>
        </w:rPr>
      </w:r>
      <w:bookmarkStart w:id="196" w:name="_Toc4684"/>
      <w:r>
        <w:rPr>
          <w:rFonts w:hint="eastAsia" w:ascii="宋体" w:hAnsi="宋体" w:eastAsia="宋体" w:cs="宋体"/>
          <w:color w:val="auto"/>
          <w:highlight w:val="none"/>
        </w:rPr>
        <w:t xml:space="preserve">第三章 合同条款及</w:t>
      </w:r>
      <w:bookmarkEnd w:id="40"/>
      <w:r>
        <w:rPr>
          <w:color w:val="auto"/>
        </w:rPr>
      </w:r>
      <w:bookmarkEnd w:id="41"/>
      <w:r>
        <w:rPr>
          <w:color w:val="auto"/>
        </w:rPr>
      </w:r>
      <w:bookmarkEnd w:id="42"/>
      <w:r>
        <w:rPr>
          <w:color w:val="auto"/>
        </w:rPr>
      </w:r>
      <w:bookmarkEnd w:id="43"/>
      <w:r>
        <w:rPr>
          <w:color w:val="auto"/>
        </w:rPr>
      </w:r>
      <w:bookmarkEnd w:id="44"/>
      <w:r>
        <w:rPr>
          <w:rFonts w:hint="eastAsia" w:ascii="宋体" w:hAnsi="宋体" w:eastAsia="宋体" w:cs="宋体"/>
          <w:color w:val="auto"/>
          <w:highlight w:val="none"/>
        </w:rPr>
        <w:t xml:space="preserve">格式</w:t>
      </w:r>
      <w:bookmarkEnd w:id="193"/>
      <w:r>
        <w:rPr>
          <w:color w:val="auto"/>
        </w:rPr>
      </w:r>
      <w:bookmarkEnd w:id="194"/>
      <w:r>
        <w:rPr>
          <w:color w:val="auto"/>
        </w:rPr>
      </w:r>
      <w:bookmarkEnd w:id="195"/>
      <w:r>
        <w:rPr>
          <w:color w:val="auto"/>
        </w:rPr>
      </w:r>
      <w:bookmarkEnd w:id="196"/>
      <w:r>
        <w:rPr>
          <w:color w:val="auto"/>
        </w:rPr>
      </w:r>
      <w:r/>
    </w:p>
    <w:p>
      <w:pPr>
        <w:pStyle w:val="911"/>
        <w:spacing w:line="360" w:lineRule="auto"/>
        <w:rPr>
          <w:rFonts w:hint="eastAsia" w:ascii="宋体" w:hAnsi="宋体" w:eastAsia="宋体" w:cs="宋体"/>
          <w:color w:val="auto"/>
          <w:highlight w:val="none"/>
        </w:rPr>
      </w:pPr>
      <w:r>
        <w:rPr>
          <w:color w:val="auto"/>
        </w:rPr>
      </w:r>
      <w:bookmarkStart w:id="197" w:name="EB445c3bd035294764b52dfc379b7b9568"/>
      <w:r>
        <w:rPr>
          <w:color w:val="auto"/>
        </w:rPr>
      </w:r>
      <w:r/>
    </w:p>
    <w:p>
      <w:pPr>
        <w:pStyle w:val="967"/>
        <w:ind w:firstLine="480"/>
        <w:spacing w:line="360" w:lineRule="auto"/>
        <w:rPr>
          <w:rStyle w:val="913"/>
          <w:rFonts w:hint="eastAsia" w:ascii="宋体" w:hAnsi="宋体" w:eastAsia="宋体" w:cs="宋体"/>
          <w:bCs/>
          <w:color w:val="auto"/>
          <w:sz w:val="24"/>
          <w:highlight w:val="none"/>
        </w:rPr>
      </w:pPr>
      <w:r>
        <w:rPr>
          <w:rStyle w:val="913"/>
          <w:rFonts w:hint="eastAsia" w:ascii="宋体" w:hAnsi="宋体" w:eastAsia="宋体" w:cs="宋体"/>
          <w:bCs/>
          <w:color w:val="auto"/>
          <w:sz w:val="24"/>
          <w:highlight w:val="none"/>
        </w:rPr>
        <w:t xml:space="preserve">以下为中标(成交)后签定本项目合同的通用条款，中标(成交)供应商不得提出实质性的修改。</w:t>
      </w:r>
      <w:r>
        <w:rPr>
          <w:color w:val="auto"/>
        </w:rPr>
      </w:r>
      <w:r/>
    </w:p>
    <w:p>
      <w:pPr>
        <w:pStyle w:val="967"/>
        <w:ind w:firstLine="643"/>
        <w:jc w:val="center"/>
        <w:spacing w:line="360" w:lineRule="auto"/>
        <w:rPr>
          <w:rStyle w:val="913"/>
          <w:rFonts w:hint="eastAsia" w:ascii="宋体" w:hAnsi="宋体" w:eastAsia="宋体" w:cs="宋体"/>
          <w:b/>
          <w:bCs/>
          <w:color w:val="auto"/>
          <w:sz w:val="32"/>
          <w:szCs w:val="32"/>
          <w:highlight w:val="none"/>
        </w:rPr>
      </w:pPr>
      <w:r>
        <w:rPr>
          <w:rStyle w:val="913"/>
          <w:rFonts w:hint="eastAsia" w:ascii="宋体" w:hAnsi="宋体" w:eastAsia="宋体" w:cs="宋体"/>
          <w:b/>
          <w:bCs/>
          <w:color w:val="auto"/>
          <w:sz w:val="32"/>
          <w:szCs w:val="32"/>
          <w:highlight w:val="none"/>
        </w:rPr>
        <w:t xml:space="preserve">张家港市政府采购合同</w:t>
      </w:r>
      <w:r>
        <w:rPr>
          <w:color w:val="auto"/>
        </w:rPr>
      </w:r>
      <w:r/>
    </w:p>
    <w:p>
      <w:pPr>
        <w:pStyle w:val="967"/>
        <w:ind w:firstLine="480"/>
        <w:spacing w:line="360" w:lineRule="auto"/>
        <w:rPr>
          <w:rStyle w:val="913"/>
          <w:rFonts w:hint="eastAsia" w:ascii="宋体" w:hAnsi="宋体" w:eastAsia="宋体" w:cs="宋体"/>
          <w:color w:val="auto"/>
          <w:sz w:val="24"/>
          <w:highlight w:val="none"/>
        </w:rPr>
      </w:pPr>
      <w:r>
        <w:rPr>
          <w:rStyle w:val="913"/>
          <w:rFonts w:hint="eastAsia" w:ascii="宋体" w:hAnsi="宋体" w:eastAsia="宋体" w:cs="宋体"/>
          <w:color w:val="auto"/>
          <w:sz w:val="24"/>
          <w:highlight w:val="none"/>
        </w:rPr>
        <w:t xml:space="preserve">项目名称：</w:t>
      </w:r>
      <w:bookmarkStart w:id="198" w:name="biaoduanname_1"/>
      <w:r>
        <w:rPr>
          <w:rStyle w:val="913"/>
          <w:rFonts w:hint="eastAsia" w:ascii="宋体" w:hAnsi="宋体" w:eastAsia="宋体" w:cs="宋体"/>
          <w:color w:val="auto"/>
          <w:sz w:val="24"/>
          <w:highlight w:val="none"/>
        </w:rPr>
        <w:t xml:space="preserve">             </w:t>
      </w:r>
      <w:bookmarkEnd w:id="198"/>
      <w:r>
        <w:rPr>
          <w:rStyle w:val="913"/>
          <w:rFonts w:hint="eastAsia" w:ascii="宋体" w:hAnsi="宋体" w:eastAsia="宋体" w:cs="宋体"/>
          <w:color w:val="auto"/>
          <w:sz w:val="24"/>
          <w:highlight w:val="none"/>
        </w:rPr>
        <w:t xml:space="preserve">               项目编号：</w:t>
      </w:r>
      <w:bookmarkStart w:id="199" w:name="projectno"/>
      <w:r>
        <w:rPr>
          <w:rStyle w:val="913"/>
          <w:rFonts w:hint="eastAsia" w:ascii="宋体" w:hAnsi="宋体" w:eastAsia="宋体" w:cs="宋体"/>
          <w:color w:val="auto"/>
          <w:sz w:val="24"/>
          <w:highlight w:val="none"/>
        </w:rPr>
        <w:t xml:space="preserve">           </w:t>
      </w:r>
      <w:bookmarkEnd w:id="199"/>
      <w:r>
        <w:rPr>
          <w:color w:val="auto"/>
        </w:rPr>
      </w:r>
      <w:r/>
    </w:p>
    <w:p>
      <w:pPr>
        <w:pStyle w:val="967"/>
        <w:ind w:firstLine="480"/>
        <w:spacing w:line="360" w:lineRule="auto"/>
        <w:rPr>
          <w:rStyle w:val="913"/>
          <w:rFonts w:hint="eastAsia" w:ascii="宋体" w:hAnsi="宋体" w:eastAsia="宋体" w:cs="宋体"/>
          <w:color w:val="auto"/>
          <w:sz w:val="24"/>
          <w:highlight w:val="none"/>
        </w:rPr>
      </w:pPr>
      <w:r>
        <w:rPr>
          <w:rStyle w:val="913"/>
          <w:rFonts w:hint="eastAsia" w:ascii="宋体" w:hAnsi="宋体" w:eastAsia="宋体" w:cs="宋体"/>
          <w:color w:val="auto"/>
          <w:sz w:val="24"/>
          <w:highlight w:val="none"/>
        </w:rPr>
        <w:t xml:space="preserve">甲方：（买方）</w:t>
      </w:r>
      <w:r>
        <w:rPr>
          <w:rStyle w:val="913"/>
          <w:rFonts w:hint="eastAsia" w:ascii="宋体" w:hAnsi="宋体" w:eastAsia="宋体" w:cs="宋体"/>
          <w:color w:val="auto"/>
          <w:sz w:val="24"/>
          <w:highlight w:val="none"/>
          <w:u w:val="single"/>
        </w:rPr>
        <w:t xml:space="preserve"> </w:t>
      </w:r>
      <w:bookmarkStart w:id="200" w:name="jianshedanwei_1"/>
      <w:r>
        <w:rPr>
          <w:rStyle w:val="913"/>
          <w:rFonts w:hint="eastAsia" w:ascii="宋体" w:hAnsi="宋体" w:eastAsia="宋体" w:cs="宋体"/>
          <w:color w:val="auto"/>
          <w:sz w:val="24"/>
          <w:highlight w:val="none"/>
          <w:u w:val="single"/>
        </w:rPr>
        <w:t xml:space="preserve">        </w:t>
      </w:r>
      <w:bookmarkEnd w:id="200"/>
      <w:r>
        <w:rPr>
          <w:rStyle w:val="913"/>
          <w:rFonts w:hint="eastAsia" w:ascii="宋体" w:hAnsi="宋体" w:eastAsia="宋体" w:cs="宋体"/>
          <w:color w:val="auto"/>
          <w:sz w:val="24"/>
          <w:highlight w:val="none"/>
          <w:u w:val="single"/>
        </w:rPr>
        <w:t xml:space="preserve"> </w:t>
      </w:r>
      <w:r>
        <w:rPr>
          <w:color w:val="auto"/>
        </w:rPr>
      </w:r>
      <w:r/>
    </w:p>
    <w:p>
      <w:pPr>
        <w:pStyle w:val="967"/>
        <w:ind w:firstLine="480"/>
        <w:spacing w:line="360" w:lineRule="auto"/>
        <w:rPr>
          <w:rStyle w:val="913"/>
          <w:rFonts w:hint="eastAsia" w:ascii="宋体" w:hAnsi="宋体" w:eastAsia="宋体" w:cs="宋体"/>
          <w:color w:val="auto"/>
          <w:sz w:val="24"/>
          <w:highlight w:val="none"/>
        </w:rPr>
      </w:pPr>
      <w:r>
        <w:rPr>
          <w:rStyle w:val="913"/>
          <w:rFonts w:hint="eastAsia" w:ascii="宋体" w:hAnsi="宋体" w:eastAsia="宋体" w:cs="宋体"/>
          <w:color w:val="auto"/>
          <w:sz w:val="24"/>
          <w:highlight w:val="none"/>
        </w:rPr>
        <w:t xml:space="preserve">乙方：（卖方）</w:t>
      </w:r>
      <w:r>
        <w:rPr>
          <w:rStyle w:val="913"/>
          <w:rFonts w:hint="eastAsia" w:ascii="宋体" w:hAnsi="宋体" w:eastAsia="宋体" w:cs="宋体"/>
          <w:color w:val="auto"/>
          <w:sz w:val="24"/>
          <w:highlight w:val="none"/>
          <w:u w:val="single"/>
        </w:rPr>
        <w:t xml:space="preserve"> </w:t>
      </w:r>
      <w:bookmarkStart w:id="201" w:name="zhongbiaodanweiname_1"/>
      <w:r>
        <w:rPr>
          <w:rStyle w:val="913"/>
          <w:rFonts w:hint="eastAsia" w:ascii="宋体" w:hAnsi="宋体" w:eastAsia="宋体" w:cs="宋体"/>
          <w:color w:val="auto"/>
          <w:sz w:val="24"/>
          <w:highlight w:val="none"/>
          <w:u w:val="single"/>
        </w:rPr>
        <w:t xml:space="preserve">          </w:t>
      </w:r>
      <w:bookmarkEnd w:id="201"/>
      <w:r>
        <w:rPr>
          <w:rStyle w:val="913"/>
          <w:rFonts w:hint="eastAsia" w:ascii="宋体" w:hAnsi="宋体" w:eastAsia="宋体" w:cs="宋体"/>
          <w:color w:val="auto"/>
          <w:sz w:val="24"/>
          <w:highlight w:val="none"/>
          <w:u w:val="single"/>
        </w:rPr>
        <w:t xml:space="preserve"> </w:t>
      </w:r>
      <w:r>
        <w:rPr>
          <w:color w:val="auto"/>
        </w:rPr>
      </w:r>
      <w:r/>
    </w:p>
    <w:p>
      <w:pPr>
        <w:pStyle w:val="967"/>
        <w:ind w:firstLine="480"/>
        <w:spacing w:line="360" w:lineRule="auto"/>
        <w:rPr>
          <w:rStyle w:val="913"/>
          <w:rFonts w:hint="eastAsia" w:ascii="宋体" w:hAnsi="宋体" w:eastAsia="宋体" w:cs="宋体"/>
          <w:b/>
          <w:bCs/>
          <w:color w:val="auto"/>
          <w:sz w:val="24"/>
          <w:highlight w:val="none"/>
        </w:rPr>
      </w:pPr>
      <w:r>
        <w:rPr>
          <w:rStyle w:val="913"/>
          <w:rFonts w:hint="eastAsia" w:ascii="宋体" w:hAnsi="宋体" w:eastAsia="宋体" w:cs="宋体"/>
          <w:color w:val="auto"/>
          <w:sz w:val="24"/>
          <w:highlight w:val="none"/>
        </w:rPr>
        <w:t xml:space="preserve">甲、乙双方根据</w:t>
      </w:r>
      <w:r>
        <w:rPr>
          <w:rStyle w:val="913"/>
          <w:rFonts w:hint="eastAsia" w:ascii="宋体" w:hAnsi="宋体" w:eastAsia="宋体" w:cs="宋体"/>
          <w:color w:val="auto"/>
          <w:sz w:val="24"/>
          <w:szCs w:val="24"/>
          <w:highlight w:val="none"/>
          <w:lang w:eastAsia="zh-CN"/>
        </w:rPr>
        <w:t xml:space="preserve">张家港市金浩源招投标代理有限公司</w:t>
      </w:r>
      <w:r>
        <w:rPr>
          <w:rStyle w:val="913"/>
          <w:rFonts w:hint="eastAsia" w:ascii="宋体" w:hAnsi="宋体" w:eastAsia="宋体" w:cs="宋体"/>
          <w:color w:val="auto"/>
          <w:sz w:val="24"/>
          <w:highlight w:val="none"/>
          <w:u w:val="single"/>
        </w:rPr>
        <w:t xml:space="preserve"> </w:t>
      </w:r>
      <w:bookmarkStart w:id="202" w:name="biaoduanname_2"/>
      <w:r>
        <w:rPr>
          <w:rStyle w:val="913"/>
          <w:rFonts w:hint="eastAsia" w:ascii="宋体" w:hAnsi="宋体" w:eastAsia="宋体" w:cs="宋体"/>
          <w:color w:val="auto"/>
          <w:sz w:val="24"/>
          <w:highlight w:val="none"/>
          <w:u w:val="single"/>
        </w:rPr>
        <w:t xml:space="preserve">    </w:t>
      </w:r>
      <w:bookmarkEnd w:id="202"/>
      <w:r>
        <w:rPr>
          <w:rStyle w:val="913"/>
          <w:rFonts w:hint="eastAsia" w:ascii="宋体" w:hAnsi="宋体" w:eastAsia="宋体" w:cs="宋体"/>
          <w:color w:val="auto"/>
          <w:sz w:val="24"/>
          <w:highlight w:val="none"/>
          <w:u w:val="single"/>
        </w:rPr>
        <w:t xml:space="preserve"> </w:t>
      </w:r>
      <w:r>
        <w:rPr>
          <w:rStyle w:val="913"/>
          <w:rFonts w:hint="eastAsia" w:ascii="宋体" w:hAnsi="宋体" w:eastAsia="宋体" w:cs="宋体"/>
          <w:color w:val="auto"/>
          <w:sz w:val="24"/>
          <w:highlight w:val="none"/>
        </w:rPr>
        <w:t xml:space="preserve">项目公开招标的结果，签署本合同。</w:t>
      </w:r>
      <w:r>
        <w:rPr>
          <w:color w:val="auto"/>
        </w:rPr>
      </w:r>
      <w:r/>
    </w:p>
    <w:p>
      <w:pPr>
        <w:pStyle w:val="967"/>
        <w:ind w:firstLine="482"/>
        <w:spacing w:line="360" w:lineRule="auto"/>
        <w:rPr>
          <w:rStyle w:val="913"/>
          <w:rFonts w:hint="eastAsia" w:ascii="宋体" w:hAnsi="宋体" w:eastAsia="宋体" w:cs="宋体"/>
          <w:b/>
          <w:bCs/>
          <w:color w:val="auto"/>
          <w:sz w:val="24"/>
          <w:highlight w:val="none"/>
        </w:rPr>
      </w:pPr>
      <w:r>
        <w:rPr>
          <w:rStyle w:val="913"/>
          <w:rFonts w:hint="eastAsia" w:ascii="宋体" w:hAnsi="宋体" w:eastAsia="宋体" w:cs="宋体"/>
          <w:b/>
          <w:bCs/>
          <w:color w:val="auto"/>
          <w:sz w:val="24"/>
          <w:highlight w:val="none"/>
        </w:rPr>
        <w:t xml:space="preserve">一、服务内容</w:t>
      </w:r>
      <w:r>
        <w:rPr>
          <w:color w:val="auto"/>
        </w:rPr>
      </w:r>
      <w:r/>
    </w:p>
    <w:tbl>
      <w:tblPr>
        <w:tblW w:w="7920" w:type="dxa"/>
        <w:jc w:val="center"/>
        <w:tblInd w:w="10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trHeight w:val="521"/>
        </w:trPr>
        <w:tc>
          <w:tcPr>
            <w:tcW w:w="2723" w:type="dxa"/>
            <w:vAlign w:val="center"/>
            <w:textDirection w:val="lrTb"/>
            <w:noWrap w:val="false"/>
          </w:tcPr>
          <w:p>
            <w:pPr>
              <w:pStyle w:val="967"/>
              <w:ind w:firstLine="0"/>
              <w:jc w:val="center"/>
              <w:spacing w:line="360" w:lineRule="auto"/>
              <w:widowControl w:val="off"/>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sz w:val="24"/>
                <w:szCs w:val="24"/>
                <w:highlight w:val="none"/>
                <w:lang w:val="en-US" w:eastAsia="zh-CN" w:bidi="ar-SA"/>
              </w:rPr>
              <w:t xml:space="preserve">项目名称</w:t>
            </w:r>
            <w:r>
              <w:rPr>
                <w:color w:val="auto"/>
              </w:rPr>
            </w:r>
            <w:r/>
          </w:p>
        </w:tc>
        <w:tc>
          <w:tcPr>
            <w:tcW w:w="2722" w:type="dxa"/>
            <w:vAlign w:val="center"/>
            <w:textDirection w:val="lrTb"/>
            <w:noWrap w:val="false"/>
          </w:tcPr>
          <w:p>
            <w:pPr>
              <w:pStyle w:val="967"/>
              <w:ind w:left="0" w:firstLine="0"/>
              <w:jc w:val="center"/>
              <w:spacing w:line="360" w:lineRule="auto"/>
              <w:widowControl w:val="off"/>
              <w:rPr>
                <w:rStyle w:val="913"/>
                <w:rFonts w:hint="eastAsia" w:ascii="宋体" w:hAnsi="宋体" w:eastAsia="宋体" w:cs="宋体"/>
                <w:color w:val="auto"/>
                <w:sz w:val="24"/>
                <w:szCs w:val="24"/>
                <w:highlight w:val="none"/>
              </w:rPr>
            </w:pPr>
            <w:r>
              <w:rPr>
                <w:rStyle w:val="913"/>
                <w:rFonts w:hint="eastAsia" w:ascii="宋体" w:hAnsi="宋体" w:cs="宋体"/>
                <w:color w:val="auto"/>
                <w:sz w:val="24"/>
                <w:szCs w:val="24"/>
                <w:highlight w:val="none"/>
                <w:lang w:val="en-US" w:eastAsia="zh-CN" w:bidi="ar-SA"/>
              </w:rPr>
              <w:t xml:space="preserve">优惠率</w:t>
            </w:r>
            <w:r>
              <w:rPr>
                <w:rStyle w:val="913"/>
                <w:rFonts w:hint="eastAsia" w:ascii="宋体" w:hAnsi="宋体" w:eastAsia="宋体" w:cs="宋体"/>
                <w:color w:val="auto"/>
                <w:sz w:val="24"/>
                <w:szCs w:val="24"/>
                <w:highlight w:val="none"/>
                <w:lang w:val="en-US" w:eastAsia="zh-CN" w:bidi="ar-SA"/>
              </w:rPr>
              <w:t xml:space="preserve">（</w:t>
            </w:r>
            <w:r>
              <w:rPr>
                <w:rStyle w:val="913"/>
                <w:rFonts w:hint="eastAsia" w:ascii="宋体" w:hAnsi="宋体" w:cs="宋体"/>
                <w:color w:val="auto"/>
                <w:sz w:val="24"/>
                <w:szCs w:val="24"/>
                <w:highlight w:val="none"/>
                <w:lang w:val="en-US" w:eastAsia="zh-CN" w:bidi="ar-SA"/>
              </w:rPr>
              <w:t xml:space="preserve">%</w:t>
            </w:r>
            <w:r>
              <w:rPr>
                <w:rStyle w:val="913"/>
                <w:rFonts w:hint="eastAsia" w:ascii="宋体" w:hAnsi="宋体" w:eastAsia="宋体" w:cs="宋体"/>
                <w:color w:val="auto"/>
                <w:sz w:val="24"/>
                <w:szCs w:val="24"/>
                <w:highlight w:val="none"/>
                <w:lang w:val="en-US" w:eastAsia="zh-CN" w:bidi="ar-SA"/>
              </w:rPr>
              <w:t xml:space="preserve">）</w:t>
            </w:r>
            <w:r>
              <w:rPr>
                <w:color w:val="auto"/>
              </w:rPr>
            </w:r>
            <w:r/>
          </w:p>
        </w:tc>
        <w:tc>
          <w:tcPr>
            <w:tcW w:w="2475" w:type="dxa"/>
            <w:vAlign w:val="center"/>
            <w:textDirection w:val="lrTb"/>
            <w:noWrap w:val="false"/>
          </w:tcPr>
          <w:p>
            <w:pPr>
              <w:pStyle w:val="967"/>
              <w:ind w:left="0" w:firstLine="0"/>
              <w:jc w:val="center"/>
              <w:spacing w:line="360" w:lineRule="auto"/>
              <w:widowControl w:val="off"/>
              <w:rPr>
                <w:rStyle w:val="913"/>
                <w:rFonts w:hint="eastAsia" w:ascii="宋体" w:hAnsi="宋体" w:eastAsia="宋体" w:cs="宋体"/>
                <w:color w:val="auto"/>
                <w:sz w:val="24"/>
                <w:szCs w:val="24"/>
                <w:highlight w:val="none"/>
              </w:rPr>
            </w:pPr>
            <w:r>
              <w:rPr>
                <w:rStyle w:val="913"/>
                <w:rFonts w:hint="eastAsia" w:ascii="宋体" w:hAnsi="宋体" w:cs="宋体"/>
                <w:color w:val="auto"/>
                <w:sz w:val="24"/>
                <w:szCs w:val="24"/>
                <w:highlight w:val="none"/>
                <w:lang w:val="en-US" w:eastAsia="zh-CN" w:bidi="ar-SA"/>
              </w:rPr>
              <w:t xml:space="preserve">备注</w:t>
            </w:r>
            <w:r>
              <w:rPr>
                <w:color w:val="auto"/>
              </w:rPr>
            </w:r>
            <w:r/>
          </w:p>
        </w:tc>
      </w:tr>
      <w:tr>
        <w:trPr>
          <w:cantSplit/>
          <w:trHeight w:val="658"/>
        </w:trPr>
        <w:tc>
          <w:tcPr>
            <w:tcW w:w="2723" w:type="dxa"/>
            <w:vAlign w:val="center"/>
            <w:textDirection w:val="lrTb"/>
            <w:noWrap w:val="false"/>
          </w:tcPr>
          <w:p>
            <w:pPr>
              <w:pStyle w:val="967"/>
              <w:ind w:firstLine="0"/>
              <w:jc w:val="both"/>
              <w:spacing w:line="360" w:lineRule="auto"/>
              <w:widowControl w:val="off"/>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sz w:val="24"/>
                <w:szCs w:val="24"/>
                <w:highlight w:val="none"/>
                <w:lang w:val="en-US" w:eastAsia="zh-CN" w:bidi="ar-SA"/>
              </w:rPr>
              <w:t xml:space="preserve">   </w:t>
            </w:r>
            <w:bookmarkStart w:id="203" w:name="biaoduanname_3"/>
            <w:r>
              <w:rPr>
                <w:rStyle w:val="913"/>
                <w:rFonts w:hint="eastAsia" w:ascii="宋体" w:hAnsi="宋体" w:eastAsia="宋体" w:cs="宋体"/>
                <w:color w:val="auto"/>
                <w:sz w:val="24"/>
                <w:szCs w:val="24"/>
                <w:highlight w:val="none"/>
                <w:lang w:val="en-US" w:eastAsia="zh-CN" w:bidi="ar-SA"/>
              </w:rPr>
              <w:t xml:space="preserve">         </w:t>
            </w:r>
            <w:bookmarkEnd w:id="203"/>
            <w:r>
              <w:rPr>
                <w:rStyle w:val="913"/>
                <w:rFonts w:hint="eastAsia" w:ascii="宋体" w:hAnsi="宋体" w:eastAsia="宋体" w:cs="宋体"/>
                <w:color w:val="auto"/>
                <w:sz w:val="24"/>
                <w:szCs w:val="24"/>
                <w:highlight w:val="none"/>
                <w:lang w:val="en-US" w:eastAsia="zh-CN" w:bidi="ar-SA"/>
              </w:rPr>
              <w:t xml:space="preserve">   </w:t>
            </w:r>
            <w:r>
              <w:rPr>
                <w:color w:val="auto"/>
              </w:rPr>
            </w:r>
            <w:r/>
          </w:p>
        </w:tc>
        <w:tc>
          <w:tcPr>
            <w:tcW w:w="2722" w:type="dxa"/>
            <w:vAlign w:val="center"/>
            <w:textDirection w:val="lrTb"/>
            <w:noWrap w:val="false"/>
          </w:tcPr>
          <w:p>
            <w:pPr>
              <w:pStyle w:val="967"/>
              <w:ind w:firstLine="0"/>
              <w:jc w:val="both"/>
              <w:spacing w:line="360" w:lineRule="auto"/>
              <w:widowControl w:val="off"/>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sz w:val="24"/>
                <w:szCs w:val="24"/>
                <w:highlight w:val="none"/>
                <w:lang w:val="en-US" w:eastAsia="zh-CN" w:bidi="ar-SA"/>
              </w:rPr>
              <w:t xml:space="preserve">   </w:t>
            </w:r>
            <w:bookmarkStart w:id="204" w:name="zhongbiaopricelow_1"/>
            <w:r>
              <w:rPr>
                <w:rStyle w:val="913"/>
                <w:rFonts w:hint="eastAsia" w:ascii="宋体" w:hAnsi="宋体" w:eastAsia="宋体" w:cs="宋体"/>
                <w:color w:val="auto"/>
                <w:sz w:val="24"/>
                <w:szCs w:val="24"/>
                <w:highlight w:val="none"/>
                <w:lang w:val="en-US" w:eastAsia="zh-CN" w:bidi="ar-SA"/>
              </w:rPr>
              <w:t xml:space="preserve">         </w:t>
            </w:r>
            <w:bookmarkEnd w:id="204"/>
            <w:r>
              <w:rPr>
                <w:rStyle w:val="913"/>
                <w:rFonts w:hint="eastAsia" w:ascii="宋体" w:hAnsi="宋体" w:eastAsia="宋体" w:cs="宋体"/>
                <w:color w:val="auto"/>
                <w:sz w:val="24"/>
                <w:szCs w:val="24"/>
                <w:highlight w:val="none"/>
                <w:lang w:val="en-US" w:eastAsia="zh-CN" w:bidi="ar-SA"/>
              </w:rPr>
              <w:t xml:space="preserve">    </w:t>
            </w:r>
            <w:r>
              <w:rPr>
                <w:color w:val="auto"/>
              </w:rPr>
            </w:r>
            <w:r/>
          </w:p>
        </w:tc>
        <w:tc>
          <w:tcPr>
            <w:tcW w:w="2475" w:type="dxa"/>
            <w:vAlign w:val="center"/>
            <w:textDirection w:val="lrTb"/>
            <w:noWrap w:val="false"/>
          </w:tcPr>
          <w:p>
            <w:pPr>
              <w:pStyle w:val="967"/>
              <w:ind w:firstLine="0"/>
              <w:jc w:val="both"/>
              <w:spacing w:line="360" w:lineRule="auto"/>
              <w:widowControl w:val="off"/>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sz w:val="24"/>
                <w:szCs w:val="24"/>
                <w:highlight w:val="none"/>
                <w:lang w:val="en-US" w:eastAsia="zh-CN" w:bidi="ar-SA"/>
              </w:rPr>
              <w:t xml:space="preserve">  </w:t>
            </w:r>
            <w:bookmarkStart w:id="205" w:name="fuwuneirong"/>
            <w:r>
              <w:rPr>
                <w:rStyle w:val="913"/>
                <w:rFonts w:hint="eastAsia" w:ascii="宋体" w:hAnsi="宋体" w:eastAsia="宋体" w:cs="宋体"/>
                <w:color w:val="auto"/>
                <w:sz w:val="24"/>
                <w:szCs w:val="24"/>
                <w:highlight w:val="none"/>
                <w:lang w:val="en-US" w:eastAsia="zh-CN" w:bidi="ar-SA"/>
              </w:rPr>
              <w:t xml:space="preserve">        </w:t>
            </w:r>
            <w:bookmarkEnd w:id="205"/>
            <w:r>
              <w:rPr>
                <w:rStyle w:val="913"/>
                <w:rFonts w:hint="eastAsia" w:ascii="宋体" w:hAnsi="宋体" w:eastAsia="宋体" w:cs="宋体"/>
                <w:color w:val="auto"/>
                <w:sz w:val="24"/>
                <w:szCs w:val="24"/>
                <w:highlight w:val="none"/>
                <w:lang w:val="en-US" w:eastAsia="zh-CN" w:bidi="ar-SA"/>
              </w:rPr>
              <w:t xml:space="preserve">   </w:t>
            </w:r>
            <w:r>
              <w:rPr>
                <w:color w:val="auto"/>
              </w:rPr>
            </w:r>
            <w:r/>
          </w:p>
        </w:tc>
      </w:tr>
    </w:tbl>
    <w:p>
      <w:pPr>
        <w:pStyle w:val="967"/>
        <w:ind w:firstLine="472"/>
        <w:spacing w:line="360" w:lineRule="auto"/>
        <w:rPr>
          <w:rStyle w:val="913"/>
          <w:rFonts w:hint="eastAsia" w:ascii="宋体" w:hAnsi="宋体" w:eastAsia="宋体" w:cs="宋体"/>
          <w:b/>
          <w:bCs/>
          <w:color w:val="auto"/>
          <w:sz w:val="24"/>
          <w:highlight w:val="none"/>
        </w:rPr>
      </w:pPr>
      <w:r>
        <w:rPr>
          <w:rStyle w:val="913"/>
          <w:rFonts w:hint="eastAsia" w:ascii="宋体" w:hAnsi="宋体" w:eastAsia="宋体" w:cs="宋体"/>
          <w:b/>
          <w:bCs/>
          <w:color w:val="auto"/>
          <w:sz w:val="24"/>
          <w:highlight w:val="none"/>
        </w:rPr>
        <w:t xml:space="preserve">二、合同金额</w:t>
      </w:r>
      <w:r>
        <w:rPr>
          <w:color w:val="auto"/>
        </w:rPr>
      </w:r>
      <w:r/>
    </w:p>
    <w:p>
      <w:pPr>
        <w:pStyle w:val="967"/>
        <w:ind w:firstLine="480"/>
        <w:spacing w:line="360" w:lineRule="auto"/>
        <w:rPr>
          <w:rStyle w:val="913"/>
          <w:rFonts w:hint="eastAsia" w:ascii="宋体" w:hAnsi="宋体" w:eastAsia="宋体" w:cs="宋体"/>
          <w:b/>
          <w:bCs/>
          <w:color w:val="auto"/>
          <w:sz w:val="24"/>
          <w:highlight w:val="none"/>
        </w:rPr>
      </w:pPr>
      <w:r>
        <w:rPr>
          <w:rStyle w:val="913"/>
          <w:rFonts w:hint="eastAsia" w:ascii="宋体" w:hAnsi="宋体" w:eastAsia="宋体" w:cs="宋体"/>
          <w:color w:val="auto"/>
          <w:sz w:val="24"/>
          <w:highlight w:val="none"/>
        </w:rPr>
        <w:t xml:space="preserve">2.1 本合同金额为（大写）：</w:t>
      </w:r>
      <w:r>
        <w:rPr>
          <w:rStyle w:val="913"/>
          <w:rFonts w:hint="eastAsia" w:ascii="宋体" w:hAnsi="宋体" w:eastAsia="宋体" w:cs="宋体"/>
          <w:color w:val="auto"/>
          <w:sz w:val="24"/>
          <w:highlight w:val="none"/>
          <w:u w:val="single"/>
        </w:rPr>
        <w:t xml:space="preserve"> </w:t>
      </w:r>
      <w:bookmarkStart w:id="206" w:name="zhongbiaopriceup"/>
      <w:r>
        <w:rPr>
          <w:rStyle w:val="913"/>
          <w:rFonts w:hint="eastAsia" w:ascii="宋体" w:hAnsi="宋体" w:eastAsia="宋体" w:cs="宋体"/>
          <w:color w:val="auto"/>
          <w:sz w:val="24"/>
          <w:highlight w:val="none"/>
          <w:u w:val="single"/>
        </w:rPr>
        <w:t xml:space="preserve">                            </w:t>
      </w:r>
      <w:bookmarkEnd w:id="206"/>
      <w:r>
        <w:rPr>
          <w:rStyle w:val="913"/>
          <w:rFonts w:hint="eastAsia" w:ascii="宋体" w:hAnsi="宋体" w:eastAsia="宋体" w:cs="宋体"/>
          <w:color w:val="auto"/>
          <w:sz w:val="24"/>
          <w:highlight w:val="none"/>
          <w:u w:val="single"/>
        </w:rPr>
        <w:t xml:space="preserve"> </w:t>
      </w:r>
      <w:r>
        <w:rPr>
          <w:rStyle w:val="913"/>
          <w:rFonts w:hint="eastAsia" w:ascii="宋体" w:hAnsi="宋体" w:eastAsia="宋体" w:cs="宋体"/>
          <w:color w:val="auto"/>
          <w:sz w:val="24"/>
          <w:highlight w:val="none"/>
        </w:rPr>
        <w:t xml:space="preserve">元（</w:t>
      </w:r>
      <w:r>
        <w:rPr>
          <w:rStyle w:val="913"/>
          <w:rFonts w:hint="eastAsia" w:ascii="宋体" w:hAnsi="宋体" w:eastAsia="宋体" w:cs="宋体"/>
          <w:color w:val="auto"/>
          <w:sz w:val="24"/>
          <w:highlight w:val="none"/>
          <w:u w:val="single"/>
        </w:rPr>
        <w:t xml:space="preserve"> </w:t>
      </w:r>
      <w:bookmarkStart w:id="207" w:name="zhongbiaopricelow_2"/>
      <w:r>
        <w:rPr>
          <w:rStyle w:val="913"/>
          <w:rFonts w:hint="eastAsia" w:ascii="宋体" w:hAnsi="宋体" w:eastAsia="宋体" w:cs="宋体"/>
          <w:color w:val="auto"/>
          <w:sz w:val="24"/>
          <w:highlight w:val="none"/>
          <w:u w:val="single"/>
        </w:rPr>
        <w:t xml:space="preserve">             </w:t>
      </w:r>
      <w:bookmarkEnd w:id="207"/>
      <w:r>
        <w:rPr>
          <w:rStyle w:val="913"/>
          <w:rFonts w:hint="eastAsia" w:ascii="宋体" w:hAnsi="宋体" w:eastAsia="宋体" w:cs="宋体"/>
          <w:color w:val="auto"/>
          <w:sz w:val="24"/>
          <w:highlight w:val="none"/>
          <w:u w:val="single"/>
        </w:rPr>
        <w:t xml:space="preserve"> </w:t>
      </w:r>
      <w:r>
        <w:rPr>
          <w:rStyle w:val="913"/>
          <w:rFonts w:hint="eastAsia" w:ascii="宋体" w:hAnsi="宋体" w:eastAsia="宋体" w:cs="宋体"/>
          <w:color w:val="auto"/>
          <w:sz w:val="24"/>
          <w:highlight w:val="none"/>
        </w:rPr>
        <w:t xml:space="preserve">元）人民币。</w:t>
      </w:r>
      <w:r>
        <w:rPr>
          <w:color w:val="auto"/>
        </w:rPr>
      </w:r>
      <w:r/>
    </w:p>
    <w:p>
      <w:pPr>
        <w:pStyle w:val="967"/>
        <w:ind w:firstLine="480"/>
        <w:jc w:val="left"/>
        <w:keepLines w:val="0"/>
        <w:keepNext w:val="0"/>
        <w:pageBreakBefore w:val="0"/>
        <w:spacing w:line="360" w:lineRule="auto"/>
        <w:widowControl w:val="off"/>
        <w:rPr>
          <w:rStyle w:val="913"/>
          <w:rFonts w:hint="eastAsia" w:ascii="宋体" w:hAnsi="宋体" w:eastAsia="宋体" w:cs="宋体"/>
          <w:color w:val="auto"/>
          <w:sz w:val="24"/>
          <w:highlight w:val="none"/>
        </w:rPr>
      </w:pPr>
      <w:r>
        <w:rPr>
          <w:rStyle w:val="913"/>
          <w:rFonts w:hint="eastAsia" w:ascii="宋体" w:hAnsi="宋体" w:eastAsia="宋体" w:cs="宋体"/>
          <w:color w:val="auto"/>
          <w:sz w:val="24"/>
          <w:highlight w:val="none"/>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bCs/>
          <w:color w:val="auto"/>
          <w:sz w:val="24"/>
          <w:szCs w:val="24"/>
          <w:highlight w:val="none"/>
        </w:rPr>
      </w:pPr>
      <w:r>
        <w:rPr>
          <w:rStyle w:val="913"/>
          <w:rFonts w:hint="eastAsia" w:ascii="宋体" w:hAnsi="宋体" w:eastAsia="宋体" w:cs="宋体"/>
          <w:b/>
          <w:bCs/>
          <w:color w:val="auto"/>
          <w:sz w:val="24"/>
          <w:szCs w:val="24"/>
          <w:highlight w:val="none"/>
          <w:lang w:val="en-US" w:eastAsia="zh-CN"/>
        </w:rPr>
        <w:t xml:space="preserve">三、履约保证金</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3.1 合同签订前，乙方向采购单位交纳人民币</w:t>
      </w:r>
      <w:r>
        <w:rPr>
          <w:rStyle w:val="913"/>
          <w:rFonts w:hint="eastAsia" w:ascii="宋体" w:hAnsi="宋体" w:cs="宋体"/>
          <w:b w:val="0"/>
          <w:bCs w:val="0"/>
          <w:color w:val="auto"/>
          <w:sz w:val="24"/>
          <w:szCs w:val="24"/>
          <w:highlight w:val="none"/>
          <w:u w:val="single"/>
          <w:lang w:val="en-US" w:eastAsia="zh-CN"/>
        </w:rPr>
        <w:t xml:space="preserve">                 </w:t>
      </w:r>
      <w:r>
        <w:rPr>
          <w:rStyle w:val="913"/>
          <w:rFonts w:hint="eastAsia" w:ascii="宋体" w:hAnsi="宋体" w:eastAsia="宋体" w:cs="宋体"/>
          <w:b w:val="0"/>
          <w:bCs w:val="0"/>
          <w:color w:val="auto"/>
          <w:sz w:val="24"/>
          <w:szCs w:val="24"/>
          <w:highlight w:val="none"/>
          <w:lang w:val="en-US" w:eastAsia="zh-CN"/>
        </w:rPr>
        <w:t xml:space="preserve">元作为本合同的履约保证金。履约保证金应当以支票、汇票、本票或者金融机构、担保机构出具的保函等非现金形式提交。</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3.2 甲方付清全部合同金额的同时返还履约保证金。逾期退还的，应当支付逾期利息，且逾期利息的利率不得低于合同订立时 1 年期贷款市场报价利率。</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3.3 乙方不履行与甲方订立的合同的，履约保证金不予退还。</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bCs/>
          <w:color w:val="auto"/>
          <w:sz w:val="24"/>
          <w:szCs w:val="24"/>
          <w:highlight w:val="none"/>
        </w:rPr>
      </w:pPr>
      <w:r>
        <w:rPr>
          <w:rStyle w:val="913"/>
          <w:rFonts w:hint="eastAsia" w:ascii="宋体" w:hAnsi="宋体" w:eastAsia="宋体" w:cs="宋体"/>
          <w:b/>
          <w:bCs/>
          <w:color w:val="auto"/>
          <w:sz w:val="24"/>
          <w:szCs w:val="24"/>
          <w:highlight w:val="none"/>
          <w:lang w:val="en-US" w:eastAsia="zh-CN"/>
        </w:rPr>
        <w:t xml:space="preserve">四、转包或分包 </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4.1 本合同范围的服务，应由乙方直接提供，不得转让他人提供；</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4.2 如有转包和分包行为，甲方有权给予终止合同。</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bCs/>
          <w:color w:val="auto"/>
          <w:sz w:val="24"/>
          <w:szCs w:val="24"/>
          <w:highlight w:val="none"/>
          <w:lang w:val="en-US" w:eastAsia="zh-CN"/>
        </w:rPr>
        <w:t xml:space="preserve">五、服务期限</w:t>
      </w:r>
      <w:r>
        <w:rPr>
          <w:rStyle w:val="913"/>
          <w:rFonts w:hint="eastAsia" w:ascii="宋体" w:hAnsi="宋体" w:eastAsia="宋体" w:cs="宋体"/>
          <w:b w:val="0"/>
          <w:bCs w:val="0"/>
          <w:color w:val="auto"/>
          <w:sz w:val="24"/>
          <w:szCs w:val="24"/>
          <w:highlight w:val="none"/>
          <w:lang w:val="en-US" w:eastAsia="zh-CN"/>
        </w:rPr>
        <w:t xml:space="preserve"> </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u w:val="single"/>
        </w:rPr>
      </w:pPr>
      <w:r>
        <w:rPr>
          <w:rStyle w:val="913"/>
          <w:rFonts w:hint="eastAsia" w:ascii="宋体" w:hAnsi="宋体" w:eastAsia="宋体" w:cs="宋体"/>
          <w:b w:val="0"/>
          <w:bCs w:val="0"/>
          <w:color w:val="auto"/>
          <w:sz w:val="24"/>
          <w:szCs w:val="24"/>
          <w:highlight w:val="none"/>
          <w:lang w:val="en-US" w:eastAsia="zh-CN"/>
        </w:rPr>
        <w:t xml:space="preserve">服务期限</w:t>
      </w:r>
      <w:r>
        <w:rPr>
          <w:rStyle w:val="913"/>
          <w:rFonts w:hint="eastAsia" w:ascii="宋体" w:hAnsi="宋体" w:cs="宋体"/>
          <w:b w:val="0"/>
          <w:bCs w:val="0"/>
          <w:color w:val="auto"/>
          <w:sz w:val="24"/>
          <w:szCs w:val="24"/>
          <w:highlight w:val="none"/>
          <w:lang w:val="en-US" w:eastAsia="zh-CN"/>
        </w:rPr>
        <w:t xml:space="preserve">：</w:t>
      </w:r>
      <w:r>
        <w:rPr>
          <w:rStyle w:val="913"/>
          <w:rFonts w:hint="eastAsia" w:ascii="宋体" w:hAnsi="宋体" w:cs="宋体"/>
          <w:b w:val="0"/>
          <w:bCs w:val="0"/>
          <w:color w:val="auto"/>
          <w:sz w:val="24"/>
          <w:szCs w:val="24"/>
          <w:highlight w:val="none"/>
          <w:u w:val="single"/>
          <w:lang w:val="en-US" w:eastAsia="zh-CN"/>
        </w:rPr>
        <w:t xml:space="preserve">                </w:t>
      </w:r>
      <w:r>
        <w:rPr>
          <w:rStyle w:val="913"/>
          <w:rFonts w:hint="eastAsia" w:ascii="宋体" w:hAnsi="宋体" w:eastAsia="宋体" w:cs="宋体"/>
          <w:b w:val="0"/>
          <w:bCs w:val="0"/>
          <w:color w:val="auto"/>
          <w:sz w:val="24"/>
          <w:szCs w:val="24"/>
          <w:highlight w:val="none"/>
          <w:u w:val="single"/>
          <w:lang w:val="en-US" w:eastAsia="zh-CN"/>
        </w:rPr>
        <w:t xml:space="preserve"> </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bCs/>
          <w:color w:val="auto"/>
          <w:sz w:val="24"/>
          <w:szCs w:val="24"/>
          <w:highlight w:val="none"/>
          <w:lang w:val="en-US" w:eastAsia="zh-CN"/>
        </w:rPr>
        <w:t xml:space="preserve">六、货款支付</w:t>
      </w:r>
      <w:r>
        <w:rPr>
          <w:rStyle w:val="913"/>
          <w:rFonts w:hint="eastAsia" w:ascii="宋体" w:hAnsi="宋体" w:eastAsia="宋体" w:cs="宋体"/>
          <w:b w:val="0"/>
          <w:bCs w:val="0"/>
          <w:color w:val="auto"/>
          <w:sz w:val="24"/>
          <w:szCs w:val="24"/>
          <w:highlight w:val="none"/>
          <w:lang w:val="en-US" w:eastAsia="zh-CN"/>
        </w:rPr>
        <w:t xml:space="preserve"> </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6.1 结付程序：</w:t>
      </w:r>
      <w:r>
        <w:rPr>
          <w:rStyle w:val="913"/>
          <w:rFonts w:hint="eastAsia" w:ascii="宋体" w:hAnsi="宋体" w:cs="宋体"/>
          <w:b w:val="0"/>
          <w:bCs w:val="0"/>
          <w:color w:val="auto"/>
          <w:sz w:val="24"/>
          <w:szCs w:val="24"/>
          <w:highlight w:val="none"/>
          <w:u w:val="single"/>
          <w:lang w:val="en-US" w:eastAsia="zh-CN"/>
        </w:rPr>
        <w:t xml:space="preserve">                                   </w:t>
      </w:r>
      <w:r>
        <w:rPr>
          <w:rStyle w:val="913"/>
          <w:rFonts w:hint="eastAsia" w:ascii="宋体" w:hAnsi="宋体" w:eastAsia="宋体" w:cs="宋体"/>
          <w:b w:val="0"/>
          <w:bCs w:val="0"/>
          <w:color w:val="auto"/>
          <w:sz w:val="24"/>
          <w:szCs w:val="24"/>
          <w:highlight w:val="none"/>
          <w:lang w:val="en-US" w:eastAsia="zh-CN"/>
        </w:rPr>
        <w:t xml:space="preserve">。</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6.2 结付期限：</w:t>
      </w:r>
      <w:r>
        <w:rPr>
          <w:rStyle w:val="913"/>
          <w:rFonts w:hint="eastAsia" w:ascii="宋体" w:hAnsi="宋体" w:cs="宋体"/>
          <w:b w:val="0"/>
          <w:bCs w:val="0"/>
          <w:color w:val="auto"/>
          <w:sz w:val="24"/>
          <w:szCs w:val="24"/>
          <w:highlight w:val="none"/>
          <w:u w:val="single"/>
          <w:lang w:val="en-US" w:eastAsia="zh-CN"/>
        </w:rPr>
        <w:t xml:space="preserve">                                   </w:t>
      </w:r>
      <w:r>
        <w:rPr>
          <w:rStyle w:val="913"/>
          <w:rFonts w:hint="eastAsia" w:ascii="宋体" w:hAnsi="宋体" w:eastAsia="宋体" w:cs="宋体"/>
          <w:b w:val="0"/>
          <w:bCs w:val="0"/>
          <w:color w:val="auto"/>
          <w:sz w:val="24"/>
          <w:szCs w:val="24"/>
          <w:highlight w:val="none"/>
          <w:lang w:val="en-US" w:eastAsia="zh-CN"/>
        </w:rPr>
        <w:t xml:space="preserve">。</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6.3 乙方收款账户：</w:t>
      </w:r>
      <w:r>
        <w:rPr>
          <w:rStyle w:val="913"/>
          <w:rFonts w:hint="eastAsia" w:ascii="宋体" w:hAnsi="宋体" w:cs="宋体"/>
          <w:b w:val="0"/>
          <w:bCs w:val="0"/>
          <w:color w:val="auto"/>
          <w:sz w:val="24"/>
          <w:szCs w:val="24"/>
          <w:highlight w:val="none"/>
          <w:u w:val="single"/>
          <w:lang w:val="en-US" w:eastAsia="zh-CN"/>
        </w:rPr>
        <w:t xml:space="preserve">                                </w:t>
      </w:r>
      <w:r>
        <w:rPr>
          <w:rStyle w:val="913"/>
          <w:rFonts w:hint="eastAsia" w:ascii="宋体" w:hAnsi="宋体" w:eastAsia="宋体" w:cs="宋体"/>
          <w:b w:val="0"/>
          <w:bCs w:val="0"/>
          <w:color w:val="auto"/>
          <w:sz w:val="24"/>
          <w:szCs w:val="24"/>
          <w:highlight w:val="none"/>
          <w:lang w:val="en-US" w:eastAsia="zh-CN"/>
        </w:rPr>
        <w:t xml:space="preserve"> </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6.4 甲方合同款支付方式：</w:t>
      </w:r>
      <w:r>
        <w:rPr>
          <w:rStyle w:val="913"/>
          <w:rFonts w:hint="eastAsia" w:ascii="宋体" w:hAnsi="宋体" w:cs="宋体"/>
          <w:b w:val="0"/>
          <w:bCs w:val="0"/>
          <w:color w:val="auto"/>
          <w:sz w:val="24"/>
          <w:szCs w:val="24"/>
          <w:highlight w:val="none"/>
          <w:u w:val="single"/>
          <w:lang w:val="en-US" w:eastAsia="zh-CN"/>
        </w:rPr>
        <w:t xml:space="preserve">                      </w:t>
      </w:r>
      <w:r>
        <w:rPr>
          <w:rStyle w:val="913"/>
          <w:rFonts w:hint="eastAsia" w:ascii="宋体" w:hAnsi="宋体" w:eastAsia="宋体" w:cs="宋体"/>
          <w:b w:val="0"/>
          <w:bCs w:val="0"/>
          <w:color w:val="auto"/>
          <w:sz w:val="24"/>
          <w:szCs w:val="24"/>
          <w:highlight w:val="none"/>
          <w:lang w:val="en-US" w:eastAsia="zh-CN"/>
        </w:rPr>
        <w:t xml:space="preserve">（若乙方为中小企业，不得强制其接受非现金支付方式）</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bCs/>
          <w:color w:val="auto"/>
          <w:sz w:val="24"/>
          <w:szCs w:val="24"/>
          <w:highlight w:val="none"/>
          <w:lang w:val="en-US" w:eastAsia="zh-CN"/>
        </w:rPr>
        <w:t xml:space="preserve">七、税</w:t>
      </w:r>
      <w:r>
        <w:rPr>
          <w:rStyle w:val="913"/>
          <w:rFonts w:hint="eastAsia" w:ascii="宋体" w:hAnsi="宋体" w:eastAsia="宋体" w:cs="宋体"/>
          <w:b w:val="0"/>
          <w:bCs w:val="0"/>
          <w:color w:val="auto"/>
          <w:sz w:val="24"/>
          <w:szCs w:val="24"/>
          <w:highlight w:val="none"/>
          <w:lang w:val="en-US" w:eastAsia="zh-CN"/>
        </w:rPr>
        <w:t xml:space="preserve"> </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7.1 本合同执行中相关的一切税费均由乙方负担。</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bCs/>
          <w:color w:val="auto"/>
          <w:sz w:val="24"/>
          <w:szCs w:val="24"/>
          <w:highlight w:val="none"/>
        </w:rPr>
      </w:pPr>
      <w:r>
        <w:rPr>
          <w:rStyle w:val="913"/>
          <w:rFonts w:hint="eastAsia" w:ascii="宋体" w:hAnsi="宋体" w:eastAsia="宋体" w:cs="宋体"/>
          <w:b/>
          <w:bCs/>
          <w:color w:val="auto"/>
          <w:sz w:val="24"/>
          <w:szCs w:val="24"/>
          <w:highlight w:val="none"/>
          <w:lang w:val="en-US" w:eastAsia="zh-CN"/>
        </w:rPr>
        <w:t xml:space="preserve">八、管理事项</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按招标内容要求以及响应单位的承诺项目阐述。</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bCs/>
          <w:color w:val="auto"/>
          <w:sz w:val="24"/>
          <w:szCs w:val="24"/>
          <w:highlight w:val="none"/>
          <w:lang w:val="en-US" w:eastAsia="zh-CN"/>
        </w:rPr>
        <w:t xml:space="preserve">九、双方权利义务</w:t>
      </w:r>
      <w:r>
        <w:rPr>
          <w:rStyle w:val="913"/>
          <w:rFonts w:hint="eastAsia" w:ascii="宋体" w:hAnsi="宋体" w:eastAsia="宋体" w:cs="宋体"/>
          <w:b w:val="0"/>
          <w:bCs w:val="0"/>
          <w:color w:val="auto"/>
          <w:sz w:val="24"/>
          <w:szCs w:val="24"/>
          <w:highlight w:val="none"/>
          <w:lang w:val="en-US" w:eastAsia="zh-CN"/>
        </w:rPr>
        <w:t xml:space="preserve"> </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9.1 甲方的权利和义务</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(1)甲方制定的委托乙方承担的项目管理内容。（详见项目需求）</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(2)检查监督乙方管理工作的实施及制度的执行情况，并进行考核。</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(3)审定乙方提出的项目管理计划。</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(4)协调处理本合同生效前发生的管理遗留问题。</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(5)协助乙方做好项目管理工作的宣传教育。</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(6)乙方有违约行为的，甲方有权解除合同并没收履约保证金及向乙方支付实际合同期内扣除考核扣款后的全部余款。</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（7）甲方有权对中标后再转包或分包的乙方终止承包合同。</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（8）甲方有权在服务期内根据实际情况提出修改考核细则，并经与乙方协商确认后，按新的考核细则执行考核。</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9.2 乙方的权利和义务</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(1)根据有关法律、法规及本合同的约定，制订项目管理制度。</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(2)按合同约定，履行项目管理职责。</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(3)负责编制项目管理年度管理计划。</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(4)工作人员统一着装，并作好相关劳动安全防护工作，严格遵守各项管理规定。</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(5)如遇张家港市的各项重要活动、参观接待时，乙方应及时组织人员到位，完成各项突击任务。</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(6) 乙方必须规范用工，签订用工合同。</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（7）本合同终止时，乙方须向甲方移交项目管理全部档案资料。</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bCs/>
          <w:color w:val="auto"/>
          <w:sz w:val="24"/>
          <w:szCs w:val="24"/>
          <w:highlight w:val="none"/>
        </w:rPr>
      </w:pPr>
      <w:r>
        <w:rPr>
          <w:rStyle w:val="913"/>
          <w:rFonts w:hint="eastAsia" w:ascii="宋体" w:hAnsi="宋体" w:eastAsia="宋体" w:cs="宋体"/>
          <w:b/>
          <w:bCs/>
          <w:color w:val="auto"/>
          <w:sz w:val="24"/>
          <w:szCs w:val="24"/>
          <w:highlight w:val="none"/>
          <w:lang w:val="en-US" w:eastAsia="zh-CN"/>
        </w:rPr>
        <w:t xml:space="preserve">十、服务质量 </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乙方提供的管理服务应达到投标文件所约定的目标。对达标的理解有异议的，由双方共同认可的第三方予以评定。</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bCs/>
          <w:color w:val="auto"/>
          <w:sz w:val="24"/>
          <w:szCs w:val="24"/>
          <w:highlight w:val="none"/>
        </w:rPr>
      </w:pPr>
      <w:r>
        <w:rPr>
          <w:rStyle w:val="913"/>
          <w:rFonts w:hint="eastAsia" w:ascii="宋体" w:hAnsi="宋体" w:eastAsia="宋体" w:cs="宋体"/>
          <w:b/>
          <w:bCs/>
          <w:color w:val="auto"/>
          <w:sz w:val="24"/>
          <w:szCs w:val="24"/>
          <w:highlight w:val="none"/>
          <w:lang w:val="en-US" w:eastAsia="zh-CN"/>
        </w:rPr>
        <w:t xml:space="preserve">十一、违约责任</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11.1 甲方违反合同的约定，使乙方未完成规定管理目标，乙方有权要求甲方在一定期限内解决，逾期未解决的，乙方有权终止合同，造成乙方经济损失的，甲方给予乙方经济赔偿。</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11.2 甲方对乙方进行考核，按考核结果给付费用。甲方逾期办理合同款支付的,应当支付逾期利息，且逾期利息的利率不得低于合同订立时 1 年期贷款市场报价利率。</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11.3 乙方违反合同的约定，未能达到约定的管理目标，甲方有权要求乙方限期整改，逾期未整改的，甲方有权终止合同，造成甲方经济损失的，乙方给予甲方赔偿。</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11.4 本合同生效后，甲乙双方任何一方无正当理由要求终止合同的，除双方签订补充协议外，责任方须按本合同及其补充协议的有关条款之规定承担违约责任，并应向对方支付合同金额 10%的违约金。</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bCs/>
          <w:color w:val="auto"/>
          <w:sz w:val="24"/>
          <w:szCs w:val="24"/>
          <w:highlight w:val="none"/>
          <w:lang w:val="en-US" w:eastAsia="zh-CN"/>
        </w:rPr>
        <w:t xml:space="preserve">十二、不可抗力事件处理</w:t>
      </w:r>
      <w:r>
        <w:rPr>
          <w:rStyle w:val="913"/>
          <w:rFonts w:hint="eastAsia" w:ascii="宋体" w:hAnsi="宋体" w:eastAsia="宋体" w:cs="宋体"/>
          <w:b w:val="0"/>
          <w:bCs w:val="0"/>
          <w:color w:val="auto"/>
          <w:sz w:val="24"/>
          <w:szCs w:val="24"/>
          <w:highlight w:val="none"/>
          <w:lang w:val="en-US" w:eastAsia="zh-CN"/>
        </w:rPr>
        <w:t xml:space="preserve"> </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12.1 在合同有效期内，任何一方因不可抗力事件导致不能履行合同，则合同履行期可延长，其延长期与不可抗力影响期相同。</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12.2 不可抗力事件发生后，应立即通知对方，并寄送有关权威机构出具的证明。</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12.3 不可抗力事件延续 120 天以上，双方应通过友好协商，确定是否继续履行合同。</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bCs/>
          <w:color w:val="auto"/>
          <w:sz w:val="24"/>
          <w:szCs w:val="24"/>
          <w:highlight w:val="none"/>
          <w:lang w:val="en-US" w:eastAsia="zh-CN"/>
        </w:rPr>
        <w:t xml:space="preserve">十三、诉讼</w:t>
      </w:r>
      <w:r>
        <w:rPr>
          <w:rStyle w:val="913"/>
          <w:rFonts w:hint="eastAsia" w:ascii="宋体" w:hAnsi="宋体" w:eastAsia="宋体" w:cs="宋体"/>
          <w:b w:val="0"/>
          <w:bCs w:val="0"/>
          <w:color w:val="auto"/>
          <w:sz w:val="24"/>
          <w:szCs w:val="24"/>
          <w:highlight w:val="none"/>
          <w:lang w:val="en-US" w:eastAsia="zh-CN"/>
        </w:rPr>
        <w:t xml:space="preserve"> </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13.1 双方在执行合同中所发生的一切争议，应通过协商解决。如协商不成，可向合同签订地法院起诉，合同签订地在此约定为张家港市。</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bCs/>
          <w:color w:val="auto"/>
          <w:sz w:val="24"/>
          <w:szCs w:val="24"/>
          <w:highlight w:val="none"/>
          <w:lang w:val="en-US" w:eastAsia="zh-CN"/>
        </w:rPr>
        <w:t xml:space="preserve">十四、合同其他文件</w:t>
      </w:r>
      <w:r>
        <w:rPr>
          <w:rStyle w:val="913"/>
          <w:rFonts w:hint="eastAsia" w:ascii="宋体" w:hAnsi="宋体" w:eastAsia="宋体" w:cs="宋体"/>
          <w:b w:val="0"/>
          <w:bCs w:val="0"/>
          <w:color w:val="auto"/>
          <w:sz w:val="24"/>
          <w:szCs w:val="24"/>
          <w:highlight w:val="none"/>
          <w:lang w:val="en-US" w:eastAsia="zh-CN"/>
        </w:rPr>
        <w:t xml:space="preserve"> </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14.1 下列文件为本合同不可分割部份，与本合同具有同等效力。</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(1)中标通知书；</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(2)供方中标的投标书；</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(3)招标文件；</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(4)供方在招投标过程中所作的其他承诺、声明、书面澄清等。</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bCs/>
          <w:color w:val="auto"/>
          <w:sz w:val="24"/>
          <w:szCs w:val="24"/>
          <w:highlight w:val="none"/>
          <w:lang w:val="en-US" w:eastAsia="zh-CN"/>
        </w:rPr>
        <w:t xml:space="preserve">十五、合同生效及其它</w:t>
      </w:r>
      <w:r>
        <w:rPr>
          <w:rStyle w:val="913"/>
          <w:rFonts w:hint="eastAsia" w:ascii="宋体" w:hAnsi="宋体" w:eastAsia="宋体" w:cs="宋体"/>
          <w:b w:val="0"/>
          <w:bCs w:val="0"/>
          <w:color w:val="auto"/>
          <w:sz w:val="24"/>
          <w:szCs w:val="24"/>
          <w:highlight w:val="none"/>
          <w:lang w:val="en-US" w:eastAsia="zh-CN"/>
        </w:rPr>
        <w:t xml:space="preserve"> </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b w:val="0"/>
          <w:bCs w:val="0"/>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15.1 合同经双方法定代表人（或负责人）或授权委托代表人签字并加盖单位公章后生效,生效后至张家港市政府采购管理中心备案。</w:t>
      </w:r>
      <w:r>
        <w:rPr>
          <w:color w:val="auto"/>
        </w:rPr>
      </w:r>
      <w:r/>
    </w:p>
    <w:p>
      <w:pPr>
        <w:pStyle w:val="967"/>
        <w:ind w:firstLine="480"/>
        <w:keepLines w:val="0"/>
        <w:keepNext w:val="0"/>
        <w:pageBreakBefore w:val="0"/>
        <w:spacing w:line="360" w:lineRule="auto"/>
        <w:widowControl w:val="off"/>
        <w:rPr>
          <w:rStyle w:val="913"/>
          <w:rFonts w:hint="eastAsia" w:ascii="宋体" w:hAnsi="宋体" w:eastAsia="宋体" w:cs="宋体"/>
          <w:color w:val="auto"/>
          <w:sz w:val="24"/>
          <w:szCs w:val="24"/>
          <w:highlight w:val="none"/>
        </w:rPr>
      </w:pPr>
      <w:r>
        <w:rPr>
          <w:rStyle w:val="913"/>
          <w:rFonts w:hint="eastAsia" w:ascii="宋体" w:hAnsi="宋体" w:eastAsia="宋体" w:cs="宋体"/>
          <w:b w:val="0"/>
          <w:bCs w:val="0"/>
          <w:color w:val="auto"/>
          <w:sz w:val="24"/>
          <w:szCs w:val="24"/>
          <w:highlight w:val="none"/>
          <w:lang w:val="en-US" w:eastAsia="zh-CN"/>
        </w:rPr>
        <w:t xml:space="preserve">15.2 本合同未尽事宜，遵照《民法典》合同编经甲乙双方协商一致可签订补充协议</w:t>
      </w:r>
      <w:r>
        <w:rPr>
          <w:rStyle w:val="913"/>
          <w:rFonts w:hint="eastAsia" w:ascii="宋体" w:hAnsi="宋体" w:eastAsia="宋体" w:cs="宋体"/>
          <w:color w:val="auto"/>
          <w:sz w:val="24"/>
          <w:szCs w:val="24"/>
          <w:highlight w:val="none"/>
          <w:lang w:val="en-US" w:eastAsia="zh-CN"/>
        </w:rPr>
        <w:t xml:space="preserve">。 </w:t>
      </w:r>
      <w:r>
        <w:rPr>
          <w:color w:val="auto"/>
        </w:rPr>
      </w:r>
      <w:r/>
    </w:p>
    <w:p>
      <w:pPr>
        <w:pStyle w:val="967"/>
        <w:spacing w:line="360" w:lineRule="auto"/>
        <w:rPr>
          <w:rStyle w:val="913"/>
          <w:rFonts w:hint="eastAsia" w:ascii="宋体" w:hAnsi="宋体" w:eastAsia="宋体" w:cs="宋体"/>
          <w:color w:val="auto"/>
          <w:sz w:val="24"/>
          <w:highlight w:val="none"/>
        </w:rPr>
      </w:pPr>
      <w:r>
        <w:rPr>
          <w:rStyle w:val="913"/>
          <w:rFonts w:hint="eastAsia" w:ascii="宋体" w:hAnsi="宋体" w:eastAsia="宋体" w:cs="宋体"/>
          <w:color w:val="auto"/>
          <w:sz w:val="24"/>
          <w:highlight w:val="none"/>
        </w:rPr>
      </w:r>
      <w:r>
        <w:rPr>
          <w:color w:val="auto"/>
        </w:rPr>
      </w:r>
      <w:r/>
    </w:p>
    <w:p>
      <w:pPr>
        <w:pStyle w:val="967"/>
        <w:ind w:firstLine="480"/>
        <w:spacing w:line="360" w:lineRule="auto"/>
        <w:rPr>
          <w:rStyle w:val="913"/>
          <w:rFonts w:hint="eastAsia" w:ascii="宋体" w:hAnsi="宋体" w:eastAsia="宋体" w:cs="宋体"/>
          <w:color w:val="auto"/>
          <w:sz w:val="24"/>
          <w:highlight w:val="none"/>
        </w:rPr>
      </w:pPr>
      <w:r>
        <w:rPr>
          <w:rStyle w:val="913"/>
          <w:rFonts w:hint="eastAsia" w:ascii="宋体" w:hAnsi="宋体" w:eastAsia="宋体" w:cs="宋体"/>
          <w:color w:val="auto"/>
          <w:sz w:val="24"/>
          <w:highlight w:val="none"/>
        </w:rPr>
        <w:t xml:space="preserve">甲方：</w:t>
      </w:r>
      <w:bookmarkStart w:id="208" w:name="jianshedanwei_2"/>
      <w:r>
        <w:rPr>
          <w:rStyle w:val="913"/>
          <w:rFonts w:hint="eastAsia" w:ascii="宋体" w:hAnsi="宋体" w:eastAsia="宋体" w:cs="宋体"/>
          <w:color w:val="auto"/>
          <w:sz w:val="24"/>
          <w:highlight w:val="none"/>
        </w:rPr>
        <w:t xml:space="preserve">               </w:t>
      </w:r>
      <w:bookmarkEnd w:id="208"/>
      <w:r>
        <w:rPr>
          <w:rStyle w:val="913"/>
          <w:rFonts w:hint="eastAsia" w:ascii="宋体" w:hAnsi="宋体" w:eastAsia="宋体" w:cs="宋体"/>
          <w:color w:val="auto"/>
          <w:sz w:val="24"/>
          <w:highlight w:val="none"/>
        </w:rPr>
        <w:t xml:space="preserve">                </w:t>
      </w:r>
      <w:r>
        <w:rPr>
          <w:color w:val="auto"/>
        </w:rPr>
      </w:r>
      <w:r/>
    </w:p>
    <w:p>
      <w:pPr>
        <w:pStyle w:val="967"/>
        <w:ind w:firstLine="480"/>
        <w:spacing w:line="360" w:lineRule="auto"/>
        <w:rPr>
          <w:rStyle w:val="913"/>
          <w:rFonts w:hint="eastAsia" w:ascii="宋体" w:hAnsi="宋体" w:eastAsia="宋体" w:cs="宋体"/>
          <w:color w:val="auto"/>
          <w:sz w:val="24"/>
          <w:highlight w:val="none"/>
        </w:rPr>
      </w:pPr>
      <w:r>
        <w:rPr>
          <w:rStyle w:val="913"/>
          <w:rFonts w:hint="eastAsia" w:ascii="宋体" w:hAnsi="宋体" w:eastAsia="宋体" w:cs="宋体"/>
          <w:color w:val="auto"/>
          <w:sz w:val="24"/>
          <w:highlight w:val="none"/>
        </w:rPr>
        <w:t xml:space="preserve">地址：</w:t>
      </w:r>
      <w:bookmarkStart w:id="209" w:name="jianshedanweiaddress"/>
      <w:r>
        <w:rPr>
          <w:rStyle w:val="913"/>
          <w:rFonts w:hint="eastAsia" w:ascii="宋体" w:hAnsi="宋体" w:eastAsia="宋体" w:cs="宋体"/>
          <w:color w:val="auto"/>
          <w:sz w:val="24"/>
          <w:highlight w:val="none"/>
        </w:rPr>
        <w:t xml:space="preserve">             </w:t>
      </w:r>
      <w:bookmarkEnd w:id="209"/>
      <w:r>
        <w:rPr>
          <w:rStyle w:val="913"/>
          <w:rFonts w:hint="eastAsia" w:ascii="宋体" w:hAnsi="宋体" w:eastAsia="宋体" w:cs="宋体"/>
          <w:color w:val="auto"/>
          <w:sz w:val="24"/>
          <w:highlight w:val="none"/>
        </w:rPr>
        <w:t xml:space="preserve">                  </w:t>
      </w:r>
      <w:r>
        <w:rPr>
          <w:color w:val="auto"/>
        </w:rPr>
      </w:r>
      <w:r/>
    </w:p>
    <w:p>
      <w:pPr>
        <w:pStyle w:val="967"/>
        <w:ind w:firstLine="480"/>
        <w:spacing w:line="360" w:lineRule="auto"/>
        <w:rPr>
          <w:rStyle w:val="913"/>
          <w:rFonts w:hint="eastAsia" w:ascii="宋体" w:hAnsi="宋体" w:eastAsia="宋体" w:cs="宋体"/>
          <w:color w:val="auto"/>
          <w:sz w:val="24"/>
          <w:highlight w:val="none"/>
        </w:rPr>
      </w:pPr>
      <w:r>
        <w:rPr>
          <w:rStyle w:val="913"/>
          <w:rFonts w:hint="eastAsia" w:ascii="宋体" w:hAnsi="宋体" w:eastAsia="宋体" w:cs="宋体"/>
          <w:color w:val="auto"/>
          <w:sz w:val="24"/>
          <w:highlight w:val="none"/>
        </w:rPr>
        <w:t xml:space="preserve">法定代表人或授权代表：</w:t>
      </w:r>
      <w:bookmarkStart w:id="210" w:name="jianshedanweifaren"/>
      <w:r>
        <w:rPr>
          <w:rStyle w:val="913"/>
          <w:rFonts w:hint="eastAsia" w:ascii="宋体" w:hAnsi="宋体" w:eastAsia="宋体" w:cs="宋体"/>
          <w:color w:val="auto"/>
          <w:sz w:val="24"/>
          <w:highlight w:val="none"/>
        </w:rPr>
        <w:t xml:space="preserve">               </w:t>
      </w:r>
      <w:bookmarkEnd w:id="210"/>
      <w:r>
        <w:rPr>
          <w:rStyle w:val="913"/>
          <w:rFonts w:hint="eastAsia" w:ascii="宋体" w:hAnsi="宋体" w:eastAsia="宋体" w:cs="宋体"/>
          <w:color w:val="auto"/>
          <w:sz w:val="24"/>
          <w:highlight w:val="none"/>
        </w:rPr>
        <w:t xml:space="preserve"> </w:t>
      </w:r>
      <w:r>
        <w:rPr>
          <w:color w:val="auto"/>
        </w:rPr>
      </w:r>
      <w:r/>
    </w:p>
    <w:p>
      <w:pPr>
        <w:pStyle w:val="967"/>
        <w:ind w:firstLine="480"/>
        <w:spacing w:line="360" w:lineRule="auto"/>
        <w:rPr>
          <w:rStyle w:val="913"/>
          <w:rFonts w:hint="eastAsia" w:ascii="宋体" w:hAnsi="宋体" w:eastAsia="宋体" w:cs="宋体"/>
          <w:color w:val="auto"/>
          <w:sz w:val="24"/>
          <w:highlight w:val="none"/>
        </w:rPr>
      </w:pPr>
      <w:r>
        <w:rPr>
          <w:rStyle w:val="913"/>
          <w:rFonts w:hint="eastAsia" w:ascii="宋体" w:hAnsi="宋体" w:eastAsia="宋体" w:cs="宋体"/>
          <w:color w:val="auto"/>
          <w:sz w:val="24"/>
          <w:highlight w:val="none"/>
        </w:rPr>
        <w:t xml:space="preserve">联系电话：</w:t>
      </w:r>
      <w:bookmarkStart w:id="211" w:name="jianshedanweifarentel"/>
      <w:r>
        <w:rPr>
          <w:rStyle w:val="913"/>
          <w:rFonts w:hint="eastAsia" w:ascii="宋体" w:hAnsi="宋体" w:eastAsia="宋体" w:cs="宋体"/>
          <w:color w:val="auto"/>
          <w:sz w:val="24"/>
          <w:highlight w:val="none"/>
        </w:rPr>
        <w:t xml:space="preserve">                </w:t>
      </w:r>
      <w:bookmarkEnd w:id="211"/>
      <w:r>
        <w:rPr>
          <w:rStyle w:val="913"/>
          <w:rFonts w:hint="eastAsia" w:ascii="宋体" w:hAnsi="宋体" w:eastAsia="宋体" w:cs="宋体"/>
          <w:color w:val="auto"/>
          <w:sz w:val="24"/>
          <w:highlight w:val="none"/>
        </w:rPr>
        <w:t xml:space="preserve">           </w:t>
      </w:r>
      <w:r>
        <w:rPr>
          <w:color w:val="auto"/>
        </w:rPr>
      </w:r>
      <w:r/>
    </w:p>
    <w:p>
      <w:pPr>
        <w:pStyle w:val="967"/>
        <w:ind w:firstLine="480"/>
        <w:spacing w:line="360" w:lineRule="auto"/>
        <w:rPr>
          <w:rStyle w:val="913"/>
          <w:rFonts w:hint="eastAsia" w:ascii="宋体" w:hAnsi="宋体" w:eastAsia="宋体" w:cs="宋体"/>
          <w:color w:val="auto"/>
          <w:sz w:val="24"/>
          <w:highlight w:val="none"/>
        </w:rPr>
      </w:pPr>
      <w:r>
        <w:rPr>
          <w:rStyle w:val="913"/>
          <w:rFonts w:hint="eastAsia" w:ascii="宋体" w:hAnsi="宋体" w:eastAsia="宋体" w:cs="宋体"/>
          <w:color w:val="auto"/>
          <w:sz w:val="24"/>
          <w:highlight w:val="none"/>
        </w:rPr>
        <w:t xml:space="preserve">签订日期：</w:t>
      </w:r>
      <w:bookmarkStart w:id="212" w:name="jiafangqiandingdate"/>
      <w:r>
        <w:rPr>
          <w:rStyle w:val="913"/>
          <w:rFonts w:hint="eastAsia" w:ascii="宋体" w:hAnsi="宋体" w:eastAsia="宋体" w:cs="宋体"/>
          <w:color w:val="auto"/>
          <w:sz w:val="24"/>
          <w:highlight w:val="none"/>
        </w:rPr>
        <w:t xml:space="preserve">      年    月  日</w:t>
      </w:r>
      <w:bookmarkEnd w:id="212"/>
      <w:r>
        <w:rPr>
          <w:rStyle w:val="913"/>
          <w:rFonts w:hint="eastAsia" w:ascii="宋体" w:hAnsi="宋体" w:eastAsia="宋体" w:cs="宋体"/>
          <w:color w:val="auto"/>
          <w:sz w:val="24"/>
          <w:highlight w:val="none"/>
        </w:rPr>
        <w:t xml:space="preserve">         </w:t>
      </w:r>
      <w:r>
        <w:rPr>
          <w:color w:val="auto"/>
        </w:rPr>
      </w:r>
      <w:r/>
    </w:p>
    <w:p>
      <w:pPr>
        <w:pStyle w:val="967"/>
        <w:ind w:firstLine="480"/>
        <w:jc w:val="center"/>
        <w:spacing w:line="360" w:lineRule="auto"/>
        <w:rPr>
          <w:rStyle w:val="913"/>
          <w:rFonts w:hint="eastAsia" w:ascii="宋体" w:hAnsi="宋体" w:eastAsia="宋体" w:cs="宋体"/>
          <w:color w:val="auto"/>
          <w:sz w:val="24"/>
          <w:highlight w:val="none"/>
        </w:rPr>
      </w:pPr>
      <w:r>
        <w:rPr>
          <w:rStyle w:val="913"/>
          <w:rFonts w:hint="eastAsia" w:ascii="宋体" w:hAnsi="宋体" w:eastAsia="宋体" w:cs="宋体"/>
          <w:color w:val="auto"/>
          <w:sz w:val="24"/>
          <w:highlight w:val="none"/>
        </w:rPr>
      </w:r>
      <w:r>
        <w:rPr>
          <w:color w:val="auto"/>
        </w:rPr>
      </w:r>
      <w:r/>
    </w:p>
    <w:p>
      <w:pPr>
        <w:pStyle w:val="967"/>
        <w:ind w:firstLine="480"/>
        <w:spacing w:line="360" w:lineRule="auto"/>
        <w:rPr>
          <w:rStyle w:val="913"/>
          <w:rFonts w:hint="eastAsia" w:ascii="宋体" w:hAnsi="宋体" w:eastAsia="宋体" w:cs="宋体"/>
          <w:color w:val="auto"/>
          <w:sz w:val="24"/>
          <w:highlight w:val="none"/>
        </w:rPr>
      </w:pPr>
      <w:r>
        <w:rPr>
          <w:rStyle w:val="913"/>
          <w:rFonts w:hint="eastAsia" w:ascii="宋体" w:hAnsi="宋体" w:eastAsia="宋体" w:cs="宋体"/>
          <w:color w:val="auto"/>
          <w:sz w:val="24"/>
          <w:highlight w:val="none"/>
        </w:rPr>
        <w:t xml:space="preserve">乙方：</w:t>
      </w:r>
      <w:bookmarkStart w:id="213" w:name="zhongbiaodanweiname_2"/>
      <w:r>
        <w:rPr>
          <w:rStyle w:val="913"/>
          <w:rFonts w:hint="eastAsia" w:ascii="宋体" w:hAnsi="宋体" w:eastAsia="宋体" w:cs="宋体"/>
          <w:color w:val="auto"/>
          <w:sz w:val="24"/>
          <w:highlight w:val="none"/>
        </w:rPr>
        <w:t xml:space="preserve">           </w:t>
      </w:r>
      <w:bookmarkEnd w:id="213"/>
      <w:r>
        <w:rPr>
          <w:color w:val="auto"/>
        </w:rPr>
      </w:r>
      <w:r/>
    </w:p>
    <w:p>
      <w:pPr>
        <w:pStyle w:val="968"/>
        <w:ind w:firstLine="480"/>
        <w:spacing w:line="360" w:lineRule="auto"/>
        <w:rPr>
          <w:rStyle w:val="913"/>
          <w:rFonts w:hint="eastAsia" w:ascii="宋体" w:hAnsi="宋体" w:eastAsia="宋体" w:cs="宋体"/>
          <w:color w:val="auto"/>
          <w:highlight w:val="none"/>
        </w:rPr>
      </w:pPr>
      <w:r>
        <w:rPr>
          <w:rStyle w:val="913"/>
          <w:rFonts w:hint="eastAsia" w:ascii="宋体" w:hAnsi="宋体" w:eastAsia="宋体" w:cs="宋体"/>
          <w:color w:val="auto"/>
          <w:highlight w:val="none"/>
        </w:rPr>
        <w:t xml:space="preserve">地址：</w:t>
      </w:r>
      <w:bookmarkStart w:id="214" w:name="zhongbiaodanweiaddress"/>
      <w:r>
        <w:rPr>
          <w:rStyle w:val="913"/>
          <w:rFonts w:hint="eastAsia" w:ascii="宋体" w:hAnsi="宋体" w:eastAsia="宋体" w:cs="宋体"/>
          <w:color w:val="auto"/>
          <w:highlight w:val="none"/>
        </w:rPr>
        <w:t xml:space="preserve">                  </w:t>
      </w:r>
      <w:bookmarkEnd w:id="214"/>
      <w:r>
        <w:rPr>
          <w:color w:val="auto"/>
        </w:rPr>
      </w:r>
      <w:r/>
    </w:p>
    <w:p>
      <w:pPr>
        <w:pStyle w:val="967"/>
        <w:ind w:firstLine="480"/>
        <w:spacing w:line="360" w:lineRule="auto"/>
        <w:rPr>
          <w:rStyle w:val="913"/>
          <w:rFonts w:hint="eastAsia" w:ascii="宋体" w:hAnsi="宋体" w:eastAsia="宋体" w:cs="宋体"/>
          <w:color w:val="auto"/>
          <w:sz w:val="24"/>
          <w:highlight w:val="none"/>
        </w:rPr>
      </w:pPr>
      <w:r>
        <w:rPr>
          <w:rStyle w:val="913"/>
          <w:rFonts w:hint="eastAsia" w:ascii="宋体" w:hAnsi="宋体" w:eastAsia="宋体" w:cs="宋体"/>
          <w:color w:val="auto"/>
          <w:sz w:val="24"/>
          <w:highlight w:val="none"/>
        </w:rPr>
        <w:t xml:space="preserve">法定代表人</w:t>
      </w:r>
      <w:r>
        <w:rPr>
          <w:rStyle w:val="913"/>
          <w:rFonts w:hint="eastAsia" w:ascii="宋体" w:hAnsi="宋体" w:eastAsia="宋体" w:cs="宋体"/>
          <w:bCs/>
          <w:color w:val="auto"/>
          <w:sz w:val="24"/>
          <w:highlight w:val="none"/>
        </w:rPr>
        <w:t xml:space="preserve">（或负责人）</w:t>
      </w:r>
      <w:r>
        <w:rPr>
          <w:rStyle w:val="913"/>
          <w:rFonts w:hint="eastAsia" w:ascii="宋体" w:hAnsi="宋体" w:eastAsia="宋体" w:cs="宋体"/>
          <w:color w:val="auto"/>
          <w:sz w:val="24"/>
          <w:highlight w:val="none"/>
        </w:rPr>
        <w:t xml:space="preserve">或授权代表：</w:t>
      </w:r>
      <w:bookmarkStart w:id="215" w:name="zhongbiaodanweifaren"/>
      <w:r>
        <w:rPr>
          <w:rStyle w:val="913"/>
          <w:rFonts w:hint="eastAsia" w:ascii="宋体" w:hAnsi="宋体" w:eastAsia="宋体" w:cs="宋体"/>
          <w:color w:val="auto"/>
          <w:sz w:val="24"/>
          <w:highlight w:val="none"/>
        </w:rPr>
        <w:t xml:space="preserve">           </w:t>
      </w:r>
      <w:bookmarkEnd w:id="215"/>
      <w:r>
        <w:rPr>
          <w:color w:val="auto"/>
        </w:rPr>
      </w:r>
      <w:r/>
    </w:p>
    <w:p>
      <w:pPr>
        <w:pStyle w:val="967"/>
        <w:ind w:firstLine="480"/>
        <w:spacing w:line="360" w:lineRule="auto"/>
        <w:rPr>
          <w:rStyle w:val="913"/>
          <w:rFonts w:hint="eastAsia" w:ascii="宋体" w:hAnsi="宋体" w:eastAsia="宋体" w:cs="宋体"/>
          <w:color w:val="auto"/>
          <w:sz w:val="24"/>
          <w:highlight w:val="none"/>
        </w:rPr>
      </w:pPr>
      <w:r>
        <w:rPr>
          <w:rStyle w:val="913"/>
          <w:rFonts w:hint="eastAsia" w:ascii="宋体" w:hAnsi="宋体" w:eastAsia="宋体" w:cs="宋体"/>
          <w:color w:val="auto"/>
          <w:sz w:val="24"/>
          <w:highlight w:val="none"/>
        </w:rPr>
        <w:t xml:space="preserve">联系电话：</w:t>
      </w:r>
      <w:bookmarkStart w:id="216" w:name="zhongbiaodanweifarentel"/>
      <w:r>
        <w:rPr>
          <w:rStyle w:val="913"/>
          <w:rFonts w:hint="eastAsia" w:ascii="宋体" w:hAnsi="宋体" w:eastAsia="宋体" w:cs="宋体"/>
          <w:color w:val="auto"/>
          <w:sz w:val="24"/>
          <w:highlight w:val="none"/>
        </w:rPr>
        <w:t xml:space="preserve">                  </w:t>
      </w:r>
      <w:bookmarkEnd w:id="216"/>
      <w:r>
        <w:rPr>
          <w:rStyle w:val="913"/>
          <w:rFonts w:hint="eastAsia" w:ascii="宋体" w:hAnsi="宋体" w:eastAsia="宋体" w:cs="宋体"/>
          <w:color w:val="auto"/>
          <w:sz w:val="24"/>
          <w:highlight w:val="none"/>
        </w:rPr>
        <w:t xml:space="preserve">  </w:t>
      </w:r>
      <w:r>
        <w:rPr>
          <w:color w:val="auto"/>
        </w:rPr>
      </w:r>
      <w:r/>
    </w:p>
    <w:p>
      <w:pPr>
        <w:pStyle w:val="967"/>
        <w:ind w:firstLine="480"/>
        <w:spacing w:line="360" w:lineRule="auto"/>
        <w:rPr>
          <w:rStyle w:val="913"/>
          <w:rFonts w:hint="eastAsia" w:ascii="宋体" w:hAnsi="宋体" w:eastAsia="宋体" w:cs="宋体"/>
          <w:color w:val="auto"/>
          <w:sz w:val="24"/>
          <w:highlight w:val="none"/>
        </w:rPr>
      </w:pPr>
      <w:r>
        <w:rPr>
          <w:rStyle w:val="913"/>
          <w:rFonts w:hint="eastAsia" w:ascii="宋体" w:hAnsi="宋体" w:eastAsia="宋体" w:cs="宋体"/>
          <w:color w:val="auto"/>
          <w:sz w:val="24"/>
          <w:highlight w:val="none"/>
        </w:rPr>
        <w:t xml:space="preserve">签订日期： </w:t>
      </w:r>
      <w:bookmarkStart w:id="217" w:name="yifangqiandingdate"/>
      <w:r>
        <w:rPr>
          <w:rStyle w:val="913"/>
          <w:rFonts w:hint="eastAsia" w:ascii="宋体" w:hAnsi="宋体" w:eastAsia="宋体" w:cs="宋体"/>
          <w:color w:val="auto"/>
          <w:sz w:val="24"/>
          <w:highlight w:val="none"/>
        </w:rPr>
        <w:t xml:space="preserve">     年    月  日</w:t>
      </w:r>
      <w:bookmarkEnd w:id="217"/>
      <w:r>
        <w:rPr>
          <w:color w:val="auto"/>
        </w:rPr>
      </w:r>
      <w:r/>
    </w:p>
    <w:p>
      <w:pPr>
        <w:pStyle w:val="911"/>
        <w:spacing w:line="360" w:lineRule="auto"/>
        <w:rPr>
          <w:rFonts w:hint="eastAsia" w:ascii="宋体" w:hAnsi="宋体" w:eastAsia="宋体" w:cs="宋体"/>
          <w:color w:val="auto"/>
          <w:sz w:val="20"/>
          <w:highlight w:val="none"/>
        </w:rPr>
      </w:pPr>
      <w:r>
        <w:rPr>
          <w:color w:val="auto"/>
        </w:rPr>
      </w:r>
      <w:bookmarkEnd w:id="197"/>
      <w:r>
        <w:rPr>
          <w:color w:val="auto"/>
        </w:rPr>
      </w:r>
      <w:r/>
    </w:p>
    <w:p>
      <w:pPr>
        <w:pStyle w:val="927"/>
        <w:pageBreakBefore/>
        <w:spacing w:line="360" w:lineRule="auto"/>
        <w:rPr>
          <w:rFonts w:hint="eastAsia" w:ascii="宋体" w:hAnsi="宋体" w:eastAsia="宋体" w:cs="宋体"/>
          <w:color w:val="auto"/>
          <w:highlight w:val="none"/>
        </w:rPr>
      </w:pPr>
      <w:r>
        <w:rPr>
          <w:color w:val="auto"/>
        </w:rPr>
      </w:r>
      <w:bookmarkStart w:id="218" w:name="_Hlt16619350"/>
      <w:r>
        <w:rPr>
          <w:color w:val="auto"/>
        </w:rPr>
      </w:r>
      <w:bookmarkStart w:id="219" w:name="_Toc16938590"/>
      <w:r>
        <w:rPr>
          <w:color w:val="auto"/>
        </w:rPr>
      </w:r>
      <w:bookmarkStart w:id="220" w:name="_Toc54615246"/>
      <w:r>
        <w:rPr>
          <w:color w:val="auto"/>
        </w:rPr>
      </w:r>
      <w:bookmarkStart w:id="221" w:name="_Toc120614244"/>
      <w:r>
        <w:rPr>
          <w:color w:val="auto"/>
        </w:rPr>
      </w:r>
      <w:bookmarkStart w:id="222" w:name="_Toc20823346"/>
      <w:r>
        <w:rPr>
          <w:color w:val="auto"/>
        </w:rPr>
      </w:r>
      <w:bookmarkStart w:id="223" w:name="_Toc27174"/>
      <w:r>
        <w:rPr>
          <w:color w:val="auto"/>
        </w:rPr>
      </w:r>
      <w:bookmarkStart w:id="224" w:name="_Toc38368128"/>
      <w:r>
        <w:rPr>
          <w:color w:val="auto"/>
        </w:rPr>
      </w:r>
      <w:bookmarkStart w:id="225" w:name="_Toc35266028"/>
      <w:r>
        <w:rPr>
          <w:color w:val="auto"/>
        </w:rPr>
      </w:r>
      <w:bookmarkStart w:id="226" w:name="_Toc479757211"/>
      <w:r>
        <w:rPr>
          <w:color w:val="auto"/>
        </w:rPr>
      </w:r>
      <w:bookmarkStart w:id="227" w:name="_Toc462564139"/>
      <w:r>
        <w:rPr>
          <w:rFonts w:hint="eastAsia" w:ascii="宋体" w:hAnsi="宋体" w:eastAsia="宋体" w:cs="宋体"/>
          <w:color w:val="auto"/>
          <w:highlight w:val="none"/>
        </w:rPr>
        <w:t xml:space="preserve">第</w:t>
      </w:r>
      <w:bookmarkEnd w:id="218"/>
      <w:r>
        <w:rPr>
          <w:rFonts w:hint="eastAsia" w:ascii="宋体" w:hAnsi="宋体" w:eastAsia="宋体" w:cs="宋体"/>
          <w:color w:val="auto"/>
          <w:highlight w:val="none"/>
        </w:rPr>
        <w:t xml:space="preserve">四章 项目需求</w:t>
      </w:r>
      <w:bookmarkEnd w:id="219"/>
      <w:r>
        <w:rPr>
          <w:color w:val="auto"/>
        </w:rPr>
      </w:r>
      <w:bookmarkEnd w:id="220"/>
      <w:r>
        <w:rPr>
          <w:color w:val="auto"/>
        </w:rPr>
      </w:r>
      <w:bookmarkEnd w:id="221"/>
      <w:r>
        <w:rPr>
          <w:color w:val="auto"/>
        </w:rPr>
      </w:r>
      <w:bookmarkEnd w:id="222"/>
      <w:r>
        <w:rPr>
          <w:color w:val="auto"/>
        </w:rPr>
      </w:r>
      <w:bookmarkEnd w:id="223"/>
      <w:r>
        <w:rPr>
          <w:color w:val="auto"/>
        </w:rPr>
      </w:r>
      <w:bookmarkEnd w:id="224"/>
      <w:r>
        <w:rPr>
          <w:color w:val="auto"/>
        </w:rPr>
      </w:r>
      <w:bookmarkEnd w:id="225"/>
      <w:r>
        <w:rPr>
          <w:color w:val="auto"/>
        </w:rPr>
      </w:r>
      <w:bookmarkStart w:id="228" w:name="_Toc350255489"/>
      <w:r>
        <w:rPr>
          <w:color w:val="auto"/>
        </w:rPr>
      </w:r>
      <w:bookmarkStart w:id="229" w:name="_Toc274321794"/>
      <w:r>
        <w:rPr>
          <w:color w:val="auto"/>
        </w:rPr>
      </w:r>
      <w:bookmarkStart w:id="230" w:name="_Toc26554093"/>
      <w:r>
        <w:rPr>
          <w:color w:val="auto"/>
        </w:rPr>
      </w:r>
      <w:bookmarkStart w:id="231" w:name="_Toc49090575"/>
      <w:r>
        <w:rPr>
          <w:color w:val="auto"/>
        </w:rPr>
      </w:r>
      <w:bookmarkStart w:id="232" w:name="_Toc319429198"/>
      <w:r>
        <w:rPr>
          <w:color w:val="auto"/>
        </w:rPr>
      </w:r>
      <w:bookmarkStart w:id="233" w:name="_Toc483515625"/>
      <w:r>
        <w:rPr>
          <w:color w:val="auto"/>
        </w:rPr>
      </w:r>
      <w:r/>
    </w:p>
    <w:p>
      <w:pPr>
        <w:pStyle w:val="911"/>
        <w:spacing w:line="360" w:lineRule="auto"/>
        <w:rPr>
          <w:rFonts w:ascii="宋体" w:hAnsi="宋体" w:cs="宋体"/>
          <w:b/>
          <w:color w:val="auto"/>
          <w:sz w:val="28"/>
          <w:szCs w:val="28"/>
          <w:highlight w:val="none"/>
        </w:rPr>
      </w:pPr>
      <w:r>
        <w:rPr>
          <w:color w:val="auto"/>
        </w:rPr>
      </w:r>
      <w:bookmarkEnd w:id="228"/>
      <w:r>
        <w:rPr>
          <w:color w:val="auto"/>
        </w:rPr>
      </w:r>
      <w:bookmarkEnd w:id="229"/>
      <w:r>
        <w:rPr>
          <w:color w:val="auto"/>
        </w:rPr>
      </w:r>
      <w:bookmarkEnd w:id="232"/>
      <w:r>
        <w:rPr>
          <w:color w:val="auto"/>
        </w:rPr>
      </w:r>
      <w:bookmarkEnd w:id="233"/>
      <w:r>
        <w:rPr>
          <w:color w:val="auto"/>
        </w:rPr>
      </w:r>
      <w:bookmarkStart w:id="234" w:name="EBeba33935409e4c76a800f8c7f49348de"/>
      <w:r>
        <w:rPr>
          <w:color w:val="auto"/>
        </w:rPr>
      </w:r>
      <w:bookmarkEnd w:id="234"/>
      <w:r>
        <w:rPr>
          <w:color w:val="auto"/>
        </w:rPr>
      </w:r>
      <w:bookmarkStart w:id="235" w:name="_Toc35266029"/>
      <w:r>
        <w:rPr>
          <w:color w:val="auto"/>
        </w:rPr>
      </w:r>
      <w:bookmarkStart w:id="236" w:name="_Toc38368129"/>
      <w:r>
        <w:rPr>
          <w:color w:val="auto"/>
        </w:rPr>
      </w:r>
      <w:bookmarkStart w:id="237" w:name="_Toc54615247"/>
      <w:r>
        <w:rPr>
          <w:color w:val="auto"/>
        </w:rPr>
      </w:r>
      <w:bookmarkStart w:id="238" w:name="_Toc120614281"/>
      <w:r>
        <w:rPr>
          <w:rFonts w:hint="eastAsia" w:ascii="宋体" w:hAnsi="宋体" w:cs="宋体"/>
          <w:b/>
          <w:color w:val="auto"/>
          <w:sz w:val="28"/>
          <w:szCs w:val="28"/>
          <w:highlight w:val="none"/>
        </w:rPr>
        <w:t xml:space="preserve">一、清单</w:t>
      </w:r>
      <w:r>
        <w:rPr>
          <w:color w:val="auto"/>
        </w:rPr>
      </w:r>
      <w:r/>
    </w:p>
    <w:p>
      <w:pPr>
        <w:pStyle w:val="975"/>
        <w:ind w:firstLine="50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1.清单</w:t>
      </w:r>
      <w:r>
        <w:rPr>
          <w:color w:val="auto"/>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56"/>
        <w:gridCol w:w="1457"/>
        <w:gridCol w:w="556"/>
        <w:gridCol w:w="556"/>
        <w:gridCol w:w="556"/>
        <w:gridCol w:w="7001"/>
      </w:tblGrid>
      <w:tr>
        <w:trPr/>
        <w:tc>
          <w:tcPr>
            <w:tcMar>
              <w:top w:w="100" w:type="dxa"/>
              <w:bottom w:w="100" w:type="dxa"/>
            </w:tcMar>
            <w:tcW w:w="556" w:type="dxa"/>
            <w:vAlign w:val="center"/>
            <w:textDirection w:val="lrTb"/>
            <w:noWrap w:val="false"/>
          </w:tcPr>
          <w:p>
            <w:pPr>
              <w:pStyle w:val="976"/>
              <w:jc w:val="center"/>
              <w:rPr>
                <w:rStyle w:val="913"/>
                <w:rFonts w:ascii="宋体" w:hAnsi="宋体" w:eastAsia="宋体" w:cs="宋体"/>
                <w:b w:val="0"/>
                <w:color w:val="auto"/>
                <w:sz w:val="24"/>
                <w:szCs w:val="24"/>
                <w:highlight w:val="none"/>
              </w:rPr>
            </w:pPr>
            <w:r>
              <w:rPr>
                <w:rStyle w:val="913"/>
                <w:rFonts w:ascii="宋体" w:hAnsi="宋体" w:eastAsia="宋体" w:cs="宋体"/>
                <w:b w:val="0"/>
                <w:color w:val="auto"/>
                <w:sz w:val="24"/>
                <w:szCs w:val="24"/>
                <w:highlight w:val="none"/>
              </w:rPr>
              <w:t xml:space="preserve">序号</w:t>
            </w:r>
            <w:r>
              <w:rPr>
                <w:color w:val="auto"/>
              </w:rPr>
            </w:r>
            <w:r/>
          </w:p>
        </w:tc>
        <w:tc>
          <w:tcPr>
            <w:tcMar>
              <w:top w:w="100" w:type="dxa"/>
              <w:bottom w:w="100" w:type="dxa"/>
            </w:tcMar>
            <w:tcW w:w="1457" w:type="dxa"/>
            <w:vAlign w:val="center"/>
            <w:textDirection w:val="lrTb"/>
            <w:noWrap w:val="false"/>
          </w:tcPr>
          <w:p>
            <w:pPr>
              <w:pStyle w:val="976"/>
              <w:jc w:val="center"/>
              <w:rPr>
                <w:rStyle w:val="913"/>
                <w:rFonts w:ascii="宋体" w:hAnsi="宋体" w:eastAsia="宋体" w:cs="宋体"/>
                <w:b w:val="0"/>
                <w:color w:val="auto"/>
                <w:sz w:val="24"/>
                <w:szCs w:val="24"/>
                <w:highlight w:val="none"/>
              </w:rPr>
            </w:pPr>
            <w:r>
              <w:rPr>
                <w:rStyle w:val="913"/>
                <w:rFonts w:ascii="宋体" w:hAnsi="宋体" w:eastAsia="宋体" w:cs="宋体"/>
                <w:b w:val="0"/>
                <w:color w:val="auto"/>
                <w:sz w:val="24"/>
                <w:szCs w:val="24"/>
                <w:highlight w:val="none"/>
              </w:rPr>
              <w:t xml:space="preserve">名称</w:t>
            </w:r>
            <w:r>
              <w:rPr>
                <w:color w:val="auto"/>
              </w:rPr>
            </w:r>
            <w:r/>
          </w:p>
        </w:tc>
        <w:tc>
          <w:tcPr>
            <w:tcMar>
              <w:top w:w="100" w:type="dxa"/>
              <w:bottom w:w="100" w:type="dxa"/>
            </w:tcMar>
            <w:tcW w:w="556" w:type="dxa"/>
            <w:vAlign w:val="center"/>
            <w:textDirection w:val="lrTb"/>
            <w:noWrap w:val="false"/>
          </w:tcPr>
          <w:p>
            <w:pPr>
              <w:pStyle w:val="976"/>
              <w:jc w:val="center"/>
              <w:rPr>
                <w:rStyle w:val="913"/>
                <w:rFonts w:ascii="宋体" w:hAnsi="宋体" w:eastAsia="宋体" w:cs="宋体"/>
                <w:b w:val="0"/>
                <w:color w:val="auto"/>
                <w:sz w:val="24"/>
                <w:szCs w:val="24"/>
                <w:highlight w:val="none"/>
              </w:rPr>
            </w:pPr>
            <w:r>
              <w:rPr>
                <w:rStyle w:val="913"/>
                <w:rFonts w:ascii="宋体" w:hAnsi="宋体" w:eastAsia="宋体" w:cs="宋体"/>
                <w:b w:val="0"/>
                <w:color w:val="auto"/>
                <w:sz w:val="24"/>
                <w:szCs w:val="24"/>
                <w:highlight w:val="none"/>
              </w:rPr>
              <w:t xml:space="preserve">数量</w:t>
            </w:r>
            <w:r>
              <w:rPr>
                <w:color w:val="auto"/>
              </w:rPr>
            </w:r>
            <w:r/>
          </w:p>
        </w:tc>
        <w:tc>
          <w:tcPr>
            <w:tcMar>
              <w:top w:w="100" w:type="dxa"/>
              <w:bottom w:w="100" w:type="dxa"/>
            </w:tcMar>
            <w:tcW w:w="556" w:type="dxa"/>
            <w:vAlign w:val="center"/>
            <w:textDirection w:val="lrTb"/>
            <w:noWrap w:val="false"/>
          </w:tcPr>
          <w:p>
            <w:pPr>
              <w:pStyle w:val="976"/>
              <w:jc w:val="center"/>
              <w:rPr>
                <w:rStyle w:val="913"/>
                <w:rFonts w:ascii="宋体" w:hAnsi="宋体" w:eastAsia="宋体" w:cs="宋体"/>
                <w:b w:val="0"/>
                <w:color w:val="auto"/>
                <w:sz w:val="24"/>
                <w:szCs w:val="24"/>
                <w:highlight w:val="none"/>
              </w:rPr>
            </w:pPr>
            <w:r>
              <w:rPr>
                <w:rStyle w:val="913"/>
                <w:rFonts w:ascii="宋体" w:hAnsi="宋体" w:eastAsia="宋体" w:cs="宋体"/>
                <w:b w:val="0"/>
                <w:color w:val="auto"/>
                <w:sz w:val="24"/>
                <w:szCs w:val="24"/>
                <w:highlight w:val="none"/>
              </w:rPr>
              <w:t xml:space="preserve">单位</w:t>
            </w:r>
            <w:r>
              <w:rPr>
                <w:color w:val="auto"/>
              </w:rPr>
            </w:r>
            <w:r/>
          </w:p>
        </w:tc>
        <w:tc>
          <w:tcPr>
            <w:tcMar>
              <w:top w:w="100" w:type="dxa"/>
              <w:bottom w:w="100" w:type="dxa"/>
            </w:tcMar>
            <w:tcW w:w="556" w:type="dxa"/>
            <w:vAlign w:val="center"/>
            <w:textDirection w:val="lrTb"/>
            <w:noWrap w:val="false"/>
          </w:tcPr>
          <w:p>
            <w:pPr>
              <w:pStyle w:val="976"/>
              <w:jc w:val="center"/>
              <w:rPr>
                <w:rStyle w:val="913"/>
                <w:rFonts w:ascii="宋体" w:hAnsi="宋体" w:eastAsia="宋体" w:cs="宋体"/>
                <w:b w:val="0"/>
                <w:color w:val="auto"/>
                <w:sz w:val="24"/>
                <w:szCs w:val="24"/>
                <w:highlight w:val="none"/>
              </w:rPr>
            </w:pPr>
            <w:r>
              <w:rPr>
                <w:rStyle w:val="913"/>
                <w:rFonts w:ascii="宋体" w:hAnsi="宋体" w:eastAsia="宋体" w:cs="宋体"/>
                <w:b w:val="0"/>
                <w:color w:val="auto"/>
                <w:sz w:val="24"/>
                <w:szCs w:val="24"/>
                <w:highlight w:val="none"/>
              </w:rPr>
              <w:t xml:space="preserve">图片</w:t>
            </w:r>
            <w:r>
              <w:rPr>
                <w:color w:val="auto"/>
              </w:rPr>
            </w:r>
            <w:r/>
          </w:p>
        </w:tc>
        <w:tc>
          <w:tcPr>
            <w:tcMar>
              <w:top w:w="100" w:type="dxa"/>
              <w:bottom w:w="100" w:type="dxa"/>
            </w:tcMar>
            <w:tcW w:w="7001" w:type="dxa"/>
            <w:vAlign w:val="center"/>
            <w:textDirection w:val="lrTb"/>
            <w:noWrap w:val="false"/>
          </w:tcPr>
          <w:p>
            <w:pPr>
              <w:pStyle w:val="976"/>
              <w:jc w:val="center"/>
              <w:rPr>
                <w:rStyle w:val="913"/>
                <w:rFonts w:ascii="宋体" w:hAnsi="宋体" w:eastAsia="宋体" w:cs="宋体"/>
                <w:b w:val="0"/>
                <w:color w:val="auto"/>
                <w:sz w:val="24"/>
                <w:szCs w:val="24"/>
                <w:highlight w:val="none"/>
              </w:rPr>
            </w:pPr>
            <w:r>
              <w:rPr>
                <w:rStyle w:val="913"/>
                <w:rFonts w:ascii="宋体" w:hAnsi="宋体" w:eastAsia="宋体" w:cs="宋体"/>
                <w:b w:val="0"/>
                <w:color w:val="auto"/>
                <w:sz w:val="24"/>
                <w:szCs w:val="24"/>
                <w:highlight w:val="none"/>
              </w:rPr>
              <w:t xml:space="preserve">所属行业</w:t>
            </w:r>
            <w:r>
              <w:rPr>
                <w:color w:val="auto"/>
              </w:rPr>
            </w:r>
            <w:r/>
          </w:p>
        </w:tc>
      </w:tr>
      <w:tr>
        <w:trPr/>
        <w:tc>
          <w:tcPr>
            <w:tcMar>
              <w:top w:w="100" w:type="dxa"/>
              <w:bottom w:w="100" w:type="dxa"/>
            </w:tcMar>
            <w:tcW w:w="556" w:type="dxa"/>
            <w:vAlign w:val="center"/>
            <w:textDirection w:val="lrTb"/>
            <w:noWrap w:val="false"/>
          </w:tcPr>
          <w:p>
            <w:pPr>
              <w:pStyle w:val="976"/>
              <w:jc w:val="center"/>
              <w:rPr>
                <w:rStyle w:val="913"/>
                <w:rFonts w:ascii="宋体" w:hAnsi="宋体" w:eastAsia="宋体" w:cs="宋体"/>
                <w:b w:val="0"/>
                <w:color w:val="auto"/>
                <w:sz w:val="24"/>
                <w:szCs w:val="24"/>
                <w:highlight w:val="none"/>
              </w:rPr>
            </w:pPr>
            <w:r>
              <w:rPr>
                <w:rStyle w:val="913"/>
                <w:rFonts w:ascii="宋体" w:hAnsi="宋体" w:eastAsia="宋体" w:cs="宋体"/>
                <w:b w:val="0"/>
                <w:color w:val="auto"/>
                <w:sz w:val="24"/>
                <w:szCs w:val="24"/>
                <w:highlight w:val="none"/>
              </w:rPr>
              <w:t xml:space="preserve">1</w:t>
            </w:r>
            <w:r>
              <w:rPr>
                <w:color w:val="auto"/>
              </w:rPr>
            </w:r>
            <w:r/>
          </w:p>
        </w:tc>
        <w:tc>
          <w:tcPr>
            <w:tcMar>
              <w:top w:w="100" w:type="dxa"/>
              <w:bottom w:w="100" w:type="dxa"/>
            </w:tcMar>
            <w:tcW w:w="1457" w:type="dxa"/>
            <w:vAlign w:val="center"/>
            <w:textDirection w:val="lrTb"/>
            <w:noWrap w:val="false"/>
          </w:tcPr>
          <w:p>
            <w:pPr>
              <w:pStyle w:val="976"/>
              <w:jc w:val="center"/>
              <w:rPr>
                <w:rStyle w:val="913"/>
                <w:rFonts w:ascii="宋体" w:hAnsi="宋体" w:eastAsia="宋体" w:cs="宋体"/>
                <w:b w:val="0"/>
                <w:color w:val="auto"/>
                <w:sz w:val="24"/>
                <w:szCs w:val="24"/>
                <w:highlight w:val="none"/>
              </w:rPr>
            </w:pPr>
            <w:r>
              <w:rPr>
                <w:rStyle w:val="913"/>
                <w:rFonts w:hint="eastAsia" w:ascii="宋体" w:hAnsi="宋体" w:eastAsia="宋体" w:cs="宋体"/>
                <w:b w:val="0"/>
                <w:color w:val="auto"/>
                <w:sz w:val="24"/>
                <w:szCs w:val="24"/>
                <w:highlight w:val="none"/>
                <w:lang w:eastAsia="zh-CN"/>
              </w:rPr>
              <w:t xml:space="preserve">大新镇</w:t>
            </w:r>
            <w:r>
              <w:rPr>
                <w:rStyle w:val="913"/>
                <w:rFonts w:ascii="宋体" w:hAnsi="宋体" w:eastAsia="宋体" w:cs="宋体"/>
                <w:b w:val="0"/>
                <w:color w:val="auto"/>
                <w:sz w:val="24"/>
                <w:szCs w:val="24"/>
                <w:highlight w:val="none"/>
              </w:rPr>
              <w:t xml:space="preserve">居家养老上门服务</w:t>
            </w:r>
            <w:r>
              <w:rPr>
                <w:color w:val="auto"/>
              </w:rPr>
            </w:r>
            <w:r/>
          </w:p>
        </w:tc>
        <w:tc>
          <w:tcPr>
            <w:tcMar>
              <w:top w:w="100" w:type="dxa"/>
              <w:bottom w:w="100" w:type="dxa"/>
            </w:tcMar>
            <w:tcW w:w="556" w:type="dxa"/>
            <w:vAlign w:val="center"/>
            <w:textDirection w:val="lrTb"/>
            <w:noWrap w:val="false"/>
          </w:tcPr>
          <w:p>
            <w:pPr>
              <w:pStyle w:val="976"/>
              <w:jc w:val="center"/>
              <w:rPr>
                <w:rStyle w:val="913"/>
                <w:rFonts w:hint="eastAsia" w:ascii="宋体" w:hAnsi="宋体" w:eastAsia="宋体" w:cs="宋体"/>
                <w:b w:val="0"/>
                <w:color w:val="auto"/>
                <w:sz w:val="24"/>
                <w:szCs w:val="24"/>
                <w:highlight w:val="none"/>
              </w:rPr>
            </w:pPr>
            <w:r>
              <w:rPr>
                <w:rStyle w:val="913"/>
                <w:rFonts w:hint="eastAsia" w:ascii="宋体" w:hAnsi="宋体" w:eastAsia="宋体" w:cs="宋体"/>
                <w:b w:val="0"/>
                <w:color w:val="auto"/>
                <w:sz w:val="24"/>
                <w:szCs w:val="24"/>
                <w:highlight w:val="none"/>
                <w:lang w:val="en-US" w:eastAsia="zh-CN"/>
              </w:rPr>
              <w:t xml:space="preserve">2</w:t>
            </w:r>
            <w:r>
              <w:rPr>
                <w:color w:val="auto"/>
              </w:rPr>
            </w:r>
            <w:r/>
          </w:p>
        </w:tc>
        <w:tc>
          <w:tcPr>
            <w:tcMar>
              <w:top w:w="100" w:type="dxa"/>
              <w:bottom w:w="100" w:type="dxa"/>
            </w:tcMar>
            <w:tcW w:w="556" w:type="dxa"/>
            <w:vAlign w:val="center"/>
            <w:textDirection w:val="lrTb"/>
            <w:noWrap w:val="false"/>
          </w:tcPr>
          <w:p>
            <w:pPr>
              <w:pStyle w:val="976"/>
              <w:jc w:val="center"/>
              <w:rPr>
                <w:rStyle w:val="913"/>
                <w:rFonts w:ascii="宋体" w:hAnsi="宋体" w:eastAsia="宋体" w:cs="宋体"/>
                <w:b w:val="0"/>
                <w:color w:val="auto"/>
                <w:sz w:val="24"/>
                <w:szCs w:val="24"/>
                <w:highlight w:val="none"/>
              </w:rPr>
            </w:pPr>
            <w:r>
              <w:rPr>
                <w:rStyle w:val="913"/>
                <w:rFonts w:ascii="宋体" w:hAnsi="宋体" w:eastAsia="宋体" w:cs="宋体"/>
                <w:b w:val="0"/>
                <w:color w:val="auto"/>
                <w:sz w:val="24"/>
                <w:szCs w:val="24"/>
                <w:highlight w:val="none"/>
              </w:rPr>
              <w:t xml:space="preserve">年</w:t>
            </w:r>
            <w:r>
              <w:rPr>
                <w:color w:val="auto"/>
              </w:rPr>
            </w:r>
            <w:r/>
          </w:p>
        </w:tc>
        <w:tc>
          <w:tcPr>
            <w:tcMar>
              <w:top w:w="100" w:type="dxa"/>
              <w:bottom w:w="100" w:type="dxa"/>
            </w:tcMar>
            <w:tcW w:w="556" w:type="dxa"/>
            <w:vAlign w:val="center"/>
            <w:textDirection w:val="lrTb"/>
            <w:noWrap w:val="false"/>
          </w:tcPr>
          <w:p>
            <w:pPr>
              <w:pStyle w:val="976"/>
              <w:jc w:val="left"/>
              <w:rPr>
                <w:rStyle w:val="913"/>
                <w:rFonts w:ascii="宋体" w:hAnsi="宋体" w:eastAsia="宋体" w:cs="宋体"/>
                <w:b w:val="0"/>
                <w:color w:val="auto"/>
                <w:sz w:val="24"/>
                <w:szCs w:val="24"/>
                <w:highlight w:val="none"/>
              </w:rPr>
            </w:pPr>
            <w:r>
              <w:rPr>
                <w:rStyle w:val="913"/>
                <w:rFonts w:ascii="宋体" w:hAnsi="宋体" w:eastAsia="宋体" w:cs="宋体"/>
                <w:b w:val="0"/>
                <w:color w:val="auto"/>
                <w:sz w:val="24"/>
                <w:szCs w:val="24"/>
                <w:highlight w:val="none"/>
              </w:rPr>
              <w:t xml:space="preserve">无</w:t>
            </w:r>
            <w:r>
              <w:rPr>
                <w:color w:val="auto"/>
              </w:rPr>
            </w:r>
            <w:r/>
          </w:p>
        </w:tc>
        <w:tc>
          <w:tcPr>
            <w:tcMar>
              <w:top w:w="100" w:type="dxa"/>
              <w:bottom w:w="100" w:type="dxa"/>
            </w:tcMar>
            <w:tcW w:w="7001" w:type="dxa"/>
            <w:vAlign w:val="center"/>
            <w:textDirection w:val="lrTb"/>
            <w:noWrap w:val="false"/>
          </w:tcPr>
          <w:p>
            <w:pPr>
              <w:pStyle w:val="976"/>
              <w:jc w:val="center"/>
              <w:rPr>
                <w:rStyle w:val="913"/>
                <w:rFonts w:ascii="宋体" w:hAnsi="宋体" w:eastAsia="宋体" w:cs="宋体"/>
                <w:b w:val="0"/>
                <w:color w:val="auto"/>
                <w:sz w:val="24"/>
                <w:szCs w:val="24"/>
                <w:highlight w:val="none"/>
              </w:rPr>
            </w:pPr>
            <w:r>
              <w:rPr>
                <w:rStyle w:val="913"/>
                <w:rFonts w:ascii="宋体" w:hAnsi="宋体" w:eastAsia="宋体" w:cs="宋体"/>
                <w:b w:val="0"/>
                <w:color w:val="auto"/>
                <w:sz w:val="24"/>
                <w:szCs w:val="24"/>
                <w:highlight w:val="none"/>
              </w:rPr>
              <w:t xml:space="preserve">其他未列明行业（包括科学研究和技术服务业，水利、环境和公共设施管理业，居民服务、修理和其他服务业，社会工作，文化、体育和娱乐业等）</w:t>
            </w:r>
            <w:r>
              <w:rPr>
                <w:color w:val="auto"/>
              </w:rPr>
            </w:r>
            <w:r/>
          </w:p>
        </w:tc>
      </w:tr>
    </w:tbl>
    <w:p>
      <w:pPr>
        <w:pStyle w:val="976"/>
        <w:jc w:val="center"/>
        <w:rPr>
          <w:rStyle w:val="913"/>
          <w:rFonts w:ascii="宋体" w:hAnsi="宋体" w:eastAsia="宋体" w:cs="宋体"/>
          <w:color w:val="auto"/>
          <w:sz w:val="24"/>
          <w:highlight w:val="none"/>
        </w:rPr>
      </w:pPr>
      <w:r>
        <w:rPr>
          <w:rStyle w:val="913"/>
          <w:rFonts w:ascii="宋体" w:hAnsi="宋体" w:eastAsia="宋体" w:cs="宋体"/>
          <w:color w:val="auto"/>
          <w:sz w:val="24"/>
          <w:highlight w:val="none"/>
        </w:rPr>
      </w:r>
      <w:r>
        <w:rPr>
          <w:color w:val="auto"/>
        </w:rPr>
      </w:r>
      <w:r/>
    </w:p>
    <w:p>
      <w:pPr>
        <w:pStyle w:val="977"/>
        <w:ind w:firstLine="50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color w:val="auto"/>
        </w:rPr>
      </w:r>
      <w:r/>
    </w:p>
    <w:p>
      <w:pPr>
        <w:pStyle w:val="911"/>
        <w:spacing w:before="120" w:after="120" w:line="440" w:lineRule="exact"/>
        <w:rPr>
          <w:rFonts w:ascii="宋体" w:hAnsi="宋体" w:cs="宋体"/>
          <w:b/>
          <w:color w:val="auto"/>
          <w:sz w:val="28"/>
          <w:szCs w:val="28"/>
          <w:highlight w:val="none"/>
        </w:rPr>
      </w:pPr>
      <w:r>
        <w:rPr>
          <w:color w:val="auto"/>
        </w:rPr>
      </w:r>
      <w:bookmarkStart w:id="239" w:name="EB408f2104b2e44804a6615a1921eee37c"/>
      <w:r>
        <w:rPr>
          <w:color w:val="auto"/>
        </w:rPr>
      </w:r>
      <w:bookmarkEnd w:id="239"/>
      <w:r>
        <w:rPr>
          <w:rFonts w:hint="eastAsia" w:ascii="宋体" w:hAnsi="宋体" w:cs="宋体"/>
          <w:b/>
          <w:color w:val="auto"/>
          <w:sz w:val="28"/>
          <w:szCs w:val="28"/>
          <w:highlight w:val="none"/>
        </w:rPr>
        <w:t xml:space="preserve">二、技术要求</w:t>
      </w:r>
      <w:r>
        <w:rPr>
          <w:color w:val="auto"/>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14"/>
        <w:gridCol w:w="1624"/>
        <w:gridCol w:w="8544"/>
      </w:tblGrid>
      <w:tr>
        <w:trPr/>
        <w:tc>
          <w:tcPr>
            <w:tcMar>
              <w:top w:w="100" w:type="dxa"/>
              <w:bottom w:w="100" w:type="dxa"/>
            </w:tcMar>
            <w:tcW w:w="514" w:type="dxa"/>
            <w:vAlign w:val="center"/>
            <w:textDirection w:val="lrTb"/>
            <w:noWrap w:val="false"/>
          </w:tcPr>
          <w:p>
            <w:pPr>
              <w:pStyle w:val="982"/>
              <w:jc w:val="center"/>
              <w:rPr>
                <w:rStyle w:val="913"/>
                <w:rFonts w:ascii="宋体" w:hAnsi="宋体" w:eastAsia="宋体" w:cs="宋体"/>
                <w:b w:val="0"/>
                <w:i w:val="0"/>
                <w:iCs w:val="0"/>
                <w:color w:val="auto"/>
                <w:sz w:val="24"/>
                <w:szCs w:val="24"/>
                <w:highlight w:val="none"/>
              </w:rPr>
            </w:pPr>
            <w:r>
              <w:rPr>
                <w:rStyle w:val="913"/>
                <w:rFonts w:ascii="宋体" w:hAnsi="宋体" w:eastAsia="宋体" w:cs="宋体"/>
                <w:b w:val="0"/>
                <w:i w:val="0"/>
                <w:iCs w:val="0"/>
                <w:color w:val="auto"/>
                <w:sz w:val="24"/>
                <w:szCs w:val="24"/>
                <w:highlight w:val="none"/>
              </w:rPr>
              <w:t xml:space="preserve">序号</w:t>
            </w:r>
            <w:r>
              <w:rPr>
                <w:color w:val="auto"/>
              </w:rPr>
            </w:r>
            <w:r/>
          </w:p>
        </w:tc>
        <w:tc>
          <w:tcPr>
            <w:tcMar>
              <w:top w:w="100" w:type="dxa"/>
              <w:bottom w:w="100" w:type="dxa"/>
            </w:tcMar>
            <w:tcW w:w="1624" w:type="dxa"/>
            <w:vAlign w:val="center"/>
            <w:textDirection w:val="lrTb"/>
            <w:noWrap w:val="false"/>
          </w:tcPr>
          <w:p>
            <w:pPr>
              <w:pStyle w:val="982"/>
              <w:jc w:val="center"/>
              <w:rPr>
                <w:rStyle w:val="913"/>
                <w:rFonts w:ascii="宋体" w:hAnsi="宋体" w:eastAsia="宋体" w:cs="宋体"/>
                <w:b w:val="0"/>
                <w:i w:val="0"/>
                <w:iCs w:val="0"/>
                <w:color w:val="auto"/>
                <w:sz w:val="24"/>
                <w:szCs w:val="24"/>
                <w:highlight w:val="none"/>
              </w:rPr>
            </w:pPr>
            <w:r>
              <w:rPr>
                <w:rStyle w:val="913"/>
                <w:rFonts w:ascii="宋体" w:hAnsi="宋体" w:eastAsia="宋体" w:cs="宋体"/>
                <w:b w:val="0"/>
                <w:i w:val="0"/>
                <w:iCs w:val="0"/>
                <w:color w:val="auto"/>
                <w:sz w:val="24"/>
                <w:szCs w:val="24"/>
                <w:highlight w:val="none"/>
              </w:rPr>
              <w:t xml:space="preserve">名称</w:t>
            </w:r>
            <w:r>
              <w:rPr>
                <w:color w:val="auto"/>
              </w:rPr>
            </w:r>
            <w:r/>
          </w:p>
        </w:tc>
        <w:tc>
          <w:tcPr>
            <w:tcMar>
              <w:top w:w="100" w:type="dxa"/>
              <w:bottom w:w="100" w:type="dxa"/>
            </w:tcMar>
            <w:tcW w:w="8544" w:type="dxa"/>
            <w:vAlign w:val="center"/>
            <w:textDirection w:val="lrTb"/>
            <w:noWrap w:val="false"/>
          </w:tcPr>
          <w:p>
            <w:pPr>
              <w:pStyle w:val="982"/>
              <w:jc w:val="center"/>
              <w:rPr>
                <w:rStyle w:val="913"/>
                <w:rFonts w:ascii="宋体" w:hAnsi="宋体" w:eastAsia="宋体" w:cs="宋体"/>
                <w:b w:val="0"/>
                <w:i w:val="0"/>
                <w:iCs w:val="0"/>
                <w:color w:val="auto"/>
                <w:sz w:val="24"/>
                <w:szCs w:val="24"/>
                <w:highlight w:val="none"/>
              </w:rPr>
            </w:pPr>
            <w:r>
              <w:rPr>
                <w:rStyle w:val="913"/>
                <w:rFonts w:ascii="宋体" w:hAnsi="宋体" w:eastAsia="宋体" w:cs="宋体"/>
                <w:b w:val="0"/>
                <w:i w:val="0"/>
                <w:iCs w:val="0"/>
                <w:color w:val="auto"/>
                <w:sz w:val="24"/>
                <w:szCs w:val="24"/>
                <w:highlight w:val="none"/>
              </w:rPr>
              <w:t xml:space="preserve">内容</w:t>
            </w:r>
            <w:r>
              <w:rPr>
                <w:color w:val="auto"/>
              </w:rPr>
            </w:r>
            <w:r/>
          </w:p>
        </w:tc>
      </w:tr>
      <w:tr>
        <w:trPr/>
        <w:tc>
          <w:tcPr>
            <w:tcMar>
              <w:top w:w="100" w:type="dxa"/>
              <w:bottom w:w="100" w:type="dxa"/>
            </w:tcMar>
            <w:tcW w:w="514" w:type="dxa"/>
            <w:vAlign w:val="center"/>
            <w:vMerge w:val="restart"/>
            <w:textDirection w:val="lrTb"/>
            <w:noWrap w:val="false"/>
          </w:tcPr>
          <w:p>
            <w:pPr>
              <w:pStyle w:val="982"/>
              <w:jc w:val="center"/>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1</w:t>
            </w:r>
            <w:r>
              <w:rPr>
                <w:color w:val="auto"/>
              </w:rPr>
            </w:r>
            <w:r/>
          </w:p>
        </w:tc>
        <w:tc>
          <w:tcPr>
            <w:tcMar>
              <w:top w:w="100" w:type="dxa"/>
              <w:bottom w:w="100" w:type="dxa"/>
            </w:tcMar>
            <w:tcW w:w="1624" w:type="dxa"/>
            <w:vAlign w:val="center"/>
            <w:vMerge w:val="restart"/>
            <w:textDirection w:val="lrTb"/>
            <w:noWrap w:val="false"/>
          </w:tcPr>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项目背景</w:t>
            </w:r>
            <w:r>
              <w:rPr>
                <w:color w:val="auto"/>
              </w:rPr>
            </w:r>
            <w:r/>
          </w:p>
        </w:tc>
        <w:tc>
          <w:tcPr>
            <w:tcMar>
              <w:top w:w="100" w:type="dxa"/>
              <w:bottom w:w="100" w:type="dxa"/>
            </w:tcMar>
            <w:tcW w:w="8544" w:type="dxa"/>
            <w:vAlign w:val="center"/>
            <w:textDirection w:val="lrTb"/>
            <w:noWrap w:val="false"/>
          </w:tcPr>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为响应市政府印发《关于进一步推动我市养老服务高质量发展的实施意见》张政发规〔2021〕3号文件和张家港市民政局印发《张家港市居家养老服务实施细则》张政民〔2021〕237号文件的要求，加快发展养老服务事业，进一步推进养老服务社会化工作进程，提高养老服务水平，切实解决</w:t>
            </w:r>
            <w:r>
              <w:rPr>
                <w:rStyle w:val="913"/>
                <w:rFonts w:hint="eastAsia" w:ascii="宋体" w:hAnsi="宋体" w:eastAsia="宋体" w:cs="宋体"/>
                <w:b w:val="0"/>
                <w:i w:val="0"/>
                <w:iCs w:val="0"/>
                <w:color w:val="auto"/>
                <w:sz w:val="24"/>
                <w:szCs w:val="24"/>
                <w:highlight w:val="none"/>
                <w:u w:val="none"/>
                <w:lang w:eastAsia="zh-CN"/>
              </w:rPr>
              <w:t xml:space="preserve">大新镇</w:t>
            </w:r>
            <w:r>
              <w:rPr>
                <w:rStyle w:val="913"/>
                <w:rFonts w:ascii="宋体" w:hAnsi="宋体" w:eastAsia="宋体" w:cs="宋体"/>
                <w:b w:val="0"/>
                <w:i w:val="0"/>
                <w:iCs w:val="0"/>
                <w:color w:val="auto"/>
                <w:sz w:val="24"/>
                <w:szCs w:val="24"/>
                <w:highlight w:val="none"/>
                <w:u w:val="none"/>
              </w:rPr>
              <w:t xml:space="preserve">老年人的生活照料、精神慰藉、康复医疗、咨询、代购服务等问题；在推进居家养老服务的过程中，应把握循序渐进、合理分工、构建网络、加强培训、完善政策等要素。现结合实际，采取公开招标的形式确定一家供应商承接</w:t>
            </w:r>
            <w:r>
              <w:rPr>
                <w:rStyle w:val="913"/>
                <w:rFonts w:hint="eastAsia" w:ascii="宋体" w:hAnsi="宋体" w:eastAsia="宋体" w:cs="宋体"/>
                <w:b w:val="0"/>
                <w:i w:val="0"/>
                <w:iCs w:val="0"/>
                <w:color w:val="auto"/>
                <w:sz w:val="24"/>
                <w:szCs w:val="24"/>
                <w:highlight w:val="none"/>
                <w:u w:val="none"/>
                <w:lang w:eastAsia="zh-CN"/>
              </w:rPr>
              <w:t xml:space="preserve">大新镇</w:t>
            </w:r>
            <w:r>
              <w:rPr>
                <w:rStyle w:val="913"/>
                <w:rFonts w:ascii="宋体" w:hAnsi="宋体" w:eastAsia="宋体" w:cs="宋体"/>
                <w:b w:val="0"/>
                <w:i w:val="0"/>
                <w:iCs w:val="0"/>
                <w:color w:val="auto"/>
                <w:sz w:val="24"/>
                <w:szCs w:val="24"/>
                <w:highlight w:val="none"/>
                <w:u w:val="none"/>
              </w:rPr>
              <w:t xml:space="preserve">居家养老上门援助服务相关事宜。</w:t>
            </w:r>
            <w:r>
              <w:rPr>
                <w:color w:val="auto"/>
              </w:rPr>
            </w:r>
            <w:r/>
          </w:p>
        </w:tc>
      </w:tr>
      <w:tr>
        <w:trPr/>
        <w:tc>
          <w:tcPr>
            <w:tcMar>
              <w:top w:w="100" w:type="dxa"/>
              <w:bottom w:w="100" w:type="dxa"/>
            </w:tcMar>
            <w:tcW w:w="514" w:type="dxa"/>
            <w:vAlign w:val="center"/>
            <w:vMerge w:val="restart"/>
            <w:textDirection w:val="lrTb"/>
            <w:noWrap w:val="false"/>
          </w:tcPr>
          <w:p>
            <w:pPr>
              <w:pStyle w:val="982"/>
              <w:jc w:val="center"/>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2</w:t>
            </w:r>
            <w:r>
              <w:rPr>
                <w:color w:val="auto"/>
              </w:rPr>
            </w:r>
            <w:r/>
          </w:p>
        </w:tc>
        <w:tc>
          <w:tcPr>
            <w:tcMar>
              <w:top w:w="100" w:type="dxa"/>
              <w:bottom w:w="100" w:type="dxa"/>
            </w:tcMar>
            <w:tcW w:w="1624" w:type="dxa"/>
            <w:vAlign w:val="center"/>
            <w:vMerge w:val="restart"/>
            <w:textDirection w:val="lrTb"/>
            <w:noWrap w:val="false"/>
          </w:tcPr>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服务宗旨</w:t>
            </w:r>
            <w:r>
              <w:rPr>
                <w:color w:val="auto"/>
              </w:rPr>
            </w:r>
            <w:r/>
          </w:p>
        </w:tc>
        <w:tc>
          <w:tcPr>
            <w:tcMar>
              <w:top w:w="100" w:type="dxa"/>
              <w:bottom w:w="100" w:type="dxa"/>
            </w:tcMar>
            <w:tcW w:w="8544" w:type="dxa"/>
            <w:vAlign w:val="center"/>
            <w:textDirection w:val="lrTb"/>
            <w:noWrap w:val="false"/>
          </w:tcPr>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根据“政府主导、企业参与、市场化运作、服务外包”的指导思想，在充分发挥政府在养老服务中的主导作用，优化政策衔接、加大资金投入，建立更加有效的支持保障体系。在保障托底服务基础上，坚持党建引领、社会参与、市场运作，引导激励社会力量参与养老服务，推动养老服务高质量发展。坚守养老服务公益属性，发挥党员先锋模范作用，着力保障经济困难、高龄空巢、失智失能等重点困难老人的基本养老服务。</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投标人须采取社会化运作方式，运用市场化手段，借助现代信息技术，整合优秀的社会资源，社区资源和家庭资源，为</w:t>
            </w:r>
            <w:r>
              <w:rPr>
                <w:rStyle w:val="913"/>
                <w:rFonts w:hint="eastAsia" w:ascii="宋体" w:hAnsi="宋体" w:eastAsia="宋体" w:cs="宋体"/>
                <w:b w:val="0"/>
                <w:i w:val="0"/>
                <w:iCs w:val="0"/>
                <w:color w:val="auto"/>
                <w:sz w:val="24"/>
                <w:szCs w:val="24"/>
                <w:highlight w:val="none"/>
                <w:u w:val="none"/>
                <w:lang w:eastAsia="zh-CN"/>
              </w:rPr>
              <w:t xml:space="preserve">大新镇</w:t>
            </w:r>
            <w:r>
              <w:rPr>
                <w:rStyle w:val="913"/>
                <w:rFonts w:ascii="宋体" w:hAnsi="宋体" w:eastAsia="宋体" w:cs="宋体"/>
                <w:b w:val="0"/>
                <w:i w:val="0"/>
                <w:iCs w:val="0"/>
                <w:color w:val="auto"/>
                <w:sz w:val="24"/>
                <w:szCs w:val="24"/>
                <w:highlight w:val="none"/>
                <w:u w:val="none"/>
              </w:rPr>
              <w:t xml:space="preserve">居家老年人提供标准化、专业化、亲情化、全方位、全天候的养老服务。</w:t>
            </w:r>
            <w:r>
              <w:rPr>
                <w:color w:val="auto"/>
              </w:rPr>
            </w:r>
            <w:r/>
          </w:p>
        </w:tc>
      </w:tr>
      <w:tr>
        <w:trPr/>
        <w:tc>
          <w:tcPr>
            <w:tcMar>
              <w:top w:w="100" w:type="dxa"/>
              <w:bottom w:w="100" w:type="dxa"/>
            </w:tcMar>
            <w:tcW w:w="514" w:type="dxa"/>
            <w:vAlign w:val="center"/>
            <w:vMerge w:val="restart"/>
            <w:textDirection w:val="lrTb"/>
            <w:noWrap w:val="false"/>
          </w:tcPr>
          <w:p>
            <w:pPr>
              <w:pStyle w:val="982"/>
              <w:jc w:val="center"/>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3</w:t>
            </w:r>
            <w:r>
              <w:rPr>
                <w:color w:val="auto"/>
              </w:rPr>
            </w:r>
            <w:r/>
          </w:p>
        </w:tc>
        <w:tc>
          <w:tcPr>
            <w:tcMar>
              <w:top w:w="100" w:type="dxa"/>
              <w:bottom w:w="100" w:type="dxa"/>
            </w:tcMar>
            <w:tcW w:w="1624" w:type="dxa"/>
            <w:vAlign w:val="center"/>
            <w:vMerge w:val="restart"/>
            <w:textDirection w:val="lrTb"/>
            <w:noWrap w:val="false"/>
          </w:tcPr>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服务范围、对象</w:t>
            </w:r>
            <w:r>
              <w:rPr>
                <w:color w:val="auto"/>
              </w:rPr>
            </w:r>
            <w:r/>
          </w:p>
        </w:tc>
        <w:tc>
          <w:tcPr>
            <w:tcMar>
              <w:top w:w="100" w:type="dxa"/>
              <w:bottom w:w="100" w:type="dxa"/>
            </w:tcMar>
            <w:tcW w:w="8544" w:type="dxa"/>
            <w:vAlign w:val="center"/>
            <w:textDirection w:val="lrTb"/>
            <w:noWrap w:val="false"/>
          </w:tcPr>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1．服务范围</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为</w:t>
            </w:r>
            <w:r>
              <w:rPr>
                <w:rStyle w:val="913"/>
                <w:rFonts w:hint="eastAsia" w:ascii="宋体" w:hAnsi="宋体" w:eastAsia="宋体" w:cs="宋体"/>
                <w:b w:val="0"/>
                <w:i w:val="0"/>
                <w:iCs w:val="0"/>
                <w:color w:val="auto"/>
                <w:sz w:val="24"/>
                <w:szCs w:val="24"/>
                <w:highlight w:val="none"/>
                <w:u w:val="none"/>
                <w:lang w:eastAsia="zh-CN"/>
              </w:rPr>
              <w:t xml:space="preserve">大新镇</w:t>
            </w:r>
            <w:r>
              <w:rPr>
                <w:rStyle w:val="913"/>
                <w:rFonts w:ascii="宋体" w:hAnsi="宋体" w:eastAsia="宋体" w:cs="宋体"/>
                <w:b w:val="0"/>
                <w:i w:val="0"/>
                <w:iCs w:val="0"/>
                <w:color w:val="auto"/>
                <w:sz w:val="24"/>
                <w:szCs w:val="24"/>
                <w:highlight w:val="none"/>
                <w:u w:val="none"/>
              </w:rPr>
              <w:t xml:space="preserve">约</w:t>
            </w:r>
            <w:r>
              <w:rPr>
                <w:rStyle w:val="913"/>
                <w:rFonts w:hint="eastAsia" w:ascii="宋体" w:hAnsi="宋体" w:eastAsia="宋体" w:cs="宋体"/>
                <w:b w:val="0"/>
                <w:i w:val="0"/>
                <w:iCs w:val="0"/>
                <w:color w:val="auto"/>
                <w:sz w:val="24"/>
                <w:szCs w:val="24"/>
                <w:highlight w:val="none"/>
                <w:u w:val="none"/>
                <w:lang w:val="en-US" w:eastAsia="zh-CN"/>
              </w:rPr>
              <w:t xml:space="preserve">1800</w:t>
            </w:r>
            <w:r>
              <w:rPr>
                <w:rStyle w:val="913"/>
                <w:rFonts w:ascii="宋体" w:hAnsi="宋体" w:eastAsia="宋体" w:cs="宋体"/>
                <w:b w:val="0"/>
                <w:i w:val="0"/>
                <w:iCs w:val="0"/>
                <w:color w:val="auto"/>
                <w:sz w:val="24"/>
                <w:szCs w:val="24"/>
                <w:highlight w:val="none"/>
                <w:u w:val="none"/>
              </w:rPr>
              <w:t xml:space="preserve">名政府援助服务对象（因服务对象每月动态变动，实际以市亲情虚拟养老服务系统为准）提供虚拟养老上门服务。</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2．服务对象</w:t>
            </w:r>
            <w:r>
              <w:rPr>
                <w:color w:val="auto"/>
              </w:rPr>
            </w:r>
            <w:r/>
          </w:p>
          <w:p>
            <w:pPr>
              <w:pStyle w:val="911"/>
              <w:jc w:val="left"/>
              <w:keepLines w:val="0"/>
              <w:keepNext w:val="0"/>
              <w:widowControl/>
              <w:rPr>
                <w:rStyle w:val="913"/>
                <w:rFonts w:ascii="宋体" w:hAnsi="宋体" w:eastAsia="宋体" w:cs="宋体"/>
                <w:b w:val="0"/>
                <w:i w:val="0"/>
                <w:iCs w:val="0"/>
                <w:color w:val="auto"/>
                <w:sz w:val="24"/>
                <w:szCs w:val="24"/>
                <w:highlight w:val="none"/>
                <w:u w:val="none"/>
              </w:rPr>
              <w:suppressLineNumbers w:val="0"/>
            </w:pPr>
            <w:r>
              <w:rPr>
                <w:rStyle w:val="913"/>
                <w:rFonts w:ascii="宋体" w:hAnsi="宋体" w:eastAsia="宋体" w:cs="宋体"/>
                <w:b w:val="0"/>
                <w:i w:val="0"/>
                <w:iCs w:val="0"/>
                <w:color w:val="auto"/>
                <w:sz w:val="24"/>
                <w:szCs w:val="24"/>
                <w:highlight w:val="none"/>
                <w:u w:val="none"/>
              </w:rPr>
              <w:t xml:space="preserve">（1）A类：对年满60周岁，日常生活需要介助或介护的对象，含特困对象，低保、低保边缘、特困职工中的孤寡老人，重点优抚对象，苏州市级以上劳模，归国华侨，“二无”（无子女、无劳动能力）困难老人以及其他因特殊原因无人照料的困难老人，</w:t>
            </w:r>
            <w:r>
              <w:rPr>
                <w:rFonts w:hint="eastAsia" w:ascii="宋体" w:hAnsi="宋体" w:eastAsia="宋体" w:cs="宋体"/>
                <w:color w:val="auto"/>
                <w:sz w:val="24"/>
                <w:szCs w:val="24"/>
                <w:highlight w:val="none"/>
                <w:lang w:val="en-US" w:eastAsia="zh-CN" w:bidi="ar"/>
              </w:rPr>
              <w:t xml:space="preserve">按介助、介护两类每人每月提供不超过900元、1200元</w:t>
            </w:r>
            <w:r>
              <w:rPr>
                <w:rFonts w:hint="eastAsia" w:ascii="宋体" w:hAnsi="宋体" w:cs="宋体"/>
                <w:color w:val="auto"/>
                <w:sz w:val="24"/>
                <w:szCs w:val="24"/>
                <w:highlight w:val="none"/>
                <w:lang w:val="en-US" w:eastAsia="zh-CN" w:bidi="ar"/>
              </w:rPr>
              <w:t xml:space="preserve">的养老援助服务</w:t>
            </w:r>
            <w:r>
              <w:rPr>
                <w:rFonts w:hint="eastAsia" w:ascii="宋体" w:hAnsi="宋体" w:eastAsia="宋体" w:cs="宋体"/>
                <w:color w:val="auto"/>
                <w:sz w:val="24"/>
                <w:szCs w:val="24"/>
                <w:highlight w:val="none"/>
                <w:lang w:val="en-US" w:eastAsia="zh-CN" w:bidi="ar"/>
              </w:rPr>
              <w:t xml:space="preserve">。 </w:t>
            </w:r>
            <w:r>
              <w:rPr>
                <w:rStyle w:val="913"/>
                <w:rFonts w:ascii="宋体" w:hAnsi="宋体" w:eastAsia="宋体" w:cs="宋体"/>
                <w:b w:val="0"/>
                <w:i w:val="0"/>
                <w:iCs w:val="0"/>
                <w:color w:val="auto"/>
                <w:sz w:val="24"/>
                <w:szCs w:val="24"/>
                <w:highlight w:val="none"/>
                <w:u w:val="none"/>
              </w:rPr>
              <w:t xml:space="preserve">其中独生子女伤（病）残、死亡后未再生育或收养子女，且享受计生特别扶助金的无人照料的困难老人，在上述服务标准上再提高20%。</w:t>
            </w:r>
            <w:r>
              <w:rPr>
                <w:color w:val="auto"/>
              </w:rPr>
            </w:r>
            <w:r/>
          </w:p>
          <w:p>
            <w:pPr>
              <w:pStyle w:val="911"/>
              <w:jc w:val="left"/>
              <w:keepLines w:val="0"/>
              <w:keepNext w:val="0"/>
              <w:widowControl/>
              <w:rPr>
                <w:rStyle w:val="913"/>
                <w:rFonts w:ascii="宋体" w:hAnsi="宋体" w:eastAsia="宋体" w:cs="宋体"/>
                <w:b w:val="0"/>
                <w:i w:val="0"/>
                <w:iCs w:val="0"/>
                <w:color w:val="auto"/>
                <w:sz w:val="24"/>
                <w:szCs w:val="24"/>
                <w:highlight w:val="none"/>
                <w:u w:val="none"/>
              </w:rPr>
              <w:suppressLineNumbers w:val="0"/>
            </w:pPr>
            <w:r>
              <w:rPr>
                <w:rStyle w:val="913"/>
                <w:rFonts w:ascii="宋体" w:hAnsi="宋体" w:eastAsia="宋体" w:cs="宋体"/>
                <w:b w:val="0"/>
                <w:i w:val="0"/>
                <w:iCs w:val="0"/>
                <w:color w:val="auto"/>
                <w:sz w:val="24"/>
                <w:szCs w:val="24"/>
                <w:highlight w:val="none"/>
                <w:u w:val="none"/>
              </w:rPr>
              <w:t xml:space="preserve">（2）B类：对年满60周岁，独生子女伤（病）残、死亡后未再生育或收养子女，并享受计生特别扶助金且日常生活能自理的老年人，</w:t>
            </w:r>
            <w:r>
              <w:rPr>
                <w:rFonts w:hint="eastAsia" w:ascii="宋体" w:hAnsi="宋体" w:eastAsia="宋体" w:cs="宋体"/>
                <w:color w:val="auto"/>
                <w:sz w:val="24"/>
                <w:szCs w:val="24"/>
                <w:highlight w:val="none"/>
                <w:lang w:val="en-US" w:eastAsia="zh-CN" w:bidi="ar"/>
              </w:rPr>
              <w:t xml:space="preserve">每人每月提供不超过225元</w:t>
            </w:r>
            <w:r>
              <w:rPr>
                <w:rFonts w:hint="eastAsia" w:ascii="宋体" w:hAnsi="宋体" w:cs="宋体"/>
                <w:color w:val="auto"/>
                <w:sz w:val="24"/>
                <w:szCs w:val="24"/>
                <w:highlight w:val="none"/>
                <w:lang w:val="en-US" w:eastAsia="zh-CN" w:bidi="ar"/>
              </w:rPr>
              <w:t xml:space="preserve">的养老援助服务</w:t>
            </w:r>
            <w:r>
              <w:rPr>
                <w:rFonts w:hint="eastAsia" w:ascii="宋体" w:hAnsi="宋体" w:eastAsia="宋体" w:cs="宋体"/>
                <w:color w:val="auto"/>
                <w:sz w:val="24"/>
                <w:szCs w:val="24"/>
                <w:highlight w:val="none"/>
                <w:lang w:val="en-US" w:eastAsia="zh-CN" w:bidi="ar"/>
              </w:rPr>
              <w:t xml:space="preserve">。</w:t>
            </w:r>
            <w:r>
              <w:rPr>
                <w:color w:val="auto"/>
              </w:rPr>
            </w:r>
            <w:r/>
          </w:p>
          <w:p>
            <w:pPr>
              <w:pStyle w:val="911"/>
              <w:jc w:val="left"/>
              <w:keepLines w:val="0"/>
              <w:keepNext w:val="0"/>
              <w:widowControl/>
              <w:rPr>
                <w:rFonts w:hint="eastAsia" w:ascii="宋体" w:hAnsi="宋体" w:eastAsia="宋体" w:cs="宋体"/>
                <w:color w:val="auto"/>
                <w:sz w:val="24"/>
                <w:szCs w:val="24"/>
                <w:highlight w:val="none"/>
              </w:rPr>
              <w:suppressLineNumbers w:val="0"/>
            </w:pPr>
            <w:r>
              <w:rPr>
                <w:rStyle w:val="913"/>
                <w:rFonts w:ascii="宋体" w:hAnsi="宋体" w:eastAsia="宋体" w:cs="宋体"/>
                <w:b w:val="0"/>
                <w:i w:val="0"/>
                <w:iCs w:val="0"/>
                <w:color w:val="auto"/>
                <w:sz w:val="24"/>
                <w:szCs w:val="24"/>
                <w:highlight w:val="none"/>
                <w:u w:val="none"/>
              </w:rPr>
              <w:t xml:space="preserve">（3）C类：对年满80周岁，日常生活能自理的对象，含特困对象，低保、低保边缘、特困职工中的孤寡老人，重点优抚对象，苏州市级以上劳模，归国华侨，“二无”（无子女、无劳动能力）困难老人以及其他因特殊原因无人照料的困难老人，</w:t>
            </w:r>
            <w:r>
              <w:rPr>
                <w:rFonts w:hint="eastAsia" w:ascii="宋体" w:hAnsi="宋体" w:eastAsia="宋体" w:cs="宋体"/>
                <w:color w:val="auto"/>
                <w:sz w:val="24"/>
                <w:szCs w:val="24"/>
                <w:highlight w:val="none"/>
                <w:lang w:val="en-US" w:eastAsia="zh-CN" w:bidi="ar"/>
              </w:rPr>
              <w:t xml:space="preserve">每人每月提供不超过175元</w:t>
            </w:r>
            <w:r>
              <w:rPr>
                <w:rFonts w:hint="eastAsia" w:ascii="宋体" w:hAnsi="宋体" w:cs="宋体"/>
                <w:color w:val="auto"/>
                <w:sz w:val="24"/>
                <w:szCs w:val="24"/>
                <w:highlight w:val="none"/>
                <w:lang w:val="en-US" w:eastAsia="zh-CN" w:bidi="ar"/>
              </w:rPr>
              <w:t xml:space="preserve">的养老援助服务</w:t>
            </w:r>
            <w:r>
              <w:rPr>
                <w:rFonts w:hint="eastAsia" w:ascii="宋体" w:hAnsi="宋体" w:eastAsia="宋体" w:cs="宋体"/>
                <w:color w:val="auto"/>
                <w:sz w:val="24"/>
                <w:szCs w:val="24"/>
                <w:highlight w:val="none"/>
                <w:lang w:val="en-US" w:eastAsia="zh-CN" w:bidi="ar"/>
              </w:rPr>
              <w:t xml:space="preserve">。</w:t>
            </w:r>
            <w:r>
              <w:rPr>
                <w:color w:val="auto"/>
              </w:rPr>
            </w:r>
            <w:r/>
          </w:p>
          <w:p>
            <w:pPr>
              <w:pStyle w:val="911"/>
              <w:jc w:val="left"/>
              <w:keepLines w:val="0"/>
              <w:keepNext w:val="0"/>
              <w:widowControl/>
              <w:rPr>
                <w:rStyle w:val="913"/>
                <w:rFonts w:ascii="宋体" w:hAnsi="宋体" w:eastAsia="宋体" w:cs="宋体"/>
                <w:b w:val="0"/>
                <w:i w:val="0"/>
                <w:iCs w:val="0"/>
                <w:color w:val="auto"/>
                <w:sz w:val="24"/>
                <w:szCs w:val="24"/>
                <w:highlight w:val="none"/>
                <w:u w:val="none"/>
              </w:rPr>
              <w:suppressLineNumbers w:val="0"/>
            </w:pPr>
            <w:r>
              <w:rPr>
                <w:rStyle w:val="913"/>
                <w:rFonts w:ascii="宋体" w:hAnsi="宋体" w:eastAsia="宋体" w:cs="宋体"/>
                <w:b w:val="0"/>
                <w:i w:val="0"/>
                <w:iCs w:val="0"/>
                <w:color w:val="auto"/>
                <w:sz w:val="24"/>
                <w:szCs w:val="24"/>
                <w:highlight w:val="none"/>
                <w:u w:val="none"/>
              </w:rPr>
              <w:t xml:space="preserve">（4）D类：除上述三类外，其他年满80周岁及以上的老年人，</w:t>
            </w:r>
            <w:r>
              <w:rPr>
                <w:rFonts w:hint="eastAsia" w:ascii="宋体" w:hAnsi="宋体" w:eastAsia="宋体" w:cs="宋体"/>
                <w:color w:val="auto"/>
                <w:sz w:val="24"/>
                <w:szCs w:val="24"/>
                <w:highlight w:val="none"/>
                <w:lang w:val="en-US" w:eastAsia="zh-CN" w:bidi="ar"/>
              </w:rPr>
              <w:t xml:space="preserve">每户每月提供不不超过80元</w:t>
            </w:r>
            <w:r>
              <w:rPr>
                <w:rFonts w:hint="eastAsia" w:ascii="宋体" w:hAnsi="宋体" w:cs="宋体"/>
                <w:color w:val="auto"/>
                <w:sz w:val="24"/>
                <w:szCs w:val="24"/>
                <w:highlight w:val="none"/>
                <w:lang w:val="en-US" w:eastAsia="zh-CN" w:bidi="ar"/>
              </w:rPr>
              <w:t xml:space="preserve">的养老援助服务</w:t>
            </w:r>
            <w:r>
              <w:rPr>
                <w:rFonts w:hint="eastAsia" w:ascii="宋体" w:hAnsi="宋体" w:eastAsia="宋体" w:cs="宋体"/>
                <w:color w:val="auto"/>
                <w:sz w:val="24"/>
                <w:szCs w:val="24"/>
                <w:highlight w:val="none"/>
                <w:lang w:val="en-US" w:eastAsia="zh-CN" w:bidi="ar"/>
              </w:rPr>
              <w:t xml:space="preserve">。</w:t>
            </w:r>
            <w:r>
              <w:rPr>
                <w:color w:val="auto"/>
              </w:rPr>
            </w:r>
            <w:r/>
          </w:p>
          <w:p>
            <w:pPr>
              <w:pStyle w:val="982"/>
              <w:jc w:val="left"/>
              <w:rPr>
                <w:rStyle w:val="913"/>
                <w:rFonts w:ascii="宋体" w:hAnsi="宋体" w:eastAsia="宋体" w:cs="宋体"/>
                <w:b w:val="0"/>
                <w:bCs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除养老援助对象外，年满60周岁需要居家养老服务的老年人可自费申请服务。</w:t>
            </w:r>
            <w:r>
              <w:rPr>
                <w:rStyle w:val="913"/>
                <w:rFonts w:hint="eastAsia" w:ascii="宋体" w:hAnsi="宋体" w:eastAsia="宋体" w:cs="宋体"/>
                <w:b w:val="0"/>
                <w:i w:val="0"/>
                <w:iCs w:val="0"/>
                <w:color w:val="auto"/>
                <w:sz w:val="24"/>
                <w:szCs w:val="24"/>
                <w:highlight w:val="none"/>
                <w:u w:val="none"/>
              </w:rPr>
            </w:r>
          </w:p>
          <w:p>
            <w:pPr>
              <w:pStyle w:val="982"/>
              <w:jc w:val="left"/>
              <w:rPr>
                <w:rStyle w:val="913"/>
                <w:rFonts w:hint="eastAsia" w:ascii="宋体" w:hAnsi="宋体" w:eastAsia="宋体" w:cs="宋体"/>
                <w:b w:val="0"/>
                <w:bCs w:val="0"/>
                <w:i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r>
            <w:r>
              <w:rPr>
                <w:rStyle w:val="913"/>
                <w:rFonts w:hint="eastAsia" w:ascii="宋体" w:hAnsi="宋体" w:eastAsia="宋体" w:cs="宋体"/>
                <w:b w:val="0"/>
                <w:i w:val="0"/>
                <w:iCs w:val="0"/>
                <w:color w:val="auto"/>
                <w:sz w:val="24"/>
                <w:szCs w:val="24"/>
                <w:highlight w:val="none"/>
                <w:u w:val="none"/>
                <w:lang w:eastAsia="zh-CN"/>
              </w:rPr>
              <w:t xml:space="preserve">以上服务对象和标准按照《张家港市亲情（虚拟）养老院管理办法》执行，根据</w:t>
            </w:r>
            <w:r>
              <w:rPr>
                <w:rFonts w:hint="eastAsia" w:ascii="宋体" w:hAnsi="宋体" w:eastAsia="宋体" w:cs="宋体"/>
                <w:color w:val="auto"/>
                <w:sz w:val="24"/>
                <w:szCs w:val="24"/>
                <w:highlight w:val="none"/>
                <w:lang w:val="en-US" w:eastAsia="zh-CN" w:bidi="ar"/>
              </w:rPr>
              <w:t xml:space="preserve">市民政局发文同步调整。</w:t>
            </w:r>
            <w:r/>
            <w:r/>
          </w:p>
        </w:tc>
      </w:tr>
      <w:tr>
        <w:trPr/>
        <w:tc>
          <w:tcPr>
            <w:tcMar>
              <w:top w:w="100" w:type="dxa"/>
              <w:bottom w:w="100" w:type="dxa"/>
            </w:tcMar>
            <w:tcW w:w="514" w:type="dxa"/>
            <w:vAlign w:val="center"/>
            <w:vMerge w:val="restart"/>
            <w:textDirection w:val="lrTb"/>
            <w:noWrap w:val="false"/>
          </w:tcPr>
          <w:p>
            <w:pPr>
              <w:pStyle w:val="982"/>
              <w:jc w:val="center"/>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4</w:t>
            </w:r>
            <w:r>
              <w:rPr>
                <w:color w:val="auto"/>
              </w:rPr>
            </w:r>
            <w:r/>
          </w:p>
        </w:tc>
        <w:tc>
          <w:tcPr>
            <w:tcMar>
              <w:top w:w="100" w:type="dxa"/>
              <w:bottom w:w="100" w:type="dxa"/>
            </w:tcMar>
            <w:tcW w:w="1624" w:type="dxa"/>
            <w:vAlign w:val="center"/>
            <w:vMerge w:val="restart"/>
            <w:textDirection w:val="lrTb"/>
            <w:noWrap w:val="false"/>
          </w:tcPr>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服务内容</w:t>
            </w:r>
            <w:r>
              <w:rPr>
                <w:color w:val="auto"/>
              </w:rPr>
            </w:r>
            <w:r/>
          </w:p>
        </w:tc>
        <w:tc>
          <w:tcPr>
            <w:tcMar>
              <w:top w:w="100" w:type="dxa"/>
              <w:bottom w:w="100" w:type="dxa"/>
            </w:tcMar>
            <w:tcW w:w="8544" w:type="dxa"/>
            <w:vAlign w:val="center"/>
            <w:textDirection w:val="lrTb"/>
            <w:noWrap w:val="false"/>
          </w:tcPr>
          <w:p>
            <w:pPr>
              <w:pStyle w:val="982"/>
              <w:jc w:val="left"/>
              <w:rPr>
                <w:rStyle w:val="913"/>
                <w:rFonts w:hint="eastAsia"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1.居家养老服务项目</w:t>
            </w:r>
            <w:r>
              <w:rPr>
                <w:rStyle w:val="913"/>
                <w:rFonts w:hint="eastAsia" w:ascii="宋体" w:hAnsi="宋体" w:eastAsia="宋体" w:cs="宋体"/>
                <w:b w:val="0"/>
                <w:i w:val="0"/>
                <w:iCs w:val="0"/>
                <w:color w:val="auto"/>
                <w:sz w:val="24"/>
                <w:szCs w:val="24"/>
                <w:highlight w:val="none"/>
                <w:u w:val="none"/>
                <w:lang w:eastAsia="zh-CN"/>
              </w:rPr>
              <w:t xml:space="preserve">：</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（1）居家照护服务类：为老年人提供生活照料、家政保洁、康复保健等服务。</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（2）助餐服务类：为老年人提供送餐服务。</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（3）关爱服务类：为老年人提供居家探访、精神慰藉等服务。</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（4）智慧养老类：为老年人提供紧急呼叫、安全防护、辅具租赁等服务。</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（5）便民服务类：为老年人提供管道疏通、家电维修等服务。</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（6）养老顾问类：为老年人提供养老服务政策咨询、养老服务事项办理指南等服务；为老年人定制养老服务清单，开发和推广适合不同老年人特点的养老服务项目。</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投标人须针对不同类型、不同需求的老人及特殊服务对象提供个性化、专业化、特殊合理的服务，而不是同质化的管理，同时要尊重每位老人享受各项服务项目的意愿，最大限度给予老人自主选择的权利。</w:t>
            </w:r>
            <w:r>
              <w:rPr>
                <w:color w:val="auto"/>
              </w:rPr>
            </w:r>
            <w:r/>
          </w:p>
        </w:tc>
      </w:tr>
      <w:tr>
        <w:trPr>
          <w:trHeight w:val="1492"/>
        </w:trPr>
        <w:tc>
          <w:tcPr>
            <w:tcMar>
              <w:top w:w="100" w:type="dxa"/>
              <w:bottom w:w="100" w:type="dxa"/>
            </w:tcMar>
            <w:tcW w:w="514" w:type="dxa"/>
            <w:vAlign w:val="center"/>
            <w:vMerge w:val="continue"/>
            <w:textDirection w:val="lrTb"/>
            <w:noWrap w:val="false"/>
          </w:tcPr>
          <w:p>
            <w:pPr>
              <w:pStyle w:val="982"/>
              <w:jc w:val="center"/>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1624" w:type="dxa"/>
            <w:vAlign w:val="center"/>
            <w:vMerge w:val="continue"/>
            <w:textDirection w:val="lrTb"/>
            <w:noWrap w:val="false"/>
          </w:tcPr>
          <w:p>
            <w:pPr>
              <w:pStyle w:val="982"/>
              <w:jc w:val="left"/>
              <w:rPr>
                <w:rStyle w:val="913"/>
                <w:rFonts w:ascii="宋体" w:hAnsi="宋体" w:eastAsia="宋体" w:cs="宋体"/>
                <w:b w:val="0"/>
                <w:i w:val="0"/>
                <w:iCs w:val="0"/>
                <w:color w:val="000000"/>
                <w:sz w:val="24"/>
                <w:szCs w:val="24"/>
                <w:highlight w:val="none"/>
                <w:u w:val="single"/>
              </w:rPr>
            </w:pPr>
            <w:r>
              <w:rPr>
                <w:rStyle w:val="913"/>
                <w:rFonts w:ascii="宋体" w:hAnsi="宋体" w:eastAsia="宋体" w:cs="宋体"/>
                <w:b w:val="0"/>
                <w:i w:val="0"/>
                <w:iCs w:val="0"/>
                <w:color w:val="000000"/>
                <w:sz w:val="24"/>
                <w:szCs w:val="24"/>
                <w:highlight w:val="none"/>
                <w:u w:val="single"/>
              </w:rPr>
            </w:r>
            <w:r/>
          </w:p>
        </w:tc>
        <w:tc>
          <w:tcPr>
            <w:tcMar>
              <w:top w:w="100" w:type="dxa"/>
              <w:bottom w:w="100" w:type="dxa"/>
            </w:tcMar>
            <w:tcW w:w="8544" w:type="dxa"/>
            <w:vAlign w:val="center"/>
            <w:textDirection w:val="lrTb"/>
            <w:noWrap w:val="false"/>
          </w:tcPr>
          <w:p>
            <w:pPr>
              <w:pStyle w:val="911"/>
              <w:jc w:val="left"/>
              <w:keepLines w:val="0"/>
              <w:keepNext w:val="0"/>
              <w:widowControl/>
              <w:rPr>
                <w:color w:val="auto"/>
                <w:highlight w:val="none"/>
              </w:rPr>
              <w:suppressLineNumbers w:val="0"/>
            </w:pPr>
            <w:r>
              <w:rPr>
                <w:rStyle w:val="913"/>
                <w:rFonts w:ascii="宋体" w:hAnsi="宋体" w:eastAsia="宋体" w:cs="宋体"/>
                <w:b w:val="0"/>
                <w:i/>
                <w:iCs/>
                <w:color w:val="auto"/>
                <w:sz w:val="24"/>
                <w:szCs w:val="24"/>
                <w:highlight w:val="none"/>
                <w:u w:val="single"/>
              </w:rPr>
              <w:t xml:space="preserve">本次招标的居家养老服务项目和收费标准，具体以张家港市亲情（虚拟）养老院确定的《张家港市（亲情）虚拟养老院服务项目及指导价格》目录为准</w:t>
            </w:r>
            <w:r>
              <w:rPr>
                <w:rStyle w:val="913"/>
                <w:rFonts w:hint="eastAsia" w:ascii="宋体" w:hAnsi="宋体" w:cs="宋体"/>
                <w:b w:val="0"/>
                <w:i/>
                <w:iCs/>
                <w:color w:val="auto"/>
                <w:sz w:val="24"/>
                <w:szCs w:val="24"/>
                <w:highlight w:val="none"/>
                <w:u w:val="single"/>
                <w:lang w:eastAsia="zh-CN"/>
              </w:rPr>
              <w:t xml:space="preserve">（附件</w:t>
            </w:r>
            <w:r>
              <w:rPr>
                <w:rStyle w:val="913"/>
                <w:rFonts w:hint="eastAsia" w:ascii="宋体" w:hAnsi="宋体" w:cs="宋体"/>
                <w:b w:val="0"/>
                <w:i/>
                <w:iCs/>
                <w:color w:val="auto"/>
                <w:sz w:val="24"/>
                <w:szCs w:val="24"/>
                <w:highlight w:val="none"/>
                <w:u w:val="single"/>
                <w:lang w:val="en-US" w:eastAsia="zh-CN"/>
              </w:rPr>
              <w:t xml:space="preserve">1</w:t>
            </w:r>
            <w:r>
              <w:rPr>
                <w:rStyle w:val="913"/>
                <w:rFonts w:hint="eastAsia" w:ascii="宋体" w:hAnsi="宋体" w:cs="宋体"/>
                <w:b w:val="0"/>
                <w:i/>
                <w:iCs/>
                <w:color w:val="auto"/>
                <w:sz w:val="24"/>
                <w:szCs w:val="24"/>
                <w:highlight w:val="none"/>
                <w:u w:val="single"/>
                <w:lang w:eastAsia="zh-CN"/>
              </w:rPr>
              <w:t xml:space="preserve">），</w:t>
            </w:r>
            <w:r>
              <w:rPr>
                <w:rFonts w:hint="eastAsia" w:ascii="宋体" w:hAnsi="宋体" w:eastAsia="宋体" w:cs="宋体"/>
                <w:color w:val="auto"/>
                <w:sz w:val="24"/>
                <w:szCs w:val="24"/>
                <w:highlight w:val="none"/>
                <w:lang w:val="en-US" w:eastAsia="zh-CN" w:bidi="ar"/>
              </w:rPr>
              <w:t xml:space="preserve">服务商应参照此标准开展服务。后期根据老人需求变化调整，以市民政局发文为准。</w:t>
            </w:r>
            <w:r>
              <w:rPr>
                <w:color w:val="auto"/>
              </w:rPr>
            </w:r>
            <w:r/>
          </w:p>
        </w:tc>
      </w:tr>
      <w:tr>
        <w:trPr/>
        <w:tc>
          <w:tcPr>
            <w:tcMar>
              <w:top w:w="100" w:type="dxa"/>
              <w:bottom w:w="100" w:type="dxa"/>
            </w:tcMar>
            <w:tcW w:w="514" w:type="dxa"/>
            <w:vAlign w:val="center"/>
            <w:vMerge w:val="continue"/>
            <w:textDirection w:val="lrTb"/>
            <w:noWrap w:val="false"/>
          </w:tcPr>
          <w:p>
            <w:pPr>
              <w:pStyle w:val="982"/>
              <w:jc w:val="center"/>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1624" w:type="dxa"/>
            <w:vAlign w:val="center"/>
            <w:vMerge w:val="continue"/>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8544" w:type="dxa"/>
            <w:vAlign w:val="center"/>
            <w:textDirection w:val="lrTb"/>
            <w:noWrap w:val="false"/>
          </w:tcPr>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注：</w:t>
            </w:r>
            <w:r>
              <w:rPr>
                <w:rStyle w:val="913"/>
                <w:rFonts w:ascii="宋体" w:hAnsi="宋体" w:eastAsia="宋体" w:cs="宋体"/>
                <w:b w:val="0"/>
                <w:i/>
                <w:iCs/>
                <w:color w:val="auto"/>
                <w:sz w:val="24"/>
                <w:szCs w:val="24"/>
                <w:highlight w:val="none"/>
                <w:u w:val="single"/>
              </w:rPr>
              <w:t xml:space="preserve">本项目</w:t>
            </w:r>
            <w:r>
              <w:rPr>
                <w:rStyle w:val="913"/>
                <w:rFonts w:hint="eastAsia" w:ascii="宋体" w:hAnsi="宋体" w:eastAsia="宋体" w:cs="宋体"/>
                <w:b w:val="0"/>
                <w:i/>
                <w:iCs/>
                <w:color w:val="auto"/>
                <w:sz w:val="24"/>
                <w:szCs w:val="24"/>
                <w:highlight w:val="none"/>
                <w:u w:val="single"/>
              </w:rPr>
              <w:t xml:space="preserve">按照指导价格乘以【1-投标优惠率（%）】作为收费依据。例如：供应商以投标优惠率5%报价本项目，投标优惠率中填写5%即可。如投标人投标优惠率为5%，即中标后按招标文件中单项指导价格收费标准*（1-5%）的价格执行。</w:t>
            </w:r>
            <w:r>
              <w:rPr>
                <w:color w:val="auto"/>
              </w:rPr>
            </w:r>
            <w:r/>
          </w:p>
        </w:tc>
      </w:tr>
      <w:tr>
        <w:trPr/>
        <w:tc>
          <w:tcPr>
            <w:tcMar>
              <w:top w:w="100" w:type="dxa"/>
              <w:bottom w:w="100" w:type="dxa"/>
            </w:tcMar>
            <w:tcW w:w="514" w:type="dxa"/>
            <w:vAlign w:val="center"/>
            <w:vMerge w:val="continue"/>
            <w:textDirection w:val="lrTb"/>
            <w:noWrap w:val="false"/>
          </w:tcPr>
          <w:p>
            <w:pPr>
              <w:pStyle w:val="982"/>
              <w:jc w:val="center"/>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1624" w:type="dxa"/>
            <w:vAlign w:val="center"/>
            <w:vMerge w:val="continue"/>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8544" w:type="dxa"/>
            <w:vAlign w:val="center"/>
            <w:textDirection w:val="lrTb"/>
            <w:noWrap w:val="false"/>
          </w:tcPr>
          <w:p>
            <w:pPr>
              <w:pStyle w:val="982"/>
              <w:numPr>
                <w:ilvl w:val="0"/>
                <w:numId w:val="0"/>
              </w:numPr>
              <w:jc w:val="left"/>
              <w:rPr>
                <w:rStyle w:val="913"/>
                <w:rFonts w:hint="eastAsia" w:ascii="宋体" w:hAnsi="宋体" w:eastAsia="宋体" w:cs="宋体"/>
                <w:b w:val="0"/>
                <w:i w:val="0"/>
                <w:iCs w:val="0"/>
                <w:color w:val="auto"/>
                <w:sz w:val="24"/>
                <w:szCs w:val="24"/>
                <w:highlight w:val="none"/>
                <w:u w:val="none"/>
              </w:rPr>
            </w:pPr>
            <w:r>
              <w:rPr>
                <w:rStyle w:val="913"/>
                <w:rFonts w:hint="eastAsia" w:ascii="宋体" w:hAnsi="宋体" w:eastAsia="宋体" w:cs="宋体"/>
                <w:b w:val="0"/>
                <w:i w:val="0"/>
                <w:iCs w:val="0"/>
                <w:color w:val="auto"/>
                <w:sz w:val="24"/>
                <w:szCs w:val="24"/>
                <w:highlight w:val="none"/>
                <w:u w:val="none"/>
                <w:lang w:val="en-US" w:eastAsia="zh-CN"/>
              </w:rPr>
              <w:t xml:space="preserve">2.</w:t>
            </w:r>
            <w:r>
              <w:rPr>
                <w:rStyle w:val="913"/>
                <w:rFonts w:hint="eastAsia" w:ascii="宋体" w:hAnsi="宋体" w:eastAsia="宋体" w:cs="宋体"/>
                <w:b w:val="0"/>
                <w:i w:val="0"/>
                <w:iCs w:val="0"/>
                <w:color w:val="auto"/>
                <w:sz w:val="24"/>
                <w:szCs w:val="24"/>
                <w:highlight w:val="none"/>
                <w:u w:val="none"/>
                <w:lang w:eastAsia="zh-CN"/>
              </w:rPr>
              <w:t xml:space="preserve">协助</w:t>
            </w:r>
            <w:r>
              <w:rPr>
                <w:rStyle w:val="913"/>
                <w:rFonts w:ascii="宋体" w:hAnsi="宋体" w:eastAsia="宋体" w:cs="宋体"/>
                <w:b w:val="0"/>
                <w:i w:val="0"/>
                <w:iCs w:val="0"/>
                <w:color w:val="auto"/>
                <w:sz w:val="24"/>
                <w:szCs w:val="24"/>
                <w:highlight w:val="none"/>
                <w:u w:val="none"/>
              </w:rPr>
              <w:t xml:space="preserve">完成</w:t>
            </w:r>
            <w:r>
              <w:rPr>
                <w:rStyle w:val="913"/>
                <w:rFonts w:hint="eastAsia" w:ascii="宋体" w:hAnsi="宋体" w:eastAsia="宋体" w:cs="宋体"/>
                <w:b w:val="0"/>
                <w:i w:val="0"/>
                <w:iCs w:val="0"/>
                <w:color w:val="auto"/>
                <w:sz w:val="24"/>
                <w:szCs w:val="24"/>
                <w:highlight w:val="none"/>
                <w:u w:val="none"/>
                <w:lang w:eastAsia="zh-CN"/>
              </w:rPr>
              <w:t xml:space="preserve">甲方</w:t>
            </w:r>
            <w:r>
              <w:rPr>
                <w:rStyle w:val="913"/>
                <w:rFonts w:ascii="宋体" w:hAnsi="宋体" w:eastAsia="宋体" w:cs="宋体"/>
                <w:b w:val="0"/>
                <w:i w:val="0"/>
                <w:iCs w:val="0"/>
                <w:color w:val="auto"/>
                <w:sz w:val="24"/>
                <w:szCs w:val="24"/>
                <w:highlight w:val="none"/>
                <w:u w:val="none"/>
              </w:rPr>
              <w:t xml:space="preserve">布置的其他任务。</w:t>
            </w:r>
            <w:r>
              <w:rPr>
                <w:color w:val="auto"/>
              </w:rPr>
            </w:r>
            <w:r/>
          </w:p>
        </w:tc>
      </w:tr>
      <w:tr>
        <w:trPr/>
        <w:tc>
          <w:tcPr>
            <w:tcMar>
              <w:top w:w="100" w:type="dxa"/>
              <w:bottom w:w="100" w:type="dxa"/>
            </w:tcMar>
            <w:tcW w:w="514" w:type="dxa"/>
            <w:vAlign w:val="center"/>
            <w:vMerge w:val="restart"/>
            <w:textDirection w:val="lrTb"/>
            <w:noWrap w:val="false"/>
          </w:tcPr>
          <w:p>
            <w:pPr>
              <w:pStyle w:val="982"/>
              <w:jc w:val="center"/>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5</w:t>
            </w:r>
            <w:r>
              <w:rPr>
                <w:color w:val="auto"/>
              </w:rPr>
            </w:r>
            <w:r/>
          </w:p>
        </w:tc>
        <w:tc>
          <w:tcPr>
            <w:tcMar>
              <w:top w:w="100" w:type="dxa"/>
              <w:bottom w:w="100" w:type="dxa"/>
            </w:tcMar>
            <w:tcW w:w="1624" w:type="dxa"/>
            <w:vAlign w:val="center"/>
            <w:vMerge w:val="restart"/>
            <w:textDirection w:val="lrTb"/>
            <w:noWrap w:val="false"/>
          </w:tcPr>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服务要求</w:t>
            </w:r>
            <w:r>
              <w:rPr>
                <w:color w:val="auto"/>
              </w:rPr>
            </w:r>
            <w:r/>
          </w:p>
        </w:tc>
        <w:tc>
          <w:tcPr>
            <w:tcMar>
              <w:top w:w="100" w:type="dxa"/>
              <w:bottom w:w="100" w:type="dxa"/>
            </w:tcMar>
            <w:tcW w:w="8544" w:type="dxa"/>
            <w:vAlign w:val="center"/>
            <w:textDirection w:val="lrTb"/>
            <w:noWrap w:val="false"/>
          </w:tcPr>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1．本项目要求投标人应有明确且合理的目标定位，能结合目标定位制定科学的发展规划，对未来的市场化发展有专门的规划，能展现未来养老服务产品提供的丰富性，发展规划与目标定位应内容清晰、全面，理解充分、合理、完善、规范、丰富、具有可操作性。</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2．投标人应针对本次招标项目特点编写如下方案：</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（1）拟制定的居家养老发展规划、目标定位。</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w:t>
            </w:r>
            <w:r>
              <w:rPr>
                <w:rStyle w:val="913"/>
                <w:rFonts w:hint="eastAsia" w:ascii="宋体" w:hAnsi="宋体" w:eastAsia="宋体" w:cs="宋体"/>
                <w:b w:val="0"/>
                <w:i w:val="0"/>
                <w:iCs w:val="0"/>
                <w:color w:val="auto"/>
                <w:sz w:val="24"/>
                <w:szCs w:val="24"/>
                <w:highlight w:val="none"/>
                <w:u w:val="none"/>
                <w:lang w:val="en-US" w:eastAsia="zh-CN"/>
              </w:rPr>
              <w:t xml:space="preserve">2</w:t>
            </w:r>
            <w:r>
              <w:rPr>
                <w:rStyle w:val="913"/>
                <w:rFonts w:ascii="宋体" w:hAnsi="宋体" w:eastAsia="宋体" w:cs="宋体"/>
                <w:b w:val="0"/>
                <w:i w:val="0"/>
                <w:iCs w:val="0"/>
                <w:color w:val="auto"/>
                <w:sz w:val="24"/>
                <w:szCs w:val="24"/>
                <w:highlight w:val="none"/>
                <w:u w:val="none"/>
              </w:rPr>
              <w:t xml:space="preserve">）针对不同类型的老人提供的服务方案：投标人需根据不同类型的老人实际情况，结合服务清单中的各项服务内容（人文关怀类、生活照料类、家政服务类、康复理疗类），提供有针对性的服务、管理方案，方案中需涵盖具体的服务规范、操作流程、服务标准等。</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w:t>
            </w:r>
            <w:r>
              <w:rPr>
                <w:rStyle w:val="913"/>
                <w:rFonts w:hint="eastAsia" w:ascii="宋体" w:hAnsi="宋体" w:eastAsia="宋体" w:cs="宋体"/>
                <w:b w:val="0"/>
                <w:i w:val="0"/>
                <w:iCs w:val="0"/>
                <w:color w:val="auto"/>
                <w:sz w:val="24"/>
                <w:szCs w:val="24"/>
                <w:highlight w:val="none"/>
                <w:u w:val="none"/>
                <w:lang w:val="en-US" w:eastAsia="zh-CN"/>
              </w:rPr>
              <w:t xml:space="preserve">3</w:t>
            </w:r>
            <w:r>
              <w:rPr>
                <w:rStyle w:val="913"/>
                <w:rFonts w:ascii="宋体" w:hAnsi="宋体" w:eastAsia="宋体" w:cs="宋体"/>
                <w:b w:val="0"/>
                <w:i w:val="0"/>
                <w:iCs w:val="0"/>
                <w:color w:val="auto"/>
                <w:sz w:val="24"/>
                <w:szCs w:val="24"/>
                <w:highlight w:val="none"/>
                <w:u w:val="none"/>
              </w:rPr>
              <w:t xml:space="preserve">）内部管理职能方案：涵盖岗位责任制度、管理、考核与奖惩制度、技术服务规范与工作制度、服务质量管理制度等相关制度管理制度和标准，要求方案全面完整，内容详细，可操作性强。</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w:t>
            </w:r>
            <w:r>
              <w:rPr>
                <w:rStyle w:val="913"/>
                <w:rFonts w:hint="eastAsia" w:ascii="宋体" w:hAnsi="宋体" w:eastAsia="宋体" w:cs="宋体"/>
                <w:b w:val="0"/>
                <w:i w:val="0"/>
                <w:iCs w:val="0"/>
                <w:color w:val="auto"/>
                <w:sz w:val="24"/>
                <w:szCs w:val="24"/>
                <w:highlight w:val="none"/>
                <w:u w:val="none"/>
                <w:lang w:val="en-US" w:eastAsia="zh-CN"/>
              </w:rPr>
              <w:t xml:space="preserve">4</w:t>
            </w:r>
            <w:r>
              <w:rPr>
                <w:rStyle w:val="913"/>
                <w:rFonts w:ascii="宋体" w:hAnsi="宋体" w:eastAsia="宋体" w:cs="宋体"/>
                <w:b w:val="0"/>
                <w:i w:val="0"/>
                <w:iCs w:val="0"/>
                <w:color w:val="auto"/>
                <w:sz w:val="24"/>
                <w:szCs w:val="24"/>
                <w:highlight w:val="none"/>
                <w:u w:val="none"/>
              </w:rPr>
              <w:t xml:space="preserve">）服务人员培训制度：培训制度应完整详细、培训内容全面、具有很强的操作性。</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w:t>
            </w:r>
            <w:r>
              <w:rPr>
                <w:rStyle w:val="913"/>
                <w:rFonts w:hint="eastAsia" w:ascii="宋体" w:hAnsi="宋体" w:eastAsia="宋体" w:cs="宋体"/>
                <w:b w:val="0"/>
                <w:i w:val="0"/>
                <w:iCs w:val="0"/>
                <w:color w:val="auto"/>
                <w:sz w:val="24"/>
                <w:szCs w:val="24"/>
                <w:highlight w:val="none"/>
                <w:u w:val="none"/>
                <w:lang w:val="en-US" w:eastAsia="zh-CN"/>
              </w:rPr>
              <w:t xml:space="preserve">5</w:t>
            </w:r>
            <w:r>
              <w:rPr>
                <w:rStyle w:val="913"/>
                <w:rFonts w:ascii="宋体" w:hAnsi="宋体" w:eastAsia="宋体" w:cs="宋体"/>
                <w:b w:val="0"/>
                <w:i w:val="0"/>
                <w:iCs w:val="0"/>
                <w:color w:val="auto"/>
                <w:sz w:val="24"/>
                <w:szCs w:val="24"/>
                <w:highlight w:val="none"/>
                <w:u w:val="none"/>
              </w:rPr>
              <w:t xml:space="preserve">）应急措施和安全保障措施及疫情防控方案。</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w:t>
            </w:r>
            <w:r>
              <w:rPr>
                <w:rStyle w:val="913"/>
                <w:rFonts w:hint="eastAsia" w:ascii="宋体" w:hAnsi="宋体" w:eastAsia="宋体" w:cs="宋体"/>
                <w:b w:val="0"/>
                <w:i w:val="0"/>
                <w:iCs w:val="0"/>
                <w:color w:val="auto"/>
                <w:sz w:val="24"/>
                <w:szCs w:val="24"/>
                <w:highlight w:val="none"/>
                <w:u w:val="none"/>
                <w:lang w:val="en-US" w:eastAsia="zh-CN"/>
              </w:rPr>
              <w:t xml:space="preserve">6</w:t>
            </w:r>
            <w:r>
              <w:rPr>
                <w:rStyle w:val="913"/>
                <w:rFonts w:ascii="宋体" w:hAnsi="宋体" w:eastAsia="宋体" w:cs="宋体"/>
                <w:b w:val="0"/>
                <w:i w:val="0"/>
                <w:iCs w:val="0"/>
                <w:color w:val="auto"/>
                <w:sz w:val="24"/>
                <w:szCs w:val="24"/>
                <w:highlight w:val="none"/>
                <w:u w:val="none"/>
              </w:rPr>
              <w:t xml:space="preserve">）与其他单位或组织的配合协调方案。</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w:t>
            </w:r>
            <w:r>
              <w:rPr>
                <w:rStyle w:val="913"/>
                <w:rFonts w:hint="eastAsia" w:ascii="宋体" w:hAnsi="宋体" w:eastAsia="宋体" w:cs="宋体"/>
                <w:b w:val="0"/>
                <w:i w:val="0"/>
                <w:iCs w:val="0"/>
                <w:color w:val="auto"/>
                <w:sz w:val="24"/>
                <w:szCs w:val="24"/>
                <w:highlight w:val="none"/>
                <w:u w:val="none"/>
                <w:lang w:val="en-US" w:eastAsia="zh-CN"/>
              </w:rPr>
              <w:t xml:space="preserve">7</w:t>
            </w:r>
            <w:r>
              <w:rPr>
                <w:rStyle w:val="913"/>
                <w:rFonts w:ascii="宋体" w:hAnsi="宋体" w:eastAsia="宋体" w:cs="宋体"/>
                <w:b w:val="0"/>
                <w:i w:val="0"/>
                <w:iCs w:val="0"/>
                <w:color w:val="auto"/>
                <w:sz w:val="24"/>
                <w:szCs w:val="24"/>
                <w:highlight w:val="none"/>
                <w:u w:val="none"/>
              </w:rPr>
              <w:t xml:space="preserve">）联动方案。</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w:t>
            </w:r>
            <w:r>
              <w:rPr>
                <w:rStyle w:val="913"/>
                <w:rFonts w:hint="eastAsia" w:ascii="宋体" w:hAnsi="宋体" w:eastAsia="宋体" w:cs="宋体"/>
                <w:b w:val="0"/>
                <w:i w:val="0"/>
                <w:iCs w:val="0"/>
                <w:color w:val="auto"/>
                <w:sz w:val="24"/>
                <w:szCs w:val="24"/>
                <w:highlight w:val="none"/>
                <w:u w:val="none"/>
                <w:lang w:val="en-US" w:eastAsia="zh-CN"/>
              </w:rPr>
              <w:t xml:space="preserve">8</w:t>
            </w:r>
            <w:r>
              <w:rPr>
                <w:rStyle w:val="913"/>
                <w:rFonts w:ascii="宋体" w:hAnsi="宋体" w:eastAsia="宋体" w:cs="宋体"/>
                <w:b w:val="0"/>
                <w:i w:val="0"/>
                <w:iCs w:val="0"/>
                <w:color w:val="auto"/>
                <w:sz w:val="24"/>
                <w:szCs w:val="24"/>
                <w:highlight w:val="none"/>
                <w:u w:val="none"/>
              </w:rPr>
              <w:t xml:space="preserve">）各项服务承诺：投标单位需对服务对象各项信息进行保密、服务内容与质量、发生各类安全事故善后处理、依法用工承诺。</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1.根据服务需求，严格按照项目服务流程开展服务。 </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2.注重礼节礼貌，主动沟通，如果遇到难以解决的问题应积极向公司反映情况，寻求解决方案。 </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3.如需现场收费的项目，需提前告知收费标准。 </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4.服务过程中不得做与服务无关的事，不得变相诱导索要好评、辱骂或对服务对象人身攻击。 </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hint="eastAsia" w:ascii="宋体" w:hAnsi="宋体" w:eastAsia="宋体" w:cs="宋体"/>
                <w:b w:val="0"/>
                <w:i w:val="0"/>
                <w:iCs w:val="0"/>
                <w:color w:val="auto"/>
                <w:sz w:val="24"/>
                <w:szCs w:val="24"/>
                <w:highlight w:val="none"/>
                <w:u w:val="none"/>
                <w:lang w:val="en-US" w:eastAsia="zh-CN"/>
              </w:rPr>
              <w:t xml:space="preserve">5</w:t>
            </w:r>
            <w:r>
              <w:rPr>
                <w:rStyle w:val="913"/>
                <w:rFonts w:ascii="宋体" w:hAnsi="宋体" w:eastAsia="宋体" w:cs="宋体"/>
                <w:b w:val="0"/>
                <w:i w:val="0"/>
                <w:iCs w:val="0"/>
                <w:color w:val="auto"/>
                <w:sz w:val="24"/>
                <w:szCs w:val="24"/>
                <w:highlight w:val="none"/>
                <w:u w:val="none"/>
              </w:rPr>
              <w:t xml:space="preserve">.服务人员按老人需求上门服务，服务时间原则上为 5：00-21：00，如老人有特殊需求，服务人员需报备同意后方可开展服务。</w:t>
            </w:r>
            <w:r>
              <w:rPr>
                <w:color w:val="auto"/>
              </w:rPr>
            </w:r>
            <w:r/>
          </w:p>
          <w:p>
            <w:pPr>
              <w:pStyle w:val="982"/>
              <w:jc w:val="left"/>
              <w:rPr>
                <w:rStyle w:val="913"/>
                <w:rFonts w:hint="eastAsia" w:ascii="宋体" w:hAnsi="宋体" w:eastAsia="宋体" w:cs="宋体"/>
                <w:b w:val="0"/>
                <w:i w:val="0"/>
                <w:iCs w:val="0"/>
                <w:color w:val="auto"/>
                <w:sz w:val="24"/>
                <w:szCs w:val="24"/>
                <w:highlight w:val="none"/>
                <w:u w:val="none"/>
              </w:rPr>
            </w:pPr>
            <w:r>
              <w:rPr>
                <w:rStyle w:val="913"/>
                <w:rFonts w:hint="eastAsia" w:ascii="宋体" w:hAnsi="宋体" w:eastAsia="宋体" w:cs="宋体"/>
                <w:b w:val="0"/>
                <w:i w:val="0"/>
                <w:iCs w:val="0"/>
                <w:color w:val="auto"/>
                <w:sz w:val="24"/>
                <w:szCs w:val="24"/>
                <w:highlight w:val="none"/>
                <w:u w:val="none"/>
                <w:lang w:val="en-US" w:eastAsia="zh-CN"/>
              </w:rPr>
              <w:t xml:space="preserve">6.在服务老人的过程中能主动发现老人的特殊困难，整理汇总后反馈给民政部门，配合相关部门进行沟通协调，尽可能的帮助老人解决生活困难问题，并事后对老人进行后续跟进服务。</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hint="eastAsia" w:ascii="宋体" w:hAnsi="宋体" w:eastAsia="宋体" w:cs="宋体"/>
                <w:b w:val="0"/>
                <w:i w:val="0"/>
                <w:iCs w:val="0"/>
                <w:color w:val="auto"/>
                <w:sz w:val="24"/>
                <w:szCs w:val="24"/>
                <w:highlight w:val="none"/>
                <w:u w:val="none"/>
                <w:lang w:val="en-US" w:eastAsia="zh-CN"/>
              </w:rPr>
              <w:t xml:space="preserve">7.在上门服务的过程中总结特色经验和做法，挖掘自身典型和工作亮点，并做好评优宣传和推广工作。</w:t>
            </w:r>
            <w:r>
              <w:rPr>
                <w:color w:val="auto"/>
              </w:rPr>
            </w:r>
            <w:r/>
          </w:p>
          <w:p>
            <w:pPr>
              <w:pStyle w:val="982"/>
              <w:numPr>
                <w:ilvl w:val="0"/>
                <w:numId w:val="0"/>
              </w:numPr>
              <w:jc w:val="left"/>
              <w:rPr>
                <w:rStyle w:val="913"/>
                <w:rFonts w:hint="eastAsia" w:ascii="宋体" w:hAnsi="宋体" w:eastAsia="宋体" w:cs="宋体"/>
                <w:b w:val="0"/>
                <w:i w:val="0"/>
                <w:iCs w:val="0"/>
                <w:color w:val="auto"/>
                <w:sz w:val="24"/>
                <w:szCs w:val="24"/>
                <w:highlight w:val="none"/>
                <w:u w:val="none"/>
              </w:rPr>
            </w:pPr>
            <w:r>
              <w:rPr>
                <w:rStyle w:val="913"/>
                <w:rFonts w:hint="eastAsia" w:ascii="宋体" w:hAnsi="宋体" w:eastAsia="宋体" w:cs="宋体"/>
                <w:b w:val="0"/>
                <w:i w:val="0"/>
                <w:iCs w:val="0"/>
                <w:color w:val="auto"/>
                <w:sz w:val="24"/>
                <w:szCs w:val="24"/>
                <w:highlight w:val="none"/>
                <w:u w:val="none"/>
                <w:lang w:val="en-US" w:eastAsia="zh-CN"/>
              </w:rPr>
              <w:t xml:space="preserve">8.服从甲方派单和结算等相关的服务转介和服务调剂事项。</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hint="eastAsia" w:ascii="宋体" w:hAnsi="宋体" w:eastAsia="宋体" w:cs="宋体"/>
                <w:b w:val="0"/>
                <w:i w:val="0"/>
                <w:iCs w:val="0"/>
                <w:color w:val="auto"/>
                <w:sz w:val="24"/>
                <w:szCs w:val="24"/>
                <w:highlight w:val="none"/>
                <w:u w:val="none"/>
                <w:lang w:val="en-US" w:eastAsia="zh-CN"/>
              </w:rPr>
              <w:t xml:space="preserve">9.合同期如有政策变化，按最新政策要求执行。</w:t>
            </w:r>
            <w:r>
              <w:rPr>
                <w:color w:val="auto"/>
              </w:rPr>
            </w:r>
            <w:r/>
          </w:p>
        </w:tc>
      </w:tr>
      <w:tr>
        <w:trPr/>
        <w:tc>
          <w:tcPr>
            <w:tcMar>
              <w:top w:w="100" w:type="dxa"/>
              <w:bottom w:w="100" w:type="dxa"/>
            </w:tcMar>
            <w:tcW w:w="514" w:type="dxa"/>
            <w:vAlign w:val="center"/>
            <w:vMerge w:val="restart"/>
            <w:textDirection w:val="lrTb"/>
            <w:noWrap w:val="false"/>
          </w:tcPr>
          <w:p>
            <w:pPr>
              <w:pStyle w:val="982"/>
              <w:jc w:val="center"/>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6</w:t>
            </w:r>
            <w:r>
              <w:rPr>
                <w:color w:val="auto"/>
              </w:rPr>
            </w:r>
            <w:r/>
          </w:p>
        </w:tc>
        <w:tc>
          <w:tcPr>
            <w:tcMar>
              <w:top w:w="100" w:type="dxa"/>
              <w:bottom w:w="100" w:type="dxa"/>
            </w:tcMar>
            <w:tcW w:w="1624" w:type="dxa"/>
            <w:vAlign w:val="center"/>
            <w:vMerge w:val="restart"/>
            <w:textDirection w:val="lrTb"/>
            <w:noWrap w:val="false"/>
          </w:tcPr>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内部管理制度</w:t>
            </w:r>
            <w:r>
              <w:rPr>
                <w:color w:val="auto"/>
              </w:rPr>
            </w:r>
            <w:r/>
          </w:p>
        </w:tc>
        <w:tc>
          <w:tcPr>
            <w:tcMar>
              <w:top w:w="100" w:type="dxa"/>
              <w:bottom w:w="100" w:type="dxa"/>
            </w:tcMar>
            <w:tcW w:w="8544" w:type="dxa"/>
            <w:vAlign w:val="center"/>
            <w:textDirection w:val="lrTb"/>
            <w:noWrap w:val="false"/>
          </w:tcPr>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1）中标单位应加强对员工的培训、管理，严格督导员工的行为规范，并要求员工严格执行采购人相关管理规定和维护采购人整体形象，以达到符合采购人管理要求。中标单位应保持各岗位人员相对稳定，所有工作人员相关资料（包括身份证、职业资格证、劳动合同、劳务合同等）复印件需交采购人备案。</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2）中标单位应根据采购人的要求及服务需求，及时更换不能胜任工作的工作人员；自行负责处理合同服务期内所有劳资纠纷和调解管理纠纷。中标单位应落实采购人根据规章制度和工作需要提出的其他管理要求，并向采购人提供相关证明材料或方案。</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3）中标单位违反国家相关法规，与聘用人员发生纠纷，均由中标单位负责调解与处理，采购人不承担责任。中标单位聘用人员在岗履行工作职责期间发生的聘用人员人身伤害、伤亡，均由中标单位负责处理并承担经济和道义上的责任，采购人不承担任何责任。</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（4）中标单位应建立人员职业道德规范与行为准则、人员岗位责任制度、人员聘用、培训、管理、考核与</w:t>
            </w:r>
            <w:r>
              <w:rPr>
                <w:rStyle w:val="913"/>
                <w:rFonts w:ascii="宋体" w:hAnsi="宋体" w:eastAsia="宋体" w:cs="宋体"/>
                <w:b w:val="0"/>
                <w:i w:val="0"/>
                <w:iCs w:val="0"/>
                <w:color w:val="auto"/>
                <w:sz w:val="24"/>
                <w:szCs w:val="24"/>
                <w:highlight w:val="none"/>
                <w:u w:val="none"/>
              </w:rPr>
              <w:t xml:space="preserve">奖惩制度、技术服务规范与工作制度、服务质量管理制度等相关制度。落实文明管理、托管运行的措施，提供文明优质的服务。因中标单位原因或工作人员工作失职或故意行为或违法犯罪行为造成采购人声誉影响或经济损失的，中标单位应根据公安机关的立案调查结果或法院判决，承担相应的赔偿责任；因中标单位自身原因所引发的一切纠纷，由中标单位负全责；工作人员在非工作时间内发生的人身意外或其他纠纷，由中标单位负责处理。如中标单位挪用工作人员工资和其他薪酬、社会保险和商业保险投保费用，除承担由此引发的一切法律责任外，采购人有权终止服务合同。</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5）服务人员需遵守养老服务职业道德规范，做到尊老爱老、以人为本、爱岗敬业；遵章守法、自律奉献；尊重差异、保护服务对象的隐私。掌握基本养老服务礼仪，服务期间需要做到着装整洁、讲究卫生、举止得体、细致周到、态度诚恳、礼貌待人。</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（6）建立健全的档案管理制度：包括服务对象、服务项目、服务标准、服务时间、服务地点、服务人员等。</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（7）协调服务人员与服务对象的关系，根据服务对象反映的情况进行核实。定期对居家养老服务工作进行全方位的评估，总结服务工作经验，制定出相应的考核、奖惩制度。</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8）服务质量管理：服务团队具有质量管理体系认定，能够组建一支专业的团队，通过满意度调查报告、电话回访、暗访等多种形式，结合考核制度，定期或不定期的对服务质量进行监督管理。对于不合格服务及潜在不合格项进行汇集整理、统计分析，制定改进措施，优化服务方案。</w:t>
            </w:r>
            <w:r>
              <w:rPr>
                <w:color w:val="auto"/>
              </w:rPr>
            </w:r>
            <w:r/>
          </w:p>
        </w:tc>
      </w:tr>
      <w:tr>
        <w:trPr/>
        <w:tc>
          <w:tcPr>
            <w:tcMar>
              <w:top w:w="100" w:type="dxa"/>
              <w:bottom w:w="100" w:type="dxa"/>
            </w:tcMar>
            <w:tcW w:w="514" w:type="dxa"/>
            <w:vAlign w:val="center"/>
            <w:vMerge w:val="restart"/>
            <w:textDirection w:val="lrTb"/>
            <w:noWrap w:val="false"/>
          </w:tcPr>
          <w:p>
            <w:pPr>
              <w:pStyle w:val="982"/>
              <w:jc w:val="center"/>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7</w:t>
            </w:r>
            <w:r>
              <w:rPr>
                <w:color w:val="auto"/>
              </w:rPr>
            </w:r>
            <w:r/>
          </w:p>
        </w:tc>
        <w:tc>
          <w:tcPr>
            <w:tcMar>
              <w:top w:w="100" w:type="dxa"/>
              <w:bottom w:w="100" w:type="dxa"/>
            </w:tcMar>
            <w:tcW w:w="1624" w:type="dxa"/>
            <w:vAlign w:val="center"/>
            <w:vMerge w:val="restart"/>
            <w:textDirection w:val="lrTb"/>
            <w:noWrap w:val="false"/>
          </w:tcPr>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培训方案</w:t>
            </w:r>
            <w:r>
              <w:rPr>
                <w:color w:val="auto"/>
              </w:rPr>
            </w:r>
            <w:r/>
          </w:p>
        </w:tc>
        <w:tc>
          <w:tcPr>
            <w:tcMar>
              <w:top w:w="100" w:type="dxa"/>
              <w:bottom w:w="100" w:type="dxa"/>
            </w:tcMar>
            <w:tcW w:w="8544" w:type="dxa"/>
            <w:vAlign w:val="center"/>
            <w:textDirection w:val="lrTb"/>
            <w:noWrap w:val="false"/>
          </w:tcPr>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投标人需结合项目需求及老人的不同需求，对相关服务人员提供有针对性的培训方案。定期组织服务人员就相关知识、职业技能、政策法规等进行培训。培训内容包含如下：</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（1）职业道德：包括传统孝道、正确养老观、服务人员职业道德、职业行规规范等。</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（2）政策法规：国家及各级政府发布的养老事业发展规划、老年权益保障法、老年优待政策、居家养老服务政策、服务人员培训政策等。</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（3）专业知识：居家养老服务模式、工作职责、服务内容、服务流程、服务基本规范及相关管理制度等。</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（4）职业技能：老年人饮食照料、身体清洁照料、常见病预防及护理、突发疾病急救措施等。</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（5）安全知识：安全常识、防护常识、突发自然灾害及火灾时的应对措施及逃生办法等。</w:t>
            </w:r>
            <w:r>
              <w:rPr>
                <w:color w:val="auto"/>
              </w:rPr>
            </w:r>
            <w:r/>
          </w:p>
        </w:tc>
      </w:tr>
      <w:tr>
        <w:trPr/>
        <w:tc>
          <w:tcPr>
            <w:tcMar>
              <w:top w:w="100" w:type="dxa"/>
              <w:bottom w:w="100" w:type="dxa"/>
            </w:tcMar>
            <w:tcW w:w="514" w:type="dxa"/>
            <w:vAlign w:val="center"/>
            <w:vMerge w:val="restart"/>
            <w:textDirection w:val="lrTb"/>
            <w:noWrap w:val="false"/>
          </w:tcPr>
          <w:p>
            <w:pPr>
              <w:pStyle w:val="982"/>
              <w:jc w:val="center"/>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8</w:t>
            </w:r>
            <w:r>
              <w:rPr>
                <w:color w:val="auto"/>
              </w:rPr>
            </w:r>
            <w:r/>
          </w:p>
        </w:tc>
        <w:tc>
          <w:tcPr>
            <w:tcMar>
              <w:top w:w="100" w:type="dxa"/>
              <w:bottom w:w="100" w:type="dxa"/>
            </w:tcMar>
            <w:tcW w:w="1624" w:type="dxa"/>
            <w:vAlign w:val="center"/>
            <w:vMerge w:val="restart"/>
            <w:textDirection w:val="lrTb"/>
            <w:noWrap w:val="false"/>
          </w:tcPr>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应急措施和安全保障措施及疫情防控方案</w:t>
            </w:r>
            <w:r>
              <w:rPr>
                <w:color w:val="auto"/>
              </w:rPr>
            </w:r>
            <w:r/>
          </w:p>
        </w:tc>
        <w:tc>
          <w:tcPr>
            <w:tcMar>
              <w:top w:w="100" w:type="dxa"/>
              <w:bottom w:w="100" w:type="dxa"/>
            </w:tcMar>
            <w:tcW w:w="8544" w:type="dxa"/>
            <w:vAlign w:val="center"/>
            <w:textDirection w:val="lrTb"/>
            <w:noWrap w:val="false"/>
          </w:tcPr>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制定合理的服务人员相关应急和安全保障措施，保障服务人员及服务对象在服务过程中的安全。做好安全生产工作，加强防火、防盗、防骗等意识，定期进行培训和演习，实行巡查制度，建档记录。中标单位要有稳定合作的医疗卫生服务机构或医疗团队，在服务过程中遇到老人突发昏倒、摔倒等紧急情况下有较好的应变能力，投标人能够在半小时内相应并项目负责人能够抵达现场，及时拨打120急救电话并通知医疗团队，保留现场的录音、照片或视频等证据作为必要的物证资料；并针对疫情防控工作制定专项预案等。</w:t>
            </w:r>
            <w:r>
              <w:rPr>
                <w:color w:val="auto"/>
              </w:rPr>
            </w:r>
            <w:r/>
          </w:p>
        </w:tc>
      </w:tr>
      <w:tr>
        <w:trPr/>
        <w:tc>
          <w:tcPr>
            <w:tcMar>
              <w:top w:w="100" w:type="dxa"/>
              <w:bottom w:w="100" w:type="dxa"/>
            </w:tcMar>
            <w:tcW w:w="514" w:type="dxa"/>
            <w:vAlign w:val="center"/>
            <w:vMerge w:val="restart"/>
            <w:textDirection w:val="lrTb"/>
            <w:noWrap w:val="false"/>
          </w:tcPr>
          <w:p>
            <w:pPr>
              <w:pStyle w:val="982"/>
              <w:jc w:val="center"/>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9</w:t>
            </w:r>
            <w:r>
              <w:rPr>
                <w:color w:val="auto"/>
              </w:rPr>
            </w:r>
            <w:r/>
          </w:p>
        </w:tc>
        <w:tc>
          <w:tcPr>
            <w:tcMar>
              <w:top w:w="100" w:type="dxa"/>
              <w:bottom w:w="100" w:type="dxa"/>
            </w:tcMar>
            <w:tcW w:w="1624" w:type="dxa"/>
            <w:vAlign w:val="center"/>
            <w:vMerge w:val="restart"/>
            <w:textDirection w:val="lrTb"/>
            <w:noWrap w:val="false"/>
          </w:tcPr>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联动方案</w:t>
            </w:r>
            <w:r>
              <w:rPr>
                <w:color w:val="auto"/>
              </w:rPr>
            </w:r>
            <w:r/>
          </w:p>
        </w:tc>
        <w:tc>
          <w:tcPr>
            <w:tcMar>
              <w:top w:w="100" w:type="dxa"/>
              <w:bottom w:w="100" w:type="dxa"/>
            </w:tcMar>
            <w:tcW w:w="8544" w:type="dxa"/>
            <w:vAlign w:val="center"/>
            <w:textDirection w:val="lrTb"/>
            <w:noWrap w:val="false"/>
          </w:tcPr>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联合</w:t>
            </w:r>
            <w:r>
              <w:rPr>
                <w:rStyle w:val="913"/>
                <w:rFonts w:hint="eastAsia" w:ascii="宋体" w:hAnsi="宋体" w:eastAsia="宋体" w:cs="宋体"/>
                <w:b w:val="0"/>
                <w:i w:val="0"/>
                <w:iCs w:val="0"/>
                <w:color w:val="auto"/>
                <w:sz w:val="24"/>
                <w:szCs w:val="24"/>
                <w:highlight w:val="none"/>
                <w:u w:val="none"/>
                <w:lang w:eastAsia="zh-CN"/>
              </w:rPr>
              <w:t xml:space="preserve">大新镇</w:t>
            </w:r>
            <w:r>
              <w:rPr>
                <w:rStyle w:val="913"/>
                <w:rFonts w:ascii="宋体" w:hAnsi="宋体" w:eastAsia="宋体" w:cs="宋体"/>
                <w:b w:val="0"/>
                <w:i w:val="0"/>
                <w:iCs w:val="0"/>
                <w:color w:val="auto"/>
                <w:sz w:val="24"/>
                <w:szCs w:val="24"/>
                <w:highlight w:val="none"/>
                <w:u w:val="none"/>
              </w:rPr>
              <w:t xml:space="preserve">志愿服务团队、专业机构、社区居家养老及其他社会组织，共同参与到养老服务中，通过多角度研究分析老年人的</w:t>
            </w:r>
            <w:r>
              <w:rPr>
                <w:rStyle w:val="913"/>
                <w:rFonts w:ascii="宋体" w:hAnsi="宋体" w:eastAsia="宋体" w:cs="宋体"/>
                <w:b w:val="0"/>
                <w:i w:val="0"/>
                <w:iCs w:val="0"/>
                <w:strike w:val="0"/>
                <w:color w:val="auto"/>
                <w:sz w:val="24"/>
                <w:szCs w:val="24"/>
                <w:highlight w:val="none"/>
                <w:u w:val="none"/>
              </w:rPr>
              <w:t xml:space="preserve">需求，链接多渠道有效资源，拟定出多方位可持续服务项目，内容可涵盖生活照料、心理关爱、居家养老、助餐服务、便民服务、卫生健康、文化文艺、法律服务、综合项目等，并针对特定的服务项目拟定出相应本土化、可行的联动方案。中标单位需提供</w:t>
            </w:r>
            <w:r>
              <w:rPr>
                <w:rStyle w:val="913"/>
                <w:rFonts w:ascii="宋体" w:hAnsi="宋体" w:eastAsia="宋体" w:cs="宋体"/>
                <w:b w:val="0"/>
                <w:i w:val="0"/>
                <w:iCs w:val="0"/>
                <w:color w:val="auto"/>
                <w:sz w:val="24"/>
                <w:szCs w:val="24"/>
                <w:highlight w:val="none"/>
                <w:u w:val="none"/>
              </w:rPr>
              <w:t xml:space="preserve">实施虚拟养老援助服务医疗护理方面方案。</w:t>
            </w:r>
            <w:r>
              <w:rPr>
                <w:color w:val="auto"/>
              </w:rPr>
            </w:r>
            <w:r/>
          </w:p>
        </w:tc>
      </w:tr>
      <w:tr>
        <w:trPr/>
        <w:tc>
          <w:tcPr>
            <w:tcMar>
              <w:top w:w="100" w:type="dxa"/>
              <w:bottom w:w="100" w:type="dxa"/>
            </w:tcMar>
            <w:tcW w:w="514" w:type="dxa"/>
            <w:vAlign w:val="center"/>
            <w:vMerge w:val="restart"/>
            <w:textDirection w:val="lrTb"/>
            <w:noWrap w:val="false"/>
          </w:tcPr>
          <w:p>
            <w:pPr>
              <w:pStyle w:val="982"/>
              <w:jc w:val="center"/>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10</w:t>
            </w:r>
            <w:r>
              <w:rPr>
                <w:color w:val="auto"/>
              </w:rPr>
            </w:r>
            <w:r/>
          </w:p>
        </w:tc>
        <w:tc>
          <w:tcPr>
            <w:tcMar>
              <w:top w:w="100" w:type="dxa"/>
              <w:bottom w:w="100" w:type="dxa"/>
            </w:tcMar>
            <w:tcW w:w="1624" w:type="dxa"/>
            <w:vAlign w:val="center"/>
            <w:vMerge w:val="restart"/>
            <w:textDirection w:val="lrTb"/>
            <w:noWrap w:val="false"/>
          </w:tcPr>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响应交接要求</w:t>
            </w:r>
            <w:r>
              <w:rPr>
                <w:color w:val="auto"/>
              </w:rPr>
            </w:r>
            <w:r/>
          </w:p>
        </w:tc>
        <w:tc>
          <w:tcPr>
            <w:tcMar>
              <w:top w:w="100" w:type="dxa"/>
              <w:bottom w:w="100" w:type="dxa"/>
            </w:tcMar>
            <w:tcW w:w="8544" w:type="dxa"/>
            <w:vAlign w:val="center"/>
            <w:textDirection w:val="lrTb"/>
            <w:noWrap w:val="false"/>
          </w:tcPr>
          <w:p>
            <w:pPr>
              <w:pStyle w:val="982"/>
              <w:jc w:val="left"/>
              <w:rPr>
                <w:rStyle w:val="913"/>
                <w:rFonts w:ascii="宋体" w:hAnsi="宋体" w:eastAsia="宋体" w:cs="宋体"/>
                <w:b w:val="0"/>
                <w:i w:val="0"/>
                <w:iCs w:val="0"/>
                <w:color w:val="auto"/>
                <w:sz w:val="24"/>
                <w:szCs w:val="24"/>
                <w:highlight w:val="none"/>
                <w:u w:val="single"/>
              </w:rPr>
            </w:pPr>
            <w:r>
              <w:rPr>
                <w:rStyle w:val="913"/>
                <w:rFonts w:ascii="宋体" w:hAnsi="宋体" w:eastAsia="宋体" w:cs="宋体"/>
                <w:b w:val="0"/>
                <w:i/>
                <w:iCs/>
                <w:color w:val="auto"/>
                <w:sz w:val="24"/>
                <w:szCs w:val="24"/>
                <w:highlight w:val="none"/>
                <w:u w:val="single"/>
              </w:rPr>
              <w:t xml:space="preserve">投标人需在投标文件中提供与上一个服务商交接方案并明确交接时间。投标人自收到中标通知书之日起7个日历日内，</w:t>
            </w:r>
            <w:r>
              <w:rPr>
                <w:rStyle w:val="913"/>
                <w:rFonts w:ascii="宋体" w:hAnsi="宋体" w:eastAsia="宋体" w:cs="宋体"/>
                <w:b w:val="0"/>
                <w:i/>
                <w:iCs/>
                <w:color w:val="auto"/>
                <w:sz w:val="24"/>
                <w:szCs w:val="24"/>
                <w:highlight w:val="none"/>
                <w:u w:val="single"/>
              </w:rPr>
              <w:t xml:space="preserve">中标供应商需按照响应人数提交相关的服务人员名单及相关资质证书至采购方备案，安排所有工作人员到岗开展服务，并与采购人及上一个服务商做好交接工作，主动协调采购人及有关部门做好养老服务各项工作的信息反馈及收集工作。中标单位如在中标通知书签收之日起15个日历日内不能按时完成交接，或者因中标单位未按照投标文件承诺内容完全履行到位等自身原因，造成本项目在中标通知书签收之日起15个日历日内仍未正常开展服务的，采购人有权不与中标单位签定合同或者提前终止合同，另行选择服务供应商，中标单位需按照履约保证金金额承担违约赔偿责任。</w:t>
            </w:r>
            <w:r>
              <w:rPr>
                <w:color w:val="auto"/>
              </w:rPr>
            </w:r>
            <w:r/>
          </w:p>
        </w:tc>
      </w:tr>
      <w:tr>
        <w:trPr/>
        <w:tc>
          <w:tcPr>
            <w:tcMar>
              <w:top w:w="100" w:type="dxa"/>
              <w:bottom w:w="100" w:type="dxa"/>
            </w:tcMar>
            <w:tcW w:w="514" w:type="dxa"/>
            <w:vAlign w:val="center"/>
            <w:vMerge w:val="restart"/>
            <w:textDirection w:val="lrTb"/>
            <w:noWrap w:val="false"/>
          </w:tcPr>
          <w:p>
            <w:pPr>
              <w:pStyle w:val="982"/>
              <w:jc w:val="center"/>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11</w:t>
            </w:r>
            <w:r>
              <w:rPr>
                <w:color w:val="auto"/>
              </w:rPr>
            </w:r>
            <w:r/>
          </w:p>
        </w:tc>
        <w:tc>
          <w:tcPr>
            <w:tcMar>
              <w:top w:w="100" w:type="dxa"/>
              <w:bottom w:w="100" w:type="dxa"/>
            </w:tcMar>
            <w:tcW w:w="1624" w:type="dxa"/>
            <w:vAlign w:val="center"/>
            <w:vMerge w:val="restart"/>
            <w:textDirection w:val="lrTb"/>
            <w:noWrap w:val="false"/>
          </w:tcPr>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与其他单位或组织的沟通协调方案</w:t>
            </w:r>
            <w:r>
              <w:rPr>
                <w:color w:val="auto"/>
              </w:rPr>
            </w:r>
            <w:r/>
          </w:p>
        </w:tc>
        <w:tc>
          <w:tcPr>
            <w:tcMar>
              <w:top w:w="100" w:type="dxa"/>
              <w:bottom w:w="100" w:type="dxa"/>
            </w:tcMar>
            <w:tcW w:w="8544" w:type="dxa"/>
            <w:vAlign w:val="center"/>
            <w:textDirection w:val="lrTb"/>
            <w:noWrap w:val="false"/>
          </w:tcPr>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服务期内，采购人根据工作需要召开会议，中标单位的法定代表或管理人员必须准时参加。除完成政府援助居家养老上门服务对象之外，张家港市亲情（虚拟）养老院的派单服务应保质保量完成，需配合做好一键通及腕表紧急呼叫服务派遣的及时处置工作。</w:t>
            </w:r>
            <w:r>
              <w:rPr>
                <w:color w:val="auto"/>
              </w:rPr>
            </w:r>
            <w:r/>
          </w:p>
        </w:tc>
      </w:tr>
      <w:tr>
        <w:trPr/>
        <w:tc>
          <w:tcPr>
            <w:tcMar>
              <w:top w:w="100" w:type="dxa"/>
              <w:bottom w:w="100" w:type="dxa"/>
            </w:tcMar>
            <w:tcW w:w="514" w:type="dxa"/>
            <w:vAlign w:val="center"/>
            <w:vMerge w:val="restart"/>
            <w:textDirection w:val="lrTb"/>
            <w:noWrap w:val="false"/>
          </w:tcPr>
          <w:p>
            <w:pPr>
              <w:pStyle w:val="982"/>
              <w:jc w:val="center"/>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12</w:t>
            </w:r>
            <w:r>
              <w:rPr>
                <w:color w:val="auto"/>
              </w:rPr>
            </w:r>
            <w:r/>
          </w:p>
        </w:tc>
        <w:tc>
          <w:tcPr>
            <w:tcMar>
              <w:top w:w="100" w:type="dxa"/>
              <w:bottom w:w="100" w:type="dxa"/>
            </w:tcMar>
            <w:tcW w:w="1624" w:type="dxa"/>
            <w:vAlign w:val="center"/>
            <w:vMerge w:val="restart"/>
            <w:textDirection w:val="lrTb"/>
            <w:noWrap w:val="false"/>
          </w:tcPr>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关于增减项目</w:t>
            </w:r>
            <w:r>
              <w:rPr>
                <w:color w:val="auto"/>
              </w:rPr>
            </w:r>
            <w:r/>
          </w:p>
        </w:tc>
        <w:tc>
          <w:tcPr>
            <w:tcMar>
              <w:top w:w="100" w:type="dxa"/>
              <w:bottom w:w="100" w:type="dxa"/>
            </w:tcMar>
            <w:tcW w:w="8544" w:type="dxa"/>
            <w:vAlign w:val="center"/>
            <w:textDirection w:val="lrTb"/>
            <w:noWrap w:val="false"/>
          </w:tcPr>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如采购人根据项目开展情况和预算资金等其他原因需要增减服务项目，中标单位需配合做好相关服务项目的增减工作并在1个月内调整到位。</w:t>
            </w:r>
            <w:r>
              <w:rPr>
                <w:color w:val="auto"/>
              </w:rPr>
            </w:r>
            <w:r/>
          </w:p>
        </w:tc>
      </w:tr>
      <w:tr>
        <w:trPr/>
        <w:tc>
          <w:tcPr>
            <w:tcMar>
              <w:top w:w="100" w:type="dxa"/>
              <w:bottom w:w="100" w:type="dxa"/>
            </w:tcMar>
            <w:tcW w:w="514" w:type="dxa"/>
            <w:vAlign w:val="center"/>
            <w:vMerge w:val="restart"/>
            <w:textDirection w:val="lrTb"/>
            <w:noWrap w:val="false"/>
          </w:tcPr>
          <w:p>
            <w:pPr>
              <w:pStyle w:val="982"/>
              <w:jc w:val="center"/>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13</w:t>
            </w:r>
            <w:r>
              <w:rPr>
                <w:color w:val="auto"/>
              </w:rPr>
            </w:r>
            <w:r/>
          </w:p>
        </w:tc>
        <w:tc>
          <w:tcPr>
            <w:tcMar>
              <w:top w:w="100" w:type="dxa"/>
              <w:bottom w:w="100" w:type="dxa"/>
            </w:tcMar>
            <w:tcW w:w="1624" w:type="dxa"/>
            <w:vAlign w:val="center"/>
            <w:vMerge w:val="restart"/>
            <w:textDirection w:val="lrTb"/>
            <w:noWrap w:val="false"/>
          </w:tcPr>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设施设备配置和管理方面</w:t>
            </w:r>
            <w:r>
              <w:rPr>
                <w:color w:val="auto"/>
              </w:rPr>
            </w:r>
            <w:r/>
          </w:p>
        </w:tc>
        <w:tc>
          <w:tcPr>
            <w:tcMar>
              <w:top w:w="100" w:type="dxa"/>
              <w:bottom w:w="100" w:type="dxa"/>
            </w:tcMar>
            <w:tcW w:w="8544" w:type="dxa"/>
            <w:vAlign w:val="center"/>
            <w:textDirection w:val="lrTb"/>
            <w:noWrap w:val="false"/>
          </w:tcPr>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1.具有固定服务管理场所，并合理配置和划分服务用房。</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2.配备办公自动化设备、计算机网络。有居家上门服务的宣传氛围，包括但不仅限于宣传材料、锦旗等。 </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3.应有供电、给排水、采暖通风、消防和通讯等基础设施。 </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4.应有与服务数量相匹配的服务车辆。如汽车、电瓶车等。 </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5.应有服务所需的工具。包括但不限于理发、保洁、按摩 仪等必备工具。</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中标单位还需承诺爱护被服务对象财物，做到节电节水，不得出现非约定用途的资源使用。基本使用的工具和网络费用由中标单位承担。</w:t>
            </w:r>
            <w:r>
              <w:rPr>
                <w:color w:val="auto"/>
              </w:rPr>
            </w:r>
            <w:r/>
          </w:p>
        </w:tc>
      </w:tr>
      <w:tr>
        <w:trPr/>
        <w:tc>
          <w:tcPr>
            <w:tcMar>
              <w:top w:w="100" w:type="dxa"/>
              <w:bottom w:w="100" w:type="dxa"/>
            </w:tcMar>
            <w:tcW w:w="514" w:type="dxa"/>
            <w:vAlign w:val="center"/>
            <w:vMerge w:val="restart"/>
            <w:textDirection w:val="lrTb"/>
            <w:noWrap w:val="false"/>
          </w:tcPr>
          <w:p>
            <w:pPr>
              <w:pStyle w:val="982"/>
              <w:jc w:val="center"/>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14</w:t>
            </w:r>
            <w:r>
              <w:rPr>
                <w:color w:val="auto"/>
              </w:rPr>
            </w:r>
            <w:r/>
          </w:p>
        </w:tc>
        <w:tc>
          <w:tcPr>
            <w:tcMar>
              <w:top w:w="100" w:type="dxa"/>
              <w:bottom w:w="100" w:type="dxa"/>
            </w:tcMar>
            <w:tcW w:w="1624" w:type="dxa"/>
            <w:vAlign w:val="center"/>
            <w:vMerge w:val="restart"/>
            <w:textDirection w:val="lrTb"/>
            <w:noWrap w:val="false"/>
          </w:tcPr>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服务商及人员要求</w:t>
            </w:r>
            <w:r>
              <w:rPr>
                <w:color w:val="auto"/>
              </w:rPr>
            </w:r>
            <w:r/>
          </w:p>
        </w:tc>
        <w:tc>
          <w:tcPr>
            <w:tcMar>
              <w:top w:w="100" w:type="dxa"/>
              <w:bottom w:w="100" w:type="dxa"/>
            </w:tcMar>
            <w:tcW w:w="8544" w:type="dxa"/>
            <w:vAlign w:val="center"/>
            <w:textDirection w:val="lrTb"/>
            <w:noWrap w:val="false"/>
          </w:tcPr>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服务商是市虚拟养老院服务的提供方，主服务商以各区镇（街道）为主体，通过公开招投标形式确定，包括但不限于以下机构：</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（一）办理民非登记的单位或工商注册的单位</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（二）取得张家港市民政局备案的养老机构；经张家港市卫健委备案的医院老年康复科。 </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服务商须与市虚拟养老院签订《加盟协议》与《保密协议》。 </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服务商要求 </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（一）正式登记注册，具备相关资质证书，合法运营。 </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（二）取得营业执照,有固定的经营场所。 </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（三）聘用或雇佣的服务人员应符合行业规范，人员数量应与自身服务能力和服务需求相匹配，并需要一定的人员储备，正式上岗的服务人员应参加岗前培训。 </w:t>
            </w:r>
            <w:r>
              <w:rPr>
                <w:color w:val="auto"/>
              </w:rPr>
            </w:r>
            <w:r/>
          </w:p>
          <w:p>
            <w:pPr>
              <w:pStyle w:val="911"/>
              <w:numPr>
                <w:ilvl w:val="0"/>
                <w:numId w:val="0"/>
              </w:numPr>
              <w:jc w:val="left"/>
              <w:keepLines w:val="0"/>
              <w:keepNext w:val="0"/>
              <w:widowControl/>
              <w:rPr>
                <w:rStyle w:val="913"/>
                <w:rFonts w:hint="eastAsia" w:ascii="宋体" w:hAnsi="宋体" w:cs="宋体"/>
                <w:b w:val="0"/>
                <w:i w:val="0"/>
                <w:iCs w:val="0"/>
                <w:color w:val="auto"/>
                <w:sz w:val="24"/>
                <w:szCs w:val="24"/>
                <w:highlight w:val="none"/>
                <w:u w:val="none"/>
              </w:rPr>
              <w:suppressLineNumbers w:val="0"/>
            </w:pPr>
            <w:r>
              <w:rPr>
                <w:rStyle w:val="913"/>
                <w:rFonts w:ascii="宋体" w:hAnsi="宋体" w:eastAsia="宋体" w:cs="宋体"/>
                <w:b w:val="0"/>
                <w:i w:val="0"/>
                <w:iCs w:val="0"/>
                <w:color w:val="auto"/>
                <w:sz w:val="24"/>
                <w:szCs w:val="24"/>
                <w:highlight w:val="none"/>
                <w:u w:val="none"/>
              </w:rPr>
              <w:t xml:space="preserve">（四）单位依法参加社会保险，及时办理社会保险登记，缴纳社会保险费，员工应保尽保。</w:t>
            </w:r>
            <w:r>
              <w:rPr>
                <w:color w:val="auto"/>
              </w:rPr>
            </w:r>
            <w:r/>
          </w:p>
        </w:tc>
      </w:tr>
      <w:tr>
        <w:trPr/>
        <w:tc>
          <w:tcPr>
            <w:tcMar>
              <w:top w:w="100" w:type="dxa"/>
              <w:bottom w:w="100" w:type="dxa"/>
            </w:tcMar>
            <w:tcW w:w="514" w:type="dxa"/>
            <w:vAlign w:val="center"/>
            <w:vMerge w:val="continue"/>
            <w:textDirection w:val="lrTb"/>
            <w:noWrap w:val="false"/>
          </w:tcPr>
          <w:p>
            <w:pPr>
              <w:pStyle w:val="982"/>
              <w:jc w:val="center"/>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1624" w:type="dxa"/>
            <w:vAlign w:val="center"/>
            <w:vMerge w:val="continue"/>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8544" w:type="dxa"/>
            <w:vAlign w:val="center"/>
            <w:textDirection w:val="lrTb"/>
            <w:noWrap w:val="false"/>
          </w:tcPr>
          <w:p>
            <w:pPr>
              <w:pStyle w:val="911"/>
              <w:jc w:val="left"/>
              <w:keepLines w:val="0"/>
              <w:keepNext w:val="0"/>
              <w:widowControl/>
              <w:rPr>
                <w:rStyle w:val="913"/>
                <w:rFonts w:hint="eastAsia" w:ascii="宋体" w:hAnsi="宋体" w:cs="宋体"/>
                <w:b w:val="0"/>
                <w:i w:val="0"/>
                <w:iCs w:val="0"/>
                <w:color w:val="auto"/>
                <w:sz w:val="24"/>
                <w:szCs w:val="24"/>
                <w:highlight w:val="none"/>
                <w:u w:val="none"/>
              </w:rPr>
              <w:suppressLineNumbers w:val="0"/>
            </w:pPr>
            <w:r>
              <w:rPr>
                <w:rStyle w:val="913"/>
                <w:rFonts w:ascii="宋体" w:hAnsi="宋体" w:eastAsia="宋体" w:cs="宋体"/>
                <w:b w:val="0"/>
                <w:i w:val="0"/>
                <w:iCs w:val="0"/>
                <w:color w:val="auto"/>
                <w:sz w:val="24"/>
                <w:szCs w:val="24"/>
                <w:highlight w:val="none"/>
                <w:u w:val="none"/>
              </w:rPr>
              <w:t xml:space="preserve">中标单位以采购人委托服务商身份行使居家养老上门服务职能，工作中应有效维护采购人的良好形象，工作人员必须遵守养老服务行业职业道德。中标单位应设立</w:t>
            </w:r>
            <w:r>
              <w:rPr>
                <w:rStyle w:val="913"/>
                <w:rFonts w:hint="eastAsia" w:ascii="宋体" w:hAnsi="宋体" w:eastAsia="宋体" w:cs="宋体"/>
                <w:b w:val="0"/>
                <w:i w:val="0"/>
                <w:iCs w:val="0"/>
                <w:color w:val="auto"/>
                <w:sz w:val="24"/>
                <w:szCs w:val="24"/>
                <w:highlight w:val="none"/>
                <w:u w:val="none"/>
                <w:lang w:eastAsia="zh-CN"/>
              </w:rPr>
              <w:t xml:space="preserve">大新镇</w:t>
            </w:r>
            <w:r>
              <w:rPr>
                <w:rStyle w:val="913"/>
                <w:rFonts w:ascii="宋体" w:hAnsi="宋体" w:eastAsia="宋体" w:cs="宋体"/>
                <w:b w:val="0"/>
                <w:i w:val="0"/>
                <w:iCs w:val="0"/>
                <w:color w:val="auto"/>
                <w:sz w:val="24"/>
                <w:szCs w:val="24"/>
                <w:highlight w:val="none"/>
                <w:u w:val="none"/>
              </w:rPr>
              <w:t xml:space="preserve">项目部，</w:t>
            </w:r>
            <w:r>
              <w:rPr>
                <w:rStyle w:val="913"/>
                <w:rFonts w:hint="eastAsia" w:ascii="宋体" w:hAnsi="宋体" w:cs="宋体"/>
                <w:b w:val="0"/>
                <w:i w:val="0"/>
                <w:iCs w:val="0"/>
                <w:color w:val="auto"/>
                <w:sz w:val="24"/>
                <w:szCs w:val="24"/>
                <w:highlight w:val="none"/>
                <w:u w:val="none"/>
                <w:lang w:eastAsia="zh-CN"/>
              </w:rPr>
              <w:t xml:space="preserve">并</w:t>
            </w:r>
            <w:r>
              <w:rPr>
                <w:rStyle w:val="913"/>
                <w:rFonts w:ascii="宋体" w:hAnsi="宋体" w:eastAsia="宋体" w:cs="宋体"/>
                <w:b w:val="0"/>
                <w:i w:val="0"/>
                <w:iCs w:val="0"/>
                <w:color w:val="auto"/>
                <w:sz w:val="24"/>
                <w:szCs w:val="24"/>
                <w:highlight w:val="none"/>
                <w:u w:val="none"/>
              </w:rPr>
              <w:t xml:space="preserve">配备</w:t>
            </w:r>
            <w:r>
              <w:rPr>
                <w:rStyle w:val="913"/>
                <w:rFonts w:hint="eastAsia" w:ascii="宋体" w:hAnsi="宋体" w:cs="宋体"/>
                <w:b w:val="0"/>
                <w:i w:val="0"/>
                <w:iCs w:val="0"/>
                <w:color w:val="auto"/>
                <w:sz w:val="24"/>
                <w:szCs w:val="24"/>
                <w:highlight w:val="none"/>
                <w:u w:val="none"/>
                <w:lang w:eastAsia="zh-CN"/>
              </w:rPr>
              <w:t xml:space="preserve">以下人员：</w:t>
            </w:r>
            <w:r>
              <w:rPr>
                <w:color w:val="auto"/>
              </w:rPr>
            </w:r>
            <w:r/>
          </w:p>
          <w:p>
            <w:pPr>
              <w:pStyle w:val="911"/>
              <w:jc w:val="left"/>
              <w:keepLines w:val="0"/>
              <w:keepNext w:val="0"/>
              <w:widowControl/>
              <w:rPr>
                <w:rStyle w:val="913"/>
                <w:rFonts w:hint="eastAsia" w:ascii="宋体" w:hAnsi="宋体" w:eastAsia="宋体" w:cs="宋体"/>
                <w:b w:val="0"/>
                <w:i w:val="0"/>
                <w:iCs w:val="0"/>
                <w:color w:val="auto"/>
                <w:sz w:val="24"/>
                <w:szCs w:val="24"/>
                <w:highlight w:val="none"/>
                <w:u w:val="none"/>
              </w:rPr>
              <w:suppressLineNumbers w:val="0"/>
            </w:pPr>
            <w:r>
              <w:rPr>
                <w:rStyle w:val="913"/>
                <w:rFonts w:hint="eastAsia" w:ascii="宋体" w:hAnsi="宋体" w:cs="宋体"/>
                <w:b w:val="0"/>
                <w:i w:val="0"/>
                <w:iCs w:val="0"/>
                <w:color w:val="auto"/>
                <w:sz w:val="24"/>
                <w:szCs w:val="24"/>
                <w:highlight w:val="none"/>
                <w:u w:val="none"/>
                <w:lang w:val="en-US" w:eastAsia="zh-CN"/>
              </w:rPr>
              <w:t xml:space="preserve">1.</w:t>
            </w:r>
            <w:r>
              <w:rPr>
                <w:rStyle w:val="913"/>
                <w:rFonts w:ascii="宋体" w:hAnsi="宋体" w:eastAsia="宋体" w:cs="宋体"/>
                <w:b w:val="0"/>
                <w:i w:val="0"/>
                <w:iCs w:val="0"/>
                <w:color w:val="auto"/>
                <w:sz w:val="24"/>
                <w:szCs w:val="24"/>
                <w:highlight w:val="none"/>
                <w:u w:val="none"/>
              </w:rPr>
              <w:t xml:space="preserve">1名项目负责人</w:t>
            </w:r>
            <w:r>
              <w:rPr>
                <w:rStyle w:val="913"/>
                <w:rFonts w:hint="eastAsia" w:ascii="宋体" w:hAnsi="宋体" w:cs="宋体"/>
                <w:b w:val="0"/>
                <w:i w:val="0"/>
                <w:iCs w:val="0"/>
                <w:color w:val="auto"/>
                <w:sz w:val="24"/>
                <w:szCs w:val="24"/>
                <w:highlight w:val="none"/>
                <w:u w:val="none"/>
                <w:lang w:eastAsia="zh-CN"/>
              </w:rPr>
              <w:t xml:space="preserve">，</w:t>
            </w:r>
            <w:r>
              <w:rPr>
                <w:rStyle w:val="913"/>
                <w:rFonts w:ascii="宋体" w:hAnsi="宋体" w:eastAsia="宋体" w:cs="宋体"/>
                <w:b w:val="0"/>
                <w:i w:val="0"/>
                <w:color w:val="auto"/>
                <w:sz w:val="24"/>
                <w:szCs w:val="24"/>
                <w:highlight w:val="none"/>
                <w:u w:val="none"/>
              </w:rPr>
              <w:t xml:space="preserve">具有本科及以上学历</w:t>
            </w:r>
            <w:r>
              <w:rPr>
                <w:rStyle w:val="913"/>
                <w:rFonts w:hint="eastAsia" w:ascii="宋体" w:hAnsi="宋体" w:cs="宋体"/>
                <w:b w:val="0"/>
                <w:i w:val="0"/>
                <w:color w:val="auto"/>
                <w:sz w:val="24"/>
                <w:szCs w:val="24"/>
                <w:highlight w:val="none"/>
                <w:u w:val="none"/>
                <w:lang w:eastAsia="zh-CN"/>
              </w:rPr>
              <w:t xml:space="preserve">，</w:t>
            </w:r>
            <w:r>
              <w:rPr>
                <w:rStyle w:val="913"/>
                <w:rFonts w:ascii="宋体" w:hAnsi="宋体" w:eastAsia="宋体" w:cs="宋体"/>
                <w:b w:val="0"/>
                <w:i w:val="0"/>
                <w:iCs w:val="0"/>
                <w:color w:val="auto"/>
                <w:sz w:val="24"/>
                <w:szCs w:val="24"/>
                <w:highlight w:val="none"/>
                <w:u w:val="none"/>
              </w:rPr>
              <w:t xml:space="preserve">每年至少参加 2 次以上管理培训活动，具有1年以上养老服务领域的管理经验</w:t>
            </w:r>
            <w:r>
              <w:rPr>
                <w:rStyle w:val="913"/>
                <w:rFonts w:hint="eastAsia" w:ascii="宋体" w:hAnsi="宋体" w:cs="宋体"/>
                <w:b w:val="0"/>
                <w:i w:val="0"/>
                <w:iCs w:val="0"/>
                <w:color w:val="auto"/>
                <w:sz w:val="24"/>
                <w:szCs w:val="24"/>
                <w:highlight w:val="none"/>
                <w:u w:val="none"/>
                <w:lang w:eastAsia="zh-CN"/>
              </w:rPr>
              <w:t xml:space="preserve">。</w:t>
            </w:r>
            <w:r>
              <w:rPr>
                <w:color w:val="auto"/>
              </w:rPr>
            </w:r>
            <w:r/>
          </w:p>
          <w:p>
            <w:pPr>
              <w:pStyle w:val="911"/>
              <w:jc w:val="left"/>
              <w:keepLines w:val="0"/>
              <w:keepNext w:val="0"/>
              <w:widowControl/>
              <w:rPr>
                <w:color w:val="auto"/>
                <w:highlight w:val="none"/>
              </w:rPr>
              <w:suppressLineNumbers w:val="0"/>
            </w:pPr>
            <w:r>
              <w:rPr>
                <w:rStyle w:val="913"/>
                <w:rFonts w:hint="eastAsia" w:ascii="宋体" w:hAnsi="宋体" w:cs="宋体"/>
                <w:b w:val="0"/>
                <w:i w:val="0"/>
                <w:iCs w:val="0"/>
                <w:color w:val="auto"/>
                <w:sz w:val="24"/>
                <w:szCs w:val="24"/>
                <w:highlight w:val="none"/>
                <w:u w:val="none"/>
                <w:lang w:val="en-US" w:eastAsia="zh-CN"/>
              </w:rPr>
              <w:t xml:space="preserve">2.</w:t>
            </w:r>
            <w:r>
              <w:rPr>
                <w:rStyle w:val="913"/>
                <w:rFonts w:ascii="宋体" w:hAnsi="宋体" w:eastAsia="宋体" w:cs="宋体"/>
                <w:b w:val="0"/>
                <w:i w:val="0"/>
                <w:iCs w:val="0"/>
                <w:color w:val="auto"/>
                <w:sz w:val="24"/>
                <w:szCs w:val="24"/>
                <w:highlight w:val="none"/>
                <w:u w:val="none"/>
              </w:rPr>
              <w:t xml:space="preserve">不少于</w:t>
            </w:r>
            <w:r>
              <w:rPr>
                <w:rStyle w:val="913"/>
                <w:rFonts w:hint="eastAsia" w:ascii="宋体" w:hAnsi="宋体" w:cs="宋体"/>
                <w:b w:val="0"/>
                <w:i w:val="0"/>
                <w:iCs w:val="0"/>
                <w:color w:val="auto"/>
                <w:sz w:val="24"/>
                <w:szCs w:val="24"/>
                <w:highlight w:val="none"/>
                <w:u w:val="none"/>
                <w:lang w:val="en-US" w:eastAsia="zh-CN"/>
              </w:rPr>
              <w:t xml:space="preserve">2</w:t>
            </w:r>
            <w:r>
              <w:rPr>
                <w:rStyle w:val="913"/>
                <w:rFonts w:ascii="宋体" w:hAnsi="宋体" w:eastAsia="宋体" w:cs="宋体"/>
                <w:b w:val="0"/>
                <w:i w:val="0"/>
                <w:iCs w:val="0"/>
                <w:color w:val="auto"/>
                <w:sz w:val="24"/>
                <w:szCs w:val="24"/>
                <w:highlight w:val="none"/>
                <w:u w:val="none"/>
              </w:rPr>
              <w:t xml:space="preserve">名专职行政管理人员</w:t>
            </w:r>
            <w:r>
              <w:rPr>
                <w:rStyle w:val="913"/>
                <w:rFonts w:hint="eastAsia" w:ascii="宋体" w:hAnsi="宋体" w:cs="宋体"/>
                <w:b w:val="0"/>
                <w:i w:val="0"/>
                <w:iCs w:val="0"/>
                <w:color w:val="auto"/>
                <w:sz w:val="24"/>
                <w:szCs w:val="24"/>
                <w:highlight w:val="none"/>
                <w:u w:val="none"/>
                <w:lang w:eastAsia="zh-CN"/>
              </w:rPr>
              <w:t xml:space="preserve">，</w:t>
            </w:r>
            <w:r>
              <w:rPr>
                <w:rFonts w:hint="eastAsia" w:ascii="宋体" w:hAnsi="宋体" w:eastAsia="宋体" w:cs="宋体"/>
                <w:color w:val="auto"/>
                <w:sz w:val="24"/>
                <w:szCs w:val="24"/>
                <w:highlight w:val="none"/>
                <w:lang w:val="en-US" w:eastAsia="zh-CN" w:bidi="ar"/>
              </w:rPr>
              <w:t xml:space="preserve">具有</w:t>
            </w:r>
            <w:r>
              <w:rPr>
                <w:rFonts w:hint="eastAsia" w:ascii="宋体" w:hAnsi="宋体" w:cs="宋体"/>
                <w:color w:val="auto"/>
                <w:sz w:val="24"/>
                <w:szCs w:val="24"/>
                <w:highlight w:val="none"/>
                <w:lang w:val="en-US" w:eastAsia="zh-CN" w:bidi="ar"/>
              </w:rPr>
              <w:t xml:space="preserve">本科</w:t>
            </w:r>
            <w:r>
              <w:rPr>
                <w:rFonts w:hint="eastAsia" w:ascii="宋体" w:hAnsi="宋体" w:eastAsia="宋体" w:cs="宋体"/>
                <w:color w:val="auto"/>
                <w:sz w:val="24"/>
                <w:szCs w:val="24"/>
                <w:highlight w:val="none"/>
                <w:lang w:val="en-US" w:eastAsia="zh-CN" w:bidi="ar"/>
              </w:rPr>
              <w:t xml:space="preserve">及以上文化程度或1年以上养老服务领域的管理经验，按法律规定缴纳社保。</w:t>
            </w:r>
            <w:r>
              <w:rPr>
                <w:color w:val="auto"/>
              </w:rPr>
            </w:r>
            <w:r/>
          </w:p>
          <w:p>
            <w:pPr>
              <w:pStyle w:val="911"/>
              <w:numPr>
                <w:ilvl w:val="0"/>
                <w:numId w:val="0"/>
              </w:numPr>
              <w:jc w:val="left"/>
              <w:keepLines w:val="0"/>
              <w:keepNext w:val="0"/>
              <w:widowControl/>
              <w:rPr>
                <w:rStyle w:val="913"/>
                <w:rFonts w:hint="eastAsia" w:ascii="宋体" w:hAnsi="宋体" w:cs="宋体"/>
                <w:b w:val="0"/>
                <w:i w:val="0"/>
                <w:iCs w:val="0"/>
                <w:color w:val="auto"/>
                <w:sz w:val="24"/>
                <w:szCs w:val="24"/>
                <w:highlight w:val="none"/>
                <w:u w:val="none"/>
              </w:rPr>
              <w:suppressLineNumbers w:val="0"/>
            </w:pPr>
            <w:r>
              <w:rPr>
                <w:rStyle w:val="913"/>
                <w:rFonts w:hint="eastAsia" w:ascii="宋体" w:hAnsi="宋体" w:cs="宋体"/>
                <w:b w:val="0"/>
                <w:i w:val="0"/>
                <w:iCs w:val="0"/>
                <w:color w:val="auto"/>
                <w:sz w:val="24"/>
                <w:szCs w:val="24"/>
                <w:highlight w:val="none"/>
                <w:u w:val="none"/>
                <w:lang w:val="en-US" w:eastAsia="zh-CN"/>
              </w:rPr>
              <w:t xml:space="preserve">3.</w:t>
            </w:r>
            <w:r>
              <w:rPr>
                <w:rStyle w:val="913"/>
                <w:rFonts w:ascii="宋体" w:hAnsi="宋体" w:eastAsia="宋体" w:cs="宋体"/>
                <w:b w:val="0"/>
                <w:i w:val="0"/>
                <w:iCs w:val="0"/>
                <w:color w:val="auto"/>
                <w:sz w:val="24"/>
                <w:szCs w:val="24"/>
                <w:highlight w:val="none"/>
                <w:u w:val="none"/>
              </w:rPr>
              <w:t xml:space="preserve">不少于2名专业技术人员</w:t>
            </w:r>
            <w:r>
              <w:rPr>
                <w:rStyle w:val="913"/>
                <w:rFonts w:hint="eastAsia" w:ascii="宋体" w:hAnsi="宋体" w:cs="宋体"/>
                <w:b w:val="0"/>
                <w:i w:val="0"/>
                <w:iCs w:val="0"/>
                <w:color w:val="auto"/>
                <w:sz w:val="24"/>
                <w:szCs w:val="24"/>
                <w:highlight w:val="none"/>
                <w:u w:val="none"/>
                <w:lang w:eastAsia="zh-CN"/>
              </w:rPr>
              <w:t xml:space="preserve">，应持有行政主管部门注册有效期内的执业医师证、执业护师证或康复医师证；</w:t>
            </w:r>
            <w:r>
              <w:rPr>
                <w:color w:val="auto"/>
              </w:rPr>
            </w:r>
            <w:r/>
          </w:p>
          <w:p>
            <w:pPr>
              <w:pStyle w:val="911"/>
              <w:numPr>
                <w:ilvl w:val="0"/>
                <w:numId w:val="0"/>
              </w:numPr>
              <w:jc w:val="left"/>
              <w:keepLines w:val="0"/>
              <w:keepNext w:val="0"/>
              <w:widowControl/>
              <w:rPr>
                <w:rStyle w:val="913"/>
                <w:rFonts w:ascii="宋体" w:hAnsi="宋体" w:eastAsia="宋体" w:cs="宋体"/>
                <w:b w:val="0"/>
                <w:i w:val="0"/>
                <w:iCs w:val="0"/>
                <w:color w:val="auto"/>
                <w:sz w:val="24"/>
                <w:szCs w:val="24"/>
                <w:highlight w:val="none"/>
                <w:u w:val="single"/>
              </w:rPr>
              <w:suppressLineNumbers w:val="0"/>
            </w:pPr>
            <w:r>
              <w:rPr>
                <w:rStyle w:val="913"/>
                <w:rFonts w:hint="eastAsia" w:ascii="宋体" w:hAnsi="宋体" w:cs="宋体"/>
                <w:b w:val="0"/>
                <w:i w:val="0"/>
                <w:iCs w:val="0"/>
                <w:color w:val="auto"/>
                <w:sz w:val="24"/>
                <w:szCs w:val="24"/>
                <w:highlight w:val="none"/>
                <w:u w:val="none"/>
                <w:lang w:val="en-US" w:eastAsia="zh-CN"/>
              </w:rPr>
              <w:t xml:space="preserve">4.</w:t>
            </w:r>
            <w:r>
              <w:rPr>
                <w:rStyle w:val="913"/>
                <w:rFonts w:hint="eastAsia" w:ascii="宋体" w:hAnsi="宋体" w:cs="宋体"/>
                <w:b w:val="0"/>
                <w:i w:val="0"/>
                <w:iCs w:val="0"/>
                <w:color w:val="auto"/>
                <w:sz w:val="24"/>
                <w:szCs w:val="24"/>
                <w:highlight w:val="none"/>
                <w:u w:val="none"/>
                <w:lang w:eastAsia="zh-CN"/>
              </w:rPr>
              <w:t xml:space="preserve">不少于</w:t>
            </w:r>
            <w:r>
              <w:rPr>
                <w:rStyle w:val="913"/>
                <w:rFonts w:hint="eastAsia" w:ascii="宋体" w:hAnsi="宋体" w:cs="宋体"/>
                <w:b w:val="0"/>
                <w:i w:val="0"/>
                <w:iCs w:val="0"/>
                <w:color w:val="auto"/>
                <w:sz w:val="24"/>
                <w:szCs w:val="24"/>
                <w:highlight w:val="none"/>
                <w:u w:val="none"/>
                <w:lang w:val="en-US" w:eastAsia="zh-CN"/>
              </w:rPr>
              <w:t xml:space="preserve">14</w:t>
            </w:r>
            <w:r>
              <w:rPr>
                <w:rStyle w:val="913"/>
                <w:rFonts w:hint="eastAsia" w:ascii="宋体" w:hAnsi="宋体" w:cs="宋体"/>
                <w:b w:val="0"/>
                <w:i w:val="0"/>
                <w:iCs w:val="0"/>
                <w:color w:val="auto"/>
                <w:sz w:val="24"/>
                <w:szCs w:val="24"/>
                <w:highlight w:val="none"/>
                <w:u w:val="none"/>
                <w:lang w:val="en-US" w:eastAsia="zh-CN"/>
              </w:rPr>
              <w:t xml:space="preserve">名</w:t>
            </w:r>
            <w:r>
              <w:rPr>
                <w:rStyle w:val="913"/>
                <w:rFonts w:hint="eastAsia" w:ascii="宋体" w:hAnsi="宋体" w:cs="宋体"/>
                <w:b w:val="0"/>
                <w:i w:val="0"/>
                <w:iCs w:val="0"/>
                <w:color w:val="auto"/>
                <w:sz w:val="24"/>
                <w:szCs w:val="24"/>
                <w:highlight w:val="none"/>
                <w:u w:val="none"/>
                <w:lang w:eastAsia="zh-CN"/>
              </w:rPr>
              <w:t xml:space="preserve">上门服务人员，应持有初级及以上养老护理员资格证或长期护理保险居家护理服务技能培训结业证书，未持养老护理员资格证或长期护理保险居家护理服务技能培训结业证书不得开展上门服务。</w:t>
            </w:r>
            <w:r>
              <w:rPr>
                <w:color w:val="auto"/>
              </w:rPr>
            </w:r>
            <w:r/>
          </w:p>
        </w:tc>
      </w:tr>
      <w:tr>
        <w:trPr/>
        <w:tc>
          <w:tcPr>
            <w:tcMar>
              <w:top w:w="100" w:type="dxa"/>
              <w:bottom w:w="100" w:type="dxa"/>
            </w:tcMar>
            <w:tcW w:w="514" w:type="dxa"/>
            <w:vAlign w:val="center"/>
            <w:vMerge w:val="continue"/>
            <w:textDirection w:val="lrTb"/>
            <w:noWrap w:val="false"/>
          </w:tcPr>
          <w:p>
            <w:pPr>
              <w:pStyle w:val="982"/>
              <w:jc w:val="center"/>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1624" w:type="dxa"/>
            <w:vAlign w:val="center"/>
            <w:vMerge w:val="continue"/>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8544" w:type="dxa"/>
            <w:vAlign w:val="center"/>
            <w:textDirection w:val="lrTb"/>
            <w:noWrap w:val="false"/>
          </w:tcPr>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服务人员要求：</w:t>
            </w:r>
            <w:r>
              <w:rPr>
                <w:color w:val="auto"/>
              </w:rPr>
            </w:r>
            <w:r/>
          </w:p>
          <w:p>
            <w:pPr>
              <w:pStyle w:val="982"/>
              <w:numPr>
                <w:ilvl w:val="0"/>
                <w:numId w:val="1"/>
              </w:numPr>
              <w:jc w:val="left"/>
              <w:rPr>
                <w:rStyle w:val="913"/>
                <w:rFonts w:ascii="宋体" w:hAnsi="宋体" w:eastAsia="宋体" w:cs="宋体"/>
                <w:b w:val="0"/>
                <w:i w:val="0"/>
                <w:iCs w:val="0"/>
                <w:color w:val="auto"/>
                <w:sz w:val="24"/>
                <w:szCs w:val="24"/>
                <w:highlight w:val="none"/>
                <w:u w:val="none"/>
              </w:rPr>
            </w:pPr>
            <w:r>
              <w:rPr>
                <w:rFonts w:hint="eastAsia" w:ascii="宋体" w:hAnsi="宋体" w:cs="宋体"/>
                <w:color w:val="auto"/>
                <w:sz w:val="24"/>
                <w:szCs w:val="24"/>
                <w:highlight w:val="none"/>
                <w:lang w:val="en-US" w:eastAsia="zh-CN" w:bidi="ar"/>
              </w:rPr>
              <w:t xml:space="preserve">应</w:t>
            </w:r>
            <w:r>
              <w:rPr>
                <w:rFonts w:hint="eastAsia" w:ascii="宋体" w:hAnsi="宋体" w:eastAsia="宋体" w:cs="宋体"/>
                <w:color w:val="auto"/>
                <w:sz w:val="24"/>
                <w:szCs w:val="24"/>
                <w:highlight w:val="none"/>
                <w:lang w:val="en-US" w:eastAsia="zh-CN" w:bidi="ar"/>
              </w:rPr>
              <w:t xml:space="preserve">做到专人专岗，合同期内不得参与本机构或其他服务机构的其他工作。首次入职年龄不超过60周岁，后期随退休年龄变化进行适当调整。全职服务人员社保缴纳比例不得低于全职服务人员总数的8%，季度总服务时长应不低于360小时。</w:t>
            </w:r>
            <w:r>
              <w:rPr>
                <w:color w:val="auto"/>
              </w:rPr>
            </w:r>
            <w:r/>
          </w:p>
          <w:p>
            <w:pPr>
              <w:pStyle w:val="982"/>
              <w:numPr>
                <w:ilvl w:val="0"/>
                <w:numId w:val="1"/>
              </w:numPr>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应参加岗前培训，并有培训记录，具备基本养老服务技能，掌握相应的业务知识和岗位技能，并能</w:t>
            </w:r>
            <w:r>
              <w:rPr>
                <w:rFonts w:hint="eastAsia" w:ascii="宋体" w:hAnsi="宋体" w:eastAsia="宋体" w:cs="宋体"/>
                <w:color w:val="auto"/>
                <w:sz w:val="24"/>
                <w:szCs w:val="24"/>
                <w:highlight w:val="none"/>
                <w:lang w:val="en-US" w:eastAsia="zh-CN" w:bidi="ar"/>
              </w:rPr>
              <w:t xml:space="preserve">熟练使用相关平台系统</w:t>
            </w:r>
            <w:r>
              <w:rPr>
                <w:rStyle w:val="913"/>
                <w:rFonts w:ascii="宋体" w:hAnsi="宋体" w:eastAsia="宋体" w:cs="宋体"/>
                <w:b w:val="0"/>
                <w:i w:val="0"/>
                <w:iCs w:val="0"/>
                <w:color w:val="auto"/>
                <w:sz w:val="24"/>
                <w:szCs w:val="24"/>
                <w:highlight w:val="none"/>
                <w:u w:val="none"/>
              </w:rPr>
              <w:t xml:space="preserve">。</w:t>
            </w:r>
            <w:r>
              <w:rPr>
                <w:color w:val="auto"/>
              </w:rPr>
            </w:r>
            <w:r/>
          </w:p>
          <w:p>
            <w:pPr>
              <w:pStyle w:val="982"/>
              <w:numPr>
                <w:ilvl w:val="0"/>
                <w:numId w:val="0"/>
              </w:numPr>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w:t>
            </w:r>
            <w:r>
              <w:rPr>
                <w:rStyle w:val="913"/>
                <w:rFonts w:hint="eastAsia" w:ascii="宋体" w:hAnsi="宋体" w:eastAsia="宋体" w:cs="宋体"/>
                <w:b w:val="0"/>
                <w:i w:val="0"/>
                <w:iCs w:val="0"/>
                <w:color w:val="auto"/>
                <w:sz w:val="24"/>
                <w:szCs w:val="24"/>
                <w:highlight w:val="none"/>
                <w:u w:val="none"/>
                <w:lang w:val="en-US" w:eastAsia="zh-CN"/>
              </w:rPr>
              <w:t xml:space="preserve">3</w:t>
            </w:r>
            <w:r>
              <w:rPr>
                <w:rStyle w:val="913"/>
                <w:rFonts w:ascii="宋体" w:hAnsi="宋体" w:eastAsia="宋体" w:cs="宋体"/>
                <w:b w:val="0"/>
                <w:i w:val="0"/>
                <w:iCs w:val="0"/>
                <w:color w:val="auto"/>
                <w:sz w:val="24"/>
                <w:szCs w:val="24"/>
                <w:highlight w:val="none"/>
                <w:u w:val="none"/>
              </w:rPr>
              <w:t xml:space="preserve">）具有本人身份证明，需身体健康，持有健康证。无精神病史、各类传染病，与服务机构签订劳动（务）合同；实行专人专岗、直系亲属回避原则。工作时间内不得参与本机构或隶属于同一机构管理的服务机构其他的护理工作；原则上不出现服务人员与服务对象为直系亲属关系。遵纪守法，遵守职业道德，无犯罪记录。尊老敬老，主动服务，对老年人富有爱心；统一着装，佩戴易辨识的工牌或标识；应该遵守《保密协议》，防止老年人信息外泄；每年在岗培训不少于 6 次，每次不少于 2 小时。</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w:t>
            </w:r>
            <w:r>
              <w:rPr>
                <w:rStyle w:val="913"/>
                <w:rFonts w:hint="eastAsia" w:ascii="宋体" w:hAnsi="宋体" w:eastAsia="宋体" w:cs="宋体"/>
                <w:b w:val="0"/>
                <w:i w:val="0"/>
                <w:iCs w:val="0"/>
                <w:color w:val="auto"/>
                <w:sz w:val="24"/>
                <w:szCs w:val="24"/>
                <w:highlight w:val="none"/>
                <w:u w:val="none"/>
                <w:lang w:val="en-US" w:eastAsia="zh-CN"/>
              </w:rPr>
              <w:t xml:space="preserve">4</w:t>
            </w:r>
            <w:r>
              <w:rPr>
                <w:rStyle w:val="913"/>
                <w:rFonts w:ascii="宋体" w:hAnsi="宋体" w:eastAsia="宋体" w:cs="宋体"/>
                <w:b w:val="0"/>
                <w:i w:val="0"/>
                <w:iCs w:val="0"/>
                <w:color w:val="auto"/>
                <w:sz w:val="24"/>
                <w:szCs w:val="24"/>
                <w:highlight w:val="none"/>
                <w:u w:val="none"/>
              </w:rPr>
              <w:t xml:space="preserve">）服务人员在提供服务过程中应做到耐心细致，对老人提出的问题做到有问必答，能与老人顺利沟通。每次服务时至少需2人在场，做好服务前和服务后的照片拍摄。服务现场所有的工作记录必须为规范、清晰、真实的记录工作状态，定期进行归档、保存，并供采购人查阅。认真配合并完成其它特殊事项，如遇有关部门工作检查，中标单位必须配合做好基本工作。</w:t>
            </w:r>
            <w:r>
              <w:rPr>
                <w:color w:val="auto"/>
              </w:rPr>
            </w:r>
            <w:r/>
          </w:p>
        </w:tc>
      </w:tr>
      <w:tr>
        <w:trPr/>
        <w:tc>
          <w:tcPr>
            <w:tcMar>
              <w:top w:w="100" w:type="dxa"/>
              <w:bottom w:w="100" w:type="dxa"/>
            </w:tcMar>
            <w:tcW w:w="514" w:type="dxa"/>
            <w:vAlign w:val="center"/>
            <w:vMerge w:val="continue"/>
            <w:textDirection w:val="lrTb"/>
            <w:noWrap w:val="false"/>
          </w:tcPr>
          <w:p>
            <w:pPr>
              <w:pStyle w:val="982"/>
              <w:jc w:val="center"/>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1624" w:type="dxa"/>
            <w:vAlign w:val="center"/>
            <w:vMerge w:val="continue"/>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8544" w:type="dxa"/>
            <w:vAlign w:val="center"/>
            <w:textDirection w:val="lrTb"/>
            <w:noWrap w:val="false"/>
          </w:tcPr>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管理制度 </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1.各服务商实行合同管理。与本单位员工签订劳动（务）合同，签约率 100%。 </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2.服务商实行标准化管理。具有标准化的服务规范与流程，推行技术等级服务、等级待遇和等级收费的管理制度。 </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3.建立信息化管理制度。实行员工和服务对象一人一档，具有包含服务对象服务记录、反馈信息记录等详细内容的资料数据。</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4.建立完善的人员管理制度。包括疫情防控、薪酬管理、考核奖惩、人员培训、风险管控等制度。 </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5.建立服务质量监督制度。具有服务预案（包括计划、工作流程、技术操作规范等）、服务记录（包括内容、时间、地点、人员和落实情况等）、服务监督与考核（包括监督程序、人员、频次及方式等）以及服务信息管理等相关配套制度。 </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6.建立服务回访制度。收集老年人的意见和建议，及时研究采纳，改进工作，并以适当方式及时将信息反馈给服务对象。 </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7.建立服务风险防范制度，制定疫情防控、安全应急处理预案，为员工购买意外保险，提供保障。 </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8.建立与政府及其他社会组织、志愿者团队的合作制度。 </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9.财务制度健全。各项资金收入、支出有详细记录，不偷税漏税。服务人员的工资收入不得低于当地最低工资标准。 </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10.具有服务质量持续改进计划、方案及相应的改进措施。 </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11.具有品牌建设意识，并有相应的品牌标识和建设方案。</w:t>
            </w:r>
            <w:r>
              <w:rPr>
                <w:color w:val="auto"/>
              </w:rPr>
            </w:r>
            <w:r/>
          </w:p>
        </w:tc>
      </w:tr>
      <w:tr>
        <w:trPr/>
        <w:tc>
          <w:tcPr>
            <w:tcMar>
              <w:top w:w="100" w:type="dxa"/>
              <w:bottom w:w="100" w:type="dxa"/>
            </w:tcMar>
            <w:tcW w:w="514" w:type="dxa"/>
            <w:vAlign w:val="center"/>
            <w:vMerge w:val="continue"/>
            <w:textDirection w:val="lrTb"/>
            <w:noWrap w:val="false"/>
          </w:tcPr>
          <w:p>
            <w:pPr>
              <w:pStyle w:val="982"/>
              <w:jc w:val="center"/>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1624" w:type="dxa"/>
            <w:vAlign w:val="center"/>
            <w:vMerge w:val="continue"/>
            <w:textDirection w:val="lrTb"/>
            <w:noWrap w:val="false"/>
          </w:tcPr>
          <w:p>
            <w:pPr>
              <w:pStyle w:val="982"/>
              <w:jc w:val="left"/>
              <w:rPr>
                <w:rStyle w:val="913"/>
                <w:rFonts w:ascii="宋体" w:hAnsi="宋体" w:eastAsia="宋体" w:cs="宋体"/>
                <w:b w:val="0"/>
                <w:i w:val="0"/>
                <w:iCs w:val="0"/>
                <w:color w:val="000000"/>
                <w:sz w:val="24"/>
                <w:szCs w:val="24"/>
                <w:highlight w:val="none"/>
                <w:u w:val="single"/>
              </w:rPr>
            </w:pPr>
            <w:r>
              <w:rPr>
                <w:rStyle w:val="913"/>
                <w:rFonts w:ascii="宋体" w:hAnsi="宋体" w:eastAsia="宋体" w:cs="宋体"/>
                <w:b w:val="0"/>
                <w:i w:val="0"/>
                <w:iCs w:val="0"/>
                <w:color w:val="000000"/>
                <w:sz w:val="24"/>
                <w:szCs w:val="24"/>
                <w:highlight w:val="none"/>
                <w:u w:val="single"/>
              </w:rPr>
            </w:r>
            <w:r/>
          </w:p>
        </w:tc>
        <w:tc>
          <w:tcPr>
            <w:tcMar>
              <w:top w:w="100" w:type="dxa"/>
              <w:bottom w:w="100" w:type="dxa"/>
            </w:tcMar>
            <w:tcW w:w="8544" w:type="dxa"/>
            <w:vAlign w:val="center"/>
            <w:textDirection w:val="lrTb"/>
            <w:noWrap w:val="false"/>
          </w:tcPr>
          <w:p>
            <w:pPr>
              <w:pStyle w:val="982"/>
              <w:jc w:val="left"/>
              <w:rPr>
                <w:rStyle w:val="913"/>
                <w:rFonts w:ascii="宋体" w:hAnsi="宋体" w:eastAsia="宋体" w:cs="宋体"/>
                <w:b w:val="0"/>
                <w:i w:val="0"/>
                <w:iCs w:val="0"/>
                <w:color w:val="auto"/>
                <w:sz w:val="24"/>
                <w:szCs w:val="24"/>
                <w:highlight w:val="none"/>
                <w:u w:val="single"/>
              </w:rPr>
            </w:pPr>
            <w:r>
              <w:rPr>
                <w:rStyle w:val="913"/>
                <w:rFonts w:ascii="宋体" w:hAnsi="宋体" w:eastAsia="宋体" w:cs="宋体"/>
                <w:b w:val="0"/>
                <w:i/>
                <w:iCs/>
                <w:color w:val="auto"/>
                <w:sz w:val="24"/>
                <w:szCs w:val="24"/>
                <w:highlight w:val="none"/>
                <w:u w:val="single"/>
              </w:rPr>
              <w:t xml:space="preserve">中标单位必须遵守劳动法，依法规范用工，与符合规定条件的人员须签订劳动合同，为员工购买基本社会养老保险及人身意外商业保险（保险范围须包括但不限于工作时间以外发生的人身意外事故）；部分超过退休年龄的人员须签定劳务合同，为其购买人身意外商业保险（保险范围须包括但不限于工作时间以外发生的人身意外事故）；员工工资应不低于当年公布的张家港市最低工资标准，并负责办理社会保险和商业保险的理赔手续和发放保险金，并向采购人提供相关证明材料备案。</w:t>
            </w:r>
            <w:r>
              <w:rPr>
                <w:color w:val="auto"/>
              </w:rPr>
            </w:r>
            <w:r/>
          </w:p>
        </w:tc>
      </w:tr>
      <w:tr>
        <w:trPr/>
        <w:tc>
          <w:tcPr>
            <w:tcMar>
              <w:top w:w="100" w:type="dxa"/>
              <w:bottom w:w="100" w:type="dxa"/>
            </w:tcMar>
            <w:tcW w:w="514" w:type="dxa"/>
            <w:vAlign w:val="center"/>
            <w:vMerge w:val="restart"/>
            <w:textDirection w:val="lrTb"/>
            <w:noWrap w:val="false"/>
          </w:tcPr>
          <w:p>
            <w:pPr>
              <w:pStyle w:val="982"/>
              <w:jc w:val="center"/>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15</w:t>
            </w:r>
            <w:r>
              <w:rPr>
                <w:color w:val="auto"/>
              </w:rPr>
            </w:r>
            <w:r/>
          </w:p>
        </w:tc>
        <w:tc>
          <w:tcPr>
            <w:tcMar>
              <w:top w:w="100" w:type="dxa"/>
              <w:bottom w:w="100" w:type="dxa"/>
            </w:tcMar>
            <w:tcW w:w="1624" w:type="dxa"/>
            <w:vAlign w:val="center"/>
            <w:vMerge w:val="restart"/>
            <w:textDirection w:val="lrTb"/>
            <w:noWrap w:val="false"/>
          </w:tcPr>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考核办法</w:t>
            </w:r>
            <w:r>
              <w:rPr>
                <w:color w:val="auto"/>
              </w:rPr>
            </w:r>
            <w:r/>
          </w:p>
        </w:tc>
        <w:tc>
          <w:tcPr>
            <w:tcMar>
              <w:top w:w="100" w:type="dxa"/>
              <w:bottom w:w="100" w:type="dxa"/>
            </w:tcMar>
            <w:tcW w:w="8544" w:type="dxa"/>
            <w:vAlign w:val="center"/>
            <w:textDirection w:val="lrTb"/>
            <w:noWrap w:val="false"/>
          </w:tcPr>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1、项目监管要求：项目执行过程中中标单位须接受采购人和民政局的检查要求，并准时递交每月服务情况及未服务原因。</w:t>
            </w:r>
            <w:r>
              <w:rPr>
                <w:color w:val="auto"/>
              </w:rPr>
            </w:r>
            <w:r/>
          </w:p>
        </w:tc>
      </w:tr>
      <w:tr>
        <w:trPr/>
        <w:tc>
          <w:tcPr>
            <w:tcMar>
              <w:top w:w="100" w:type="dxa"/>
              <w:bottom w:w="100" w:type="dxa"/>
            </w:tcMar>
            <w:tcW w:w="514" w:type="dxa"/>
            <w:vAlign w:val="center"/>
            <w:vMerge w:val="continue"/>
            <w:textDirection w:val="lrTb"/>
            <w:noWrap w:val="false"/>
          </w:tcPr>
          <w:p>
            <w:pPr>
              <w:pStyle w:val="982"/>
              <w:jc w:val="center"/>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1624" w:type="dxa"/>
            <w:vAlign w:val="center"/>
            <w:vMerge w:val="continue"/>
            <w:textDirection w:val="lrTb"/>
            <w:noWrap w:val="false"/>
          </w:tcPr>
          <w:p>
            <w:pPr>
              <w:pStyle w:val="982"/>
              <w:jc w:val="left"/>
              <w:rPr>
                <w:rStyle w:val="913"/>
                <w:rFonts w:ascii="宋体" w:hAnsi="宋体" w:eastAsia="宋体" w:cs="宋体"/>
                <w:b w:val="0"/>
                <w:i w:val="0"/>
                <w:iCs w:val="0"/>
                <w:color w:val="000000"/>
                <w:sz w:val="24"/>
                <w:szCs w:val="24"/>
                <w:highlight w:val="none"/>
                <w:u w:val="single"/>
              </w:rPr>
            </w:pPr>
            <w:r>
              <w:rPr>
                <w:rStyle w:val="913"/>
                <w:rFonts w:ascii="宋体" w:hAnsi="宋体" w:eastAsia="宋体" w:cs="宋体"/>
                <w:b w:val="0"/>
                <w:i w:val="0"/>
                <w:iCs w:val="0"/>
                <w:color w:val="000000"/>
                <w:sz w:val="24"/>
                <w:szCs w:val="24"/>
                <w:highlight w:val="none"/>
                <w:u w:val="single"/>
              </w:rPr>
            </w:r>
            <w:r/>
          </w:p>
        </w:tc>
        <w:tc>
          <w:tcPr>
            <w:tcMar>
              <w:top w:w="100" w:type="dxa"/>
              <w:bottom w:w="100" w:type="dxa"/>
            </w:tcMar>
            <w:tcW w:w="8544" w:type="dxa"/>
            <w:vAlign w:val="center"/>
            <w:textDirection w:val="lrTb"/>
            <w:noWrap w:val="false"/>
          </w:tcPr>
          <w:p>
            <w:pPr>
              <w:pStyle w:val="982"/>
              <w:jc w:val="left"/>
              <w:rPr>
                <w:rStyle w:val="913"/>
                <w:rFonts w:ascii="宋体" w:hAnsi="宋体" w:eastAsia="宋体" w:cs="宋体"/>
                <w:b w:val="0"/>
                <w:i w:val="0"/>
                <w:iCs w:val="0"/>
                <w:color w:val="auto"/>
                <w:sz w:val="24"/>
                <w:szCs w:val="24"/>
                <w:highlight w:val="none"/>
                <w:u w:val="single"/>
              </w:rPr>
            </w:pPr>
            <w:r>
              <w:rPr>
                <w:rStyle w:val="913"/>
                <w:rFonts w:ascii="宋体" w:hAnsi="宋体" w:eastAsia="宋体" w:cs="宋体"/>
                <w:b w:val="0"/>
                <w:i/>
                <w:iCs/>
                <w:color w:val="auto"/>
                <w:sz w:val="24"/>
                <w:szCs w:val="24"/>
                <w:highlight w:val="none"/>
                <w:u w:val="single"/>
              </w:rPr>
              <w:t xml:space="preserve">2.考核办法：由张家港市亲情（虚拟）养老院对中标单位进行日常服务情况考核，根据服务数量和质量等拟订服务费支付明细。采购人认为需要对中标单位本服务项目运行开展相关事项的补充考核，有权将补充考核结果与服务费支付相挂钩，报请张家港市亲情（虚拟）养老院按照最终认定的考核结果支付相应服务费。(详见附件2)</w:t>
            </w:r>
            <w:r>
              <w:rPr>
                <w:color w:val="auto"/>
              </w:rPr>
            </w:r>
            <w:r/>
          </w:p>
        </w:tc>
      </w:tr>
      <w:tr>
        <w:trPr>
          <w:trHeight w:val="90"/>
        </w:trPr>
        <w:tc>
          <w:tcPr>
            <w:tcMar>
              <w:top w:w="100" w:type="dxa"/>
              <w:bottom w:w="100" w:type="dxa"/>
            </w:tcMar>
            <w:tcW w:w="514" w:type="dxa"/>
            <w:vAlign w:val="center"/>
            <w:vMerge w:val="continue"/>
            <w:textDirection w:val="lrTb"/>
            <w:noWrap w:val="false"/>
          </w:tcPr>
          <w:p>
            <w:pPr>
              <w:pStyle w:val="982"/>
              <w:jc w:val="center"/>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1624" w:type="dxa"/>
            <w:vAlign w:val="center"/>
            <w:vMerge w:val="continue"/>
            <w:textDirection w:val="lrTb"/>
            <w:noWrap w:val="false"/>
          </w:tcPr>
          <w:p>
            <w:pPr>
              <w:pStyle w:val="982"/>
              <w:jc w:val="left"/>
              <w:rPr>
                <w:rStyle w:val="913"/>
                <w:rFonts w:ascii="宋体" w:hAnsi="宋体" w:eastAsia="宋体" w:cs="宋体"/>
                <w:b w:val="0"/>
                <w:i w:val="0"/>
                <w:iCs w:val="0"/>
                <w:color w:val="000000"/>
                <w:sz w:val="24"/>
                <w:szCs w:val="24"/>
                <w:highlight w:val="none"/>
                <w:u w:val="none"/>
              </w:rPr>
            </w:pPr>
            <w:r>
              <w:rPr>
                <w:rStyle w:val="913"/>
                <w:rFonts w:ascii="宋体" w:hAnsi="宋体" w:eastAsia="宋体" w:cs="宋体"/>
                <w:b w:val="0"/>
                <w:i w:val="0"/>
                <w:iCs w:val="0"/>
                <w:color w:val="000000"/>
                <w:sz w:val="24"/>
                <w:szCs w:val="24"/>
                <w:highlight w:val="none"/>
                <w:u w:val="none"/>
              </w:rPr>
            </w:r>
            <w:r/>
          </w:p>
        </w:tc>
        <w:tc>
          <w:tcPr>
            <w:tcMar>
              <w:top w:w="100" w:type="dxa"/>
              <w:bottom w:w="100" w:type="dxa"/>
            </w:tcMar>
            <w:tcW w:w="8544" w:type="dxa"/>
            <w:vAlign w:val="center"/>
            <w:textDirection w:val="lrTb"/>
            <w:noWrap w:val="false"/>
          </w:tcPr>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中标单位有下列情况的，扣除服务经费：</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1．中标单位对采购人委托服务事项应认真对待，上门服务应优质高效，合理收费。当月若产生</w:t>
            </w:r>
            <w:r>
              <w:rPr>
                <w:rStyle w:val="913"/>
                <w:rFonts w:ascii="宋体" w:hAnsi="宋体" w:eastAsia="宋体" w:cs="宋体"/>
                <w:b w:val="0"/>
                <w:i w:val="0"/>
                <w:iCs w:val="0"/>
                <w:color w:val="auto"/>
                <w:sz w:val="24"/>
                <w:szCs w:val="24"/>
                <w:highlight w:val="none"/>
                <w:u w:val="none"/>
              </w:rPr>
              <w:t xml:space="preserve">有效“不满意”工单扣除当日同一服务对象下所有服务工单援助费用的50%；有效“非常不满意”工单扣除当日同一服务对象下所有服务工单援助费用100%；有效“无供”工单扣除当日同一服务对象下所有服务工单援助费用的100%；假单或未按规定要求服务的，扣除当日同一服务对象服务费用的100%。一个月内无供单累计超过5单或不满意单累计超过3单及以上的，扣除公司本月结算总额的3%；多一单多扣1%，以此类推；当月无故出现暂停服务对象服务事项二次及以上，采购人有权提出警告，并视情节轻重扣除当月服务费，额度在当月服务费总额的1%。</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2．按时、按质完成服务，每月服务率（以在院服务人数为准）未达到95%的，每少1个百分点，扣除中标单位当月结算总额的1%，以此类推。</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ascii="宋体" w:hAnsi="宋体" w:eastAsia="宋体" w:cs="宋体"/>
                <w:b w:val="0"/>
                <w:i w:val="0"/>
                <w:iCs w:val="0"/>
                <w:color w:val="auto"/>
                <w:sz w:val="24"/>
                <w:szCs w:val="24"/>
                <w:highlight w:val="none"/>
                <w:u w:val="none"/>
              </w:rPr>
              <w:t xml:space="preserve">以上标准，如张家港市虚拟养老院及上级部门出具新标准新要求的，从其规定。</w:t>
            </w:r>
            <w:r>
              <w:rPr>
                <w:color w:val="auto"/>
              </w:rPr>
            </w:r>
            <w:r/>
          </w:p>
          <w:p>
            <w:pPr>
              <w:pStyle w:val="982"/>
              <w:numPr>
                <w:ilvl w:val="0"/>
                <w:numId w:val="0"/>
              </w:numPr>
              <w:jc w:val="left"/>
              <w:rPr>
                <w:rStyle w:val="913"/>
                <w:rFonts w:ascii="宋体" w:hAnsi="宋体" w:eastAsia="宋体" w:cs="宋体"/>
                <w:b w:val="0"/>
                <w:i w:val="0"/>
                <w:iCs w:val="0"/>
                <w:color w:val="auto"/>
                <w:sz w:val="24"/>
                <w:szCs w:val="24"/>
                <w:highlight w:val="none"/>
                <w:u w:val="none"/>
              </w:rPr>
            </w:pPr>
            <w:r>
              <w:rPr>
                <w:rStyle w:val="913"/>
                <w:rFonts w:hint="eastAsia" w:ascii="宋体" w:hAnsi="宋体" w:eastAsia="宋体" w:cs="宋体"/>
                <w:b w:val="0"/>
                <w:i w:val="0"/>
                <w:iCs w:val="0"/>
                <w:color w:val="auto"/>
                <w:sz w:val="24"/>
                <w:szCs w:val="24"/>
                <w:highlight w:val="none"/>
                <w:u w:val="none"/>
                <w:lang w:val="en-US" w:eastAsia="zh-CN"/>
              </w:rPr>
              <w:t xml:space="preserve">3.</w:t>
            </w:r>
            <w:r>
              <w:rPr>
                <w:rStyle w:val="913"/>
                <w:rFonts w:hint="eastAsia" w:ascii="宋体" w:hAnsi="宋体" w:eastAsia="宋体" w:cs="宋体"/>
                <w:b w:val="0"/>
                <w:i w:val="0"/>
                <w:iCs w:val="0"/>
                <w:color w:val="auto"/>
                <w:sz w:val="24"/>
                <w:szCs w:val="24"/>
                <w:highlight w:val="none"/>
                <w:u w:val="none"/>
                <w:lang w:eastAsia="zh-CN"/>
              </w:rPr>
              <w:t xml:space="preserve">中标单位需结合自己工作亮点和工作成效，每年度在市级以上媒体获得宣传和报道</w:t>
            </w:r>
            <w:r>
              <w:rPr>
                <w:rStyle w:val="913"/>
                <w:rFonts w:hint="eastAsia" w:ascii="宋体" w:hAnsi="宋体" w:eastAsia="宋体" w:cs="宋体"/>
                <w:b w:val="0"/>
                <w:i w:val="0"/>
                <w:iCs w:val="0"/>
                <w:color w:val="auto"/>
                <w:sz w:val="24"/>
                <w:szCs w:val="24"/>
                <w:highlight w:val="none"/>
                <w:u w:val="none"/>
                <w:lang w:val="en-US" w:eastAsia="zh-CN"/>
              </w:rPr>
              <w:t xml:space="preserve">至少1次</w:t>
            </w:r>
            <w:r>
              <w:rPr>
                <w:rStyle w:val="913"/>
                <w:rFonts w:hint="eastAsia" w:ascii="宋体" w:hAnsi="宋体" w:eastAsia="宋体" w:cs="宋体"/>
                <w:b w:val="0"/>
                <w:i w:val="0"/>
                <w:iCs w:val="0"/>
                <w:color w:val="auto"/>
                <w:sz w:val="24"/>
                <w:szCs w:val="24"/>
                <w:highlight w:val="none"/>
                <w:u w:val="none"/>
                <w:lang w:eastAsia="zh-CN"/>
              </w:rPr>
              <w:t xml:space="preserve">，若未在市级以上媒体获得宣传和报道的，则</w:t>
            </w:r>
            <w:r>
              <w:rPr>
                <w:rStyle w:val="913"/>
                <w:rFonts w:ascii="宋体" w:hAnsi="宋体" w:eastAsia="宋体" w:cs="宋体"/>
                <w:b w:val="0"/>
                <w:i w:val="0"/>
                <w:iCs w:val="0"/>
                <w:color w:val="auto"/>
                <w:sz w:val="24"/>
                <w:szCs w:val="24"/>
                <w:highlight w:val="none"/>
                <w:u w:val="none"/>
              </w:rPr>
              <w:t xml:space="preserve">扣除中标单位本年度结算总额的1%，在年度最后一个季度的服务费中扣除</w:t>
            </w:r>
            <w:r>
              <w:rPr>
                <w:rStyle w:val="913"/>
                <w:rFonts w:hint="eastAsia" w:ascii="宋体" w:hAnsi="宋体" w:eastAsia="宋体" w:cs="宋体"/>
                <w:b w:val="0"/>
                <w:i w:val="0"/>
                <w:iCs w:val="0"/>
                <w:color w:val="auto"/>
                <w:sz w:val="24"/>
                <w:szCs w:val="24"/>
                <w:highlight w:val="none"/>
                <w:u w:val="none"/>
                <w:lang w:eastAsia="zh-CN"/>
              </w:rPr>
              <w:t xml:space="preserve">。</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hint="eastAsia" w:ascii="宋体" w:hAnsi="宋体" w:eastAsia="宋体" w:cs="宋体"/>
                <w:b w:val="0"/>
                <w:i w:val="0"/>
                <w:iCs w:val="0"/>
                <w:color w:val="auto"/>
                <w:sz w:val="24"/>
                <w:szCs w:val="24"/>
                <w:highlight w:val="none"/>
                <w:u w:val="none"/>
                <w:lang w:val="en-US" w:eastAsia="zh-CN"/>
              </w:rPr>
              <w:t xml:space="preserve">4.</w:t>
            </w:r>
            <w:r>
              <w:rPr>
                <w:rStyle w:val="913"/>
                <w:rFonts w:ascii="宋体" w:hAnsi="宋体" w:eastAsia="宋体" w:cs="宋体"/>
                <w:b w:val="0"/>
                <w:i w:val="0"/>
                <w:iCs w:val="0"/>
                <w:color w:val="auto"/>
                <w:sz w:val="24"/>
                <w:szCs w:val="24"/>
                <w:highlight w:val="none"/>
                <w:u w:val="none"/>
              </w:rPr>
              <w:t xml:space="preserve">中标单位在与上一个服务商交接之日起3个月过渡期内，若无合理理由且未经采购人同意，实际在岗工作人员与投标文件人员配置要求差异累计人数比例高于10%的，采购人有权提前终止合同，扣除该期间内结算服务费总额的5%。3个月过渡期届满后，按照每3个月为人员变动考核周期，若无合理理由且未经采购人同意，实际在岗工作人员与投标文件人员配置要求差异累计人数比例高于5%的，采购人有权终止服务合同，扣除该3个月结算服务费总额的5%。</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hint="eastAsia" w:ascii="宋体" w:hAnsi="宋体" w:eastAsia="宋体" w:cs="宋体"/>
                <w:b w:val="0"/>
                <w:i w:val="0"/>
                <w:iCs w:val="0"/>
                <w:color w:val="auto"/>
                <w:sz w:val="24"/>
                <w:szCs w:val="24"/>
                <w:highlight w:val="none"/>
                <w:u w:val="none"/>
                <w:lang w:val="en-US" w:eastAsia="zh-CN"/>
              </w:rPr>
              <w:t xml:space="preserve">5</w:t>
            </w:r>
            <w:r>
              <w:rPr>
                <w:rStyle w:val="913"/>
                <w:rFonts w:ascii="宋体" w:hAnsi="宋体" w:eastAsia="宋体" w:cs="宋体"/>
                <w:b w:val="0"/>
                <w:i w:val="0"/>
                <w:iCs w:val="0"/>
                <w:color w:val="auto"/>
                <w:sz w:val="24"/>
                <w:szCs w:val="24"/>
                <w:highlight w:val="none"/>
                <w:u w:val="none"/>
              </w:rPr>
              <w:t xml:space="preserve">．在项目运营过程中，中标单位未能完全履行或者达到招标文件规定的条件和要求、中标单位投标文件所作的响应和承诺事项、服务合同约定内容、采购人和上级主管部门下达的工作事项和任务指标等，采购人有权根据实际履行情况进行考核评定，每一个未达标事项，扣除中标单位本年度结算总额的0.3%，在年度最后一个季度的服务费中扣除。</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hint="eastAsia" w:ascii="宋体" w:hAnsi="宋体" w:eastAsia="宋体" w:cs="宋体"/>
                <w:b w:val="0"/>
                <w:i w:val="0"/>
                <w:iCs w:val="0"/>
                <w:color w:val="auto"/>
                <w:sz w:val="24"/>
                <w:szCs w:val="24"/>
                <w:highlight w:val="none"/>
                <w:u w:val="none"/>
                <w:lang w:val="en-US" w:eastAsia="zh-CN"/>
              </w:rPr>
              <w:t xml:space="preserve">6</w:t>
            </w:r>
            <w:r>
              <w:rPr>
                <w:rStyle w:val="913"/>
                <w:rFonts w:ascii="宋体" w:hAnsi="宋体" w:eastAsia="宋体" w:cs="宋体"/>
                <w:b w:val="0"/>
                <w:i w:val="0"/>
                <w:iCs w:val="0"/>
                <w:color w:val="auto"/>
                <w:sz w:val="24"/>
                <w:szCs w:val="24"/>
                <w:highlight w:val="none"/>
                <w:u w:val="none"/>
              </w:rPr>
              <w:t xml:space="preserve">．中标单位每月按时按服务工单服务好</w:t>
            </w:r>
            <w:r>
              <w:rPr>
                <w:rStyle w:val="913"/>
                <w:rFonts w:hint="eastAsia" w:ascii="宋体" w:hAnsi="宋体" w:eastAsia="宋体" w:cs="宋体"/>
                <w:b w:val="0"/>
                <w:i w:val="0"/>
                <w:iCs w:val="0"/>
                <w:color w:val="auto"/>
                <w:sz w:val="24"/>
                <w:szCs w:val="24"/>
                <w:highlight w:val="none"/>
                <w:u w:val="none"/>
                <w:lang w:eastAsia="zh-CN"/>
              </w:rPr>
              <w:t xml:space="preserve">大新镇</w:t>
            </w:r>
            <w:r>
              <w:rPr>
                <w:rStyle w:val="913"/>
                <w:rFonts w:ascii="宋体" w:hAnsi="宋体" w:eastAsia="宋体" w:cs="宋体"/>
                <w:b w:val="0"/>
                <w:i w:val="0"/>
                <w:iCs w:val="0"/>
                <w:color w:val="auto"/>
                <w:sz w:val="24"/>
                <w:szCs w:val="24"/>
                <w:highlight w:val="none"/>
                <w:u w:val="none"/>
              </w:rPr>
              <w:t xml:space="preserve">所有符合上门服务要求的老人，综合满意率达99%。如采购人在实行监督管理权利时，发现问题或老年人的服务综合满意率不达标的，采购人有权根据服务合同扣除部分服务费用或提前终止合同。</w:t>
            </w:r>
            <w:r>
              <w:rPr>
                <w:color w:val="auto"/>
              </w:rPr>
            </w:r>
            <w:r/>
          </w:p>
          <w:p>
            <w:pPr>
              <w:pStyle w:val="982"/>
              <w:jc w:val="left"/>
              <w:rPr>
                <w:rStyle w:val="913"/>
                <w:rFonts w:ascii="宋体" w:hAnsi="宋体" w:eastAsia="宋体" w:cs="宋体"/>
                <w:b w:val="0"/>
                <w:i w:val="0"/>
                <w:iCs w:val="0"/>
                <w:color w:val="auto"/>
                <w:sz w:val="24"/>
                <w:szCs w:val="24"/>
                <w:highlight w:val="none"/>
                <w:u w:val="none"/>
              </w:rPr>
            </w:pPr>
            <w:r>
              <w:rPr>
                <w:rStyle w:val="913"/>
                <w:rFonts w:hint="eastAsia" w:ascii="宋体" w:hAnsi="宋体" w:eastAsia="宋体" w:cs="宋体"/>
                <w:b w:val="0"/>
                <w:i w:val="0"/>
                <w:iCs w:val="0"/>
                <w:color w:val="auto"/>
                <w:sz w:val="24"/>
                <w:szCs w:val="24"/>
                <w:highlight w:val="none"/>
                <w:u w:val="none"/>
                <w:lang w:val="en-US" w:eastAsia="zh-CN"/>
              </w:rPr>
              <w:t xml:space="preserve">7</w:t>
            </w:r>
            <w:r>
              <w:rPr>
                <w:rStyle w:val="913"/>
                <w:rFonts w:ascii="宋体" w:hAnsi="宋体" w:eastAsia="宋体" w:cs="宋体"/>
                <w:b w:val="0"/>
                <w:i w:val="0"/>
                <w:iCs w:val="0"/>
                <w:color w:val="auto"/>
                <w:sz w:val="24"/>
                <w:szCs w:val="24"/>
                <w:highlight w:val="none"/>
                <w:u w:val="none"/>
              </w:rPr>
              <w:t xml:space="preserve">．如发生不按张家港市亲</w:t>
            </w:r>
            <w:r>
              <w:rPr>
                <w:rStyle w:val="913"/>
                <w:rFonts w:ascii="宋体" w:hAnsi="宋体" w:eastAsia="宋体" w:cs="宋体"/>
                <w:b w:val="0"/>
                <w:i w:val="0"/>
                <w:iCs w:val="0"/>
                <w:color w:val="auto"/>
                <w:sz w:val="24"/>
                <w:szCs w:val="24"/>
                <w:highlight w:val="none"/>
                <w:u w:val="none"/>
              </w:rPr>
              <w:t xml:space="preserve">情（虚拟）养老院规定超标收费的；不接受张家港市亲情（虚拟）养老院统一管理的；现场服务单填写不实的；未提供实质性服务收取费用；无故拒单或长期不接单的；诱导或强行要求老年人购买零配件或高端消费的；服务质量不符合法律法规及行业规范要求，造成严重后果的；服务人员不具备国家或行业要求的技术资格和操作能力提供相应服务，造成严重后果的；服务过程中因服务行为不当，给求助者造成人身伤害或财产损失的，以及未按照合同约定履行义务的其他情形，采购人及张家港市亲情（虚拟）养老院给予停止派发工单、扣除服务经费甚至取消服务商资格的处罚。</w:t>
            </w:r>
            <w:r>
              <w:rPr>
                <w:color w:val="auto"/>
              </w:rPr>
            </w:r>
            <w:r/>
          </w:p>
        </w:tc>
      </w:tr>
    </w:tbl>
    <w:p>
      <w:pPr>
        <w:pStyle w:val="911"/>
        <w:spacing w:before="120" w:after="120" w:line="440" w:lineRule="exact"/>
        <w:rPr>
          <w:rFonts w:ascii="宋体" w:hAnsi="宋体" w:cs="宋体"/>
          <w:b/>
          <w:i w:val="0"/>
          <w:iCs w:val="0"/>
          <w:color w:val="auto"/>
          <w:sz w:val="28"/>
          <w:szCs w:val="28"/>
          <w:highlight w:val="none"/>
        </w:rPr>
      </w:pPr>
      <w:r>
        <w:rPr>
          <w:color w:val="auto"/>
        </w:rPr>
      </w:r>
      <w:bookmarkStart w:id="240" w:name="EBb0ab975038a04efd86af0f0eaa5a524b"/>
      <w:r>
        <w:rPr>
          <w:color w:val="auto"/>
        </w:rPr>
      </w:r>
      <w:bookmarkEnd w:id="240"/>
      <w:r>
        <w:rPr>
          <w:rFonts w:hint="eastAsia" w:ascii="宋体" w:hAnsi="宋体" w:cs="宋体"/>
          <w:b/>
          <w:i w:val="0"/>
          <w:iCs w:val="0"/>
          <w:color w:val="auto"/>
          <w:sz w:val="28"/>
          <w:szCs w:val="28"/>
          <w:highlight w:val="none"/>
        </w:rPr>
        <w:br w:type="page" w:clear="all"/>
      </w:r>
      <w:r>
        <w:rPr>
          <w:rFonts w:hint="eastAsia" w:ascii="宋体" w:hAnsi="宋体" w:cs="宋体"/>
          <w:b/>
          <w:i w:val="0"/>
          <w:iCs w:val="0"/>
          <w:color w:val="auto"/>
          <w:sz w:val="28"/>
          <w:szCs w:val="28"/>
          <w:highlight w:val="none"/>
        </w:rPr>
        <w:t xml:space="preserve">三、商务条款 </w:t>
      </w:r>
      <w:r>
        <w:rPr>
          <w:color w:val="auto"/>
        </w:rPr>
      </w:r>
      <w:r/>
    </w:p>
    <w:p>
      <w:pPr>
        <w:pStyle w:val="983"/>
        <w:ind w:firstLine="500"/>
        <w:spacing w:line="440" w:lineRule="exact"/>
        <w:rPr>
          <w:rStyle w:val="913"/>
          <w:rFonts w:ascii="宋体" w:hAnsi="宋体" w:eastAsia="宋体" w:cs="宋体"/>
          <w:b/>
          <w:i w:val="0"/>
          <w:iCs w:val="0"/>
          <w:color w:val="auto"/>
          <w:spacing w:val="7"/>
          <w:sz w:val="24"/>
          <w:highlight w:val="none"/>
          <w:u w:val="none"/>
        </w:rPr>
        <w:outlineLvl w:val="9"/>
      </w:pPr>
      <w:r>
        <w:rPr>
          <w:rStyle w:val="913"/>
          <w:rFonts w:ascii="宋体" w:hAnsi="宋体" w:eastAsia="宋体" w:cs="宋体"/>
          <w:b/>
          <w:i w:val="0"/>
          <w:iCs w:val="0"/>
          <w:color w:val="auto"/>
          <w:spacing w:val="7"/>
          <w:sz w:val="24"/>
          <w:highlight w:val="none"/>
          <w:u w:val="none"/>
        </w:rPr>
        <w:t xml:space="preserve">1 服务期限</w:t>
      </w:r>
      <w:r>
        <w:rPr>
          <w:color w:val="auto"/>
        </w:rPr>
      </w:r>
      <w:r/>
    </w:p>
    <w:p>
      <w:pPr>
        <w:pStyle w:val="983"/>
        <w:ind w:firstLine="500"/>
        <w:spacing w:line="440" w:lineRule="exact"/>
        <w:rPr>
          <w:rStyle w:val="913"/>
          <w:rFonts w:ascii="宋体" w:hAnsi="宋体" w:eastAsia="宋体" w:cs="宋体"/>
          <w:b w:val="0"/>
          <w:i/>
          <w:iCs/>
          <w:color w:val="auto"/>
          <w:spacing w:val="7"/>
          <w:sz w:val="24"/>
          <w:highlight w:val="none"/>
          <w:u w:val="single"/>
        </w:rPr>
        <w:outlineLvl w:val="9"/>
      </w:pPr>
      <w:r>
        <w:rPr>
          <w:rStyle w:val="913"/>
          <w:rFonts w:ascii="宋体" w:hAnsi="宋体" w:eastAsia="宋体" w:cs="宋体"/>
          <w:b w:val="0"/>
          <w:i/>
          <w:iCs/>
          <w:color w:val="auto"/>
          <w:spacing w:val="7"/>
          <w:sz w:val="24"/>
          <w:highlight w:val="none"/>
          <w:u w:val="single"/>
        </w:rPr>
        <w:t xml:space="preserve">1.1、服务期限</w:t>
      </w:r>
      <w:r>
        <w:rPr>
          <w:color w:val="auto"/>
        </w:rPr>
      </w:r>
      <w:r/>
    </w:p>
    <w:p>
      <w:pPr>
        <w:pStyle w:val="983"/>
        <w:ind w:firstLine="500"/>
        <w:spacing w:line="440" w:lineRule="exact"/>
        <w:rPr>
          <w:rStyle w:val="913"/>
          <w:rFonts w:ascii="宋体" w:hAnsi="宋体" w:eastAsia="宋体" w:cs="宋体"/>
          <w:b w:val="0"/>
          <w:i/>
          <w:iCs/>
          <w:color w:val="auto"/>
          <w:spacing w:val="7"/>
          <w:sz w:val="24"/>
          <w:highlight w:val="none"/>
          <w:u w:val="single"/>
        </w:rPr>
        <w:outlineLvl w:val="9"/>
      </w:pPr>
      <w:r>
        <w:rPr>
          <w:rStyle w:val="913"/>
          <w:rFonts w:ascii="宋体" w:hAnsi="宋体" w:eastAsia="宋体" w:cs="宋体"/>
          <w:b w:val="0"/>
          <w:i/>
          <w:iCs/>
          <w:color w:val="auto"/>
          <w:spacing w:val="7"/>
          <w:sz w:val="24"/>
          <w:highlight w:val="none"/>
          <w:u w:val="single"/>
        </w:rPr>
        <w:t xml:space="preserve">合同签订后2年服务期。</w:t>
      </w:r>
      <w:r>
        <w:rPr>
          <w:color w:val="auto"/>
        </w:rPr>
      </w:r>
      <w:r/>
    </w:p>
    <w:p>
      <w:pPr>
        <w:pStyle w:val="983"/>
        <w:ind w:firstLine="500"/>
        <w:spacing w:line="440" w:lineRule="exact"/>
        <w:rPr>
          <w:rStyle w:val="913"/>
          <w:rFonts w:ascii="宋体" w:hAnsi="宋体" w:eastAsia="宋体" w:cs="宋体"/>
          <w:b w:val="0"/>
          <w:i/>
          <w:iCs/>
          <w:color w:val="auto"/>
          <w:spacing w:val="7"/>
          <w:sz w:val="24"/>
          <w:highlight w:val="none"/>
          <w:u w:val="single"/>
        </w:rPr>
        <w:outlineLvl w:val="9"/>
      </w:pPr>
      <w:r>
        <w:rPr>
          <w:rStyle w:val="913"/>
          <w:rFonts w:ascii="宋体" w:hAnsi="宋体" w:eastAsia="宋体" w:cs="宋体"/>
          <w:b w:val="0"/>
          <w:i/>
          <w:iCs/>
          <w:color w:val="auto"/>
          <w:spacing w:val="7"/>
          <w:sz w:val="24"/>
          <w:highlight w:val="none"/>
          <w:u w:val="single"/>
        </w:rPr>
        <w:t xml:space="preserve">1.2、服务地点</w:t>
      </w:r>
      <w:r>
        <w:rPr>
          <w:color w:val="auto"/>
        </w:rPr>
      </w:r>
      <w:r/>
    </w:p>
    <w:p>
      <w:pPr>
        <w:pStyle w:val="983"/>
        <w:ind w:firstLine="500"/>
        <w:spacing w:line="440" w:lineRule="exact"/>
        <w:rPr>
          <w:rStyle w:val="913"/>
          <w:rFonts w:ascii="宋体" w:hAnsi="宋体" w:eastAsia="宋体" w:cs="宋体"/>
          <w:b w:val="0"/>
          <w:i/>
          <w:iCs/>
          <w:color w:val="auto"/>
          <w:spacing w:val="7"/>
          <w:sz w:val="24"/>
          <w:highlight w:val="none"/>
          <w:u w:val="single"/>
        </w:rPr>
        <w:outlineLvl w:val="9"/>
      </w:pPr>
      <w:r>
        <w:rPr>
          <w:rStyle w:val="913"/>
          <w:rFonts w:ascii="宋体" w:hAnsi="宋体" w:eastAsia="宋体" w:cs="宋体"/>
          <w:b w:val="0"/>
          <w:i/>
          <w:iCs/>
          <w:color w:val="auto"/>
          <w:spacing w:val="7"/>
          <w:sz w:val="24"/>
          <w:highlight w:val="none"/>
          <w:u w:val="single"/>
        </w:rPr>
        <w:t xml:space="preserve">张家港市</w:t>
      </w:r>
      <w:r>
        <w:rPr>
          <w:rStyle w:val="913"/>
          <w:rFonts w:hint="eastAsia" w:ascii="宋体" w:hAnsi="宋体" w:eastAsia="宋体" w:cs="宋体"/>
          <w:b w:val="0"/>
          <w:i/>
          <w:iCs/>
          <w:color w:val="auto"/>
          <w:spacing w:val="7"/>
          <w:sz w:val="24"/>
          <w:highlight w:val="none"/>
          <w:u w:val="single"/>
          <w:lang w:eastAsia="zh-CN"/>
        </w:rPr>
        <w:t xml:space="preserve">大新镇</w:t>
      </w:r>
      <w:r>
        <w:rPr>
          <w:rStyle w:val="913"/>
          <w:rFonts w:ascii="宋体" w:hAnsi="宋体" w:eastAsia="宋体" w:cs="宋体"/>
          <w:b w:val="0"/>
          <w:i/>
          <w:iCs/>
          <w:color w:val="auto"/>
          <w:spacing w:val="7"/>
          <w:sz w:val="24"/>
          <w:highlight w:val="none"/>
          <w:u w:val="single"/>
        </w:rPr>
        <w:t xml:space="preserve">辖区。</w:t>
      </w:r>
      <w:r>
        <w:rPr>
          <w:color w:val="auto"/>
        </w:rPr>
      </w:r>
      <w:r/>
    </w:p>
    <w:p>
      <w:pPr>
        <w:pStyle w:val="983"/>
        <w:ind w:firstLine="500"/>
        <w:spacing w:line="440" w:lineRule="exact"/>
        <w:rPr>
          <w:rStyle w:val="913"/>
          <w:rFonts w:ascii="宋体" w:hAnsi="宋体" w:eastAsia="宋体" w:cs="宋体"/>
          <w:b/>
          <w:i w:val="0"/>
          <w:iCs w:val="0"/>
          <w:color w:val="auto"/>
          <w:spacing w:val="7"/>
          <w:sz w:val="24"/>
          <w:highlight w:val="none"/>
          <w:u w:val="none"/>
        </w:rPr>
        <w:outlineLvl w:val="9"/>
      </w:pPr>
      <w:r>
        <w:rPr>
          <w:rStyle w:val="913"/>
          <w:rFonts w:ascii="宋体" w:hAnsi="宋体" w:eastAsia="宋体" w:cs="宋体"/>
          <w:b/>
          <w:i w:val="0"/>
          <w:iCs w:val="0"/>
          <w:color w:val="auto"/>
          <w:spacing w:val="7"/>
          <w:sz w:val="24"/>
          <w:highlight w:val="none"/>
          <w:u w:val="none"/>
        </w:rPr>
        <w:t xml:space="preserve">2 货款支付</w:t>
      </w:r>
      <w:r>
        <w:rPr>
          <w:color w:val="auto"/>
        </w:rPr>
      </w:r>
      <w:r/>
    </w:p>
    <w:p>
      <w:pPr>
        <w:pStyle w:val="983"/>
        <w:ind w:firstLine="500"/>
        <w:spacing w:line="440" w:lineRule="exact"/>
        <w:rPr>
          <w:rStyle w:val="913"/>
          <w:rFonts w:ascii="宋体" w:hAnsi="宋体" w:eastAsia="宋体" w:cs="宋体"/>
          <w:b w:val="0"/>
          <w:i/>
          <w:iCs/>
          <w:color w:val="auto"/>
          <w:spacing w:val="7"/>
          <w:sz w:val="24"/>
          <w:highlight w:val="none"/>
          <w:u w:val="single"/>
        </w:rPr>
        <w:outlineLvl w:val="9"/>
      </w:pPr>
      <w:r>
        <w:rPr>
          <w:rStyle w:val="913"/>
          <w:rFonts w:ascii="宋体" w:hAnsi="宋体" w:eastAsia="宋体" w:cs="宋体"/>
          <w:b w:val="0"/>
          <w:i/>
          <w:iCs/>
          <w:color w:val="auto"/>
          <w:spacing w:val="7"/>
          <w:sz w:val="24"/>
          <w:highlight w:val="none"/>
          <w:u w:val="single"/>
        </w:rPr>
        <w:t xml:space="preserve">2.1、结付程序</w:t>
      </w:r>
      <w:r>
        <w:rPr>
          <w:color w:val="auto"/>
        </w:rPr>
      </w:r>
      <w:r/>
    </w:p>
    <w:p>
      <w:pPr>
        <w:pStyle w:val="983"/>
        <w:ind w:firstLine="500"/>
        <w:spacing w:line="440" w:lineRule="exact"/>
        <w:rPr>
          <w:rStyle w:val="913"/>
          <w:rFonts w:ascii="宋体" w:hAnsi="宋体" w:eastAsia="宋体" w:cs="宋体"/>
          <w:b w:val="0"/>
          <w:i/>
          <w:iCs/>
          <w:color w:val="auto"/>
          <w:spacing w:val="7"/>
          <w:sz w:val="24"/>
          <w:highlight w:val="none"/>
          <w:u w:val="single"/>
        </w:rPr>
        <w:outlineLvl w:val="9"/>
      </w:pPr>
      <w:r>
        <w:rPr>
          <w:rStyle w:val="913"/>
          <w:rFonts w:ascii="宋体" w:hAnsi="宋体" w:eastAsia="宋体" w:cs="宋体"/>
          <w:b w:val="0"/>
          <w:i/>
          <w:iCs/>
          <w:color w:val="auto"/>
          <w:spacing w:val="7"/>
          <w:sz w:val="24"/>
          <w:highlight w:val="none"/>
          <w:u w:val="single"/>
        </w:rPr>
        <w:t xml:space="preserve">供方按本合同内容合格地履行供货义务后，凭验收报告、销售发票到采购单位办理货款（或工程款）结算手续。</w:t>
      </w:r>
      <w:r>
        <w:rPr>
          <w:color w:val="auto"/>
        </w:rPr>
      </w:r>
      <w:r/>
    </w:p>
    <w:p>
      <w:pPr>
        <w:pStyle w:val="983"/>
        <w:ind w:firstLine="500"/>
        <w:spacing w:line="440" w:lineRule="exact"/>
        <w:rPr>
          <w:rStyle w:val="913"/>
          <w:rFonts w:ascii="宋体" w:hAnsi="宋体" w:eastAsia="宋体" w:cs="宋体"/>
          <w:b w:val="0"/>
          <w:i/>
          <w:iCs/>
          <w:color w:val="auto"/>
          <w:spacing w:val="7"/>
          <w:sz w:val="24"/>
          <w:highlight w:val="none"/>
          <w:u w:val="single"/>
        </w:rPr>
        <w:outlineLvl w:val="9"/>
      </w:pPr>
      <w:r>
        <w:rPr>
          <w:rStyle w:val="913"/>
          <w:rFonts w:ascii="宋体" w:hAnsi="宋体" w:eastAsia="宋体" w:cs="宋体"/>
          <w:b w:val="0"/>
          <w:i/>
          <w:iCs/>
          <w:color w:val="auto"/>
          <w:spacing w:val="7"/>
          <w:sz w:val="24"/>
          <w:highlight w:val="none"/>
          <w:u w:val="single"/>
        </w:rPr>
        <w:t xml:space="preserve">2.2、结付期限</w:t>
      </w:r>
      <w:r>
        <w:rPr>
          <w:color w:val="auto"/>
        </w:rPr>
      </w:r>
      <w:r/>
    </w:p>
    <w:p>
      <w:pPr>
        <w:pStyle w:val="983"/>
        <w:ind w:firstLine="500"/>
        <w:spacing w:line="440" w:lineRule="exact"/>
        <w:rPr>
          <w:rStyle w:val="913"/>
          <w:rFonts w:ascii="宋体" w:hAnsi="宋体" w:eastAsia="宋体" w:cs="宋体"/>
          <w:b w:val="0"/>
          <w:i/>
          <w:iCs/>
          <w:color w:val="auto"/>
          <w:spacing w:val="7"/>
          <w:sz w:val="24"/>
          <w:highlight w:val="none"/>
          <w:u w:val="single"/>
        </w:rPr>
        <w:outlineLvl w:val="9"/>
      </w:pPr>
      <w:r>
        <w:rPr>
          <w:rStyle w:val="913"/>
          <w:rFonts w:ascii="宋体" w:hAnsi="宋体" w:eastAsia="宋体" w:cs="宋体"/>
          <w:b w:val="0"/>
          <w:i/>
          <w:iCs/>
          <w:color w:val="auto"/>
          <w:spacing w:val="7"/>
          <w:sz w:val="24"/>
          <w:highlight w:val="none"/>
          <w:u w:val="single"/>
        </w:rPr>
        <w:t xml:space="preserve">本项目按实结算服务费用，因考核检查有失分，实际支付金额与基准价格存在差异：</w:t>
      </w:r>
      <w:r>
        <w:rPr>
          <w:color w:val="auto"/>
        </w:rPr>
      </w:r>
      <w:r/>
    </w:p>
    <w:p>
      <w:pPr>
        <w:pStyle w:val="983"/>
        <w:ind w:firstLine="500"/>
        <w:spacing w:line="440" w:lineRule="exact"/>
        <w:rPr>
          <w:rStyle w:val="913"/>
          <w:rFonts w:hint="eastAsia" w:ascii="宋体" w:hAnsi="宋体" w:eastAsia="宋体" w:cs="宋体"/>
          <w:b w:val="0"/>
          <w:i/>
          <w:iCs/>
          <w:strike w:val="0"/>
          <w:color w:val="auto"/>
          <w:spacing w:val="7"/>
          <w:sz w:val="24"/>
          <w:highlight w:val="none"/>
          <w:u w:val="single"/>
        </w:rPr>
        <w:outlineLvl w:val="9"/>
      </w:pPr>
      <w:r>
        <w:rPr>
          <w:rStyle w:val="913"/>
          <w:rFonts w:hint="eastAsia" w:ascii="宋体" w:hAnsi="宋体" w:eastAsia="宋体" w:cs="宋体"/>
          <w:b w:val="0"/>
          <w:i/>
          <w:iCs/>
          <w:strike w:val="0"/>
          <w:color w:val="auto"/>
          <w:spacing w:val="7"/>
          <w:sz w:val="24"/>
          <w:highlight w:val="none"/>
          <w:u w:val="single"/>
        </w:rPr>
        <w:t xml:space="preserve">（1）合同签订后，中标方（乙方）开具发票后，</w:t>
      </w:r>
      <w:r>
        <w:rPr>
          <w:rStyle w:val="913"/>
          <w:rFonts w:hint="eastAsia" w:ascii="宋体" w:hAnsi="宋体" w:eastAsia="宋体" w:cs="宋体"/>
          <w:b w:val="0"/>
          <w:i/>
          <w:iCs/>
          <w:strike w:val="0"/>
          <w:color w:val="auto"/>
          <w:spacing w:val="7"/>
          <w:sz w:val="24"/>
          <w:highlight w:val="none"/>
          <w:u w:val="single"/>
          <w:lang w:val="en-US" w:eastAsia="zh-CN"/>
        </w:rPr>
        <w:t xml:space="preserve">30个工作日</w:t>
      </w:r>
      <w:r>
        <w:rPr>
          <w:rStyle w:val="913"/>
          <w:rFonts w:hint="eastAsia" w:ascii="宋体" w:hAnsi="宋体" w:eastAsia="宋体" w:cs="宋体"/>
          <w:b w:val="0"/>
          <w:i/>
          <w:iCs/>
          <w:strike w:val="0"/>
          <w:color w:val="auto"/>
          <w:spacing w:val="7"/>
          <w:sz w:val="24"/>
          <w:highlight w:val="none"/>
          <w:u w:val="single"/>
        </w:rPr>
        <w:t xml:space="preserve">内采购方（甲方）支付合同金额 10%的预付款</w:t>
      </w:r>
      <w:r>
        <w:rPr>
          <w:rStyle w:val="913"/>
          <w:rFonts w:hint="eastAsia" w:ascii="宋体" w:hAnsi="宋体" w:eastAsia="宋体" w:cs="宋体"/>
          <w:b w:val="0"/>
          <w:i/>
          <w:iCs/>
          <w:strike w:val="0"/>
          <w:color w:val="auto"/>
          <w:spacing w:val="7"/>
          <w:sz w:val="24"/>
          <w:highlight w:val="none"/>
          <w:u w:val="single"/>
          <w:lang w:eastAsia="zh-CN"/>
        </w:rPr>
        <w:t xml:space="preserve">。</w:t>
      </w:r>
      <w:r>
        <w:rPr>
          <w:color w:val="auto"/>
        </w:rPr>
      </w:r>
      <w:r/>
    </w:p>
    <w:p>
      <w:pPr>
        <w:pStyle w:val="983"/>
        <w:ind w:firstLine="500"/>
        <w:spacing w:line="440" w:lineRule="exact"/>
        <w:rPr>
          <w:rStyle w:val="913"/>
          <w:rFonts w:ascii="宋体" w:hAnsi="宋体" w:eastAsia="宋体" w:cs="宋体"/>
          <w:b w:val="0"/>
          <w:i/>
          <w:iCs/>
          <w:color w:val="auto"/>
          <w:spacing w:val="7"/>
          <w:sz w:val="24"/>
          <w:highlight w:val="none"/>
          <w:u w:val="single"/>
        </w:rPr>
        <w:outlineLvl w:val="9"/>
      </w:pPr>
      <w:r>
        <w:rPr>
          <w:rStyle w:val="913"/>
          <w:rFonts w:ascii="宋体" w:hAnsi="宋体" w:eastAsia="宋体" w:cs="宋体"/>
          <w:b w:val="0"/>
          <w:i/>
          <w:iCs/>
          <w:color w:val="auto"/>
          <w:spacing w:val="7"/>
          <w:sz w:val="24"/>
          <w:highlight w:val="none"/>
          <w:u w:val="single"/>
        </w:rPr>
        <w:t xml:space="preserve">（</w:t>
      </w:r>
      <w:r>
        <w:rPr>
          <w:rStyle w:val="913"/>
          <w:rFonts w:hint="eastAsia" w:ascii="宋体" w:hAnsi="宋体" w:eastAsia="宋体" w:cs="宋体"/>
          <w:b w:val="0"/>
          <w:i/>
          <w:iCs/>
          <w:color w:val="auto"/>
          <w:spacing w:val="7"/>
          <w:sz w:val="24"/>
          <w:highlight w:val="none"/>
          <w:u w:val="single"/>
          <w:lang w:val="en-US" w:eastAsia="zh-CN"/>
        </w:rPr>
        <w:t xml:space="preserve">2</w:t>
      </w:r>
      <w:r>
        <w:rPr>
          <w:rStyle w:val="913"/>
          <w:rFonts w:ascii="宋体" w:hAnsi="宋体" w:eastAsia="宋体" w:cs="宋体"/>
          <w:b w:val="0"/>
          <w:i/>
          <w:iCs/>
          <w:color w:val="auto"/>
          <w:spacing w:val="7"/>
          <w:sz w:val="24"/>
          <w:highlight w:val="none"/>
          <w:u w:val="single"/>
        </w:rPr>
        <w:t xml:space="preserve">）</w:t>
      </w:r>
      <w:r>
        <w:rPr>
          <w:rStyle w:val="913"/>
          <w:rFonts w:hint="eastAsia" w:ascii="宋体" w:hAnsi="宋体" w:eastAsia="宋体" w:cs="宋体"/>
          <w:b w:val="0"/>
          <w:i/>
          <w:iCs/>
          <w:color w:val="auto"/>
          <w:spacing w:val="7"/>
          <w:sz w:val="24"/>
          <w:highlight w:val="none"/>
          <w:u w:val="single"/>
        </w:rPr>
        <w:t xml:space="preserve">中标单位（乙方）按本合同内容履行服务义务，根据张家港市民政局结算通知（文件）要求，中标单位（乙方）与大新镇人民政府结算服务费，需按照要求开具相应的发票。</w:t>
      </w:r>
      <w:r>
        <w:rPr>
          <w:color w:val="auto"/>
        </w:rPr>
      </w:r>
      <w:r/>
    </w:p>
    <w:p>
      <w:pPr>
        <w:pStyle w:val="983"/>
        <w:ind w:firstLine="500"/>
        <w:spacing w:line="440" w:lineRule="exact"/>
        <w:rPr>
          <w:rStyle w:val="913"/>
          <w:rFonts w:ascii="宋体" w:hAnsi="宋体" w:eastAsia="宋体" w:cs="宋体"/>
          <w:b w:val="0"/>
          <w:i/>
          <w:iCs/>
          <w:color w:val="auto"/>
          <w:spacing w:val="7"/>
          <w:sz w:val="24"/>
          <w:highlight w:val="none"/>
          <w:u w:val="single"/>
        </w:rPr>
        <w:outlineLvl w:val="9"/>
      </w:pPr>
      <w:r>
        <w:rPr>
          <w:rStyle w:val="913"/>
          <w:rFonts w:ascii="宋体" w:hAnsi="宋体" w:eastAsia="宋体" w:cs="宋体"/>
          <w:b w:val="0"/>
          <w:i/>
          <w:iCs/>
          <w:color w:val="auto"/>
          <w:spacing w:val="7"/>
          <w:sz w:val="24"/>
          <w:highlight w:val="none"/>
          <w:u w:val="single"/>
        </w:rPr>
        <w:t xml:space="preserve">（</w:t>
      </w:r>
      <w:r>
        <w:rPr>
          <w:rStyle w:val="913"/>
          <w:rFonts w:hint="eastAsia" w:ascii="宋体" w:hAnsi="宋体" w:eastAsia="宋体" w:cs="宋体"/>
          <w:b w:val="0"/>
          <w:i/>
          <w:iCs/>
          <w:color w:val="auto"/>
          <w:spacing w:val="7"/>
          <w:sz w:val="24"/>
          <w:highlight w:val="none"/>
          <w:u w:val="single"/>
          <w:lang w:val="en-US" w:eastAsia="zh-CN"/>
        </w:rPr>
        <w:t xml:space="preserve">3</w:t>
      </w:r>
      <w:r>
        <w:rPr>
          <w:rStyle w:val="913"/>
          <w:rFonts w:ascii="宋体" w:hAnsi="宋体" w:eastAsia="宋体" w:cs="宋体"/>
          <w:b w:val="0"/>
          <w:i/>
          <w:iCs/>
          <w:color w:val="auto"/>
          <w:spacing w:val="7"/>
          <w:sz w:val="24"/>
          <w:highlight w:val="none"/>
          <w:u w:val="single"/>
        </w:rPr>
        <w:t xml:space="preserve">）按季度拨付居家养老援助服务经费。</w:t>
      </w:r>
      <w:r>
        <w:rPr>
          <w:rStyle w:val="913"/>
          <w:rFonts w:hint="eastAsia" w:ascii="宋体" w:hAnsi="宋体" w:eastAsia="宋体" w:cs="宋体"/>
          <w:b w:val="0"/>
          <w:i/>
          <w:iCs/>
          <w:color w:val="auto"/>
          <w:spacing w:val="7"/>
          <w:sz w:val="24"/>
          <w:highlight w:val="none"/>
          <w:u w:val="single"/>
        </w:rPr>
        <w:t xml:space="preserve">双方签订合同后，每满一个季度，根据考核办法支付一个季度的服务费，最后一次付款的同时一次性无息返还履约保证金。</w:t>
      </w:r>
      <w:r>
        <w:rPr>
          <w:color w:val="auto"/>
        </w:rPr>
      </w:r>
      <w:r/>
    </w:p>
    <w:p>
      <w:pPr>
        <w:pStyle w:val="983"/>
        <w:ind w:firstLine="500"/>
        <w:spacing w:line="440" w:lineRule="exact"/>
        <w:rPr>
          <w:rStyle w:val="913"/>
          <w:rFonts w:ascii="宋体" w:hAnsi="宋体" w:eastAsia="宋体" w:cs="宋体"/>
          <w:b/>
          <w:i w:val="0"/>
          <w:iCs w:val="0"/>
          <w:color w:val="auto"/>
          <w:spacing w:val="7"/>
          <w:sz w:val="24"/>
          <w:highlight w:val="none"/>
          <w:u w:val="none"/>
        </w:rPr>
        <w:outlineLvl w:val="9"/>
      </w:pPr>
      <w:r>
        <w:rPr>
          <w:rStyle w:val="913"/>
          <w:rFonts w:ascii="宋体" w:hAnsi="宋体" w:eastAsia="宋体" w:cs="宋体"/>
          <w:b/>
          <w:i w:val="0"/>
          <w:iCs w:val="0"/>
          <w:color w:val="auto"/>
          <w:spacing w:val="7"/>
          <w:sz w:val="24"/>
          <w:highlight w:val="none"/>
          <w:u w:val="none"/>
        </w:rPr>
        <w:t xml:space="preserve">3 投标货币</w:t>
      </w:r>
      <w:r>
        <w:rPr>
          <w:color w:val="auto"/>
        </w:rPr>
      </w:r>
      <w:r/>
    </w:p>
    <w:p>
      <w:pPr>
        <w:pStyle w:val="983"/>
        <w:ind w:firstLine="500"/>
        <w:spacing w:line="440" w:lineRule="exact"/>
        <w:rPr>
          <w:rStyle w:val="913"/>
          <w:rFonts w:ascii="宋体" w:hAnsi="宋体" w:eastAsia="宋体" w:cs="宋体"/>
          <w:b w:val="0"/>
          <w:i/>
          <w:iCs/>
          <w:color w:val="auto"/>
          <w:spacing w:val="7"/>
          <w:sz w:val="24"/>
          <w:highlight w:val="none"/>
          <w:u w:val="single"/>
        </w:rPr>
        <w:outlineLvl w:val="9"/>
      </w:pPr>
      <w:r>
        <w:rPr>
          <w:rStyle w:val="913"/>
          <w:rFonts w:ascii="宋体" w:hAnsi="宋体" w:eastAsia="宋体" w:cs="宋体"/>
          <w:b w:val="0"/>
          <w:i/>
          <w:iCs/>
          <w:color w:val="auto"/>
          <w:spacing w:val="7"/>
          <w:sz w:val="24"/>
          <w:highlight w:val="none"/>
          <w:u w:val="single"/>
        </w:rPr>
        <w:t xml:space="preserve">3.1、投标货币</w:t>
      </w:r>
      <w:r>
        <w:rPr>
          <w:color w:val="auto"/>
        </w:rPr>
      </w:r>
      <w:r/>
    </w:p>
    <w:p>
      <w:pPr>
        <w:pStyle w:val="983"/>
        <w:ind w:firstLine="500"/>
        <w:spacing w:line="440" w:lineRule="exact"/>
        <w:rPr>
          <w:rStyle w:val="913"/>
          <w:rFonts w:ascii="宋体" w:hAnsi="宋体" w:eastAsia="宋体" w:cs="宋体"/>
          <w:b w:val="0"/>
          <w:i w:val="0"/>
          <w:iCs w:val="0"/>
          <w:color w:val="auto"/>
          <w:spacing w:val="7"/>
          <w:sz w:val="24"/>
          <w:highlight w:val="none"/>
          <w:u w:val="single"/>
        </w:rPr>
        <w:outlineLvl w:val="9"/>
      </w:pPr>
      <w:r>
        <w:rPr>
          <w:rStyle w:val="913"/>
          <w:rFonts w:ascii="宋体" w:hAnsi="宋体" w:eastAsia="宋体" w:cs="宋体"/>
          <w:b w:val="0"/>
          <w:i/>
          <w:iCs/>
          <w:color w:val="auto"/>
          <w:spacing w:val="7"/>
          <w:sz w:val="24"/>
          <w:highlight w:val="none"/>
          <w:u w:val="single"/>
        </w:rPr>
        <w:t xml:space="preserve">人民币</w:t>
      </w:r>
      <w:r>
        <w:rPr>
          <w:color w:val="auto"/>
        </w:rPr>
      </w:r>
      <w:r/>
    </w:p>
    <w:p>
      <w:pPr>
        <w:pStyle w:val="983"/>
        <w:ind w:firstLine="500"/>
        <w:spacing w:line="440" w:lineRule="exact"/>
        <w:rPr>
          <w:rStyle w:val="913"/>
          <w:rFonts w:ascii="宋体" w:hAnsi="宋体" w:eastAsia="宋体" w:cs="宋体"/>
          <w:b/>
          <w:i w:val="0"/>
          <w:iCs w:val="0"/>
          <w:color w:val="auto"/>
          <w:spacing w:val="7"/>
          <w:sz w:val="24"/>
          <w:highlight w:val="none"/>
          <w:u w:val="none"/>
        </w:rPr>
        <w:outlineLvl w:val="9"/>
      </w:pPr>
      <w:r>
        <w:rPr>
          <w:rStyle w:val="913"/>
          <w:rFonts w:ascii="宋体" w:hAnsi="宋体" w:eastAsia="宋体" w:cs="宋体"/>
          <w:b/>
          <w:i w:val="0"/>
          <w:iCs w:val="0"/>
          <w:color w:val="auto"/>
          <w:spacing w:val="7"/>
          <w:sz w:val="24"/>
          <w:highlight w:val="none"/>
          <w:u w:val="none"/>
        </w:rPr>
        <w:t xml:space="preserve">4 备品备件及耗材等要求</w:t>
      </w:r>
      <w:r>
        <w:rPr>
          <w:color w:val="auto"/>
        </w:rPr>
      </w:r>
      <w:r/>
    </w:p>
    <w:p>
      <w:pPr>
        <w:pStyle w:val="983"/>
        <w:ind w:firstLine="500"/>
        <w:spacing w:line="440" w:lineRule="exact"/>
        <w:rPr>
          <w:rStyle w:val="913"/>
          <w:rFonts w:ascii="宋体" w:hAnsi="宋体" w:eastAsia="宋体" w:cs="宋体"/>
          <w:b w:val="0"/>
          <w:i/>
          <w:iCs/>
          <w:color w:val="auto"/>
          <w:spacing w:val="7"/>
          <w:sz w:val="24"/>
          <w:highlight w:val="none"/>
          <w:u w:val="single"/>
        </w:rPr>
        <w:outlineLvl w:val="9"/>
      </w:pPr>
      <w:r>
        <w:rPr>
          <w:rStyle w:val="913"/>
          <w:rFonts w:ascii="宋体" w:hAnsi="宋体" w:eastAsia="宋体" w:cs="宋体"/>
          <w:b w:val="0"/>
          <w:i/>
          <w:iCs/>
          <w:color w:val="auto"/>
          <w:spacing w:val="7"/>
          <w:sz w:val="24"/>
          <w:highlight w:val="none"/>
          <w:u w:val="single"/>
        </w:rPr>
        <w:t xml:space="preserve">4.1、备品备件及耗材等要求</w:t>
      </w:r>
      <w:r>
        <w:rPr>
          <w:color w:val="auto"/>
        </w:rPr>
      </w:r>
      <w:r/>
    </w:p>
    <w:p>
      <w:pPr>
        <w:pStyle w:val="983"/>
        <w:ind w:firstLine="500"/>
        <w:spacing w:line="440" w:lineRule="exact"/>
        <w:rPr>
          <w:rStyle w:val="913"/>
          <w:rFonts w:ascii="宋体" w:hAnsi="宋体" w:eastAsia="宋体" w:cs="宋体"/>
          <w:b w:val="0"/>
          <w:i/>
          <w:iCs/>
          <w:color w:val="auto"/>
          <w:spacing w:val="7"/>
          <w:sz w:val="24"/>
          <w:highlight w:val="none"/>
          <w:u w:val="single"/>
        </w:rPr>
        <w:outlineLvl w:val="9"/>
      </w:pPr>
      <w:r>
        <w:rPr>
          <w:rStyle w:val="913"/>
          <w:rFonts w:ascii="宋体" w:hAnsi="宋体" w:eastAsia="宋体" w:cs="宋体"/>
          <w:b w:val="0"/>
          <w:i/>
          <w:iCs/>
          <w:color w:val="auto"/>
          <w:spacing w:val="7"/>
          <w:sz w:val="24"/>
          <w:highlight w:val="none"/>
          <w:u w:val="single"/>
        </w:rPr>
        <w:t xml:space="preserve">无</w:t>
      </w:r>
      <w:r>
        <w:rPr>
          <w:color w:val="auto"/>
        </w:rPr>
      </w:r>
      <w:r/>
    </w:p>
    <w:p>
      <w:pPr>
        <w:pStyle w:val="918"/>
        <w:rPr>
          <w:rFonts w:hint="eastAsia" w:ascii="宋体" w:hAnsi="宋体"/>
          <w:i w:val="0"/>
          <w:iCs w:val="0"/>
          <w:color w:val="auto"/>
          <w:sz w:val="24"/>
          <w:highlight w:val="none"/>
        </w:rPr>
      </w:pPr>
      <w:r>
        <w:rPr>
          <w:rFonts w:hint="eastAsia" w:ascii="宋体" w:hAnsi="宋体"/>
          <w:i w:val="0"/>
          <w:iCs w:val="0"/>
          <w:color w:val="auto"/>
          <w:sz w:val="24"/>
          <w:highlight w:val="none"/>
        </w:rPr>
      </w:r>
      <w:r>
        <w:rPr>
          <w:color w:val="auto"/>
        </w:rPr>
      </w:r>
      <w:r/>
    </w:p>
    <w:p>
      <w:pPr>
        <w:pStyle w:val="911"/>
        <w:spacing w:line="440" w:lineRule="exact"/>
        <w:rPr>
          <w:rFonts w:ascii="宋体" w:hAnsi="宋体" w:cs="宋体"/>
          <w:b/>
          <w:i w:val="0"/>
          <w:iCs w:val="0"/>
          <w:color w:val="auto"/>
          <w:sz w:val="28"/>
          <w:szCs w:val="28"/>
          <w:highlight w:val="none"/>
        </w:rPr>
      </w:pPr>
      <w:r>
        <w:rPr>
          <w:rFonts w:hint="eastAsia" w:ascii="宋体" w:hAnsi="宋体" w:cs="宋体"/>
          <w:b/>
          <w:i w:val="0"/>
          <w:iCs w:val="0"/>
          <w:color w:val="auto"/>
          <w:sz w:val="28"/>
          <w:szCs w:val="28"/>
          <w:highlight w:val="none"/>
        </w:rPr>
        <w:br w:type="page" w:clear="all"/>
      </w:r>
      <w:r>
        <w:rPr>
          <w:rFonts w:hint="eastAsia" w:ascii="宋体" w:hAnsi="宋体" w:cs="宋体"/>
          <w:b/>
          <w:i w:val="0"/>
          <w:iCs w:val="0"/>
          <w:color w:val="auto"/>
          <w:sz w:val="28"/>
          <w:szCs w:val="28"/>
          <w:highlight w:val="none"/>
        </w:rPr>
        <w:t xml:space="preserve">四、其他部分 </w:t>
      </w:r>
      <w:r>
        <w:rPr>
          <w:color w:val="auto"/>
        </w:rPr>
      </w:r>
      <w:r/>
    </w:p>
    <w:tbl>
      <w:tblPr>
        <w:tblW w:w="10787" w:type="dxa"/>
        <w:jc w:val="center"/>
        <w:tblInd w:w="-16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7"/>
        <w:gridCol w:w="1020"/>
        <w:gridCol w:w="2250"/>
        <w:gridCol w:w="1545"/>
        <w:gridCol w:w="1275"/>
        <w:gridCol w:w="3900"/>
      </w:tblGrid>
      <w:tr>
        <w:trPr>
          <w:trHeight w:val="627"/>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87" w:type="dxa"/>
            <w:vAlign w:val="center"/>
            <w:textDirection w:val="lrTb"/>
            <w:noWrap w:val="false"/>
          </w:tcPr>
          <w:p>
            <w:pPr>
              <w:pStyle w:val="948"/>
              <w:jc w:val="left"/>
              <w:spacing w:after="240"/>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bCs/>
                <w:i w:val="0"/>
                <w:iCs w:val="0"/>
                <w:smallCaps w:val="0"/>
                <w:color w:val="auto"/>
                <w:sz w:val="24"/>
                <w:szCs w:val="24"/>
                <w:highlight w:val="none"/>
              </w:rPr>
              <w:t xml:space="preserve">附件1：</w:t>
            </w:r>
            <w:r>
              <w:rPr>
                <w:color w:val="auto"/>
              </w:rPr>
            </w:r>
            <w:r/>
          </w:p>
          <w:p>
            <w:pPr>
              <w:pStyle w:val="948"/>
              <w:jc w:val="center"/>
              <w:spacing w:before="240"/>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bCs/>
                <w:i w:val="0"/>
                <w:iCs w:val="0"/>
                <w:smallCaps w:val="0"/>
                <w:color w:val="auto"/>
                <w:sz w:val="24"/>
                <w:szCs w:val="24"/>
                <w:highlight w:val="none"/>
              </w:rPr>
              <w:t xml:space="preserve">张家港市（亲情）虚拟养老院服务项目及指导价格</w:t>
            </w:r>
            <w:r>
              <w:rPr>
                <w:color w:val="auto"/>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bCs/>
                <w:i w:val="0"/>
                <w:iCs w:val="0"/>
                <w:smallCaps w:val="0"/>
                <w:color w:val="auto"/>
                <w:sz w:val="24"/>
                <w:szCs w:val="24"/>
                <w:highlight w:val="none"/>
              </w:rPr>
              <w:t xml:space="preserve">序号</w:t>
            </w:r>
            <w:r>
              <w:rPr>
                <w:color w:val="auto"/>
              </w:rPr>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7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bCs/>
                <w:i w:val="0"/>
                <w:iCs w:val="0"/>
                <w:smallCaps w:val="0"/>
                <w:color w:val="auto"/>
                <w:sz w:val="24"/>
                <w:szCs w:val="24"/>
                <w:highlight w:val="none"/>
              </w:rPr>
              <w:t xml:space="preserve">项目 </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bCs/>
                <w:i w:val="0"/>
                <w:iCs w:val="0"/>
                <w:smallCaps w:val="0"/>
                <w:color w:val="auto"/>
                <w:sz w:val="24"/>
                <w:szCs w:val="24"/>
                <w:highlight w:val="none"/>
              </w:rPr>
              <w:t xml:space="preserve">指导价格</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bCs/>
                <w:i w:val="0"/>
                <w:iCs w:val="0"/>
                <w:smallCaps w:val="0"/>
                <w:color w:val="auto"/>
                <w:sz w:val="24"/>
                <w:szCs w:val="24"/>
                <w:highlight w:val="none"/>
              </w:rPr>
              <w:t xml:space="preserve">最低时长（分钟）</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bCs/>
                <w:i w:val="0"/>
                <w:iCs w:val="0"/>
                <w:smallCaps w:val="0"/>
                <w:color w:val="auto"/>
                <w:sz w:val="24"/>
                <w:szCs w:val="24"/>
                <w:highlight w:val="none"/>
              </w:rPr>
              <w:t xml:space="preserve">备注</w:t>
            </w:r>
            <w:r>
              <w:rPr>
                <w:color w:val="auto"/>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0" w:type="dxa"/>
            <w:vAlign w:val="center"/>
            <w:vMerge w:val="restart"/>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关爱服务类</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定期探访</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免费</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2</w:t>
            </w:r>
            <w:r>
              <w:rPr>
                <w:color w:val="auto"/>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预订餐厅</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免费</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客服人员帮助老人免费预订餐厅，实际产生的餐费自理</w:t>
            </w:r>
            <w:r>
              <w:rPr>
                <w:color w:val="auto"/>
              </w:rPr>
            </w:r>
            <w:r/>
          </w:p>
        </w:tc>
      </w:tr>
      <w:tr>
        <w:trPr>
          <w:trHeight w:val="95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3</w:t>
            </w:r>
            <w:r>
              <w:rPr>
                <w:color w:val="auto"/>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生日祝福</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免费</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客服人员在老人生日当天送去电话祝福，此项服务仅免费面向政府购买服务的老人   </w:t>
            </w:r>
            <w:r>
              <w:rPr>
                <w:color w:val="auto"/>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4</w:t>
            </w:r>
            <w:r>
              <w:rPr>
                <w:color w:val="auto"/>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旅游服务</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免费咨询</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免费咨询、实际旅游费用自理</w:t>
            </w:r>
            <w:r>
              <w:rPr>
                <w:color w:val="auto"/>
              </w:rPr>
            </w:r>
            <w:r/>
          </w:p>
        </w:tc>
      </w:tr>
      <w:tr>
        <w:trPr>
          <w:trHeight w:val="95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精神慰藉</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80元/小时</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面对面聊天，给予老人精神上安慰或思想上鼓励，需持有心理咨询师等相关证书。</w:t>
            </w:r>
            <w:r>
              <w:rPr>
                <w:color w:val="auto"/>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6</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0" w:type="dxa"/>
            <w:vAlign w:val="center"/>
            <w:vMerge w:val="restart"/>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居家照护类</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上门理发</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10元/次</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15</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服务商按照指令，按照服务流程进行服务</w:t>
            </w:r>
            <w:r>
              <w:rPr>
                <w:color w:val="auto"/>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7</w:t>
            </w:r>
            <w:r>
              <w:rPr>
                <w:color w:val="auto"/>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洗发</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5元/次</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8</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服务商按照指令，按照服务流程进行服务</w:t>
            </w:r>
            <w:r>
              <w:rPr>
                <w:color w:val="auto"/>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8</w:t>
            </w:r>
            <w:r>
              <w:rPr>
                <w:color w:val="auto"/>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剃须（修面）</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5元/次</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热毛巾敷后剃须，需有电子剃须刀</w:t>
            </w:r>
            <w:r>
              <w:rPr>
                <w:color w:val="auto"/>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9</w:t>
            </w:r>
            <w:r>
              <w:rPr>
                <w:color w:val="auto"/>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清洗衣物、床单等</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27元/小时</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服务商按照指令，按照服务流程进行服务</w:t>
            </w:r>
            <w:r>
              <w:rPr>
                <w:color w:val="auto"/>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代洗衣物、床单等</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25元/次</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大件或衣物较多时带回机洗，需一人一机。</w:t>
            </w:r>
            <w:r>
              <w:rPr>
                <w:color w:val="auto"/>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11</w:t>
            </w:r>
            <w:r>
              <w:rPr>
                <w:color w:val="auto"/>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泡脚</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15元/次</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10</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温水泡脚，轻捏脚部穴位</w:t>
            </w:r>
            <w:r>
              <w:rPr>
                <w:color w:val="auto"/>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12</w:t>
            </w:r>
            <w:r>
              <w:rPr>
                <w:color w:val="auto"/>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手指甲修剪</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5元/次</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13</w:t>
            </w:r>
            <w:r>
              <w:rPr>
                <w:color w:val="auto"/>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脚指甲修剪</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5元/次</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5</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14</w:t>
            </w:r>
            <w:r>
              <w:rPr>
                <w:color w:val="auto"/>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局部保洁</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27元/小时</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按客户要求保洁</w:t>
            </w:r>
            <w:r>
              <w:rPr>
                <w:color w:val="auto"/>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15</w:t>
            </w:r>
            <w:r>
              <w:rPr>
                <w:color w:val="auto"/>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擦窗户</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27元/小时</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按客户要求保洁，含窗槽</w:t>
            </w:r>
            <w:r>
              <w:rPr>
                <w:color w:val="auto"/>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16</w:t>
            </w:r>
            <w:r>
              <w:rPr>
                <w:color w:val="auto"/>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厨房清洁</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27元/小时</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按客户要求保洁</w:t>
            </w:r>
            <w:r>
              <w:rPr>
                <w:color w:val="auto"/>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17</w:t>
            </w:r>
            <w:r>
              <w:rPr>
                <w:color w:val="auto"/>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卧室清洁</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27元/小时</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按客户要求保洁</w:t>
            </w:r>
            <w:r>
              <w:rPr>
                <w:color w:val="auto"/>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18</w:t>
            </w:r>
            <w:r>
              <w:rPr>
                <w:color w:val="auto"/>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卫生间清洁</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27元/小时</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按客户要求保洁</w:t>
            </w:r>
            <w:r>
              <w:rPr>
                <w:color w:val="auto"/>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19</w:t>
            </w:r>
            <w:r>
              <w:rPr>
                <w:color w:val="auto"/>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烧菜、做饭</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27元/小时</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按客户要求保洁</w:t>
            </w:r>
            <w:r>
              <w:rPr>
                <w:color w:val="auto"/>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20</w:t>
            </w:r>
            <w:r>
              <w:rPr>
                <w:color w:val="auto"/>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保姆</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面议</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根据服务要求和难度，价格商定</w:t>
            </w:r>
            <w:r>
              <w:rPr>
                <w:color w:val="auto"/>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21</w:t>
            </w:r>
            <w:r>
              <w:rPr>
                <w:color w:val="auto"/>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钟点工服务</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面议</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根据服务要求和难度，价格商定</w:t>
            </w:r>
            <w:r>
              <w:rPr>
                <w:color w:val="auto"/>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22</w:t>
            </w:r>
            <w:r>
              <w:rPr>
                <w:color w:val="auto"/>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血压测量</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免费</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通过仪器，测量血压</w:t>
            </w:r>
            <w:r>
              <w:rPr>
                <w:color w:val="auto"/>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23</w:t>
            </w:r>
            <w:r>
              <w:rPr>
                <w:color w:val="auto"/>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血氧饱和度测量</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5元/次</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1</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血氧饱和度是指血液中含氧的浓度</w:t>
            </w:r>
            <w:r>
              <w:rPr>
                <w:color w:val="auto"/>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24</w:t>
            </w:r>
            <w:r>
              <w:rPr>
                <w:color w:val="auto"/>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艾灸</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10元/次</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20</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电子艾灸，无明火，促进经络运行，调节人体免疫力</w:t>
            </w:r>
            <w:r>
              <w:rPr>
                <w:color w:val="auto"/>
              </w:rPr>
            </w:r>
            <w:r/>
          </w:p>
        </w:tc>
      </w:tr>
      <w:tr>
        <w:trPr>
          <w:trHeight w:val="126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25</w:t>
            </w:r>
            <w:r>
              <w:rPr>
                <w:color w:val="auto"/>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音乐疗法</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20元/次</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20</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设备支持：音疗系统。以音乐心理治疗系统对居家老人开展心理健康引导、舒缓以达到愉悦老人心情的养生目的。</w:t>
            </w:r>
            <w:r>
              <w:rPr>
                <w:color w:val="auto"/>
              </w:rPr>
            </w:r>
            <w:r/>
          </w:p>
        </w:tc>
      </w:tr>
      <w:tr>
        <w:trPr>
          <w:trHeight w:val="8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26</w:t>
            </w:r>
            <w:r>
              <w:rPr>
                <w:color w:val="auto"/>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电子理疗</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15元/次</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15</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设备支持：促进经络运行，提高人体免疫力。</w:t>
            </w:r>
            <w:r>
              <w:rPr>
                <w:color w:val="auto"/>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27</w:t>
            </w:r>
            <w:r>
              <w:rPr>
                <w:color w:val="auto"/>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保健按摩</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20元/次</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20</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根据老年人需求提供基础按摩。</w:t>
            </w:r>
            <w:r>
              <w:rPr>
                <w:color w:val="auto"/>
              </w:rPr>
            </w:r>
            <w:r/>
          </w:p>
        </w:tc>
      </w:tr>
      <w:tr>
        <w:trPr>
          <w:trHeight w:val="157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28</w:t>
            </w:r>
            <w:r>
              <w:rPr>
                <w:color w:val="auto"/>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家庭洗（助）浴</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30元/次</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30</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家庭具备洗浴条件、一名服务人员可完成的，助浴时须有家属或监护人在场，辅助其洗浴；需服务商带设备上门协助助浴的由服务对象与服务商议价。</w:t>
            </w:r>
            <w:r>
              <w:rPr>
                <w:color w:val="auto"/>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29</w:t>
            </w:r>
            <w:r>
              <w:rPr>
                <w:color w:val="auto"/>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代买代购</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8元/次</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根据老年人需求提供。</w:t>
            </w:r>
            <w:r>
              <w:rPr>
                <w:color w:val="auto"/>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30</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助餐服务类</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送餐服务</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4元/次</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31</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0" w:type="dxa"/>
            <w:vAlign w:val="center"/>
            <w:vMerge w:val="restart"/>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养老顾问类</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政策咨询</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免费</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32</w:t>
            </w:r>
            <w:r>
              <w:rPr>
                <w:color w:val="auto"/>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医疗保健讲座</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免费</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社区或服务商提供信息</w:t>
            </w:r>
            <w:r>
              <w:rPr>
                <w:color w:val="auto"/>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33</w:t>
            </w:r>
            <w:r>
              <w:rPr>
                <w:color w:val="auto"/>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社区服务</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面议</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特殊情况的老人需要社区派专人照料</w:t>
            </w:r>
            <w:r>
              <w:rPr>
                <w:color w:val="auto"/>
              </w:rPr>
            </w:r>
            <w:r/>
          </w:p>
        </w:tc>
      </w:tr>
      <w:tr>
        <w:trPr>
          <w:trHeight w:val="3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34</w:t>
            </w:r>
            <w:r>
              <w:rPr>
                <w:color w:val="auto"/>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入住养老机构</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面议</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根据老人情况</w:t>
            </w:r>
            <w:r>
              <w:rPr>
                <w:color w:val="auto"/>
              </w:rPr>
            </w:r>
            <w:r/>
          </w:p>
        </w:tc>
      </w:tr>
      <w:tr>
        <w:trPr>
          <w:trHeight w:val="95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35</w:t>
            </w:r>
            <w:r>
              <w:rPr>
                <w:color w:val="auto"/>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机构洗（助）浴</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40元/次</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不具备家庭洗（助）浴条件的可以到有资质的机构服务，须有家属或监护人在场。</w:t>
            </w:r>
            <w:r>
              <w:rPr>
                <w:color w:val="auto"/>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36</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0" w:type="dxa"/>
            <w:vAlign w:val="center"/>
            <w:vMerge w:val="restart"/>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智慧养老类</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紧急呼叫</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免费</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根据老人报警工单，话务员按服务流程处理。</w:t>
            </w:r>
            <w:r>
              <w:rPr>
                <w:color w:val="auto"/>
              </w:rPr>
            </w:r>
            <w:r/>
          </w:p>
        </w:tc>
      </w:tr>
      <w:tr>
        <w:trPr>
          <w:trHeight w:val="157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37</w:t>
            </w:r>
            <w:r>
              <w:rPr>
                <w:color w:val="auto"/>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老人定位服务</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按实际套餐收取</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提供带GPS定位的老人手机1台，每月包括老人位置服务，含定位通话、短信、来电显示等功能。建议与子女电话绑定，超出费用后无法定位。由通信运营商服务</w:t>
            </w:r>
            <w:r>
              <w:rPr>
                <w:color w:val="auto"/>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38</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0" w:type="dxa"/>
            <w:vAlign w:val="center"/>
            <w:vMerge w:val="restart"/>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便民服务类</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管道疏通</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5" w:type="dxa"/>
            <w:vAlign w:val="center"/>
            <w:vMerge w:val="restart"/>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人工费由服务商与老人协商收取。材料费不能在援助费用中抵扣。</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服务商按照指令，按照服务流程进行服务</w:t>
            </w:r>
            <w:r>
              <w:rPr>
                <w:color w:val="auto"/>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39</w:t>
            </w:r>
            <w:r>
              <w:rPr>
                <w:color w:val="auto"/>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水电类维修</w:t>
            </w:r>
            <w:r>
              <w:rPr>
                <w:color w:val="auto"/>
              </w:rPr>
            </w:r>
            <w:r/>
          </w:p>
        </w:tc>
        <w:tc>
          <w:tcPr>
            <w:tcBorders>
              <w:top w:val="single" w:color="000000" w:sz="4" w:space="0"/>
              <w:left w:val="single" w:color="000000" w:sz="4" w:space="0"/>
              <w:bottom w:val="single" w:color="000000" w:sz="4" w:space="0"/>
              <w:right w:val="single" w:color="000000" w:sz="4" w:space="0"/>
            </w:tcBorders>
            <w:tcW w:w="1545"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服务商按照指令，按照服务流程进行服务</w:t>
            </w:r>
            <w:r>
              <w:rPr>
                <w:color w:val="auto"/>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40</w:t>
            </w:r>
            <w:r>
              <w:rPr>
                <w:color w:val="auto"/>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锁具维修</w:t>
            </w:r>
            <w:r>
              <w:rPr>
                <w:color w:val="auto"/>
              </w:rPr>
            </w:r>
            <w:r/>
          </w:p>
        </w:tc>
        <w:tc>
          <w:tcPr>
            <w:tcBorders>
              <w:top w:val="single" w:color="000000" w:sz="4" w:space="0"/>
              <w:left w:val="single" w:color="000000" w:sz="4" w:space="0"/>
              <w:bottom w:val="single" w:color="000000" w:sz="4" w:space="0"/>
              <w:right w:val="single" w:color="000000" w:sz="4" w:space="0"/>
            </w:tcBorders>
            <w:tcW w:w="1545"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服务商按照指令，按照服务流程进行服务</w:t>
            </w:r>
            <w:r>
              <w:rPr>
                <w:color w:val="auto"/>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41</w:t>
            </w:r>
            <w:r>
              <w:rPr>
                <w:color w:val="auto"/>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家电维修</w:t>
            </w:r>
            <w:r>
              <w:rPr>
                <w:color w:val="auto"/>
              </w:rPr>
            </w:r>
            <w:r/>
          </w:p>
        </w:tc>
        <w:tc>
          <w:tcPr>
            <w:tcBorders>
              <w:top w:val="single" w:color="000000" w:sz="4" w:space="0"/>
              <w:left w:val="single" w:color="000000" w:sz="4" w:space="0"/>
              <w:bottom w:val="single" w:color="000000" w:sz="4" w:space="0"/>
              <w:right w:val="single" w:color="000000" w:sz="4" w:space="0"/>
            </w:tcBorders>
            <w:tcW w:w="1545"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服务商按照指令，按照服务流程进行服务</w:t>
            </w:r>
            <w:r>
              <w:rPr>
                <w:color w:val="auto"/>
              </w:rPr>
            </w:r>
            <w:r/>
          </w:p>
        </w:tc>
      </w:tr>
      <w:tr>
        <w:trPr>
          <w:trHeight w:val="64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7"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42</w:t>
            </w:r>
            <w:r>
              <w:rPr>
                <w:color w:val="auto"/>
              </w:rPr>
            </w:r>
            <w:r/>
          </w:p>
        </w:tc>
        <w:tc>
          <w:tcPr>
            <w:tcBorders>
              <w:top w:val="single" w:color="000000" w:sz="4" w:space="0"/>
              <w:left w:val="single" w:color="000000" w:sz="4" w:space="0"/>
              <w:bottom w:val="single" w:color="000000" w:sz="4" w:space="0"/>
              <w:right w:val="single" w:color="000000" w:sz="4" w:space="0"/>
            </w:tcBorders>
            <w:tcW w:w="1020"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5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门窗维修</w:t>
            </w:r>
            <w:r>
              <w:rPr>
                <w:color w:val="auto"/>
              </w:rPr>
            </w:r>
            <w:r/>
          </w:p>
        </w:tc>
        <w:tc>
          <w:tcPr>
            <w:tcBorders>
              <w:top w:val="single" w:color="000000" w:sz="4" w:space="0"/>
              <w:left w:val="single" w:color="000000" w:sz="4" w:space="0"/>
              <w:bottom w:val="single" w:color="000000" w:sz="4" w:space="0"/>
              <w:right w:val="single" w:color="000000" w:sz="4" w:space="0"/>
            </w:tcBorders>
            <w:tcW w:w="1545" w:type="dxa"/>
            <w:vAlign w:val="center"/>
            <w:vMerge w:val="continue"/>
            <w:textDirection w:val="lrTb"/>
            <w:noWrap w:val="false"/>
          </w:tcPr>
          <w:p>
            <w:pPr>
              <w:pStyle w:val="948"/>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900"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服务商按照指令，按照服务流程进行服务</w:t>
            </w:r>
            <w:r>
              <w:rPr>
                <w:color w:val="auto"/>
              </w:rPr>
            </w:r>
            <w:r/>
          </w:p>
        </w:tc>
      </w:tr>
    </w:tbl>
    <w:p>
      <w:pPr>
        <w:pStyle w:val="948"/>
        <w:spacing w:before="240" w:after="240" w:line="300" w:lineRule="atLeast"/>
        <w:rPr>
          <w:rStyle w:val="913"/>
          <w:rFonts w:ascii="宋体" w:hAnsi="宋体" w:eastAsia="宋体" w:cs="宋体"/>
          <w:b/>
          <w:bCs/>
          <w:color w:val="auto"/>
          <w:highlight w:val="none"/>
        </w:rPr>
      </w:pPr>
      <w:r>
        <w:rPr>
          <w:rStyle w:val="913"/>
          <w:rFonts w:ascii="宋体" w:hAnsi="宋体" w:eastAsia="宋体" w:cs="宋体"/>
          <w:b/>
          <w:bCs/>
          <w:color w:val="auto"/>
          <w:highlight w:val="none"/>
        </w:rPr>
        <w:t xml:space="preserve">注：1、按照指导价格乘以</w:t>
      </w:r>
      <w:r>
        <w:rPr>
          <w:rStyle w:val="913"/>
          <w:rFonts w:hint="eastAsia" w:ascii="宋体" w:hAnsi="宋体" w:eastAsia="宋体" w:cs="宋体"/>
          <w:b/>
          <w:bCs/>
          <w:color w:val="auto"/>
          <w:highlight w:val="none"/>
          <w:lang w:eastAsia="zh-CN"/>
        </w:rPr>
        <w:t xml:space="preserve">【</w:t>
      </w:r>
      <w:r>
        <w:rPr>
          <w:rStyle w:val="913"/>
          <w:rFonts w:hint="eastAsia" w:ascii="宋体" w:hAnsi="宋体" w:eastAsia="宋体" w:cs="宋体"/>
          <w:b/>
          <w:bCs/>
          <w:color w:val="auto"/>
          <w:highlight w:val="none"/>
          <w:lang w:val="en-US" w:eastAsia="zh-CN"/>
        </w:rPr>
        <w:t xml:space="preserve">1-</w:t>
      </w:r>
      <w:r>
        <w:rPr>
          <w:rStyle w:val="913"/>
          <w:rFonts w:hint="eastAsia" w:ascii="宋体" w:hAnsi="宋体" w:eastAsia="宋体" w:cs="宋体"/>
          <w:b/>
          <w:bCs/>
          <w:color w:val="auto"/>
          <w:highlight w:val="none"/>
        </w:rPr>
        <w:t xml:space="preserve">投标</w:t>
      </w:r>
      <w:r>
        <w:rPr>
          <w:rStyle w:val="913"/>
          <w:rFonts w:hint="eastAsia" w:ascii="宋体" w:hAnsi="宋体" w:eastAsia="宋体" w:cs="宋体"/>
          <w:b/>
          <w:bCs/>
          <w:color w:val="auto"/>
          <w:highlight w:val="none"/>
          <w:lang w:eastAsia="zh-CN"/>
        </w:rPr>
        <w:t xml:space="preserve">优惠率</w:t>
      </w:r>
      <w:r>
        <w:rPr>
          <w:rStyle w:val="913"/>
          <w:rFonts w:hint="eastAsia" w:ascii="宋体" w:hAnsi="宋体" w:eastAsia="宋体" w:cs="宋体"/>
          <w:b/>
          <w:bCs/>
          <w:color w:val="auto"/>
          <w:highlight w:val="none"/>
        </w:rPr>
        <w:t xml:space="preserve">（%）</w:t>
      </w:r>
      <w:r>
        <w:rPr>
          <w:rStyle w:val="913"/>
          <w:rFonts w:hint="eastAsia" w:ascii="宋体" w:hAnsi="宋体" w:eastAsia="宋体" w:cs="宋体"/>
          <w:b/>
          <w:bCs/>
          <w:color w:val="auto"/>
          <w:highlight w:val="none"/>
          <w:lang w:eastAsia="zh-CN"/>
        </w:rPr>
        <w:t xml:space="preserve">】</w:t>
      </w:r>
      <w:r>
        <w:rPr>
          <w:rStyle w:val="913"/>
          <w:rFonts w:ascii="宋体" w:hAnsi="宋体" w:eastAsia="宋体" w:cs="宋体"/>
          <w:b/>
          <w:bCs/>
          <w:color w:val="auto"/>
          <w:highlight w:val="none"/>
        </w:rPr>
        <w:t xml:space="preserve">作为收费依据。</w:t>
      </w:r>
      <w:r>
        <w:rPr>
          <w:color w:val="auto"/>
        </w:rPr>
      </w:r>
      <w:r/>
    </w:p>
    <w:p>
      <w:pPr>
        <w:pStyle w:val="948"/>
        <w:spacing w:before="240" w:after="240"/>
        <w:rPr>
          <w:rStyle w:val="913"/>
          <w:rFonts w:hint="eastAsia" w:ascii="宋体" w:hAnsi="宋体" w:eastAsia="宋体" w:cs="宋体"/>
          <w:i w:val="0"/>
          <w:iCs w:val="0"/>
          <w:color w:val="auto"/>
          <w:sz w:val="24"/>
          <w:szCs w:val="24"/>
          <w:highlight w:val="none"/>
        </w:rPr>
      </w:pPr>
      <w:r>
        <w:rPr>
          <w:rStyle w:val="913"/>
          <w:rFonts w:hint="eastAsia" w:ascii="宋体" w:hAnsi="宋体" w:eastAsia="宋体" w:cs="宋体"/>
          <w:b/>
          <w:bCs/>
          <w:i w:val="0"/>
          <w:iCs w:val="0"/>
          <w:color w:val="auto"/>
          <w:sz w:val="24"/>
          <w:szCs w:val="24"/>
          <w:highlight w:val="none"/>
        </w:rPr>
        <w:br w:type="page" w:clear="all"/>
      </w:r>
      <w:r>
        <w:rPr>
          <w:rStyle w:val="913"/>
          <w:rFonts w:hint="eastAsia" w:ascii="宋体" w:hAnsi="宋体" w:eastAsia="宋体" w:cs="宋体"/>
          <w:b/>
          <w:bCs/>
          <w:i w:val="0"/>
          <w:iCs w:val="0"/>
          <w:color w:val="auto"/>
          <w:sz w:val="24"/>
          <w:szCs w:val="24"/>
          <w:highlight w:val="none"/>
        </w:rPr>
        <w:t xml:space="preserve">附件2：</w:t>
      </w:r>
      <w:r>
        <w:rPr>
          <w:color w:val="auto"/>
        </w:rPr>
      </w:r>
      <w:r/>
    </w:p>
    <w:p>
      <w:pPr>
        <w:pStyle w:val="948"/>
        <w:jc w:val="center"/>
        <w:spacing w:before="240" w:after="240"/>
        <w:rPr>
          <w:rStyle w:val="913"/>
          <w:rFonts w:hint="eastAsia" w:ascii="宋体" w:hAnsi="宋体" w:eastAsia="宋体" w:cs="宋体"/>
          <w:i w:val="0"/>
          <w:iCs w:val="0"/>
          <w:color w:val="auto"/>
          <w:sz w:val="24"/>
          <w:szCs w:val="24"/>
          <w:highlight w:val="none"/>
        </w:rPr>
      </w:pPr>
      <w:r>
        <w:rPr>
          <w:rStyle w:val="913"/>
          <w:rFonts w:hint="eastAsia" w:ascii="宋体" w:hAnsi="宋体" w:eastAsia="宋体" w:cs="宋体"/>
          <w:b/>
          <w:bCs/>
          <w:i w:val="0"/>
          <w:iCs w:val="0"/>
          <w:color w:val="auto"/>
          <w:sz w:val="24"/>
          <w:szCs w:val="24"/>
          <w:highlight w:val="none"/>
        </w:rPr>
        <w:t xml:space="preserve">服务监管</w:t>
      </w:r>
      <w:r>
        <w:rPr>
          <w:color w:val="auto"/>
        </w:rPr>
      </w:r>
      <w:r/>
    </w:p>
    <w:p>
      <w:pPr>
        <w:pStyle w:val="948"/>
        <w:ind w:firstLine="420"/>
        <w:jc w:val="left"/>
        <w:spacing w:before="240" w:after="240" w:line="400" w:lineRule="atLeast"/>
        <w:rPr>
          <w:rStyle w:val="913"/>
          <w:rFonts w:hint="eastAsia" w:ascii="宋体" w:hAnsi="宋体" w:eastAsia="宋体" w:cs="宋体"/>
          <w:i w:val="0"/>
          <w:iCs w:val="0"/>
          <w:color w:val="auto"/>
          <w:sz w:val="24"/>
          <w:szCs w:val="24"/>
          <w:highlight w:val="none"/>
        </w:rPr>
      </w:pPr>
      <w:r>
        <w:rPr>
          <w:rStyle w:val="913"/>
          <w:rFonts w:hint="eastAsia" w:ascii="宋体" w:hAnsi="宋体" w:eastAsia="宋体" w:cs="宋体"/>
          <w:i w:val="0"/>
          <w:iCs w:val="0"/>
          <w:color w:val="auto"/>
          <w:sz w:val="24"/>
          <w:szCs w:val="24"/>
          <w:highlight w:val="none"/>
        </w:rPr>
        <w:t xml:space="preserve">第二十三条 服务商有下列情况的，列入评价： </w:t>
      </w:r>
      <w:r>
        <w:rPr>
          <w:color w:val="auto"/>
        </w:rPr>
      </w:r>
      <w:r/>
    </w:p>
    <w:p>
      <w:pPr>
        <w:pStyle w:val="948"/>
        <w:ind w:firstLine="420"/>
        <w:jc w:val="left"/>
        <w:spacing w:before="240" w:after="240" w:line="400" w:lineRule="atLeast"/>
        <w:rPr>
          <w:rStyle w:val="913"/>
          <w:rFonts w:hint="eastAsia" w:ascii="宋体" w:hAnsi="宋体" w:eastAsia="宋体" w:cs="宋体"/>
          <w:i w:val="0"/>
          <w:iCs w:val="0"/>
          <w:color w:val="auto"/>
          <w:sz w:val="24"/>
          <w:szCs w:val="24"/>
          <w:highlight w:val="none"/>
        </w:rPr>
      </w:pPr>
      <w:r>
        <w:rPr>
          <w:rStyle w:val="913"/>
          <w:rFonts w:hint="eastAsia" w:ascii="宋体" w:hAnsi="宋体" w:eastAsia="宋体" w:cs="宋体"/>
          <w:i w:val="0"/>
          <w:iCs w:val="0"/>
          <w:color w:val="auto"/>
          <w:sz w:val="24"/>
          <w:szCs w:val="24"/>
          <w:highlight w:val="none"/>
        </w:rPr>
        <w:t xml:space="preserve">（一）有效“不满意”工单扣除当日同一服务对象接受的所有服务工单援助费用的 50%。 </w:t>
      </w:r>
      <w:r>
        <w:rPr>
          <w:color w:val="auto"/>
        </w:rPr>
      </w:r>
      <w:r/>
    </w:p>
    <w:p>
      <w:pPr>
        <w:pStyle w:val="948"/>
        <w:ind w:firstLine="420"/>
        <w:jc w:val="left"/>
        <w:spacing w:before="240" w:after="240" w:line="400" w:lineRule="atLeast"/>
        <w:rPr>
          <w:rStyle w:val="913"/>
          <w:rFonts w:hint="eastAsia" w:ascii="宋体" w:hAnsi="宋体" w:eastAsia="宋体" w:cs="宋体"/>
          <w:i w:val="0"/>
          <w:iCs w:val="0"/>
          <w:color w:val="auto"/>
          <w:sz w:val="24"/>
          <w:szCs w:val="24"/>
          <w:highlight w:val="none"/>
        </w:rPr>
      </w:pPr>
      <w:r>
        <w:rPr>
          <w:rStyle w:val="913"/>
          <w:rFonts w:hint="eastAsia" w:ascii="宋体" w:hAnsi="宋体" w:eastAsia="宋体" w:cs="宋体"/>
          <w:i w:val="0"/>
          <w:iCs w:val="0"/>
          <w:color w:val="auto"/>
          <w:sz w:val="24"/>
          <w:szCs w:val="24"/>
          <w:highlight w:val="none"/>
        </w:rPr>
        <w:t xml:space="preserve">（二）有效投诉及“非常不满意”工单，扣除当日同一服务对象接受的所有服务工单援助费用的 100%。 </w:t>
      </w:r>
      <w:r>
        <w:rPr>
          <w:color w:val="auto"/>
        </w:rPr>
      </w:r>
      <w:r/>
    </w:p>
    <w:p>
      <w:pPr>
        <w:pStyle w:val="948"/>
        <w:ind w:firstLine="420"/>
        <w:jc w:val="left"/>
        <w:spacing w:before="240" w:after="240" w:line="400" w:lineRule="atLeast"/>
        <w:rPr>
          <w:rStyle w:val="913"/>
          <w:rFonts w:hint="eastAsia" w:ascii="宋体" w:hAnsi="宋体" w:eastAsia="宋体" w:cs="宋体"/>
          <w:i w:val="0"/>
          <w:iCs w:val="0"/>
          <w:color w:val="auto"/>
          <w:sz w:val="24"/>
          <w:szCs w:val="24"/>
          <w:highlight w:val="none"/>
        </w:rPr>
      </w:pPr>
      <w:r>
        <w:rPr>
          <w:rStyle w:val="913"/>
          <w:rFonts w:hint="eastAsia" w:ascii="宋体" w:hAnsi="宋体" w:eastAsia="宋体" w:cs="宋体"/>
          <w:i w:val="0"/>
          <w:iCs w:val="0"/>
          <w:color w:val="auto"/>
          <w:sz w:val="24"/>
          <w:szCs w:val="24"/>
          <w:highlight w:val="none"/>
        </w:rPr>
        <w:t xml:space="preserve">（三）有效“无供”工单，扣除当日同一服务对象接受的所有服务工单援助费用的 100%。 </w:t>
      </w:r>
      <w:r>
        <w:rPr>
          <w:color w:val="auto"/>
        </w:rPr>
      </w:r>
      <w:r/>
    </w:p>
    <w:p>
      <w:pPr>
        <w:pStyle w:val="948"/>
        <w:ind w:firstLine="420"/>
        <w:jc w:val="left"/>
        <w:spacing w:before="240" w:after="240" w:line="400" w:lineRule="atLeast"/>
        <w:rPr>
          <w:rStyle w:val="913"/>
          <w:rFonts w:hint="eastAsia" w:ascii="宋体" w:hAnsi="宋体" w:eastAsia="宋体" w:cs="宋体"/>
          <w:i w:val="0"/>
          <w:iCs w:val="0"/>
          <w:color w:val="auto"/>
          <w:sz w:val="24"/>
          <w:szCs w:val="24"/>
          <w:highlight w:val="none"/>
        </w:rPr>
      </w:pPr>
      <w:r>
        <w:rPr>
          <w:rStyle w:val="913"/>
          <w:rFonts w:hint="eastAsia" w:ascii="宋体" w:hAnsi="宋体" w:eastAsia="宋体" w:cs="宋体"/>
          <w:i w:val="0"/>
          <w:iCs w:val="0"/>
          <w:color w:val="auto"/>
          <w:sz w:val="24"/>
          <w:szCs w:val="24"/>
          <w:highlight w:val="none"/>
        </w:rPr>
        <w:t xml:space="preserve">（四）当日未办结工单，作为无效工单，作废处理，且不得提交补单申请。 </w:t>
      </w:r>
      <w:r>
        <w:rPr>
          <w:color w:val="auto"/>
        </w:rPr>
      </w:r>
      <w:r/>
    </w:p>
    <w:p>
      <w:pPr>
        <w:pStyle w:val="948"/>
        <w:ind w:firstLine="420"/>
        <w:jc w:val="left"/>
        <w:spacing w:before="240" w:after="240" w:line="400" w:lineRule="atLeast"/>
        <w:rPr>
          <w:rStyle w:val="913"/>
          <w:rFonts w:hint="eastAsia" w:ascii="宋体" w:hAnsi="宋体" w:eastAsia="宋体" w:cs="宋体"/>
          <w:i w:val="0"/>
          <w:iCs w:val="0"/>
          <w:color w:val="auto"/>
          <w:sz w:val="24"/>
          <w:szCs w:val="24"/>
          <w:highlight w:val="none"/>
        </w:rPr>
      </w:pPr>
      <w:r>
        <w:rPr>
          <w:rStyle w:val="913"/>
          <w:rFonts w:hint="eastAsia" w:ascii="宋体" w:hAnsi="宋体" w:eastAsia="宋体" w:cs="宋体"/>
          <w:i w:val="0"/>
          <w:iCs w:val="0"/>
          <w:color w:val="auto"/>
          <w:sz w:val="24"/>
          <w:szCs w:val="24"/>
          <w:highlight w:val="none"/>
        </w:rPr>
        <w:t xml:space="preserve">（五）入住养老机构对象，因服务商未及时录单产生的结果由服务商自行负责，服务对象费用应正常享受。服务对象离院未及时变更的，扣除当月服务经费的 1%。未及时录单及服务对象离院未及时变更的全年累计超 3 次取消服务商资格。 </w:t>
      </w:r>
      <w:r>
        <w:rPr>
          <w:color w:val="auto"/>
        </w:rPr>
      </w:r>
      <w:r/>
    </w:p>
    <w:p>
      <w:pPr>
        <w:pStyle w:val="948"/>
        <w:ind w:firstLine="420"/>
        <w:jc w:val="left"/>
        <w:spacing w:before="240" w:after="240" w:line="400" w:lineRule="atLeast"/>
        <w:rPr>
          <w:rStyle w:val="913"/>
          <w:rFonts w:hint="eastAsia" w:ascii="宋体" w:hAnsi="宋体" w:eastAsia="宋体" w:cs="宋体"/>
          <w:i w:val="0"/>
          <w:iCs w:val="0"/>
          <w:color w:val="auto"/>
          <w:sz w:val="24"/>
          <w:szCs w:val="24"/>
          <w:highlight w:val="none"/>
        </w:rPr>
      </w:pPr>
      <w:r>
        <w:rPr>
          <w:rStyle w:val="913"/>
          <w:rFonts w:hint="eastAsia" w:ascii="宋体" w:hAnsi="宋体" w:eastAsia="宋体" w:cs="宋体"/>
          <w:i w:val="0"/>
          <w:iCs w:val="0"/>
          <w:color w:val="auto"/>
          <w:sz w:val="24"/>
          <w:szCs w:val="24"/>
          <w:highlight w:val="none"/>
        </w:rPr>
        <w:t xml:space="preserve">（六）因服务商原因，当月漏服务、无故暂停（回访情况与暂停服务原因不符）的，未能在3个月内完成补单的，服务商年度评价不合格。 </w:t>
      </w:r>
      <w:r>
        <w:rPr>
          <w:color w:val="auto"/>
        </w:rPr>
      </w:r>
      <w:r/>
    </w:p>
    <w:p>
      <w:pPr>
        <w:pStyle w:val="948"/>
        <w:ind w:firstLine="420"/>
        <w:jc w:val="left"/>
        <w:spacing w:before="240" w:after="240" w:line="400" w:lineRule="atLeast"/>
        <w:rPr>
          <w:rStyle w:val="913"/>
          <w:rFonts w:hint="eastAsia" w:ascii="宋体" w:hAnsi="宋体" w:eastAsia="宋体" w:cs="宋体"/>
          <w:i w:val="0"/>
          <w:iCs w:val="0"/>
          <w:color w:val="auto"/>
          <w:sz w:val="24"/>
          <w:szCs w:val="24"/>
          <w:highlight w:val="none"/>
        </w:rPr>
      </w:pPr>
      <w:r>
        <w:rPr>
          <w:rStyle w:val="913"/>
          <w:rFonts w:hint="eastAsia" w:ascii="宋体" w:hAnsi="宋体" w:eastAsia="宋体" w:cs="宋体"/>
          <w:i w:val="0"/>
          <w:iCs w:val="0"/>
          <w:color w:val="auto"/>
          <w:sz w:val="24"/>
          <w:szCs w:val="24"/>
          <w:highlight w:val="none"/>
        </w:rPr>
        <w:t xml:space="preserve">（七）因服务商问题造成服务对象受伤、财产损失的，视为有效投诉，扣除当日同一服务对象接受的所有服务工单援助费用的 100%。 </w:t>
      </w:r>
      <w:r>
        <w:rPr>
          <w:color w:val="auto"/>
        </w:rPr>
      </w:r>
      <w:r/>
    </w:p>
    <w:p>
      <w:pPr>
        <w:pStyle w:val="948"/>
        <w:ind w:firstLine="420"/>
        <w:jc w:val="left"/>
        <w:spacing w:before="240" w:after="240" w:line="400" w:lineRule="atLeast"/>
        <w:rPr>
          <w:rStyle w:val="913"/>
          <w:rFonts w:hint="eastAsia" w:ascii="宋体" w:hAnsi="宋体" w:eastAsia="宋体" w:cs="宋体"/>
          <w:i w:val="0"/>
          <w:iCs w:val="0"/>
          <w:color w:val="auto"/>
          <w:sz w:val="24"/>
          <w:szCs w:val="24"/>
          <w:highlight w:val="none"/>
        </w:rPr>
      </w:pPr>
      <w:r>
        <w:rPr>
          <w:rStyle w:val="913"/>
          <w:rFonts w:hint="eastAsia" w:ascii="宋体" w:hAnsi="宋体" w:eastAsia="宋体" w:cs="宋体"/>
          <w:i w:val="0"/>
          <w:iCs w:val="0"/>
          <w:color w:val="auto"/>
          <w:sz w:val="24"/>
          <w:szCs w:val="24"/>
          <w:highlight w:val="none"/>
        </w:rPr>
        <w:t xml:space="preserve">（八）对服务态度恶劣，人脸识别后未服务并产生工单或未按服务流程规定要求服务的，扣除当日同一服务人员服务费用的 100%，警告并发出整改通知书；一个月内累计 5 次的，扣除公司本月结算总额的 1%，发出整改通知书并通报处理；一个月内累计10次的，扣除公司本月结算总额的3%，年度评价不合格，并在月报中通报。无供单主要有包括但不仅限于以下几种情况： </w:t>
      </w:r>
      <w:r>
        <w:rPr>
          <w:color w:val="auto"/>
        </w:rPr>
      </w:r>
      <w:r/>
    </w:p>
    <w:p>
      <w:pPr>
        <w:pStyle w:val="948"/>
        <w:ind w:firstLine="420"/>
        <w:jc w:val="left"/>
        <w:spacing w:before="240" w:after="240" w:line="400" w:lineRule="atLeast"/>
        <w:rPr>
          <w:rStyle w:val="913"/>
          <w:rFonts w:hint="eastAsia" w:ascii="宋体" w:hAnsi="宋体" w:eastAsia="宋体" w:cs="宋体"/>
          <w:i w:val="0"/>
          <w:iCs w:val="0"/>
          <w:color w:val="auto"/>
          <w:sz w:val="24"/>
          <w:szCs w:val="24"/>
          <w:highlight w:val="none"/>
        </w:rPr>
      </w:pPr>
      <w:r>
        <w:rPr>
          <w:rStyle w:val="913"/>
          <w:rFonts w:hint="eastAsia" w:ascii="宋体" w:hAnsi="宋体" w:eastAsia="宋体" w:cs="宋体"/>
          <w:i w:val="0"/>
          <w:iCs w:val="0"/>
          <w:color w:val="auto"/>
          <w:sz w:val="24"/>
          <w:szCs w:val="24"/>
          <w:highlight w:val="none"/>
        </w:rPr>
        <w:t xml:space="preserve">1.人脸识别后未核实正确服务对象信息，并产生工单； </w:t>
      </w:r>
      <w:r>
        <w:rPr>
          <w:color w:val="auto"/>
        </w:rPr>
      </w:r>
      <w:r/>
    </w:p>
    <w:p>
      <w:pPr>
        <w:pStyle w:val="948"/>
        <w:ind w:firstLine="420"/>
        <w:jc w:val="left"/>
        <w:spacing w:before="240" w:after="240" w:line="400" w:lineRule="atLeast"/>
        <w:rPr>
          <w:rStyle w:val="913"/>
          <w:rFonts w:hint="eastAsia" w:ascii="宋体" w:hAnsi="宋体" w:eastAsia="宋体" w:cs="宋体"/>
          <w:i w:val="0"/>
          <w:iCs w:val="0"/>
          <w:color w:val="auto"/>
          <w:sz w:val="24"/>
          <w:szCs w:val="24"/>
          <w:highlight w:val="none"/>
        </w:rPr>
      </w:pPr>
      <w:r>
        <w:rPr>
          <w:rStyle w:val="913"/>
          <w:rFonts w:hint="eastAsia" w:ascii="宋体" w:hAnsi="宋体" w:eastAsia="宋体" w:cs="宋体"/>
          <w:i w:val="0"/>
          <w:iCs w:val="0"/>
          <w:color w:val="auto"/>
          <w:sz w:val="24"/>
          <w:szCs w:val="24"/>
          <w:highlight w:val="none"/>
        </w:rPr>
        <w:t xml:space="preserve">2.上传的服务工单中实际只完成了其中部分； </w:t>
      </w:r>
      <w:r>
        <w:rPr>
          <w:color w:val="auto"/>
        </w:rPr>
      </w:r>
      <w:r/>
    </w:p>
    <w:p>
      <w:pPr>
        <w:pStyle w:val="948"/>
        <w:ind w:firstLine="420"/>
        <w:jc w:val="left"/>
        <w:spacing w:before="240" w:after="240" w:line="400" w:lineRule="atLeast"/>
        <w:rPr>
          <w:rStyle w:val="913"/>
          <w:rFonts w:hint="eastAsia" w:ascii="宋体" w:hAnsi="宋体" w:eastAsia="宋体" w:cs="宋体"/>
          <w:i w:val="0"/>
          <w:iCs w:val="0"/>
          <w:color w:val="auto"/>
          <w:sz w:val="24"/>
          <w:szCs w:val="24"/>
          <w:highlight w:val="none"/>
        </w:rPr>
      </w:pPr>
      <w:r>
        <w:rPr>
          <w:rStyle w:val="913"/>
          <w:rFonts w:hint="eastAsia" w:ascii="宋体" w:hAnsi="宋体" w:eastAsia="宋体" w:cs="宋体"/>
          <w:i w:val="0"/>
          <w:iCs w:val="0"/>
          <w:color w:val="auto"/>
          <w:sz w:val="24"/>
          <w:szCs w:val="24"/>
          <w:highlight w:val="none"/>
        </w:rPr>
        <w:t xml:space="preserve">3.工单内容与实际不符：服务内容、服务时间、服务人数不符等。</w:t>
      </w:r>
      <w:r>
        <w:rPr>
          <w:color w:val="auto"/>
        </w:rPr>
      </w:r>
      <w:r/>
    </w:p>
    <w:p>
      <w:pPr>
        <w:pStyle w:val="948"/>
        <w:ind w:firstLine="420"/>
        <w:jc w:val="left"/>
        <w:spacing w:before="240" w:after="240" w:line="400" w:lineRule="atLeast"/>
        <w:rPr>
          <w:rStyle w:val="913"/>
          <w:rFonts w:hint="eastAsia" w:ascii="宋体" w:hAnsi="宋体" w:eastAsia="宋体" w:cs="宋体"/>
          <w:i w:val="0"/>
          <w:iCs w:val="0"/>
          <w:color w:val="auto"/>
          <w:sz w:val="24"/>
          <w:szCs w:val="24"/>
          <w:highlight w:val="none"/>
        </w:rPr>
      </w:pPr>
      <w:r>
        <w:rPr>
          <w:rStyle w:val="913"/>
          <w:rFonts w:hint="eastAsia" w:ascii="宋体" w:hAnsi="宋体" w:eastAsia="宋体" w:cs="宋体"/>
          <w:i w:val="0"/>
          <w:iCs w:val="0"/>
          <w:color w:val="auto"/>
          <w:sz w:val="24"/>
          <w:szCs w:val="24"/>
          <w:highlight w:val="none"/>
        </w:rPr>
        <w:t xml:space="preserve">未按服务流程规定要求服务有包括但不仅限于以下几种情况：</w:t>
      </w:r>
      <w:r>
        <w:rPr>
          <w:color w:val="auto"/>
        </w:rPr>
      </w:r>
      <w:r/>
    </w:p>
    <w:p>
      <w:pPr>
        <w:pStyle w:val="948"/>
        <w:ind w:firstLine="420"/>
        <w:jc w:val="left"/>
        <w:spacing w:before="240" w:after="240" w:line="400" w:lineRule="atLeast"/>
        <w:rPr>
          <w:rStyle w:val="913"/>
          <w:rFonts w:hint="eastAsia" w:ascii="宋体" w:hAnsi="宋体" w:eastAsia="宋体" w:cs="宋体"/>
          <w:i w:val="0"/>
          <w:iCs w:val="0"/>
          <w:color w:val="auto"/>
          <w:sz w:val="24"/>
          <w:szCs w:val="24"/>
          <w:highlight w:val="none"/>
        </w:rPr>
      </w:pPr>
      <w:r>
        <w:rPr>
          <w:rStyle w:val="913"/>
          <w:rFonts w:hint="eastAsia" w:ascii="宋体" w:hAnsi="宋体" w:eastAsia="宋体" w:cs="宋体"/>
          <w:i w:val="0"/>
          <w:iCs w:val="0"/>
          <w:color w:val="auto"/>
          <w:sz w:val="24"/>
          <w:szCs w:val="24"/>
          <w:highlight w:val="none"/>
        </w:rPr>
        <w:t xml:space="preserve">1.服务不符合法律法规及行业规范要求，造成严重后果的；</w:t>
      </w:r>
      <w:r>
        <w:rPr>
          <w:color w:val="auto"/>
        </w:rPr>
      </w:r>
      <w:r/>
    </w:p>
    <w:p>
      <w:pPr>
        <w:pStyle w:val="948"/>
        <w:ind w:firstLine="420"/>
        <w:jc w:val="left"/>
        <w:spacing w:before="240" w:after="240" w:line="400" w:lineRule="atLeast"/>
        <w:rPr>
          <w:rStyle w:val="913"/>
          <w:rFonts w:hint="eastAsia" w:ascii="宋体" w:hAnsi="宋体" w:eastAsia="宋体" w:cs="宋体"/>
          <w:i w:val="0"/>
          <w:iCs w:val="0"/>
          <w:color w:val="auto"/>
          <w:sz w:val="24"/>
          <w:szCs w:val="24"/>
          <w:highlight w:val="none"/>
        </w:rPr>
      </w:pPr>
      <w:r>
        <w:rPr>
          <w:rStyle w:val="913"/>
          <w:rFonts w:hint="eastAsia" w:ascii="宋体" w:hAnsi="宋体" w:eastAsia="宋体" w:cs="宋体"/>
          <w:i w:val="0"/>
          <w:iCs w:val="0"/>
          <w:color w:val="auto"/>
          <w:sz w:val="24"/>
          <w:szCs w:val="24"/>
          <w:highlight w:val="none"/>
        </w:rPr>
        <w:t xml:space="preserve">2.服务人员不具有国家或行业要求的技术资格和操作能力提供相应服务，给服务对象造成人身伤害或财产损失等严重后果的；</w:t>
      </w:r>
      <w:r>
        <w:rPr>
          <w:color w:val="auto"/>
        </w:rPr>
      </w:r>
      <w:r/>
    </w:p>
    <w:p>
      <w:pPr>
        <w:pStyle w:val="948"/>
        <w:ind w:firstLine="420"/>
        <w:jc w:val="left"/>
        <w:spacing w:before="240" w:after="240" w:line="400" w:lineRule="atLeast"/>
        <w:rPr>
          <w:rStyle w:val="913"/>
          <w:rFonts w:hint="eastAsia" w:ascii="宋体" w:hAnsi="宋体" w:eastAsia="宋体" w:cs="宋体"/>
          <w:i w:val="0"/>
          <w:iCs w:val="0"/>
          <w:color w:val="auto"/>
          <w:sz w:val="24"/>
          <w:szCs w:val="24"/>
          <w:highlight w:val="none"/>
        </w:rPr>
      </w:pPr>
      <w:r>
        <w:rPr>
          <w:rStyle w:val="913"/>
          <w:rFonts w:hint="eastAsia" w:ascii="宋体" w:hAnsi="宋体" w:eastAsia="宋体" w:cs="宋体"/>
          <w:i w:val="0"/>
          <w:iCs w:val="0"/>
          <w:color w:val="auto"/>
          <w:sz w:val="24"/>
          <w:szCs w:val="24"/>
          <w:highlight w:val="none"/>
        </w:rPr>
        <w:t xml:space="preserve">3.服务人员把居住在相近的老人集中在一起服务的； </w:t>
      </w:r>
      <w:r>
        <w:rPr>
          <w:color w:val="auto"/>
        </w:rPr>
      </w:r>
      <w:r/>
    </w:p>
    <w:p>
      <w:pPr>
        <w:pStyle w:val="948"/>
        <w:ind w:firstLine="420"/>
        <w:jc w:val="left"/>
        <w:spacing w:before="240" w:after="240" w:line="400" w:lineRule="atLeast"/>
        <w:rPr>
          <w:rStyle w:val="913"/>
          <w:rFonts w:hint="eastAsia" w:ascii="宋体" w:hAnsi="宋体" w:eastAsia="宋体" w:cs="宋体"/>
          <w:i w:val="0"/>
          <w:iCs w:val="0"/>
          <w:color w:val="auto"/>
          <w:sz w:val="24"/>
          <w:szCs w:val="24"/>
          <w:highlight w:val="none"/>
        </w:rPr>
      </w:pPr>
      <w:r>
        <w:rPr>
          <w:rStyle w:val="913"/>
          <w:rFonts w:hint="eastAsia" w:ascii="宋体" w:hAnsi="宋体" w:eastAsia="宋体" w:cs="宋体"/>
          <w:i w:val="0"/>
          <w:iCs w:val="0"/>
          <w:color w:val="auto"/>
          <w:sz w:val="24"/>
          <w:szCs w:val="24"/>
          <w:highlight w:val="none"/>
        </w:rPr>
        <w:t xml:space="preserve">4.不按市虚拟养老院规定收费的； </w:t>
      </w:r>
      <w:r>
        <w:rPr>
          <w:color w:val="auto"/>
        </w:rPr>
      </w:r>
      <w:r/>
    </w:p>
    <w:p>
      <w:pPr>
        <w:pStyle w:val="948"/>
        <w:ind w:firstLine="420"/>
        <w:jc w:val="left"/>
        <w:spacing w:before="240" w:after="240" w:line="400" w:lineRule="atLeast"/>
        <w:rPr>
          <w:rStyle w:val="913"/>
          <w:rFonts w:hint="eastAsia" w:ascii="宋体" w:hAnsi="宋体" w:eastAsia="宋体" w:cs="宋体"/>
          <w:i w:val="0"/>
          <w:iCs w:val="0"/>
          <w:color w:val="auto"/>
          <w:sz w:val="24"/>
          <w:szCs w:val="24"/>
          <w:highlight w:val="none"/>
        </w:rPr>
      </w:pPr>
      <w:r>
        <w:rPr>
          <w:rStyle w:val="913"/>
          <w:rFonts w:hint="eastAsia" w:ascii="宋体" w:hAnsi="宋体" w:eastAsia="宋体" w:cs="宋体"/>
          <w:i w:val="0"/>
          <w:iCs w:val="0"/>
          <w:color w:val="auto"/>
          <w:sz w:val="24"/>
          <w:szCs w:val="24"/>
          <w:highlight w:val="none"/>
        </w:rPr>
        <w:t xml:space="preserve">5.不接受市虚拟养老院统一管理的。 </w:t>
      </w:r>
      <w:r>
        <w:rPr>
          <w:color w:val="auto"/>
        </w:rPr>
      </w:r>
      <w:r/>
    </w:p>
    <w:p>
      <w:pPr>
        <w:pStyle w:val="948"/>
        <w:ind w:firstLine="420"/>
        <w:jc w:val="left"/>
        <w:spacing w:before="240" w:after="240" w:line="400" w:lineRule="atLeast"/>
        <w:rPr>
          <w:rStyle w:val="913"/>
          <w:rFonts w:hint="eastAsia" w:ascii="宋体" w:hAnsi="宋体" w:eastAsia="宋体" w:cs="宋体"/>
          <w:i w:val="0"/>
          <w:iCs w:val="0"/>
          <w:color w:val="auto"/>
          <w:sz w:val="24"/>
          <w:szCs w:val="24"/>
          <w:highlight w:val="none"/>
        </w:rPr>
      </w:pPr>
      <w:r>
        <w:rPr>
          <w:rStyle w:val="913"/>
          <w:rFonts w:hint="eastAsia" w:ascii="宋体" w:hAnsi="宋体" w:eastAsia="宋体" w:cs="宋体"/>
          <w:i w:val="0"/>
          <w:iCs w:val="0"/>
          <w:color w:val="auto"/>
          <w:sz w:val="24"/>
          <w:szCs w:val="24"/>
          <w:highlight w:val="none"/>
        </w:rPr>
        <w:t xml:space="preserve">第二十四条 服务过程中发现以下情况之一的，可以终止服务协议或提供转介服务： </w:t>
      </w:r>
      <w:r>
        <w:rPr>
          <w:color w:val="auto"/>
        </w:rPr>
      </w:r>
      <w:r/>
    </w:p>
    <w:p>
      <w:pPr>
        <w:pStyle w:val="948"/>
        <w:ind w:firstLine="420"/>
        <w:jc w:val="left"/>
        <w:spacing w:before="240" w:after="240" w:line="400" w:lineRule="atLeast"/>
        <w:rPr>
          <w:rStyle w:val="913"/>
          <w:rFonts w:hint="eastAsia" w:ascii="宋体" w:hAnsi="宋体" w:eastAsia="宋体" w:cs="宋体"/>
          <w:i w:val="0"/>
          <w:iCs w:val="0"/>
          <w:color w:val="auto"/>
          <w:sz w:val="24"/>
          <w:szCs w:val="24"/>
          <w:highlight w:val="none"/>
        </w:rPr>
      </w:pPr>
      <w:r>
        <w:rPr>
          <w:rStyle w:val="913"/>
          <w:rFonts w:hint="eastAsia" w:ascii="宋体" w:hAnsi="宋体" w:eastAsia="宋体" w:cs="宋体"/>
          <w:i w:val="0"/>
          <w:iCs w:val="0"/>
          <w:color w:val="auto"/>
          <w:sz w:val="24"/>
          <w:szCs w:val="24"/>
          <w:highlight w:val="none"/>
        </w:rPr>
        <w:t xml:space="preserve">（一）服务对象患有严重的传染性疾病的。 </w:t>
      </w:r>
      <w:r>
        <w:rPr>
          <w:color w:val="auto"/>
        </w:rPr>
      </w:r>
      <w:r/>
    </w:p>
    <w:p>
      <w:pPr>
        <w:pStyle w:val="948"/>
        <w:ind w:firstLine="420"/>
        <w:jc w:val="left"/>
        <w:spacing w:before="240" w:after="240" w:line="400" w:lineRule="atLeast"/>
        <w:rPr>
          <w:rStyle w:val="913"/>
          <w:rFonts w:hint="eastAsia" w:ascii="宋体" w:hAnsi="宋体" w:eastAsia="宋体" w:cs="宋体"/>
          <w:i w:val="0"/>
          <w:iCs w:val="0"/>
          <w:color w:val="auto"/>
          <w:sz w:val="24"/>
          <w:szCs w:val="24"/>
          <w:highlight w:val="none"/>
        </w:rPr>
      </w:pPr>
      <w:r>
        <w:rPr>
          <w:rStyle w:val="913"/>
          <w:rFonts w:hint="eastAsia" w:ascii="宋体" w:hAnsi="宋体" w:eastAsia="宋体" w:cs="宋体"/>
          <w:i w:val="0"/>
          <w:iCs w:val="0"/>
          <w:color w:val="auto"/>
          <w:sz w:val="24"/>
          <w:szCs w:val="24"/>
          <w:highlight w:val="none"/>
        </w:rPr>
        <w:t xml:space="preserve">（二）服务对象患有精神疾病且病情不稳的，易造成一定伤害的。</w:t>
      </w:r>
      <w:r>
        <w:rPr>
          <w:color w:val="auto"/>
        </w:rPr>
      </w:r>
      <w:r/>
    </w:p>
    <w:p>
      <w:pPr>
        <w:pStyle w:val="948"/>
        <w:ind w:firstLine="420"/>
        <w:jc w:val="left"/>
        <w:spacing w:before="240" w:after="240" w:line="400" w:lineRule="atLeast"/>
        <w:rPr>
          <w:rStyle w:val="913"/>
          <w:rFonts w:hint="eastAsia" w:ascii="宋体" w:hAnsi="宋体" w:eastAsia="宋体" w:cs="宋体"/>
          <w:i w:val="0"/>
          <w:iCs w:val="0"/>
          <w:color w:val="auto"/>
          <w:sz w:val="24"/>
          <w:szCs w:val="24"/>
          <w:highlight w:val="none"/>
        </w:rPr>
      </w:pPr>
      <w:r>
        <w:rPr>
          <w:rStyle w:val="913"/>
          <w:rFonts w:hint="eastAsia" w:ascii="宋体" w:hAnsi="宋体" w:eastAsia="宋体" w:cs="宋体"/>
          <w:i w:val="0"/>
          <w:iCs w:val="0"/>
          <w:color w:val="auto"/>
          <w:sz w:val="24"/>
          <w:szCs w:val="24"/>
          <w:highlight w:val="none"/>
        </w:rPr>
        <w:t xml:space="preserve">（三）服务对象违反服务约定的。 </w:t>
      </w:r>
      <w:r>
        <w:rPr>
          <w:color w:val="auto"/>
        </w:rPr>
      </w:r>
      <w:r/>
    </w:p>
    <w:p>
      <w:pPr>
        <w:pStyle w:val="948"/>
        <w:ind w:firstLine="420"/>
        <w:jc w:val="left"/>
        <w:spacing w:before="240" w:after="240" w:line="400" w:lineRule="atLeast"/>
        <w:rPr>
          <w:rStyle w:val="913"/>
          <w:rFonts w:hint="eastAsia" w:ascii="宋体" w:hAnsi="宋体" w:eastAsia="宋体" w:cs="宋体"/>
          <w:i w:val="0"/>
          <w:iCs w:val="0"/>
          <w:color w:val="auto"/>
          <w:sz w:val="24"/>
          <w:szCs w:val="24"/>
          <w:highlight w:val="none"/>
        </w:rPr>
      </w:pPr>
      <w:r>
        <w:rPr>
          <w:rStyle w:val="913"/>
          <w:rFonts w:hint="eastAsia" w:ascii="宋体" w:hAnsi="宋体" w:eastAsia="宋体" w:cs="宋体"/>
          <w:i w:val="0"/>
          <w:iCs w:val="0"/>
          <w:color w:val="auto"/>
          <w:sz w:val="24"/>
          <w:szCs w:val="24"/>
          <w:highlight w:val="none"/>
        </w:rPr>
        <w:t xml:space="preserve">（四）由于客观原因导致双方不能履行服务协议的。 </w:t>
      </w:r>
      <w:r>
        <w:rPr>
          <w:color w:val="auto"/>
        </w:rPr>
      </w:r>
      <w:r/>
    </w:p>
    <w:p>
      <w:pPr>
        <w:pStyle w:val="948"/>
        <w:ind w:firstLine="420"/>
        <w:jc w:val="left"/>
        <w:spacing w:before="240" w:after="240" w:line="400" w:lineRule="atLeast"/>
        <w:rPr>
          <w:rStyle w:val="913"/>
          <w:rFonts w:hint="eastAsia" w:ascii="宋体" w:hAnsi="宋体" w:eastAsia="宋体" w:cs="宋体"/>
          <w:i w:val="0"/>
          <w:iCs w:val="0"/>
          <w:color w:val="auto"/>
          <w:sz w:val="24"/>
          <w:szCs w:val="24"/>
          <w:highlight w:val="none"/>
        </w:rPr>
      </w:pPr>
      <w:r>
        <w:rPr>
          <w:rStyle w:val="913"/>
          <w:rFonts w:hint="eastAsia" w:ascii="宋体" w:hAnsi="宋体" w:eastAsia="宋体" w:cs="宋体"/>
          <w:i w:val="0"/>
          <w:iCs w:val="0"/>
          <w:color w:val="auto"/>
          <w:sz w:val="24"/>
          <w:szCs w:val="24"/>
          <w:highlight w:val="none"/>
        </w:rPr>
        <w:t xml:space="preserve">（五）双方协商同意终止服务，签订《自愿放弃张家港市亲情（虚拟）养老院服务承诺书》的。 </w:t>
      </w:r>
      <w:r>
        <w:rPr>
          <w:color w:val="auto"/>
        </w:rPr>
      </w:r>
      <w:r/>
    </w:p>
    <w:p>
      <w:pPr>
        <w:pStyle w:val="948"/>
        <w:ind w:firstLine="420"/>
        <w:jc w:val="left"/>
        <w:spacing w:before="240" w:after="240" w:line="400" w:lineRule="atLeast"/>
        <w:rPr>
          <w:rStyle w:val="913"/>
          <w:rFonts w:hint="eastAsia" w:ascii="宋体" w:hAnsi="宋体" w:eastAsia="宋体" w:cs="宋体"/>
          <w:i w:val="0"/>
          <w:iCs w:val="0"/>
          <w:color w:val="auto"/>
          <w:sz w:val="24"/>
          <w:szCs w:val="24"/>
          <w:highlight w:val="none"/>
        </w:rPr>
      </w:pPr>
      <w:r>
        <w:rPr>
          <w:rStyle w:val="913"/>
          <w:rFonts w:hint="eastAsia" w:ascii="宋体" w:hAnsi="宋体" w:eastAsia="宋体" w:cs="宋体"/>
          <w:i w:val="0"/>
          <w:iCs w:val="0"/>
          <w:color w:val="auto"/>
          <w:sz w:val="24"/>
          <w:szCs w:val="24"/>
          <w:highlight w:val="none"/>
        </w:rPr>
        <w:t xml:space="preserve">第二十五条 按《张家港市亲情（虚拟）养老院服务商年度评价表》，对提供居家上门服务的服务商按年度进行综合评价，根据考评结果，按当年结算总额的百分比在第四季度经费中结算。具体计算方式为：</w:t>
      </w:r>
      <w:r>
        <w:rPr>
          <w:color w:val="auto"/>
        </w:rPr>
      </w:r>
      <w:r/>
    </w:p>
    <w:tbl>
      <w:tblPr>
        <w:tblW w:w="0" w:type="auto"/>
        <w:jc w:val="center"/>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97"/>
        <w:gridCol w:w="4497"/>
      </w:tblGrid>
      <w:tr>
        <w:trPr/>
        <w:tc>
          <w:tcPr>
            <w:tcMar>
              <w:left w:w="108" w:type="dxa"/>
              <w:top w:w="0" w:type="dxa"/>
              <w:right w:w="108" w:type="dxa"/>
              <w:bottom w:w="0" w:type="dxa"/>
            </w:tcMar>
            <w:tcW w:w="4497"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分值</w:t>
            </w:r>
            <w:r>
              <w:rPr>
                <w:color w:val="auto"/>
              </w:rPr>
            </w:r>
            <w:r/>
          </w:p>
        </w:tc>
        <w:tc>
          <w:tcPr>
            <w:tcMar>
              <w:left w:w="108" w:type="dxa"/>
              <w:top w:w="0" w:type="dxa"/>
              <w:right w:w="108" w:type="dxa"/>
              <w:bottom w:w="0" w:type="dxa"/>
            </w:tcMar>
            <w:tcW w:w="4497"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结算标准</w:t>
            </w:r>
            <w:r>
              <w:rPr>
                <w:color w:val="auto"/>
              </w:rPr>
            </w:r>
            <w:r/>
          </w:p>
        </w:tc>
      </w:tr>
      <w:tr>
        <w:trPr/>
        <w:tc>
          <w:tcPr>
            <w:tcMar>
              <w:left w:w="108" w:type="dxa"/>
              <w:top w:w="0" w:type="dxa"/>
              <w:right w:w="108" w:type="dxa"/>
              <w:bottom w:w="0" w:type="dxa"/>
            </w:tcMar>
            <w:tcW w:w="4497"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90分以上</w:t>
            </w:r>
            <w:r>
              <w:rPr>
                <w:color w:val="auto"/>
              </w:rPr>
            </w:r>
            <w:r/>
          </w:p>
        </w:tc>
        <w:tc>
          <w:tcPr>
            <w:tcMar>
              <w:left w:w="108" w:type="dxa"/>
              <w:top w:w="0" w:type="dxa"/>
              <w:right w:w="108" w:type="dxa"/>
              <w:bottom w:w="0" w:type="dxa"/>
            </w:tcMar>
            <w:tcW w:w="4497"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100%</w:t>
            </w:r>
            <w:r>
              <w:rPr>
                <w:color w:val="auto"/>
              </w:rPr>
            </w:r>
            <w:r/>
          </w:p>
        </w:tc>
      </w:tr>
      <w:tr>
        <w:trPr/>
        <w:tc>
          <w:tcPr>
            <w:tcMar>
              <w:left w:w="108" w:type="dxa"/>
              <w:top w:w="0" w:type="dxa"/>
              <w:right w:w="108" w:type="dxa"/>
              <w:bottom w:w="0" w:type="dxa"/>
            </w:tcMar>
            <w:tcW w:w="4497"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85-90分</w:t>
            </w:r>
            <w:r>
              <w:rPr>
                <w:color w:val="auto"/>
              </w:rPr>
            </w:r>
            <w:r/>
          </w:p>
        </w:tc>
        <w:tc>
          <w:tcPr>
            <w:tcMar>
              <w:left w:w="108" w:type="dxa"/>
              <w:top w:w="0" w:type="dxa"/>
              <w:right w:w="108" w:type="dxa"/>
              <w:bottom w:w="0" w:type="dxa"/>
            </w:tcMar>
            <w:tcW w:w="4497"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95%</w:t>
            </w:r>
            <w:r>
              <w:rPr>
                <w:color w:val="auto"/>
              </w:rPr>
            </w:r>
            <w:r/>
          </w:p>
        </w:tc>
      </w:tr>
      <w:tr>
        <w:trPr/>
        <w:tc>
          <w:tcPr>
            <w:tcMar>
              <w:left w:w="108" w:type="dxa"/>
              <w:top w:w="0" w:type="dxa"/>
              <w:right w:w="108" w:type="dxa"/>
              <w:bottom w:w="0" w:type="dxa"/>
            </w:tcMar>
            <w:tcW w:w="4497"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80-84分</w:t>
            </w:r>
            <w:r>
              <w:rPr>
                <w:color w:val="auto"/>
              </w:rPr>
            </w:r>
            <w:r/>
          </w:p>
        </w:tc>
        <w:tc>
          <w:tcPr>
            <w:tcMar>
              <w:left w:w="108" w:type="dxa"/>
              <w:top w:w="0" w:type="dxa"/>
              <w:right w:w="108" w:type="dxa"/>
              <w:bottom w:w="0" w:type="dxa"/>
            </w:tcMar>
            <w:tcW w:w="4497"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90%</w:t>
            </w:r>
            <w:r>
              <w:rPr>
                <w:color w:val="auto"/>
              </w:rPr>
            </w:r>
            <w:r/>
          </w:p>
        </w:tc>
      </w:tr>
      <w:tr>
        <w:trPr/>
        <w:tc>
          <w:tcPr>
            <w:tcMar>
              <w:left w:w="108" w:type="dxa"/>
              <w:top w:w="0" w:type="dxa"/>
              <w:right w:w="108" w:type="dxa"/>
              <w:bottom w:w="0" w:type="dxa"/>
            </w:tcMar>
            <w:tcW w:w="4497"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75-79分</w:t>
            </w:r>
            <w:r>
              <w:rPr>
                <w:color w:val="auto"/>
              </w:rPr>
            </w:r>
            <w:r/>
          </w:p>
        </w:tc>
        <w:tc>
          <w:tcPr>
            <w:tcMar>
              <w:left w:w="108" w:type="dxa"/>
              <w:top w:w="0" w:type="dxa"/>
              <w:right w:w="108" w:type="dxa"/>
              <w:bottom w:w="0" w:type="dxa"/>
            </w:tcMar>
            <w:tcW w:w="4497"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85%</w:t>
            </w:r>
            <w:r>
              <w:rPr>
                <w:color w:val="auto"/>
              </w:rPr>
            </w:r>
            <w:r/>
          </w:p>
        </w:tc>
      </w:tr>
      <w:tr>
        <w:trPr/>
        <w:tc>
          <w:tcPr>
            <w:tcMar>
              <w:left w:w="108" w:type="dxa"/>
              <w:top w:w="0" w:type="dxa"/>
              <w:right w:w="108" w:type="dxa"/>
              <w:bottom w:w="0" w:type="dxa"/>
            </w:tcMar>
            <w:tcW w:w="4497"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70-74分</w:t>
            </w:r>
            <w:r>
              <w:rPr>
                <w:color w:val="auto"/>
              </w:rPr>
            </w:r>
            <w:r/>
          </w:p>
        </w:tc>
        <w:tc>
          <w:tcPr>
            <w:tcMar>
              <w:left w:w="108" w:type="dxa"/>
              <w:top w:w="0" w:type="dxa"/>
              <w:right w:w="108" w:type="dxa"/>
              <w:bottom w:w="0" w:type="dxa"/>
            </w:tcMar>
            <w:tcW w:w="4497"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80%</w:t>
            </w:r>
            <w:r>
              <w:rPr>
                <w:color w:val="auto"/>
              </w:rPr>
            </w:r>
            <w:r/>
          </w:p>
        </w:tc>
      </w:tr>
      <w:tr>
        <w:trPr/>
        <w:tc>
          <w:tcPr>
            <w:tcMar>
              <w:left w:w="108" w:type="dxa"/>
              <w:top w:w="0" w:type="dxa"/>
              <w:right w:w="108" w:type="dxa"/>
              <w:bottom w:w="0" w:type="dxa"/>
            </w:tcMar>
            <w:tcW w:w="4497"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60-69分</w:t>
            </w:r>
            <w:r>
              <w:rPr>
                <w:color w:val="auto"/>
              </w:rPr>
            </w:r>
            <w:r/>
          </w:p>
        </w:tc>
        <w:tc>
          <w:tcPr>
            <w:tcMar>
              <w:left w:w="108" w:type="dxa"/>
              <w:top w:w="0" w:type="dxa"/>
              <w:right w:w="108" w:type="dxa"/>
              <w:bottom w:w="0" w:type="dxa"/>
            </w:tcMar>
            <w:tcW w:w="4497"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75%</w:t>
            </w:r>
            <w:r>
              <w:rPr>
                <w:color w:val="auto"/>
              </w:rPr>
            </w:r>
            <w:r/>
          </w:p>
        </w:tc>
      </w:tr>
      <w:tr>
        <w:trPr/>
        <w:tc>
          <w:tcPr>
            <w:tcMar>
              <w:left w:w="108" w:type="dxa"/>
              <w:top w:w="0" w:type="dxa"/>
              <w:right w:w="108" w:type="dxa"/>
              <w:bottom w:w="0" w:type="dxa"/>
            </w:tcMar>
            <w:tcW w:w="4497"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60分以下</w:t>
            </w:r>
            <w:r>
              <w:rPr>
                <w:color w:val="auto"/>
              </w:rPr>
            </w:r>
            <w:r/>
          </w:p>
        </w:tc>
        <w:tc>
          <w:tcPr>
            <w:tcMar>
              <w:left w:w="108" w:type="dxa"/>
              <w:top w:w="0" w:type="dxa"/>
              <w:right w:w="108" w:type="dxa"/>
              <w:bottom w:w="0" w:type="dxa"/>
            </w:tcMar>
            <w:tcW w:w="4497"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不合格</w:t>
            </w:r>
            <w:r>
              <w:rPr>
                <w:color w:val="auto"/>
              </w:rPr>
            </w:r>
            <w:r/>
          </w:p>
        </w:tc>
      </w:tr>
    </w:tbl>
    <w:p>
      <w:pPr>
        <w:pStyle w:val="948"/>
        <w:spacing w:before="240" w:after="240"/>
        <w:rPr>
          <w:rStyle w:val="913"/>
          <w:rFonts w:hint="eastAsia" w:ascii="宋体" w:hAnsi="宋体" w:eastAsia="宋体" w:cs="宋体"/>
          <w:i w:val="0"/>
          <w:iCs w:val="0"/>
          <w:color w:val="auto"/>
          <w:sz w:val="24"/>
          <w:szCs w:val="24"/>
          <w:highlight w:val="none"/>
        </w:rPr>
      </w:pPr>
      <w:r>
        <w:rPr>
          <w:rStyle w:val="913"/>
          <w:rFonts w:hint="eastAsia" w:ascii="宋体" w:hAnsi="宋体" w:eastAsia="宋体" w:cs="宋体"/>
          <w:i w:val="0"/>
          <w:iCs w:val="0"/>
          <w:color w:val="auto"/>
          <w:sz w:val="24"/>
          <w:szCs w:val="24"/>
          <w:highlight w:val="none"/>
        </w:rPr>
        <w:t xml:space="preserve"> </w:t>
      </w:r>
      <w:r>
        <w:rPr>
          <w:color w:val="auto"/>
        </w:rPr>
      </w:r>
      <w:r/>
    </w:p>
    <w:p>
      <w:pPr>
        <w:pStyle w:val="948"/>
        <w:ind w:firstLine="420"/>
        <w:jc w:val="left"/>
        <w:spacing w:before="240" w:after="240" w:line="400" w:lineRule="atLeast"/>
        <w:rPr>
          <w:rStyle w:val="913"/>
          <w:rFonts w:hint="eastAsia" w:ascii="宋体" w:hAnsi="宋体" w:eastAsia="宋体" w:cs="宋体"/>
          <w:i w:val="0"/>
          <w:iCs w:val="0"/>
          <w:color w:val="auto"/>
          <w:sz w:val="24"/>
          <w:szCs w:val="24"/>
          <w:highlight w:val="none"/>
        </w:rPr>
      </w:pPr>
      <w:r>
        <w:rPr>
          <w:rStyle w:val="913"/>
          <w:rFonts w:hint="eastAsia" w:ascii="宋体" w:hAnsi="宋体" w:eastAsia="宋体" w:cs="宋体"/>
          <w:i w:val="0"/>
          <w:iCs w:val="0"/>
          <w:color w:val="auto"/>
          <w:sz w:val="24"/>
          <w:szCs w:val="24"/>
          <w:highlight w:val="none"/>
        </w:rPr>
        <w:t xml:space="preserve">评价结果为不合格的，扣除服务商当年第四季度的养老援助服务经费，取消服务商资格。以上扣费市镇两级同步进行。 </w:t>
      </w:r>
      <w:r>
        <w:rPr>
          <w:color w:val="auto"/>
        </w:rPr>
      </w:r>
      <w:r/>
    </w:p>
    <w:p>
      <w:pPr>
        <w:pStyle w:val="948"/>
        <w:jc w:val="center"/>
        <w:spacing w:before="240" w:after="240" w:line="400" w:lineRule="atLeast"/>
        <w:rPr>
          <w:rStyle w:val="913"/>
          <w:rFonts w:hint="eastAsia" w:ascii="宋体" w:hAnsi="宋体" w:eastAsia="宋体" w:cs="宋体"/>
          <w:i w:val="0"/>
          <w:iCs w:val="0"/>
          <w:color w:val="auto"/>
          <w:sz w:val="24"/>
          <w:szCs w:val="24"/>
          <w:highlight w:val="none"/>
        </w:rPr>
      </w:pPr>
      <w:r>
        <w:rPr>
          <w:rStyle w:val="913"/>
          <w:rFonts w:hint="eastAsia" w:ascii="宋体" w:hAnsi="宋体" w:eastAsia="宋体" w:cs="宋体"/>
          <w:b/>
          <w:bCs/>
          <w:i w:val="0"/>
          <w:iCs w:val="0"/>
          <w:color w:val="auto"/>
          <w:sz w:val="24"/>
          <w:szCs w:val="24"/>
          <w:highlight w:val="none"/>
        </w:rPr>
        <w:t xml:space="preserve">张家港市亲情（虚拟）养老院服务商年度评价表</w:t>
      </w:r>
      <w:r>
        <w:rPr>
          <w:color w:val="auto"/>
        </w:rPr>
      </w:r>
      <w:r/>
    </w:p>
    <w:tbl>
      <w:tblPr>
        <w:tblW w:w="10557" w:type="dxa"/>
        <w:jc w:val="center"/>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2"/>
        <w:gridCol w:w="3372"/>
        <w:gridCol w:w="3498"/>
        <w:gridCol w:w="855"/>
        <w:gridCol w:w="805"/>
        <w:gridCol w:w="775"/>
      </w:tblGrid>
      <w:tr>
        <w:trPr>
          <w:trHeight w:val="622"/>
        </w:trPr>
        <w:tc>
          <w:tcPr>
            <w:tcMar>
              <w:left w:w="108" w:type="dxa"/>
              <w:top w:w="0" w:type="dxa"/>
              <w:right w:w="108" w:type="dxa"/>
              <w:bottom w:w="0" w:type="dxa"/>
            </w:tcMar>
            <w:tcW w:w="1252"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评价内容</w:t>
            </w:r>
            <w:r>
              <w:rPr>
                <w:color w:val="auto"/>
              </w:rPr>
            </w:r>
            <w:r/>
          </w:p>
        </w:tc>
        <w:tc>
          <w:tcPr>
            <w:tcMar>
              <w:left w:w="108" w:type="dxa"/>
              <w:top w:w="0" w:type="dxa"/>
              <w:right w:w="108" w:type="dxa"/>
              <w:bottom w:w="0" w:type="dxa"/>
            </w:tcMar>
            <w:tcW w:w="3372"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评分要求</w:t>
            </w:r>
            <w:r>
              <w:rPr>
                <w:color w:val="auto"/>
              </w:rPr>
            </w:r>
            <w:r/>
          </w:p>
        </w:tc>
        <w:tc>
          <w:tcPr>
            <w:tcMar>
              <w:left w:w="108" w:type="dxa"/>
              <w:top w:w="0" w:type="dxa"/>
              <w:right w:w="108" w:type="dxa"/>
              <w:bottom w:w="0" w:type="dxa"/>
            </w:tcMar>
            <w:tcW w:w="3498"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评分办法</w:t>
            </w:r>
            <w:r>
              <w:rPr>
                <w:color w:val="auto"/>
              </w:rPr>
            </w:r>
            <w:r/>
          </w:p>
        </w:tc>
        <w:tc>
          <w:tcPr>
            <w:tcMar>
              <w:left w:w="108" w:type="dxa"/>
              <w:top w:w="0" w:type="dxa"/>
              <w:right w:w="108" w:type="dxa"/>
              <w:bottom w:w="0" w:type="dxa"/>
            </w:tcMar>
            <w:tcW w:w="85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分值</w:t>
            </w:r>
            <w:r>
              <w:rPr>
                <w:color w:val="auto"/>
              </w:rPr>
            </w:r>
            <w:r/>
          </w:p>
        </w:tc>
        <w:tc>
          <w:tcPr>
            <w:tcMar>
              <w:left w:w="108" w:type="dxa"/>
              <w:top w:w="0" w:type="dxa"/>
              <w:right w:w="108" w:type="dxa"/>
              <w:bottom w:w="0" w:type="dxa"/>
            </w:tcMar>
            <w:tcW w:w="80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得分</w:t>
            </w:r>
            <w:r>
              <w:rPr>
                <w:color w:val="auto"/>
              </w:rPr>
            </w:r>
            <w:r/>
          </w:p>
        </w:tc>
        <w:tc>
          <w:tcPr>
            <w:tcMar>
              <w:left w:w="108" w:type="dxa"/>
              <w:top w:w="0" w:type="dxa"/>
              <w:right w:w="108" w:type="dxa"/>
              <w:bottom w:w="0" w:type="dxa"/>
            </w:tcMar>
            <w:tcW w:w="775" w:type="dxa"/>
            <w:vAlign w:val="center"/>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备注</w:t>
            </w:r>
            <w:r>
              <w:rPr>
                <w:color w:val="auto"/>
              </w:rPr>
            </w:r>
            <w:r/>
          </w:p>
        </w:tc>
      </w:tr>
      <w:tr>
        <w:trPr>
          <w:trHeight w:val="90"/>
        </w:trPr>
        <w:tc>
          <w:tcPr>
            <w:tcMar>
              <w:left w:w="108" w:type="dxa"/>
              <w:top w:w="0" w:type="dxa"/>
              <w:right w:w="108" w:type="dxa"/>
              <w:bottom w:w="0" w:type="dxa"/>
            </w:tcMar>
            <w:tcW w:w="1252" w:type="dxa"/>
            <w:vAlign w:val="top"/>
            <w:vMerge w:val="restart"/>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基础条件</w:t>
            </w:r>
            <w:r>
              <w:rPr>
                <w:color w:val="auto"/>
              </w:rPr>
            </w:r>
            <w:r/>
          </w:p>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8 分</w:t>
            </w:r>
            <w:r>
              <w:rPr>
                <w:color w:val="auto"/>
              </w:rPr>
            </w:r>
            <w:r/>
          </w:p>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Mar>
              <w:left w:w="108" w:type="dxa"/>
              <w:top w:w="0" w:type="dxa"/>
              <w:right w:w="108" w:type="dxa"/>
              <w:bottom w:w="0" w:type="dxa"/>
            </w:tcMar>
            <w:tcW w:w="3372" w:type="dxa"/>
            <w:vAlign w:val="top"/>
            <w:textDirection w:val="lrTb"/>
            <w:noWrap w:val="false"/>
          </w:tcPr>
          <w:p>
            <w:pPr>
              <w:pStyle w:val="948"/>
              <w:jc w:val="left"/>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①所有的登记证书均在合法范围内，合法运营，遵守国家法律、法规和政策，无违法违纪现象。</w:t>
            </w:r>
            <w:r>
              <w:rPr>
                <w:color w:val="auto"/>
              </w:rPr>
            </w:r>
            <w:r/>
          </w:p>
        </w:tc>
        <w:tc>
          <w:tcPr>
            <w:tcMar>
              <w:left w:w="108" w:type="dxa"/>
              <w:top w:w="0" w:type="dxa"/>
              <w:right w:w="108" w:type="dxa"/>
              <w:bottom w:w="0" w:type="dxa"/>
            </w:tcMar>
            <w:tcW w:w="3498" w:type="dxa"/>
            <w:vAlign w:val="top"/>
            <w:textDirection w:val="lrTb"/>
            <w:noWrap w:val="false"/>
          </w:tcPr>
          <w:p>
            <w:pPr>
              <w:pStyle w:val="948"/>
              <w:jc w:val="left"/>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有失信、违法行为、民非企业未及时年检或年检不合格、养老服务企业营业执照未及时年检的年度评价为不合格。</w:t>
            </w:r>
            <w:r>
              <w:rPr>
                <w:color w:val="auto"/>
              </w:rPr>
            </w:r>
            <w:r/>
          </w:p>
        </w:tc>
        <w:tc>
          <w:tcPr>
            <w:tcMar>
              <w:left w:w="108" w:type="dxa"/>
              <w:top w:w="0" w:type="dxa"/>
              <w:right w:w="108" w:type="dxa"/>
              <w:bottom w:w="0" w:type="dxa"/>
            </w:tcMar>
            <w:tcW w:w="85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3</w:t>
            </w:r>
            <w:r>
              <w:rPr>
                <w:color w:val="auto"/>
              </w:rPr>
            </w:r>
            <w:r/>
          </w:p>
        </w:tc>
        <w:tc>
          <w:tcPr>
            <w:tcMar>
              <w:left w:w="108" w:type="dxa"/>
              <w:top w:w="0" w:type="dxa"/>
              <w:right w:w="108" w:type="dxa"/>
              <w:bottom w:w="0" w:type="dxa"/>
            </w:tcMar>
            <w:tcW w:w="80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Mar>
              <w:left w:w="108" w:type="dxa"/>
              <w:top w:w="0" w:type="dxa"/>
              <w:right w:w="108" w:type="dxa"/>
              <w:bottom w:w="0" w:type="dxa"/>
            </w:tcMar>
            <w:tcW w:w="77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r>
      <w:tr>
        <w:trPr>
          <w:trHeight w:val="1230"/>
        </w:trPr>
        <w:tc>
          <w:tcPr>
            <w:tcMar>
              <w:left w:w="108" w:type="dxa"/>
              <w:top w:w="0" w:type="dxa"/>
              <w:right w:w="108" w:type="dxa"/>
              <w:bottom w:w="0" w:type="dxa"/>
            </w:tcMar>
            <w:tcW w:w="1252" w:type="dxa"/>
            <w:vAlign w:val="top"/>
            <w:vMerge w:val="continue"/>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372" w:type="dxa"/>
            <w:vAlign w:val="top"/>
            <w:textDirection w:val="lrTb"/>
            <w:noWrap w:val="false"/>
          </w:tcPr>
          <w:p>
            <w:pPr>
              <w:pStyle w:val="948"/>
              <w:jc w:val="left"/>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②固定服务管理场所的面积不少于20平方米，住所拥有产权或使用权，配备办公自动化设备、计算机网络。</w:t>
            </w:r>
            <w:r>
              <w:rPr>
                <w:color w:val="auto"/>
              </w:rPr>
            </w:r>
            <w:r/>
          </w:p>
        </w:tc>
        <w:tc>
          <w:tcPr>
            <w:tcMar>
              <w:left w:w="108" w:type="dxa"/>
              <w:top w:w="0" w:type="dxa"/>
              <w:right w:w="108" w:type="dxa"/>
              <w:bottom w:w="0" w:type="dxa"/>
            </w:tcMar>
            <w:tcW w:w="3498" w:type="dxa"/>
            <w:vAlign w:val="top"/>
            <w:textDirection w:val="lrTb"/>
            <w:noWrap w:val="false"/>
          </w:tcPr>
          <w:p>
            <w:pPr>
              <w:pStyle w:val="948"/>
              <w:jc w:val="left"/>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无固定服务场所的年度评价为不合格；面积小于标准该项不得分，设备不齐全的酌情扣分。</w:t>
            </w:r>
            <w:r>
              <w:rPr>
                <w:color w:val="auto"/>
              </w:rPr>
            </w:r>
            <w:r/>
          </w:p>
        </w:tc>
        <w:tc>
          <w:tcPr>
            <w:tcMar>
              <w:left w:w="108" w:type="dxa"/>
              <w:top w:w="0" w:type="dxa"/>
              <w:right w:w="108" w:type="dxa"/>
              <w:bottom w:w="0" w:type="dxa"/>
            </w:tcMar>
            <w:tcW w:w="85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2</w:t>
            </w:r>
            <w:r>
              <w:rPr>
                <w:color w:val="auto"/>
              </w:rPr>
            </w:r>
            <w:r/>
          </w:p>
        </w:tc>
        <w:tc>
          <w:tcPr>
            <w:tcMar>
              <w:left w:w="108" w:type="dxa"/>
              <w:top w:w="0" w:type="dxa"/>
              <w:right w:w="108" w:type="dxa"/>
              <w:bottom w:w="0" w:type="dxa"/>
            </w:tcMar>
            <w:tcW w:w="80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Mar>
              <w:left w:w="108" w:type="dxa"/>
              <w:top w:w="0" w:type="dxa"/>
              <w:right w:w="108" w:type="dxa"/>
              <w:bottom w:w="0" w:type="dxa"/>
            </w:tcMar>
            <w:tcW w:w="77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r>
      <w:tr>
        <w:trPr>
          <w:trHeight w:val="1025"/>
        </w:trPr>
        <w:tc>
          <w:tcPr>
            <w:tcMar>
              <w:left w:w="108" w:type="dxa"/>
              <w:top w:w="0" w:type="dxa"/>
              <w:right w:w="108" w:type="dxa"/>
              <w:bottom w:w="0" w:type="dxa"/>
            </w:tcMar>
            <w:tcW w:w="1252" w:type="dxa"/>
            <w:vAlign w:val="top"/>
            <w:vMerge w:val="continue"/>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372" w:type="dxa"/>
            <w:vAlign w:val="top"/>
            <w:textDirection w:val="lrTb"/>
            <w:noWrap w:val="false"/>
          </w:tcPr>
          <w:p>
            <w:pPr>
              <w:pStyle w:val="948"/>
              <w:jc w:val="left"/>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③在服务管理场所有居家上门服务的宣传氛围，包括但不限于宣传材料、锦旗等。</w:t>
            </w:r>
            <w:r>
              <w:rPr>
                <w:color w:val="auto"/>
              </w:rPr>
            </w:r>
            <w:r/>
          </w:p>
        </w:tc>
        <w:tc>
          <w:tcPr>
            <w:tcMar>
              <w:left w:w="108" w:type="dxa"/>
              <w:top w:w="0" w:type="dxa"/>
              <w:right w:w="108" w:type="dxa"/>
              <w:bottom w:w="0" w:type="dxa"/>
            </w:tcMar>
            <w:tcW w:w="3498" w:type="dxa"/>
            <w:vAlign w:val="top"/>
            <w:textDirection w:val="lrTb"/>
            <w:noWrap w:val="false"/>
          </w:tcPr>
          <w:p>
            <w:pPr>
              <w:pStyle w:val="948"/>
              <w:jc w:val="left"/>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无宣传资料的不得分；宣传资料少于2项的得1分。</w:t>
            </w:r>
            <w:r>
              <w:rPr>
                <w:color w:val="auto"/>
              </w:rPr>
            </w:r>
            <w:r/>
          </w:p>
        </w:tc>
        <w:tc>
          <w:tcPr>
            <w:tcMar>
              <w:left w:w="108" w:type="dxa"/>
              <w:top w:w="0" w:type="dxa"/>
              <w:right w:w="108" w:type="dxa"/>
              <w:bottom w:w="0" w:type="dxa"/>
            </w:tcMar>
            <w:tcW w:w="85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3</w:t>
            </w:r>
            <w:r>
              <w:rPr>
                <w:color w:val="auto"/>
              </w:rPr>
            </w:r>
            <w:r/>
          </w:p>
        </w:tc>
        <w:tc>
          <w:tcPr>
            <w:tcMar>
              <w:left w:w="108" w:type="dxa"/>
              <w:top w:w="0" w:type="dxa"/>
              <w:right w:w="108" w:type="dxa"/>
              <w:bottom w:w="0" w:type="dxa"/>
            </w:tcMar>
            <w:tcW w:w="80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Mar>
              <w:left w:w="108" w:type="dxa"/>
              <w:top w:w="0" w:type="dxa"/>
              <w:right w:w="108" w:type="dxa"/>
              <w:bottom w:w="0" w:type="dxa"/>
            </w:tcMar>
            <w:tcW w:w="77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r>
      <w:tr>
        <w:trPr>
          <w:trHeight w:val="1602"/>
        </w:trPr>
        <w:tc>
          <w:tcPr>
            <w:tcMar>
              <w:left w:w="108" w:type="dxa"/>
              <w:top w:w="0" w:type="dxa"/>
              <w:right w:w="108" w:type="dxa"/>
              <w:bottom w:w="0" w:type="dxa"/>
            </w:tcMar>
            <w:tcW w:w="1252" w:type="dxa"/>
            <w:vAlign w:val="top"/>
            <w:vMerge w:val="restart"/>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队伍建设 </w:t>
            </w:r>
            <w:r>
              <w:rPr>
                <w:color w:val="auto"/>
              </w:rPr>
            </w:r>
            <w:r/>
          </w:p>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7 分</w:t>
            </w:r>
            <w:r>
              <w:rPr>
                <w:color w:val="auto"/>
              </w:rPr>
            </w:r>
            <w:r/>
          </w:p>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Mar>
              <w:left w:w="108" w:type="dxa"/>
              <w:top w:w="0" w:type="dxa"/>
              <w:right w:w="108" w:type="dxa"/>
              <w:bottom w:w="0" w:type="dxa"/>
            </w:tcMar>
            <w:tcW w:w="3372" w:type="dxa"/>
            <w:vAlign w:val="top"/>
            <w:textDirection w:val="lrTb"/>
            <w:noWrap w:val="false"/>
          </w:tcPr>
          <w:p>
            <w:pPr>
              <w:pStyle w:val="948"/>
              <w:jc w:val="left"/>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①以区镇（街道）为单位，每个服务点位配备至少1名专职管理人员，需为大专及以上学历或1年以上养老服务领域的管理经验。</w:t>
            </w:r>
            <w:r>
              <w:rPr>
                <w:color w:val="auto"/>
              </w:rPr>
            </w:r>
            <w:r/>
          </w:p>
        </w:tc>
        <w:tc>
          <w:tcPr>
            <w:tcMar>
              <w:left w:w="108" w:type="dxa"/>
              <w:top w:w="0" w:type="dxa"/>
              <w:right w:w="108" w:type="dxa"/>
              <w:bottom w:w="0" w:type="dxa"/>
            </w:tcMar>
            <w:tcW w:w="3498" w:type="dxa"/>
            <w:vAlign w:val="top"/>
            <w:textDirection w:val="lrTb"/>
            <w:noWrap w:val="false"/>
          </w:tcPr>
          <w:p>
            <w:pPr>
              <w:pStyle w:val="948"/>
              <w:jc w:val="left"/>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无专职管理人员的该项不得分；无大专及以上学历或无1年以上养老服务领域管理经验的该项不得分。</w:t>
            </w:r>
            <w:r>
              <w:rPr>
                <w:color w:val="auto"/>
              </w:rPr>
            </w:r>
            <w:r/>
          </w:p>
        </w:tc>
        <w:tc>
          <w:tcPr>
            <w:tcMar>
              <w:left w:w="108" w:type="dxa"/>
              <w:top w:w="0" w:type="dxa"/>
              <w:right w:w="108" w:type="dxa"/>
              <w:bottom w:w="0" w:type="dxa"/>
            </w:tcMar>
            <w:tcW w:w="85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2</w:t>
            </w:r>
            <w:r>
              <w:rPr>
                <w:color w:val="auto"/>
              </w:rPr>
            </w:r>
            <w:r/>
          </w:p>
        </w:tc>
        <w:tc>
          <w:tcPr>
            <w:tcMar>
              <w:left w:w="108" w:type="dxa"/>
              <w:top w:w="0" w:type="dxa"/>
              <w:right w:w="108" w:type="dxa"/>
              <w:bottom w:w="0" w:type="dxa"/>
            </w:tcMar>
            <w:tcW w:w="80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Mar>
              <w:left w:w="108" w:type="dxa"/>
              <w:top w:w="0" w:type="dxa"/>
              <w:right w:w="108" w:type="dxa"/>
              <w:bottom w:w="0" w:type="dxa"/>
            </w:tcMar>
            <w:tcW w:w="77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r>
      <w:tr>
        <w:trPr>
          <w:trHeight w:val="2209"/>
        </w:trPr>
        <w:tc>
          <w:tcPr>
            <w:tcMar>
              <w:left w:w="108" w:type="dxa"/>
              <w:top w:w="0" w:type="dxa"/>
              <w:right w:w="108" w:type="dxa"/>
              <w:bottom w:w="0" w:type="dxa"/>
            </w:tcMar>
            <w:tcW w:w="1252" w:type="dxa"/>
            <w:vAlign w:val="top"/>
            <w:vMerge w:val="continue"/>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372" w:type="dxa"/>
            <w:vAlign w:val="top"/>
            <w:textDirection w:val="lrTb"/>
            <w:noWrap w:val="false"/>
          </w:tcPr>
          <w:p>
            <w:pPr>
              <w:pStyle w:val="948"/>
              <w:jc w:val="left"/>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②有专业服务队伍，服务人员数量应与自身能力与服务需求相匹配，服务人员必须遵守职业道德，服务人员平均年龄在 55周岁以下，最大年龄不得超过67周岁。有岗前培训证明、健康证等。</w:t>
            </w:r>
            <w:r>
              <w:rPr>
                <w:color w:val="auto"/>
              </w:rPr>
            </w:r>
            <w:r/>
          </w:p>
        </w:tc>
        <w:tc>
          <w:tcPr>
            <w:tcMar>
              <w:left w:w="108" w:type="dxa"/>
              <w:top w:w="0" w:type="dxa"/>
              <w:right w:w="108" w:type="dxa"/>
              <w:bottom w:w="0" w:type="dxa"/>
            </w:tcMar>
            <w:tcW w:w="3498" w:type="dxa"/>
            <w:vAlign w:val="top"/>
            <w:textDirection w:val="lrTb"/>
            <w:noWrap w:val="false"/>
          </w:tcPr>
          <w:p>
            <w:pPr>
              <w:pStyle w:val="948"/>
              <w:jc w:val="left"/>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服务人员年龄超过67周岁或平均年龄超过55周岁的，该项不得分；无岗前培训及有效期内健康 证的发现1个扣1分；若发现服务人员有违职业道德等现象，队伍建设不得分。</w:t>
            </w:r>
            <w:r>
              <w:rPr>
                <w:color w:val="auto"/>
              </w:rPr>
            </w:r>
            <w:r/>
          </w:p>
        </w:tc>
        <w:tc>
          <w:tcPr>
            <w:tcMar>
              <w:left w:w="108" w:type="dxa"/>
              <w:top w:w="0" w:type="dxa"/>
              <w:right w:w="108" w:type="dxa"/>
              <w:bottom w:w="0" w:type="dxa"/>
            </w:tcMar>
            <w:tcW w:w="85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5</w:t>
            </w:r>
            <w:r>
              <w:rPr>
                <w:color w:val="auto"/>
              </w:rPr>
            </w:r>
            <w:r/>
          </w:p>
        </w:tc>
        <w:tc>
          <w:tcPr>
            <w:tcMar>
              <w:left w:w="108" w:type="dxa"/>
              <w:top w:w="0" w:type="dxa"/>
              <w:right w:w="108" w:type="dxa"/>
              <w:bottom w:w="0" w:type="dxa"/>
            </w:tcMar>
            <w:tcW w:w="80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Mar>
              <w:left w:w="108" w:type="dxa"/>
              <w:top w:w="0" w:type="dxa"/>
              <w:right w:w="108" w:type="dxa"/>
              <w:bottom w:w="0" w:type="dxa"/>
            </w:tcMar>
            <w:tcW w:w="77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r>
      <w:tr>
        <w:trPr>
          <w:trHeight w:val="1232"/>
        </w:trPr>
        <w:tc>
          <w:tcPr>
            <w:tcMar>
              <w:left w:w="108" w:type="dxa"/>
              <w:top w:w="0" w:type="dxa"/>
              <w:right w:w="108" w:type="dxa"/>
              <w:bottom w:w="0" w:type="dxa"/>
            </w:tcMar>
            <w:tcW w:w="1252" w:type="dxa"/>
            <w:vAlign w:val="top"/>
            <w:vMerge w:val="restart"/>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内部管理 </w:t>
            </w:r>
            <w:r>
              <w:rPr>
                <w:color w:val="auto"/>
              </w:rPr>
            </w:r>
            <w:r/>
          </w:p>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25 分</w:t>
            </w:r>
            <w:r>
              <w:rPr>
                <w:color w:val="auto"/>
              </w:rPr>
            </w:r>
            <w:r/>
          </w:p>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Mar>
              <w:left w:w="108" w:type="dxa"/>
              <w:top w:w="0" w:type="dxa"/>
              <w:right w:w="108" w:type="dxa"/>
              <w:bottom w:w="0" w:type="dxa"/>
            </w:tcMar>
            <w:tcW w:w="3372" w:type="dxa"/>
            <w:vAlign w:val="top"/>
            <w:textDirection w:val="lrTb"/>
            <w:noWrap w:val="false"/>
          </w:tcPr>
          <w:p>
            <w:pPr>
              <w:pStyle w:val="948"/>
              <w:jc w:val="left"/>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①建立人员聘用制度、签订劳（务）动合同，落实社会保险，员工应保尽保。为服务人员购买意外保险。</w:t>
            </w:r>
            <w:r>
              <w:rPr>
                <w:color w:val="auto"/>
              </w:rPr>
            </w:r>
            <w:r/>
          </w:p>
        </w:tc>
        <w:tc>
          <w:tcPr>
            <w:tcMar>
              <w:left w:w="108" w:type="dxa"/>
              <w:top w:w="0" w:type="dxa"/>
              <w:right w:w="108" w:type="dxa"/>
              <w:bottom w:w="0" w:type="dxa"/>
            </w:tcMar>
            <w:tcW w:w="3498" w:type="dxa"/>
            <w:vAlign w:val="top"/>
            <w:textDirection w:val="lrTb"/>
            <w:noWrap w:val="false"/>
          </w:tcPr>
          <w:p>
            <w:pPr>
              <w:pStyle w:val="948"/>
              <w:jc w:val="left"/>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签订劳（务）动合同未达到100%不得分；社会保险缴纳记录少1 个扣2分；服务人员意外保险购买记录少1个扣2分。</w:t>
            </w:r>
            <w:r>
              <w:rPr>
                <w:color w:val="auto"/>
              </w:rPr>
            </w:r>
            <w:r/>
          </w:p>
        </w:tc>
        <w:tc>
          <w:tcPr>
            <w:tcMar>
              <w:left w:w="108" w:type="dxa"/>
              <w:top w:w="0" w:type="dxa"/>
              <w:right w:w="108" w:type="dxa"/>
              <w:bottom w:w="0" w:type="dxa"/>
            </w:tcMar>
            <w:tcW w:w="85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5</w:t>
            </w:r>
            <w:r>
              <w:rPr>
                <w:color w:val="auto"/>
              </w:rPr>
            </w:r>
            <w:r/>
          </w:p>
        </w:tc>
        <w:tc>
          <w:tcPr>
            <w:tcMar>
              <w:left w:w="108" w:type="dxa"/>
              <w:top w:w="0" w:type="dxa"/>
              <w:right w:w="108" w:type="dxa"/>
              <w:bottom w:w="0" w:type="dxa"/>
            </w:tcMar>
            <w:tcW w:w="80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Mar>
              <w:left w:w="108" w:type="dxa"/>
              <w:top w:w="0" w:type="dxa"/>
              <w:right w:w="108" w:type="dxa"/>
              <w:bottom w:w="0" w:type="dxa"/>
            </w:tcMar>
            <w:tcW w:w="77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r>
      <w:tr>
        <w:trPr>
          <w:trHeight w:val="1247"/>
        </w:trPr>
        <w:tc>
          <w:tcPr>
            <w:tcMar>
              <w:left w:w="108" w:type="dxa"/>
              <w:top w:w="0" w:type="dxa"/>
              <w:right w:w="108" w:type="dxa"/>
              <w:bottom w:w="0" w:type="dxa"/>
            </w:tcMar>
            <w:tcW w:w="1252" w:type="dxa"/>
            <w:vAlign w:val="top"/>
            <w:vMerge w:val="continue"/>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372" w:type="dxa"/>
            <w:vAlign w:val="top"/>
            <w:textDirection w:val="lrTb"/>
            <w:noWrap w:val="false"/>
          </w:tcPr>
          <w:p>
            <w:pPr>
              <w:pStyle w:val="948"/>
              <w:jc w:val="left"/>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②有完善的人员管理制度，包括疫情防控、薪酬 管理、考核奖惩、培训、风险管控等制度并有效落实。</w:t>
            </w:r>
            <w:r>
              <w:rPr>
                <w:color w:val="auto"/>
              </w:rPr>
            </w:r>
            <w:r/>
          </w:p>
        </w:tc>
        <w:tc>
          <w:tcPr>
            <w:tcMar>
              <w:left w:w="108" w:type="dxa"/>
              <w:top w:w="0" w:type="dxa"/>
              <w:right w:w="108" w:type="dxa"/>
              <w:bottom w:w="0" w:type="dxa"/>
            </w:tcMar>
            <w:tcW w:w="3498" w:type="dxa"/>
            <w:vAlign w:val="top"/>
            <w:textDirection w:val="lrTb"/>
            <w:noWrap w:val="false"/>
          </w:tcPr>
          <w:p>
            <w:pPr>
              <w:pStyle w:val="948"/>
              <w:jc w:val="left"/>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制度少1项扣1分。有制度未落实或泄露老人信息，内部管理不得分。人员工资收入低于当地最 低工资标准的年度评价不合格。</w:t>
            </w:r>
            <w:r>
              <w:rPr>
                <w:color w:val="auto"/>
              </w:rPr>
            </w:r>
            <w:r/>
          </w:p>
        </w:tc>
        <w:tc>
          <w:tcPr>
            <w:tcMar>
              <w:left w:w="108" w:type="dxa"/>
              <w:top w:w="0" w:type="dxa"/>
              <w:right w:w="108" w:type="dxa"/>
              <w:bottom w:w="0" w:type="dxa"/>
            </w:tcMar>
            <w:tcW w:w="85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5</w:t>
            </w:r>
            <w:r>
              <w:rPr>
                <w:color w:val="auto"/>
              </w:rPr>
            </w:r>
            <w:r/>
          </w:p>
        </w:tc>
        <w:tc>
          <w:tcPr>
            <w:tcMar>
              <w:left w:w="108" w:type="dxa"/>
              <w:top w:w="0" w:type="dxa"/>
              <w:right w:w="108" w:type="dxa"/>
              <w:bottom w:w="0" w:type="dxa"/>
            </w:tcMar>
            <w:tcW w:w="80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Mar>
              <w:left w:w="108" w:type="dxa"/>
              <w:top w:w="0" w:type="dxa"/>
              <w:right w:w="108" w:type="dxa"/>
              <w:bottom w:w="0" w:type="dxa"/>
            </w:tcMar>
            <w:tcW w:w="77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r>
      <w:tr>
        <w:trPr>
          <w:trHeight w:val="2163"/>
        </w:trPr>
        <w:tc>
          <w:tcPr>
            <w:tcMar>
              <w:left w:w="108" w:type="dxa"/>
              <w:top w:w="0" w:type="dxa"/>
              <w:right w:w="108" w:type="dxa"/>
              <w:bottom w:w="0" w:type="dxa"/>
            </w:tcMar>
            <w:tcW w:w="1252" w:type="dxa"/>
            <w:vAlign w:val="top"/>
            <w:vMerge w:val="continue"/>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372" w:type="dxa"/>
            <w:vAlign w:val="top"/>
            <w:textDirection w:val="lrTb"/>
            <w:noWrap w:val="false"/>
          </w:tcPr>
          <w:p>
            <w:pPr>
              <w:pStyle w:val="948"/>
              <w:jc w:val="left"/>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③有年度工作计划和总结，制定业务活动方案并有效落实；建立投诉处理机制，及时落实整改； 积极配合市虚拟养老院开展相关工作。</w:t>
            </w:r>
            <w:r>
              <w:rPr>
                <w:color w:val="auto"/>
              </w:rPr>
            </w:r>
            <w:r/>
          </w:p>
        </w:tc>
        <w:tc>
          <w:tcPr>
            <w:tcMar>
              <w:left w:w="108" w:type="dxa"/>
              <w:top w:w="0" w:type="dxa"/>
              <w:right w:w="108" w:type="dxa"/>
              <w:bottom w:w="0" w:type="dxa"/>
            </w:tcMar>
            <w:tcW w:w="3498" w:type="dxa"/>
            <w:vAlign w:val="top"/>
            <w:textDirection w:val="lrTb"/>
            <w:noWrap w:val="false"/>
          </w:tcPr>
          <w:p>
            <w:pPr>
              <w:pStyle w:val="948"/>
              <w:jc w:val="left"/>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无年度工作计划和总结各扣2分；无开展业务活动扣3分；有活动无方案无总结各扣1分；无投诉处理机制或未按投诉处理机制处理的不得分；不配合市虚拟养老院开展相关工作的酌情扣分。</w:t>
            </w:r>
            <w:r>
              <w:rPr>
                <w:color w:val="auto"/>
              </w:rPr>
            </w:r>
            <w:r/>
          </w:p>
        </w:tc>
        <w:tc>
          <w:tcPr>
            <w:tcMar>
              <w:left w:w="108" w:type="dxa"/>
              <w:top w:w="0" w:type="dxa"/>
              <w:right w:w="108" w:type="dxa"/>
              <w:bottom w:w="0" w:type="dxa"/>
            </w:tcMar>
            <w:tcW w:w="85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5</w:t>
            </w:r>
            <w:r>
              <w:rPr>
                <w:color w:val="auto"/>
              </w:rPr>
            </w:r>
            <w:r/>
          </w:p>
        </w:tc>
        <w:tc>
          <w:tcPr>
            <w:tcMar>
              <w:left w:w="108" w:type="dxa"/>
              <w:top w:w="0" w:type="dxa"/>
              <w:right w:w="108" w:type="dxa"/>
              <w:bottom w:w="0" w:type="dxa"/>
            </w:tcMar>
            <w:tcW w:w="80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Mar>
              <w:left w:w="108" w:type="dxa"/>
              <w:top w:w="0" w:type="dxa"/>
              <w:right w:w="108" w:type="dxa"/>
              <w:bottom w:w="0" w:type="dxa"/>
            </w:tcMar>
            <w:tcW w:w="77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r>
      <w:tr>
        <w:trPr>
          <w:trHeight w:val="624"/>
        </w:trPr>
        <w:tc>
          <w:tcPr>
            <w:tcMar>
              <w:left w:w="108" w:type="dxa"/>
              <w:top w:w="0" w:type="dxa"/>
              <w:right w:w="108" w:type="dxa"/>
              <w:bottom w:w="0" w:type="dxa"/>
            </w:tcMar>
            <w:tcW w:w="1252" w:type="dxa"/>
            <w:vAlign w:val="top"/>
            <w:vMerge w:val="continue"/>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372" w:type="dxa"/>
            <w:vAlign w:val="top"/>
            <w:textDirection w:val="lrTb"/>
            <w:noWrap w:val="false"/>
          </w:tcPr>
          <w:p>
            <w:pPr>
              <w:pStyle w:val="948"/>
              <w:jc w:val="left"/>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④服务人员每年接受在岗专业培训不少于6次，每次不少于2小时，培训记录完整。</w:t>
            </w:r>
            <w:r>
              <w:rPr>
                <w:color w:val="auto"/>
              </w:rPr>
            </w:r>
            <w:r/>
          </w:p>
        </w:tc>
        <w:tc>
          <w:tcPr>
            <w:tcMar>
              <w:left w:w="108" w:type="dxa"/>
              <w:top w:w="0" w:type="dxa"/>
              <w:right w:w="108" w:type="dxa"/>
              <w:bottom w:w="0" w:type="dxa"/>
            </w:tcMar>
            <w:tcW w:w="3498" w:type="dxa"/>
            <w:vAlign w:val="top"/>
            <w:textDirection w:val="lrTb"/>
            <w:noWrap w:val="false"/>
          </w:tcPr>
          <w:p>
            <w:pPr>
              <w:pStyle w:val="948"/>
              <w:jc w:val="left"/>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次数或时长不足该项不得分，有一人未达到培训要求的扣1分，以此类推。</w:t>
            </w:r>
            <w:r>
              <w:rPr>
                <w:color w:val="auto"/>
              </w:rPr>
            </w:r>
            <w:r/>
          </w:p>
        </w:tc>
        <w:tc>
          <w:tcPr>
            <w:tcMar>
              <w:left w:w="108" w:type="dxa"/>
              <w:top w:w="0" w:type="dxa"/>
              <w:right w:w="108" w:type="dxa"/>
              <w:bottom w:w="0" w:type="dxa"/>
            </w:tcMar>
            <w:tcW w:w="85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5</w:t>
            </w:r>
            <w:r>
              <w:rPr>
                <w:color w:val="auto"/>
              </w:rPr>
            </w:r>
            <w:r/>
          </w:p>
        </w:tc>
        <w:tc>
          <w:tcPr>
            <w:tcMar>
              <w:left w:w="108" w:type="dxa"/>
              <w:top w:w="0" w:type="dxa"/>
              <w:right w:w="108" w:type="dxa"/>
              <w:bottom w:w="0" w:type="dxa"/>
            </w:tcMar>
            <w:tcW w:w="80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Mar>
              <w:left w:w="108" w:type="dxa"/>
              <w:top w:w="0" w:type="dxa"/>
              <w:right w:w="108" w:type="dxa"/>
              <w:bottom w:w="0" w:type="dxa"/>
            </w:tcMar>
            <w:tcW w:w="77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r>
      <w:tr>
        <w:trPr>
          <w:trHeight w:val="995"/>
        </w:trPr>
        <w:tc>
          <w:tcPr>
            <w:tcMar>
              <w:left w:w="108" w:type="dxa"/>
              <w:top w:w="0" w:type="dxa"/>
              <w:right w:w="108" w:type="dxa"/>
              <w:bottom w:w="0" w:type="dxa"/>
            </w:tcMar>
            <w:tcW w:w="1252" w:type="dxa"/>
            <w:vAlign w:val="top"/>
            <w:vMerge w:val="continue"/>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372" w:type="dxa"/>
            <w:vAlign w:val="top"/>
            <w:textDirection w:val="lrTb"/>
            <w:noWrap w:val="false"/>
          </w:tcPr>
          <w:p>
            <w:pPr>
              <w:pStyle w:val="948"/>
              <w:jc w:val="left"/>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⑤员工离职及时在系统里操作失效。</w:t>
            </w:r>
            <w:r>
              <w:rPr>
                <w:color w:val="auto"/>
              </w:rPr>
            </w:r>
            <w:r/>
          </w:p>
        </w:tc>
        <w:tc>
          <w:tcPr>
            <w:tcMar>
              <w:left w:w="108" w:type="dxa"/>
              <w:top w:w="0" w:type="dxa"/>
              <w:right w:w="108" w:type="dxa"/>
              <w:bottom w:w="0" w:type="dxa"/>
            </w:tcMar>
            <w:tcW w:w="3498" w:type="dxa"/>
            <w:vAlign w:val="top"/>
            <w:textDirection w:val="lrTb"/>
            <w:noWrap w:val="false"/>
          </w:tcPr>
          <w:p>
            <w:pPr>
              <w:pStyle w:val="948"/>
              <w:jc w:val="left"/>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员工离职未及时操作失效发现1 例扣1分；离职后仍有工单上传的该项不得分。</w:t>
            </w:r>
            <w:r>
              <w:rPr>
                <w:color w:val="auto"/>
              </w:rPr>
            </w:r>
            <w:r/>
          </w:p>
        </w:tc>
        <w:tc>
          <w:tcPr>
            <w:tcMar>
              <w:left w:w="108" w:type="dxa"/>
              <w:top w:w="0" w:type="dxa"/>
              <w:right w:w="108" w:type="dxa"/>
              <w:bottom w:w="0" w:type="dxa"/>
            </w:tcMar>
            <w:tcW w:w="85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5</w:t>
            </w:r>
            <w:r>
              <w:rPr>
                <w:color w:val="auto"/>
              </w:rPr>
            </w:r>
            <w:r/>
          </w:p>
        </w:tc>
        <w:tc>
          <w:tcPr>
            <w:tcMar>
              <w:left w:w="108" w:type="dxa"/>
              <w:top w:w="0" w:type="dxa"/>
              <w:right w:w="108" w:type="dxa"/>
              <w:bottom w:w="0" w:type="dxa"/>
            </w:tcMar>
            <w:tcW w:w="80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Mar>
              <w:left w:w="108" w:type="dxa"/>
              <w:top w:w="0" w:type="dxa"/>
              <w:right w:w="108" w:type="dxa"/>
              <w:bottom w:w="0" w:type="dxa"/>
            </w:tcMar>
            <w:tcW w:w="77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r>
      <w:tr>
        <w:trPr>
          <w:trHeight w:val="1547"/>
        </w:trPr>
        <w:tc>
          <w:tcPr>
            <w:tcMar>
              <w:left w:w="108" w:type="dxa"/>
              <w:top w:w="0" w:type="dxa"/>
              <w:right w:w="108" w:type="dxa"/>
              <w:bottom w:w="0" w:type="dxa"/>
            </w:tcMar>
            <w:tcW w:w="1252" w:type="dxa"/>
            <w:vAlign w:val="top"/>
            <w:vMerge w:val="restart"/>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服务成效 </w:t>
            </w:r>
            <w:r>
              <w:rPr>
                <w:color w:val="auto"/>
              </w:rPr>
            </w:r>
            <w:r/>
          </w:p>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60 分</w:t>
            </w:r>
            <w:r>
              <w:rPr>
                <w:color w:val="auto"/>
              </w:rPr>
            </w:r>
            <w:r/>
          </w:p>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p>
            <w:pPr>
              <w:pStyle w:val="948"/>
              <w:jc w:val="right"/>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Mar>
              <w:left w:w="108" w:type="dxa"/>
              <w:top w:w="0" w:type="dxa"/>
              <w:right w:w="108" w:type="dxa"/>
              <w:bottom w:w="0" w:type="dxa"/>
            </w:tcMar>
            <w:tcW w:w="3372" w:type="dxa"/>
            <w:vAlign w:val="top"/>
            <w:textDirection w:val="lrTb"/>
            <w:noWrap w:val="false"/>
          </w:tcPr>
          <w:p>
            <w:pPr>
              <w:pStyle w:val="948"/>
              <w:jc w:val="left"/>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①按照计划工单提供服务，不得随意更改。按规范服务流程完成服务，未经市虚拟养老院同意不得录入工单。</w:t>
            </w:r>
            <w:r>
              <w:rPr>
                <w:color w:val="auto"/>
              </w:rPr>
            </w:r>
            <w:r/>
          </w:p>
        </w:tc>
        <w:tc>
          <w:tcPr>
            <w:tcMar>
              <w:left w:w="108" w:type="dxa"/>
              <w:top w:w="0" w:type="dxa"/>
              <w:right w:w="108" w:type="dxa"/>
              <w:bottom w:w="0" w:type="dxa"/>
            </w:tcMar>
            <w:tcW w:w="3498" w:type="dxa"/>
            <w:vAlign w:val="top"/>
            <w:textDirection w:val="lrTb"/>
            <w:noWrap w:val="false"/>
          </w:tcPr>
          <w:p>
            <w:pPr>
              <w:pStyle w:val="948"/>
              <w:jc w:val="left"/>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经与服务对象核实，未与服务对象沟通而随意更改服务计划的发现1例扣1分；未按流程服务， 随意录入工单的发现1例扣1分。</w:t>
            </w:r>
            <w:r>
              <w:rPr>
                <w:color w:val="auto"/>
              </w:rPr>
            </w:r>
            <w:r/>
          </w:p>
        </w:tc>
        <w:tc>
          <w:tcPr>
            <w:tcMar>
              <w:left w:w="108" w:type="dxa"/>
              <w:top w:w="0" w:type="dxa"/>
              <w:right w:w="108" w:type="dxa"/>
              <w:bottom w:w="0" w:type="dxa"/>
            </w:tcMar>
            <w:tcW w:w="85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10</w:t>
            </w:r>
            <w:r>
              <w:rPr>
                <w:color w:val="auto"/>
              </w:rPr>
            </w:r>
            <w:r/>
          </w:p>
        </w:tc>
        <w:tc>
          <w:tcPr>
            <w:tcMar>
              <w:left w:w="108" w:type="dxa"/>
              <w:top w:w="0" w:type="dxa"/>
              <w:right w:w="108" w:type="dxa"/>
              <w:bottom w:w="0" w:type="dxa"/>
            </w:tcMar>
            <w:tcW w:w="80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Mar>
              <w:left w:w="108" w:type="dxa"/>
              <w:top w:w="0" w:type="dxa"/>
              <w:right w:w="108" w:type="dxa"/>
              <w:bottom w:w="0" w:type="dxa"/>
            </w:tcMar>
            <w:tcW w:w="77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r>
      <w:tr>
        <w:trPr>
          <w:trHeight w:val="2513"/>
        </w:trPr>
        <w:tc>
          <w:tcPr>
            <w:tcMar>
              <w:left w:w="108" w:type="dxa"/>
              <w:top w:w="0" w:type="dxa"/>
              <w:right w:w="108" w:type="dxa"/>
              <w:bottom w:w="0" w:type="dxa"/>
            </w:tcMar>
            <w:tcW w:w="1252" w:type="dxa"/>
            <w:vAlign w:val="top"/>
            <w:vMerge w:val="continue"/>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372" w:type="dxa"/>
            <w:vAlign w:val="top"/>
            <w:textDirection w:val="lrTb"/>
            <w:noWrap w:val="false"/>
          </w:tcPr>
          <w:p>
            <w:pPr>
              <w:pStyle w:val="948"/>
              <w:jc w:val="left"/>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②按服务对象情况制定覆盖全部服务对象的月度服务计划，对未列入正常服务计划的服务对象情况报市虚拟养老院审核；按照正常服务计划确保每月计划工单服务率100%。无故暂停的需在三个月内进行补单服务。</w:t>
            </w:r>
            <w:r>
              <w:rPr>
                <w:color w:val="auto"/>
              </w:rPr>
            </w:r>
            <w:r/>
          </w:p>
        </w:tc>
        <w:tc>
          <w:tcPr>
            <w:tcMar>
              <w:left w:w="108" w:type="dxa"/>
              <w:top w:w="0" w:type="dxa"/>
              <w:right w:w="108" w:type="dxa"/>
              <w:bottom w:w="0" w:type="dxa"/>
            </w:tcMar>
            <w:tcW w:w="3498" w:type="dxa"/>
            <w:vAlign w:val="top"/>
            <w:textDirection w:val="lrTb"/>
            <w:noWrap w:val="false"/>
          </w:tcPr>
          <w:p>
            <w:pPr>
              <w:pStyle w:val="948"/>
              <w:jc w:val="left"/>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服务率未达100%的该项不得分；无故暂停服务的，发现1例扣1 分。经审核，未按计划服务的发现1例扣1分。无故暂停未在三个月内进行补单服务的年度评价为不合格。</w:t>
            </w:r>
            <w:r>
              <w:rPr>
                <w:color w:val="auto"/>
              </w:rPr>
            </w:r>
            <w:r/>
          </w:p>
        </w:tc>
        <w:tc>
          <w:tcPr>
            <w:tcMar>
              <w:left w:w="108" w:type="dxa"/>
              <w:top w:w="0" w:type="dxa"/>
              <w:right w:w="108" w:type="dxa"/>
              <w:bottom w:w="0" w:type="dxa"/>
            </w:tcMar>
            <w:tcW w:w="85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15</w:t>
            </w:r>
            <w:r>
              <w:rPr>
                <w:color w:val="auto"/>
              </w:rPr>
            </w:r>
            <w:r/>
          </w:p>
        </w:tc>
        <w:tc>
          <w:tcPr>
            <w:tcMar>
              <w:left w:w="108" w:type="dxa"/>
              <w:top w:w="0" w:type="dxa"/>
              <w:right w:w="108" w:type="dxa"/>
              <w:bottom w:w="0" w:type="dxa"/>
            </w:tcMar>
            <w:tcW w:w="80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Mar>
              <w:left w:w="108" w:type="dxa"/>
              <w:top w:w="0" w:type="dxa"/>
              <w:right w:w="108" w:type="dxa"/>
              <w:bottom w:w="0" w:type="dxa"/>
            </w:tcMar>
            <w:tcW w:w="77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r>
      <w:tr>
        <w:trPr>
          <w:trHeight w:val="1959"/>
        </w:trPr>
        <w:tc>
          <w:tcPr>
            <w:tcMar>
              <w:left w:w="108" w:type="dxa"/>
              <w:top w:w="0" w:type="dxa"/>
              <w:right w:w="108" w:type="dxa"/>
              <w:bottom w:w="0" w:type="dxa"/>
            </w:tcMar>
            <w:tcW w:w="1252" w:type="dxa"/>
            <w:vAlign w:val="top"/>
            <w:vMerge w:val="continue"/>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372" w:type="dxa"/>
            <w:vAlign w:val="top"/>
            <w:textDirection w:val="lrTb"/>
            <w:noWrap w:val="false"/>
          </w:tcPr>
          <w:p>
            <w:pPr>
              <w:pStyle w:val="948"/>
              <w:jc w:val="left"/>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③服务多样化，能响应市虚拟养老院的服务项目，按老人需求提供服务。按时服务类金额结算比例不得低于结算总额的 30%。</w:t>
            </w:r>
            <w:r>
              <w:rPr>
                <w:color w:val="auto"/>
              </w:rPr>
            </w:r>
            <w:r/>
          </w:p>
        </w:tc>
        <w:tc>
          <w:tcPr>
            <w:tcMar>
              <w:left w:w="108" w:type="dxa"/>
              <w:top w:w="0" w:type="dxa"/>
              <w:right w:w="108" w:type="dxa"/>
              <w:bottom w:w="0" w:type="dxa"/>
            </w:tcMar>
            <w:tcW w:w="3498" w:type="dxa"/>
            <w:vAlign w:val="top"/>
            <w:textDirection w:val="lrTb"/>
            <w:noWrap w:val="false"/>
          </w:tcPr>
          <w:p>
            <w:pPr>
              <w:pStyle w:val="948"/>
              <w:jc w:val="left"/>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根据市虚拟养老院提供的服务项目，不能响应的超5项以上的该项不得分；未按老人需求提供服务发现1例扣1分。按时服务类金额结算比例低于结算总额的30%该项不得分。</w:t>
            </w:r>
            <w:r>
              <w:rPr>
                <w:color w:val="auto"/>
              </w:rPr>
            </w:r>
            <w:r/>
          </w:p>
        </w:tc>
        <w:tc>
          <w:tcPr>
            <w:tcMar>
              <w:left w:w="108" w:type="dxa"/>
              <w:top w:w="0" w:type="dxa"/>
              <w:right w:w="108" w:type="dxa"/>
              <w:bottom w:w="0" w:type="dxa"/>
            </w:tcMar>
            <w:tcW w:w="85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10</w:t>
            </w:r>
            <w:r>
              <w:rPr>
                <w:color w:val="auto"/>
              </w:rPr>
            </w:r>
            <w:r/>
          </w:p>
        </w:tc>
        <w:tc>
          <w:tcPr>
            <w:tcMar>
              <w:left w:w="108" w:type="dxa"/>
              <w:top w:w="0" w:type="dxa"/>
              <w:right w:w="108" w:type="dxa"/>
              <w:bottom w:w="0" w:type="dxa"/>
            </w:tcMar>
            <w:tcW w:w="80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Mar>
              <w:left w:w="108" w:type="dxa"/>
              <w:top w:w="0" w:type="dxa"/>
              <w:right w:w="108" w:type="dxa"/>
              <w:bottom w:w="0" w:type="dxa"/>
            </w:tcMar>
            <w:tcW w:w="77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r>
      <w:tr>
        <w:trPr>
          <w:trHeight w:val="1647"/>
        </w:trPr>
        <w:tc>
          <w:tcPr>
            <w:tcMar>
              <w:left w:w="108" w:type="dxa"/>
              <w:top w:w="0" w:type="dxa"/>
              <w:right w:w="108" w:type="dxa"/>
              <w:bottom w:w="0" w:type="dxa"/>
            </w:tcMar>
            <w:tcW w:w="1252" w:type="dxa"/>
            <w:vAlign w:val="top"/>
            <w:vMerge w:val="continue"/>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372" w:type="dxa"/>
            <w:vAlign w:val="top"/>
            <w:textDirection w:val="lrTb"/>
            <w:noWrap w:val="false"/>
          </w:tcPr>
          <w:p>
            <w:pPr>
              <w:pStyle w:val="948"/>
              <w:jc w:val="left"/>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④服务对象和群众对服务效率、态度、质量、效果等满意率达99%以上。不得变相诱导索要好评、 辱骂或对服务对象人身攻击。</w:t>
            </w:r>
            <w:r>
              <w:rPr>
                <w:color w:val="auto"/>
              </w:rPr>
            </w:r>
            <w:r/>
          </w:p>
        </w:tc>
        <w:tc>
          <w:tcPr>
            <w:tcMar>
              <w:left w:w="108" w:type="dxa"/>
              <w:top w:w="0" w:type="dxa"/>
              <w:right w:w="108" w:type="dxa"/>
              <w:bottom w:w="0" w:type="dxa"/>
            </w:tcMar>
            <w:tcW w:w="3498" w:type="dxa"/>
            <w:vAlign w:val="top"/>
            <w:textDirection w:val="lrTb"/>
            <w:noWrap w:val="false"/>
          </w:tcPr>
          <w:p>
            <w:pPr>
              <w:pStyle w:val="948"/>
              <w:jc w:val="left"/>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满意率低于99%或年度有效不满意单超过3单该项不得分；有变相诱导索要好评、辱骂、对服务 对象人身攻击的该项不得分。</w:t>
            </w:r>
            <w:r>
              <w:rPr>
                <w:color w:val="auto"/>
              </w:rPr>
            </w:r>
            <w:r/>
          </w:p>
        </w:tc>
        <w:tc>
          <w:tcPr>
            <w:tcMar>
              <w:left w:w="108" w:type="dxa"/>
              <w:top w:w="0" w:type="dxa"/>
              <w:right w:w="108" w:type="dxa"/>
              <w:bottom w:w="0" w:type="dxa"/>
            </w:tcMar>
            <w:tcW w:w="85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5</w:t>
            </w:r>
            <w:r>
              <w:rPr>
                <w:color w:val="auto"/>
              </w:rPr>
            </w:r>
            <w:r/>
          </w:p>
        </w:tc>
        <w:tc>
          <w:tcPr>
            <w:tcMar>
              <w:left w:w="108" w:type="dxa"/>
              <w:top w:w="0" w:type="dxa"/>
              <w:right w:w="108" w:type="dxa"/>
              <w:bottom w:w="0" w:type="dxa"/>
            </w:tcMar>
            <w:tcW w:w="80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Mar>
              <w:left w:w="108" w:type="dxa"/>
              <w:top w:w="0" w:type="dxa"/>
              <w:right w:w="108" w:type="dxa"/>
              <w:bottom w:w="0" w:type="dxa"/>
            </w:tcMar>
            <w:tcW w:w="77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r>
      <w:tr>
        <w:trPr>
          <w:trHeight w:val="1010"/>
        </w:trPr>
        <w:tc>
          <w:tcPr>
            <w:tcMar>
              <w:left w:w="108" w:type="dxa"/>
              <w:top w:w="0" w:type="dxa"/>
              <w:right w:w="108" w:type="dxa"/>
              <w:bottom w:w="0" w:type="dxa"/>
            </w:tcMar>
            <w:tcW w:w="1252" w:type="dxa"/>
            <w:vAlign w:val="top"/>
            <w:vMerge w:val="continue"/>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372" w:type="dxa"/>
            <w:vAlign w:val="top"/>
            <w:textDirection w:val="lrTb"/>
            <w:noWrap w:val="false"/>
          </w:tcPr>
          <w:p>
            <w:pPr>
              <w:pStyle w:val="948"/>
              <w:jc w:val="left"/>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⑤以区镇（街道）80周岁以上老年人数据为基准，全年无供单累计不超过基准人数的1%。</w:t>
            </w:r>
            <w:r>
              <w:rPr>
                <w:color w:val="auto"/>
              </w:rPr>
            </w:r>
            <w:r/>
          </w:p>
        </w:tc>
        <w:tc>
          <w:tcPr>
            <w:tcMar>
              <w:left w:w="108" w:type="dxa"/>
              <w:top w:w="0" w:type="dxa"/>
              <w:right w:w="108" w:type="dxa"/>
              <w:bottom w:w="0" w:type="dxa"/>
            </w:tcMar>
            <w:tcW w:w="3498" w:type="dxa"/>
            <w:vAlign w:val="top"/>
            <w:textDirection w:val="lrTb"/>
            <w:noWrap w:val="false"/>
          </w:tcPr>
          <w:p>
            <w:pPr>
              <w:pStyle w:val="948"/>
              <w:jc w:val="left"/>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无供单占比大于等于0.2%扣1分，每增加0.2个百分点扣1分，超过1%的该项不得分。</w:t>
            </w:r>
            <w:r>
              <w:rPr>
                <w:color w:val="auto"/>
              </w:rPr>
            </w:r>
            <w:r/>
          </w:p>
        </w:tc>
        <w:tc>
          <w:tcPr>
            <w:tcMar>
              <w:left w:w="108" w:type="dxa"/>
              <w:top w:w="0" w:type="dxa"/>
              <w:right w:w="108" w:type="dxa"/>
              <w:bottom w:w="0" w:type="dxa"/>
            </w:tcMar>
            <w:tcW w:w="85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5</w:t>
            </w:r>
            <w:r>
              <w:rPr>
                <w:color w:val="auto"/>
              </w:rPr>
            </w:r>
            <w:r/>
          </w:p>
        </w:tc>
        <w:tc>
          <w:tcPr>
            <w:tcMar>
              <w:left w:w="108" w:type="dxa"/>
              <w:top w:w="0" w:type="dxa"/>
              <w:right w:w="108" w:type="dxa"/>
              <w:bottom w:w="0" w:type="dxa"/>
            </w:tcMar>
            <w:tcW w:w="80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Mar>
              <w:left w:w="108" w:type="dxa"/>
              <w:top w:w="0" w:type="dxa"/>
              <w:right w:w="108" w:type="dxa"/>
              <w:bottom w:w="0" w:type="dxa"/>
            </w:tcMar>
            <w:tcW w:w="77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r>
      <w:tr>
        <w:trPr>
          <w:trHeight w:val="1533"/>
        </w:trPr>
        <w:tc>
          <w:tcPr>
            <w:tcMar>
              <w:left w:w="108" w:type="dxa"/>
              <w:top w:w="0" w:type="dxa"/>
              <w:right w:w="108" w:type="dxa"/>
              <w:bottom w:w="0" w:type="dxa"/>
            </w:tcMar>
            <w:tcW w:w="1252" w:type="dxa"/>
            <w:vAlign w:val="top"/>
            <w:vMerge w:val="continue"/>
            <w:textDirection w:val="lrTb"/>
            <w:noWrap w:val="false"/>
          </w:tcPr>
          <w:p>
            <w:pPr>
              <w:pStyle w:val="948"/>
              <w:jc w:val="center"/>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372" w:type="dxa"/>
            <w:vAlign w:val="top"/>
            <w:textDirection w:val="lrTb"/>
            <w:noWrap w:val="false"/>
          </w:tcPr>
          <w:p>
            <w:pPr>
              <w:pStyle w:val="948"/>
              <w:jc w:val="left"/>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⑥实行专人专岗、直系亲属回避原则，不得在工作时间内参与本机构或隶属于同一机构管理的服务机构其他的护理工作；原则上不出现服务人员与服务对象为直系亲属关系。</w:t>
            </w:r>
            <w:r>
              <w:rPr>
                <w:color w:val="auto"/>
              </w:rPr>
            </w:r>
            <w:r/>
          </w:p>
        </w:tc>
        <w:tc>
          <w:tcPr>
            <w:tcMar>
              <w:left w:w="108" w:type="dxa"/>
              <w:top w:w="0" w:type="dxa"/>
              <w:right w:w="108" w:type="dxa"/>
              <w:bottom w:w="0" w:type="dxa"/>
            </w:tcMar>
            <w:tcW w:w="3498" w:type="dxa"/>
            <w:vAlign w:val="top"/>
            <w:textDirection w:val="lrTb"/>
            <w:noWrap w:val="false"/>
          </w:tcPr>
          <w:p>
            <w:pPr>
              <w:pStyle w:val="948"/>
              <w:jc w:val="left"/>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发现1例该项不得分。</w:t>
            </w:r>
            <w:r>
              <w:rPr>
                <w:color w:val="auto"/>
              </w:rPr>
            </w:r>
            <w:r/>
          </w:p>
        </w:tc>
        <w:tc>
          <w:tcPr>
            <w:tcMar>
              <w:left w:w="108" w:type="dxa"/>
              <w:top w:w="0" w:type="dxa"/>
              <w:right w:w="108" w:type="dxa"/>
              <w:bottom w:w="0" w:type="dxa"/>
            </w:tcMar>
            <w:tcW w:w="85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5</w:t>
            </w:r>
            <w:r>
              <w:rPr>
                <w:color w:val="auto"/>
              </w:rPr>
            </w:r>
            <w:r/>
          </w:p>
        </w:tc>
        <w:tc>
          <w:tcPr>
            <w:tcMar>
              <w:left w:w="108" w:type="dxa"/>
              <w:top w:w="0" w:type="dxa"/>
              <w:right w:w="108" w:type="dxa"/>
              <w:bottom w:w="0" w:type="dxa"/>
            </w:tcMar>
            <w:tcW w:w="80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Mar>
              <w:left w:w="108" w:type="dxa"/>
              <w:top w:w="0" w:type="dxa"/>
              <w:right w:w="108" w:type="dxa"/>
              <w:bottom w:w="0" w:type="dxa"/>
            </w:tcMar>
            <w:tcW w:w="77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r>
      <w:tr>
        <w:trPr>
          <w:trHeight w:val="1873"/>
        </w:trPr>
        <w:tc>
          <w:tcPr>
            <w:tcMar>
              <w:left w:w="108" w:type="dxa"/>
              <w:top w:w="0" w:type="dxa"/>
              <w:right w:w="108" w:type="dxa"/>
              <w:bottom w:w="0" w:type="dxa"/>
            </w:tcMar>
            <w:tcW w:w="1252" w:type="dxa"/>
            <w:vAlign w:val="top"/>
            <w:vMerge w:val="continue"/>
            <w:textDirection w:val="lrTb"/>
            <w:noWrap w:val="false"/>
          </w:tcPr>
          <w:p>
            <w:pPr>
              <w:pStyle w:val="948"/>
              <w:jc w:val="right"/>
              <w:rPr>
                <w:rStyle w:val="913"/>
                <w:rFonts w:hint="eastAsia" w:ascii="宋体" w:hAnsi="宋体" w:eastAsia="宋体" w:cs="宋体"/>
                <w:b w:val="0"/>
                <w:bCs w:val="0"/>
                <w:i w:val="0"/>
                <w:iCs w:val="0"/>
                <w:smallCaps w:val="0"/>
                <w:color w:val="000000"/>
                <w:sz w:val="24"/>
                <w:szCs w:val="24"/>
                <w:highlight w:val="none"/>
              </w:rPr>
            </w:pPr>
            <w:r>
              <w:rPr>
                <w:rStyle w:val="913"/>
                <w:rFonts w:hint="eastAsia" w:ascii="宋体" w:hAnsi="宋体" w:eastAsia="宋体" w:cs="宋体"/>
                <w:b w:val="0"/>
                <w:bCs w:val="0"/>
                <w:i w:val="0"/>
                <w:iCs w:val="0"/>
                <w:smallCaps w:val="0"/>
                <w:color w:val="000000"/>
                <w:sz w:val="24"/>
                <w:szCs w:val="24"/>
                <w:highlight w:val="none"/>
              </w:rPr>
            </w:r>
            <w:r/>
          </w:p>
        </w:tc>
        <w:tc>
          <w:tcPr>
            <w:tcMar>
              <w:left w:w="108" w:type="dxa"/>
              <w:top w:w="0" w:type="dxa"/>
              <w:right w:w="108" w:type="dxa"/>
              <w:bottom w:w="0" w:type="dxa"/>
            </w:tcMar>
            <w:tcW w:w="3372" w:type="dxa"/>
            <w:vAlign w:val="top"/>
            <w:textDirection w:val="lrTb"/>
            <w:noWrap w:val="false"/>
          </w:tcPr>
          <w:p>
            <w:pPr>
              <w:pStyle w:val="948"/>
              <w:jc w:val="left"/>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⑦上门服务发现服务对象死亡、类别重复时及时上报；严格按照服务时间进行服务，实事求是。</w:t>
            </w:r>
            <w:r>
              <w:rPr>
                <w:color w:val="auto"/>
              </w:rPr>
            </w:r>
            <w:r/>
          </w:p>
        </w:tc>
        <w:tc>
          <w:tcPr>
            <w:tcMar>
              <w:left w:w="108" w:type="dxa"/>
              <w:top w:w="0" w:type="dxa"/>
              <w:right w:w="108" w:type="dxa"/>
              <w:bottom w:w="0" w:type="dxa"/>
            </w:tcMar>
            <w:tcW w:w="3498" w:type="dxa"/>
            <w:vAlign w:val="top"/>
            <w:textDirection w:val="lrTb"/>
            <w:noWrap w:val="false"/>
          </w:tcPr>
          <w:p>
            <w:pPr>
              <w:pStyle w:val="948"/>
              <w:jc w:val="left"/>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未及时上报服务对象死亡信息或类别重复信息，发现1例扣1 分，未上报死亡信息且有工单上传的该项不得分；未严格按照服务时间服务，发现有耗时间行为，发现1例扣1分。</w:t>
            </w:r>
            <w:r>
              <w:rPr>
                <w:color w:val="auto"/>
              </w:rPr>
            </w:r>
            <w:r/>
          </w:p>
        </w:tc>
        <w:tc>
          <w:tcPr>
            <w:tcMar>
              <w:left w:w="108" w:type="dxa"/>
              <w:top w:w="0" w:type="dxa"/>
              <w:right w:w="108" w:type="dxa"/>
              <w:bottom w:w="0" w:type="dxa"/>
            </w:tcMar>
            <w:tcW w:w="85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10</w:t>
            </w:r>
            <w:r>
              <w:rPr>
                <w:color w:val="auto"/>
              </w:rPr>
            </w:r>
            <w:r/>
          </w:p>
        </w:tc>
        <w:tc>
          <w:tcPr>
            <w:tcMar>
              <w:left w:w="108" w:type="dxa"/>
              <w:top w:w="0" w:type="dxa"/>
              <w:right w:w="108" w:type="dxa"/>
              <w:bottom w:w="0" w:type="dxa"/>
            </w:tcMar>
            <w:tcW w:w="80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Mar>
              <w:left w:w="108" w:type="dxa"/>
              <w:top w:w="0" w:type="dxa"/>
              <w:right w:w="108" w:type="dxa"/>
              <w:bottom w:w="0" w:type="dxa"/>
            </w:tcMar>
            <w:tcW w:w="77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r>
      <w:tr>
        <w:trPr>
          <w:trHeight w:val="646"/>
        </w:trPr>
        <w:tc>
          <w:tcPr>
            <w:tcMar>
              <w:left w:w="108" w:type="dxa"/>
              <w:top w:w="0" w:type="dxa"/>
              <w:right w:w="108" w:type="dxa"/>
              <w:bottom w:w="0" w:type="dxa"/>
            </w:tcMar>
            <w:tcW w:w="1252"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加分项 </w:t>
            </w:r>
            <w:r>
              <w:rPr>
                <w:color w:val="auto"/>
              </w:rPr>
            </w:r>
            <w:r/>
          </w:p>
        </w:tc>
        <w:tc>
          <w:tcPr>
            <w:tcMar>
              <w:left w:w="108" w:type="dxa"/>
              <w:top w:w="0" w:type="dxa"/>
              <w:right w:w="108" w:type="dxa"/>
              <w:bottom w:w="0" w:type="dxa"/>
            </w:tcMar>
            <w:tcW w:w="3372" w:type="dxa"/>
            <w:vAlign w:val="top"/>
            <w:textDirection w:val="lrTb"/>
            <w:noWrap w:val="false"/>
          </w:tcPr>
          <w:p>
            <w:pPr>
              <w:pStyle w:val="948"/>
              <w:jc w:val="left"/>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市级以上媒体有褒扬记录。</w:t>
            </w:r>
            <w:r>
              <w:rPr>
                <w:color w:val="auto"/>
              </w:rPr>
            </w:r>
            <w:r/>
          </w:p>
        </w:tc>
        <w:tc>
          <w:tcPr>
            <w:tcMar>
              <w:left w:w="108" w:type="dxa"/>
              <w:top w:w="0" w:type="dxa"/>
              <w:right w:w="108" w:type="dxa"/>
              <w:bottom w:w="0" w:type="dxa"/>
            </w:tcMar>
            <w:tcW w:w="3498" w:type="dxa"/>
            <w:vAlign w:val="top"/>
            <w:textDirection w:val="lrTb"/>
            <w:noWrap w:val="false"/>
          </w:tcPr>
          <w:p>
            <w:pPr>
              <w:pStyle w:val="948"/>
              <w:jc w:val="left"/>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有 1 次得 1 分，并提供受到褒扬的原始资料。</w:t>
            </w:r>
            <w:r>
              <w:rPr>
                <w:color w:val="auto"/>
              </w:rPr>
            </w:r>
            <w:r/>
          </w:p>
        </w:tc>
        <w:tc>
          <w:tcPr>
            <w:tcMar>
              <w:left w:w="108" w:type="dxa"/>
              <w:top w:w="0" w:type="dxa"/>
              <w:right w:w="108" w:type="dxa"/>
              <w:bottom w:w="0" w:type="dxa"/>
            </w:tcMar>
            <w:tcW w:w="85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5</w:t>
            </w:r>
            <w:r>
              <w:rPr>
                <w:color w:val="auto"/>
              </w:rPr>
            </w:r>
            <w:r/>
          </w:p>
        </w:tc>
        <w:tc>
          <w:tcPr>
            <w:tcMar>
              <w:left w:w="108" w:type="dxa"/>
              <w:top w:w="0" w:type="dxa"/>
              <w:right w:w="108" w:type="dxa"/>
              <w:bottom w:w="0" w:type="dxa"/>
            </w:tcMar>
            <w:tcW w:w="80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Mar>
              <w:left w:w="108" w:type="dxa"/>
              <w:top w:w="0" w:type="dxa"/>
              <w:right w:w="108" w:type="dxa"/>
              <w:bottom w:w="0" w:type="dxa"/>
            </w:tcMar>
            <w:tcW w:w="77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r>
      <w:tr>
        <w:trPr>
          <w:trHeight w:val="333"/>
        </w:trPr>
        <w:tc>
          <w:tcPr>
            <w:tcMar>
              <w:left w:w="108" w:type="dxa"/>
              <w:top w:w="0" w:type="dxa"/>
              <w:right w:w="108" w:type="dxa"/>
              <w:bottom w:w="0" w:type="dxa"/>
            </w:tcMar>
            <w:tcW w:w="1252" w:type="dxa"/>
            <w:vAlign w:val="top"/>
            <w:textDirection w:val="lrTb"/>
            <w:noWrap w:val="false"/>
          </w:tcPr>
          <w:p>
            <w:pPr>
              <w:pStyle w:val="948"/>
              <w:jc w:val="left"/>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合计</w:t>
            </w:r>
            <w:r>
              <w:rPr>
                <w:color w:val="auto"/>
              </w:rPr>
            </w:r>
            <w:r/>
          </w:p>
        </w:tc>
        <w:tc>
          <w:tcPr>
            <w:tcMar>
              <w:left w:w="108" w:type="dxa"/>
              <w:top w:w="0" w:type="dxa"/>
              <w:right w:w="108" w:type="dxa"/>
              <w:bottom w:w="0" w:type="dxa"/>
            </w:tcMar>
            <w:tcW w:w="3372" w:type="dxa"/>
            <w:vAlign w:val="top"/>
            <w:textDirection w:val="lrTb"/>
            <w:noWrap w:val="false"/>
          </w:tcPr>
          <w:p>
            <w:pPr>
              <w:pStyle w:val="948"/>
              <w:jc w:val="right"/>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Mar>
              <w:left w:w="108" w:type="dxa"/>
              <w:top w:w="0" w:type="dxa"/>
              <w:right w:w="108" w:type="dxa"/>
              <w:bottom w:w="0" w:type="dxa"/>
            </w:tcMar>
            <w:tcW w:w="3498" w:type="dxa"/>
            <w:vAlign w:val="top"/>
            <w:textDirection w:val="lrTb"/>
            <w:noWrap w:val="false"/>
          </w:tcPr>
          <w:p>
            <w:pPr>
              <w:pStyle w:val="948"/>
              <w:jc w:val="right"/>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Mar>
              <w:left w:w="108" w:type="dxa"/>
              <w:top w:w="0" w:type="dxa"/>
              <w:right w:w="108" w:type="dxa"/>
              <w:bottom w:w="0" w:type="dxa"/>
            </w:tcMar>
            <w:tcW w:w="85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105</w:t>
            </w:r>
            <w:r>
              <w:rPr>
                <w:color w:val="auto"/>
              </w:rPr>
            </w:r>
            <w:r/>
          </w:p>
        </w:tc>
        <w:tc>
          <w:tcPr>
            <w:tcMar>
              <w:left w:w="108" w:type="dxa"/>
              <w:top w:w="0" w:type="dxa"/>
              <w:right w:w="108" w:type="dxa"/>
              <w:bottom w:w="0" w:type="dxa"/>
            </w:tcMar>
            <w:tcW w:w="80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Mar>
              <w:left w:w="108" w:type="dxa"/>
              <w:top w:w="0" w:type="dxa"/>
              <w:right w:w="108" w:type="dxa"/>
              <w:bottom w:w="0" w:type="dxa"/>
            </w:tcMar>
            <w:tcW w:w="775" w:type="dxa"/>
            <w:vAlign w:val="top"/>
            <w:textDirection w:val="lrTb"/>
            <w:noWrap w:val="false"/>
          </w:tcPr>
          <w:p>
            <w:pPr>
              <w:pStyle w:val="948"/>
              <w:jc w:val="center"/>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r>
    </w:tbl>
    <w:p>
      <w:pPr>
        <w:pStyle w:val="948"/>
        <w:ind w:firstLine="210"/>
        <w:jc w:val="left"/>
        <w:spacing w:before="240" w:after="240"/>
        <w:rPr>
          <w:rStyle w:val="913"/>
          <w:rFonts w:hint="eastAsia" w:ascii="宋体" w:hAnsi="宋体" w:eastAsia="宋体" w:cs="宋体"/>
          <w:i w:val="0"/>
          <w:iCs w:val="0"/>
          <w:color w:val="auto"/>
          <w:sz w:val="24"/>
          <w:szCs w:val="24"/>
          <w:highlight w:val="none"/>
          <w:u w:val="single"/>
        </w:rPr>
      </w:pPr>
      <w:r>
        <w:rPr>
          <w:rStyle w:val="913"/>
          <w:rFonts w:hint="eastAsia" w:ascii="宋体" w:hAnsi="宋体" w:eastAsia="宋体" w:cs="宋体"/>
          <w:i w:val="0"/>
          <w:iCs w:val="0"/>
          <w:color w:val="auto"/>
          <w:sz w:val="24"/>
          <w:szCs w:val="24"/>
          <w:highlight w:val="none"/>
          <w:lang w:eastAsia="zh-CN"/>
        </w:rPr>
        <w:t xml:space="preserve">单位：</w:t>
      </w:r>
      <w:r>
        <w:rPr>
          <w:rStyle w:val="913"/>
          <w:rFonts w:hint="eastAsia" w:ascii="宋体" w:hAnsi="宋体" w:eastAsia="宋体" w:cs="宋体"/>
          <w:i w:val="0"/>
          <w:iCs w:val="0"/>
          <w:color w:val="auto"/>
          <w:sz w:val="24"/>
          <w:szCs w:val="24"/>
          <w:highlight w:val="none"/>
          <w:u w:val="single"/>
          <w:lang w:val="en-US" w:eastAsia="zh-CN"/>
        </w:rPr>
        <w:t xml:space="preserve">                                          </w:t>
      </w:r>
      <w:r>
        <w:rPr>
          <w:color w:val="auto"/>
        </w:rPr>
      </w:r>
      <w:r/>
    </w:p>
    <w:p>
      <w:pPr>
        <w:pStyle w:val="948"/>
        <w:jc w:val="right"/>
        <w:spacing w:before="240" w:after="240"/>
        <w:rPr>
          <w:rStyle w:val="913"/>
          <w:rFonts w:ascii="宋体" w:hAnsi="宋体" w:eastAsia="宋体" w:cs="宋体"/>
          <w:i w:val="0"/>
          <w:iCs w:val="0"/>
          <w:color w:val="auto"/>
          <w:sz w:val="24"/>
          <w:szCs w:val="24"/>
          <w:highlight w:val="none"/>
          <w:u w:val="none"/>
        </w:rPr>
      </w:pPr>
      <w:r>
        <w:rPr>
          <w:rStyle w:val="913"/>
          <w:rFonts w:hint="eastAsia" w:ascii="宋体" w:hAnsi="宋体" w:eastAsia="宋体" w:cs="宋体"/>
          <w:i w:val="0"/>
          <w:iCs w:val="0"/>
          <w:color w:val="auto"/>
          <w:sz w:val="24"/>
          <w:szCs w:val="24"/>
          <w:highlight w:val="none"/>
          <w:u w:val="none"/>
          <w:lang w:val="en-US" w:eastAsia="zh-CN"/>
        </w:rPr>
        <w:t xml:space="preserve">时间：</w:t>
      </w:r>
      <w:r>
        <w:rPr>
          <w:rStyle w:val="913"/>
          <w:rFonts w:hint="eastAsia" w:ascii="宋体" w:hAnsi="宋体" w:eastAsia="宋体" w:cs="宋体"/>
          <w:i w:val="0"/>
          <w:iCs w:val="0"/>
          <w:color w:val="auto"/>
          <w:sz w:val="24"/>
          <w:szCs w:val="24"/>
          <w:highlight w:val="none"/>
          <w:u w:val="single"/>
          <w:lang w:val="en-US" w:eastAsia="zh-CN"/>
        </w:rPr>
        <w:t xml:space="preserve">       </w:t>
      </w:r>
      <w:r>
        <w:rPr>
          <w:rStyle w:val="913"/>
          <w:rFonts w:hint="eastAsia" w:ascii="宋体" w:hAnsi="宋体" w:eastAsia="宋体" w:cs="宋体"/>
          <w:i w:val="0"/>
          <w:iCs w:val="0"/>
          <w:color w:val="auto"/>
          <w:sz w:val="24"/>
          <w:szCs w:val="24"/>
          <w:highlight w:val="none"/>
          <w:u w:val="none"/>
          <w:lang w:val="en-US" w:eastAsia="zh-CN"/>
        </w:rPr>
        <w:t xml:space="preserve">年</w:t>
      </w:r>
      <w:r>
        <w:rPr>
          <w:rStyle w:val="913"/>
          <w:rFonts w:hint="eastAsia" w:ascii="宋体" w:hAnsi="宋体" w:eastAsia="宋体" w:cs="宋体"/>
          <w:i w:val="0"/>
          <w:iCs w:val="0"/>
          <w:color w:val="auto"/>
          <w:sz w:val="24"/>
          <w:szCs w:val="24"/>
          <w:highlight w:val="none"/>
          <w:u w:val="single"/>
          <w:lang w:val="en-US" w:eastAsia="zh-CN"/>
        </w:rPr>
        <w:t xml:space="preserve">     </w:t>
      </w:r>
      <w:r>
        <w:rPr>
          <w:rStyle w:val="913"/>
          <w:rFonts w:hint="eastAsia" w:ascii="宋体" w:hAnsi="宋体" w:eastAsia="宋体" w:cs="宋体"/>
          <w:i w:val="0"/>
          <w:iCs w:val="0"/>
          <w:color w:val="auto"/>
          <w:sz w:val="24"/>
          <w:szCs w:val="24"/>
          <w:highlight w:val="none"/>
          <w:u w:val="none"/>
          <w:lang w:val="en-US" w:eastAsia="zh-CN"/>
        </w:rPr>
        <w:t xml:space="preserve">月</w:t>
      </w:r>
      <w:r>
        <w:rPr>
          <w:rStyle w:val="913"/>
          <w:rFonts w:hint="eastAsia" w:ascii="宋体" w:hAnsi="宋体" w:eastAsia="宋体" w:cs="宋体"/>
          <w:i w:val="0"/>
          <w:iCs w:val="0"/>
          <w:color w:val="auto"/>
          <w:sz w:val="24"/>
          <w:szCs w:val="24"/>
          <w:highlight w:val="none"/>
          <w:u w:val="single"/>
          <w:lang w:val="en-US" w:eastAsia="zh-CN"/>
        </w:rPr>
        <w:t xml:space="preserve">     </w:t>
      </w:r>
      <w:r>
        <w:rPr>
          <w:rStyle w:val="913"/>
          <w:rFonts w:hint="eastAsia" w:ascii="宋体" w:hAnsi="宋体" w:eastAsia="宋体" w:cs="宋体"/>
          <w:i w:val="0"/>
          <w:iCs w:val="0"/>
          <w:color w:val="auto"/>
          <w:sz w:val="24"/>
          <w:szCs w:val="24"/>
          <w:highlight w:val="none"/>
          <w:u w:val="none"/>
          <w:lang w:val="en-US" w:eastAsia="zh-CN"/>
        </w:rPr>
        <w:t xml:space="preserve">日</w:t>
      </w:r>
      <w:r>
        <w:rPr>
          <w:color w:val="auto"/>
        </w:rPr>
      </w:r>
      <w:r/>
    </w:p>
    <w:p>
      <w:pPr>
        <w:pStyle w:val="948"/>
        <w:ind w:firstLine="210"/>
        <w:jc w:val="left"/>
        <w:spacing w:before="240" w:after="240"/>
        <w:rPr>
          <w:rStyle w:val="913"/>
          <w:rFonts w:hint="eastAsia" w:ascii="宋体" w:hAnsi="宋体" w:eastAsia="宋体" w:cs="宋体"/>
          <w:i w:val="0"/>
          <w:iCs w:val="0"/>
          <w:color w:val="auto"/>
          <w:sz w:val="24"/>
          <w:szCs w:val="24"/>
          <w:highlight w:val="none"/>
        </w:rPr>
      </w:pPr>
      <w:r>
        <w:rPr>
          <w:rStyle w:val="913"/>
          <w:rFonts w:hint="eastAsia" w:ascii="宋体" w:hAnsi="宋体" w:eastAsia="宋体" w:cs="宋体"/>
          <w:i w:val="0"/>
          <w:iCs w:val="0"/>
          <w:color w:val="auto"/>
          <w:sz w:val="24"/>
          <w:szCs w:val="24"/>
          <w:highlight w:val="none"/>
        </w:rPr>
        <w:t xml:space="preserve">备注：评价分由市虚拟养老院每年年底综合当年情况进行打分</w:t>
      </w:r>
      <w:r>
        <w:rPr>
          <w:color w:val="auto"/>
        </w:rPr>
      </w:r>
      <w:r/>
    </w:p>
    <w:p>
      <w:pPr>
        <w:pStyle w:val="927"/>
        <w:pageBreakBefore/>
        <w:spacing w:line="360" w:lineRule="auto"/>
        <w:rPr>
          <w:rFonts w:hint="eastAsia" w:ascii="宋体" w:hAnsi="宋体" w:eastAsia="宋体" w:cs="宋体"/>
          <w:b w:val="0"/>
          <w:color w:val="auto"/>
          <w:sz w:val="24"/>
          <w:highlight w:val="none"/>
        </w:rPr>
      </w:pPr>
      <w:r>
        <w:rPr>
          <w:color w:val="auto"/>
        </w:rPr>
      </w:r>
      <w:bookmarkStart w:id="241" w:name="_Toc14853"/>
      <w:r>
        <w:rPr>
          <w:rFonts w:hint="eastAsia" w:ascii="宋体" w:hAnsi="宋体" w:eastAsia="宋体" w:cs="宋体"/>
          <w:color w:val="auto"/>
          <w:highlight w:val="none"/>
        </w:rPr>
        <w:t xml:space="preserve">第五章 评标方法与评标标准</w:t>
      </w:r>
      <w:bookmarkEnd w:id="235"/>
      <w:r>
        <w:rPr>
          <w:color w:val="auto"/>
        </w:rPr>
      </w:r>
      <w:bookmarkEnd w:id="236"/>
      <w:r>
        <w:rPr>
          <w:color w:val="auto"/>
        </w:rPr>
      </w:r>
      <w:bookmarkEnd w:id="237"/>
      <w:r>
        <w:rPr>
          <w:color w:val="auto"/>
        </w:rPr>
      </w:r>
      <w:bookmarkEnd w:id="241"/>
      <w:r>
        <w:rPr>
          <w:color w:val="auto"/>
        </w:rPr>
      </w:r>
      <w:r/>
    </w:p>
    <w:p>
      <w:pPr>
        <w:pStyle w:val="912"/>
        <w:jc w:val="left"/>
        <w:spacing w:line="360" w:lineRule="auto"/>
        <w:rPr>
          <w:rStyle w:val="951"/>
          <w:rFonts w:hint="eastAsia" w:ascii="宋体" w:hAnsi="宋体" w:eastAsia="宋体" w:cs="宋体"/>
          <w:b/>
          <w:bCs/>
          <w:color w:val="auto"/>
          <w:highlight w:val="none"/>
        </w:rPr>
      </w:pPr>
      <w:r>
        <w:rPr>
          <w:color w:val="auto"/>
        </w:rPr>
      </w:r>
      <w:bookmarkStart w:id="242" w:name="_Toc35266030"/>
      <w:r>
        <w:rPr>
          <w:color w:val="auto"/>
        </w:rPr>
      </w:r>
      <w:bookmarkStart w:id="243" w:name="_Toc38368130"/>
      <w:r>
        <w:rPr>
          <w:color w:val="auto"/>
        </w:rPr>
      </w:r>
      <w:bookmarkStart w:id="244" w:name="_Toc31761"/>
      <w:r>
        <w:rPr>
          <w:color w:val="auto"/>
        </w:rPr>
      </w:r>
      <w:bookmarkStart w:id="245" w:name="_Toc54615248"/>
      <w:r>
        <w:rPr>
          <w:rStyle w:val="951"/>
          <w:rFonts w:hint="eastAsia" w:ascii="宋体" w:hAnsi="宋体" w:eastAsia="宋体" w:cs="宋体"/>
          <w:b/>
          <w:bCs/>
          <w:color w:val="auto"/>
          <w:highlight w:val="none"/>
        </w:rPr>
        <w:t xml:space="preserve">一、评标方法与定标原则</w:t>
      </w:r>
      <w:bookmarkEnd w:id="242"/>
      <w:r>
        <w:rPr>
          <w:color w:val="auto"/>
        </w:rPr>
      </w:r>
      <w:bookmarkEnd w:id="243"/>
      <w:r>
        <w:rPr>
          <w:color w:val="auto"/>
        </w:rPr>
      </w:r>
      <w:bookmarkEnd w:id="244"/>
      <w:r>
        <w:rPr>
          <w:color w:val="auto"/>
        </w:rPr>
      </w:r>
      <w:bookmarkEnd w:id="245"/>
      <w:r>
        <w:rPr>
          <w:color w:val="auto"/>
        </w:rPr>
      </w:r>
      <w:r/>
    </w:p>
    <w:p>
      <w:pPr>
        <w:pStyle w:val="986"/>
        <w:ind w:firstLine="500"/>
        <w:spacing w:line="360" w:lineRule="auto"/>
        <w:rPr>
          <w:rStyle w:val="913"/>
          <w:rFonts w:hint="eastAsia" w:ascii="宋体" w:hAnsi="宋体" w:eastAsia="宋体" w:cs="宋体"/>
          <w:b w:val="0"/>
          <w:color w:val="auto"/>
          <w:spacing w:val="7"/>
          <w:sz w:val="24"/>
          <w:highlight w:val="none"/>
        </w:rPr>
        <w:outlineLvl w:val="9"/>
      </w:pPr>
      <w:r>
        <w:rPr>
          <w:rStyle w:val="913"/>
          <w:rFonts w:hint="eastAsia" w:ascii="宋体" w:hAnsi="宋体" w:eastAsia="宋体" w:cs="宋体"/>
          <w:b w:val="0"/>
          <w:color w:val="auto"/>
          <w:spacing w:val="7"/>
          <w:sz w:val="24"/>
          <w:highlight w:val="none"/>
        </w:rPr>
        <w:t xml:space="preserve"> 1、评标采用综合评分法，评标结果按评审后得分由高到低顺序排列。得分相同的，按投标</w:t>
      </w:r>
      <w:r>
        <w:rPr>
          <w:rStyle w:val="913"/>
          <w:rFonts w:hint="eastAsia" w:ascii="宋体" w:hAnsi="宋体" w:eastAsia="宋体" w:cs="宋体"/>
          <w:b w:val="0"/>
          <w:color w:val="auto"/>
          <w:spacing w:val="7"/>
          <w:sz w:val="24"/>
          <w:highlight w:val="none"/>
          <w:lang w:eastAsia="zh-CN"/>
        </w:rPr>
        <w:t xml:space="preserve">报价</w:t>
      </w:r>
      <w:r>
        <w:rPr>
          <w:rStyle w:val="913"/>
          <w:rFonts w:hint="eastAsia" w:ascii="宋体" w:hAnsi="宋体" w:eastAsia="宋体" w:cs="宋体"/>
          <w:b w:val="0"/>
          <w:color w:val="auto"/>
          <w:spacing w:val="7"/>
          <w:sz w:val="24"/>
          <w:highlight w:val="none"/>
        </w:rPr>
        <w:t xml:space="preserve">由低到高顺序排列。得分且投标</w:t>
      </w:r>
      <w:r>
        <w:rPr>
          <w:rStyle w:val="913"/>
          <w:rFonts w:hint="eastAsia" w:ascii="宋体" w:hAnsi="宋体" w:eastAsia="宋体" w:cs="宋体"/>
          <w:b w:val="0"/>
          <w:color w:val="auto"/>
          <w:spacing w:val="7"/>
          <w:sz w:val="24"/>
          <w:highlight w:val="none"/>
          <w:lang w:eastAsia="zh-CN"/>
        </w:rPr>
        <w:t xml:space="preserve">报价</w:t>
      </w:r>
      <w:r>
        <w:rPr>
          <w:rStyle w:val="913"/>
          <w:rFonts w:hint="eastAsia" w:ascii="宋体" w:hAnsi="宋体" w:eastAsia="宋体" w:cs="宋体"/>
          <w:b w:val="0"/>
          <w:color w:val="auto"/>
          <w:spacing w:val="7"/>
          <w:sz w:val="24"/>
          <w:highlight w:val="none"/>
        </w:rPr>
        <w:t xml:space="preserve">相同的并列。投标文件满足招标文件全部实质性要求，且按照评审因素的量化指标评审得分最高的投标人为排名第一的中标候选人。</w:t>
      </w:r>
      <w:r>
        <w:rPr>
          <w:color w:val="auto"/>
        </w:rPr>
      </w:r>
      <w:r/>
    </w:p>
    <w:p>
      <w:pPr>
        <w:pStyle w:val="964"/>
        <w:ind w:firstLine="500"/>
        <w:spacing w:line="440" w:lineRule="exact"/>
        <w:rPr>
          <w:rStyle w:val="913"/>
          <w:rFonts w:ascii="宋体" w:hAnsi="宋体" w:eastAsia="宋体" w:cs="宋体"/>
          <w:b w:val="0"/>
          <w:color w:val="auto"/>
          <w:spacing w:val="7"/>
          <w:sz w:val="24"/>
          <w:highlight w:val="none"/>
        </w:rPr>
        <w:outlineLvl w:val="9"/>
      </w:pPr>
      <w:r>
        <w:rPr>
          <w:color w:val="auto"/>
        </w:rPr>
      </w:r>
      <w:bookmarkStart w:id="246" w:name="EB2557813e423544eeb2bc80b721fedfa0"/>
      <w:r>
        <w:rPr>
          <w:rFonts w:ascii="宋体" w:hAnsi="宋体"/>
          <w:bCs/>
          <w:color w:val="auto"/>
          <w:sz w:val="20"/>
          <w:szCs w:val="24"/>
          <w:highlight w:val="none"/>
        </w:rPr>
        <w:t xml:space="preserve"> </w:t>
      </w:r>
      <w:bookmarkEnd w:id="246"/>
      <w:r>
        <w:rPr>
          <w:rStyle w:val="913"/>
          <w:rFonts w:ascii="宋体" w:hAnsi="宋体" w:eastAsia="宋体" w:cs="宋体"/>
          <w:b w:val="0"/>
          <w:color w:val="auto"/>
          <w:spacing w:val="7"/>
          <w:sz w:val="24"/>
          <w:highlight w:val="none"/>
        </w:rPr>
        <w:t xml:space="preserve">2、针对中小型企业的评审：</w:t>
      </w:r>
      <w:r>
        <w:rPr>
          <w:color w:val="auto"/>
        </w:rPr>
      </w:r>
      <w:r/>
    </w:p>
    <w:p>
      <w:pPr>
        <w:pStyle w:val="964"/>
        <w:ind w:firstLine="50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（1）根据《政府采购促进中小企业发展管理办法》 (财库〔2020〕46号)及《苏州市政府采购促进中小企业发展实施意见》（苏财购〔2022〕16号）的规定，对符合办法规定的小微企业报价给予20% 的扣除，用扣除后的价格参加评审。</w:t>
      </w:r>
      <w:r>
        <w:rPr>
          <w:color w:val="auto"/>
        </w:rPr>
      </w:r>
      <w:r/>
    </w:p>
    <w:p>
      <w:pPr>
        <w:pStyle w:val="964"/>
        <w:ind w:firstLine="50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注：①中小企业参加政府采购活动，应当出具《中小企业声明函》，否则不得享受相关中小企业扶持政策；</w:t>
      </w:r>
      <w:r>
        <w:rPr>
          <w:color w:val="auto"/>
        </w:rPr>
      </w:r>
      <w:r/>
    </w:p>
    <w:p>
      <w:pPr>
        <w:pStyle w:val="964"/>
        <w:ind w:firstLine="50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②以上规定未尽事项，按《政府采购促进中小企业发展管理办法》等有关制度规定执行。</w:t>
      </w:r>
      <w:r>
        <w:rPr>
          <w:color w:val="auto"/>
        </w:rPr>
      </w:r>
      <w:r/>
    </w:p>
    <w:p>
      <w:pPr>
        <w:pStyle w:val="964"/>
        <w:ind w:firstLine="50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（2）根据《关于促进残疾人就业政府采购政策的通知》（财库〔2017〕141号）的通知规定：</w:t>
      </w:r>
      <w:r>
        <w:rPr>
          <w:color w:val="auto"/>
        </w:rPr>
      </w:r>
      <w:r/>
    </w:p>
    <w:p>
      <w:pPr>
        <w:pStyle w:val="964"/>
        <w:ind w:firstLine="50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rPr>
          <w:color w:val="auto"/>
        </w:rPr>
      </w:r>
      <w:r/>
    </w:p>
    <w:p>
      <w:pPr>
        <w:pStyle w:val="964"/>
        <w:ind w:firstLine="50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rPr>
          <w:color w:val="auto"/>
        </w:rPr>
      </w:r>
      <w:r/>
    </w:p>
    <w:p>
      <w:pPr>
        <w:pStyle w:val="964"/>
        <w:ind w:firstLine="50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中标、成交供应商为残疾人福利性单位的，采购人或者其委托的采购代理机构应当随中标、成交结果同时公告其《残疾人福利性单位声明函》，接受社会监督。</w:t>
      </w:r>
      <w:r>
        <w:rPr>
          <w:color w:val="auto"/>
        </w:rPr>
      </w:r>
      <w:r/>
    </w:p>
    <w:p>
      <w:pPr>
        <w:pStyle w:val="964"/>
        <w:ind w:firstLine="50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注：投标人如不提供以上声明函的，不得享受相关政府采购政策。</w:t>
      </w:r>
      <w:r>
        <w:rPr>
          <w:color w:val="auto"/>
        </w:rPr>
      </w:r>
      <w:r/>
    </w:p>
    <w:p>
      <w:pPr>
        <w:pStyle w:val="964"/>
        <w:ind w:firstLine="50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（3）根据《关于政府采购支持监狱企业发展有关问题的通知》（财库〔2014〕68号）的通知规定：</w:t>
      </w:r>
      <w:r>
        <w:rPr>
          <w:color w:val="auto"/>
        </w:rPr>
      </w:r>
      <w:r/>
    </w:p>
    <w:p>
      <w:pPr>
        <w:pStyle w:val="964"/>
        <w:ind w:firstLine="50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在政府采购活动中，监狱企业视同小型、微型企业，享受预留份额、评审中价格扣除等促进中小企业发展的政府采购政策。监狱企业属于小型、微型企业的，不重复享受政策。</w:t>
      </w:r>
      <w:r>
        <w:rPr>
          <w:color w:val="auto"/>
        </w:rPr>
      </w:r>
      <w:r/>
    </w:p>
    <w:p>
      <w:pPr>
        <w:pStyle w:val="964"/>
        <w:ind w:firstLine="500"/>
        <w:spacing w:line="440" w:lineRule="exact"/>
        <w:rPr>
          <w:rStyle w:val="913"/>
          <w:rFonts w:ascii="宋体" w:hAnsi="宋体" w:eastAsia="宋体" w:cs="宋体"/>
          <w:b w:val="0"/>
          <w:color w:val="auto"/>
          <w:spacing w:val="7"/>
          <w:sz w:val="24"/>
          <w:highlight w:val="none"/>
        </w:rPr>
        <w:outlineLvl w:val="9"/>
      </w:pPr>
      <w:r>
        <w:rPr>
          <w:rStyle w:val="913"/>
          <w:rFonts w:ascii="宋体" w:hAnsi="宋体" w:eastAsia="宋体" w:cs="宋体"/>
          <w:b w:val="0"/>
          <w:color w:val="auto"/>
          <w:spacing w:val="7"/>
          <w:sz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color w:val="auto"/>
        </w:rPr>
      </w:r>
      <w:r/>
    </w:p>
    <w:p>
      <w:pPr>
        <w:pStyle w:val="911"/>
        <w:ind w:firstLine="508"/>
        <w:spacing w:line="440" w:lineRule="exact"/>
        <w:rPr>
          <w:rFonts w:hint="eastAsia" w:ascii="宋体" w:hAnsi="宋体"/>
          <w:bCs/>
          <w:color w:val="auto"/>
          <w:sz w:val="24"/>
          <w:szCs w:val="24"/>
          <w:highlight w:val="none"/>
        </w:rPr>
      </w:pPr>
      <w:r>
        <w:rPr>
          <w:rStyle w:val="913"/>
          <w:rFonts w:ascii="宋体" w:hAnsi="宋体" w:eastAsia="宋体" w:cs="宋体"/>
          <w:b w:val="0"/>
          <w:color w:val="auto"/>
          <w:spacing w:val="7"/>
          <w:sz w:val="24"/>
          <w:highlight w:val="none"/>
        </w:rPr>
        <w:t xml:space="preserve">注：投标人如不提供以上证明材料的，不得享受相关政府采购政策。</w:t>
      </w:r>
      <w:r>
        <w:rPr>
          <w:color w:val="auto"/>
        </w:rPr>
      </w:r>
      <w:r/>
    </w:p>
    <w:p>
      <w:pPr>
        <w:pStyle w:val="912"/>
        <w:jc w:val="left"/>
        <w:spacing w:line="360" w:lineRule="auto"/>
        <w:rPr>
          <w:rFonts w:hint="eastAsia" w:ascii="宋体" w:hAnsi="宋体" w:eastAsia="宋体" w:cs="宋体"/>
          <w:b/>
          <w:bCs w:val="0"/>
          <w:color w:val="auto"/>
          <w:sz w:val="28"/>
          <w:szCs w:val="28"/>
          <w:highlight w:val="none"/>
        </w:rPr>
      </w:pPr>
      <w:r>
        <w:rPr>
          <w:color w:val="auto"/>
        </w:rPr>
      </w:r>
      <w:bookmarkStart w:id="247" w:name="EBd9567453f96a4fca96262d13cc886515"/>
      <w:r>
        <w:rPr>
          <w:color w:val="auto"/>
        </w:rPr>
      </w:r>
      <w:bookmarkEnd w:id="247"/>
      <w:r>
        <w:rPr>
          <w:color w:val="auto"/>
        </w:rPr>
      </w:r>
      <w:bookmarkStart w:id="248" w:name="_Toc35266031"/>
      <w:r>
        <w:rPr>
          <w:color w:val="auto"/>
        </w:rPr>
      </w:r>
      <w:bookmarkStart w:id="249" w:name="_Toc38368131"/>
      <w:r>
        <w:rPr>
          <w:color w:val="auto"/>
        </w:rPr>
      </w:r>
      <w:bookmarkStart w:id="250" w:name="_Toc14629"/>
      <w:r>
        <w:rPr>
          <w:color w:val="auto"/>
        </w:rPr>
      </w:r>
      <w:bookmarkStart w:id="251" w:name="_Toc54615249"/>
      <w:r>
        <w:rPr>
          <w:rStyle w:val="951"/>
          <w:rFonts w:hint="eastAsia" w:ascii="宋体" w:hAnsi="宋体" w:eastAsia="宋体" w:cs="宋体"/>
          <w:b/>
          <w:bCs w:val="0"/>
          <w:color w:val="auto"/>
          <w:highlight w:val="none"/>
        </w:rPr>
        <w:t xml:space="preserve">二、评标标准</w:t>
      </w:r>
      <w:bookmarkEnd w:id="248"/>
      <w:r>
        <w:rPr>
          <w:color w:val="auto"/>
        </w:rPr>
      </w:r>
      <w:bookmarkEnd w:id="249"/>
      <w:r>
        <w:rPr>
          <w:color w:val="auto"/>
        </w:rPr>
      </w:r>
      <w:bookmarkEnd w:id="250"/>
      <w:r>
        <w:rPr>
          <w:color w:val="auto"/>
        </w:rPr>
      </w:r>
      <w:bookmarkEnd w:id="251"/>
      <w:r>
        <w:rPr>
          <w:color w:val="auto"/>
        </w:rPr>
      </w:r>
      <w:r/>
    </w:p>
    <w:p>
      <w:pPr>
        <w:pStyle w:val="987"/>
        <w:ind w:firstLine="500"/>
        <w:spacing w:line="360" w:lineRule="auto"/>
        <w:rPr>
          <w:rStyle w:val="913"/>
          <w:rFonts w:hint="eastAsia" w:ascii="宋体" w:hAnsi="宋体" w:eastAsia="宋体" w:cs="宋体"/>
          <w:b/>
          <w:color w:val="auto"/>
          <w:spacing w:val="7"/>
          <w:sz w:val="24"/>
          <w:highlight w:val="none"/>
        </w:rPr>
        <w:outlineLvl w:val="9"/>
      </w:pPr>
      <w:r>
        <w:rPr>
          <w:rStyle w:val="913"/>
          <w:rFonts w:hint="eastAsia" w:ascii="宋体" w:hAnsi="宋体" w:eastAsia="宋体" w:cs="宋体"/>
          <w:b/>
          <w:color w:val="auto"/>
          <w:spacing w:val="7"/>
          <w:sz w:val="24"/>
          <w:highlight w:val="none"/>
          <w:lang w:eastAsia="zh-CN"/>
        </w:rPr>
        <w:t xml:space="preserve">（一）</w:t>
      </w:r>
      <w:r>
        <w:rPr>
          <w:rStyle w:val="913"/>
          <w:rFonts w:hint="eastAsia" w:ascii="宋体" w:hAnsi="宋体" w:eastAsia="宋体" w:cs="宋体"/>
          <w:b/>
          <w:color w:val="auto"/>
          <w:spacing w:val="7"/>
          <w:sz w:val="24"/>
          <w:highlight w:val="none"/>
        </w:rPr>
        <w:t xml:space="preserve"> 价格分 </w:t>
      </w:r>
      <w:r>
        <w:rPr>
          <w:rStyle w:val="913"/>
          <w:rFonts w:hint="eastAsia" w:ascii="宋体" w:hAnsi="宋体" w:eastAsia="宋体" w:cs="宋体"/>
          <w:b/>
          <w:color w:val="auto"/>
          <w:spacing w:val="7"/>
          <w:sz w:val="24"/>
          <w:highlight w:val="none"/>
          <w:lang w:val="en-US" w:eastAsia="zh-CN"/>
        </w:rPr>
        <w:t xml:space="preserve">20</w:t>
      </w:r>
      <w:r>
        <w:rPr>
          <w:rStyle w:val="913"/>
          <w:rFonts w:hint="eastAsia" w:ascii="宋体" w:hAnsi="宋体" w:eastAsia="宋体" w:cs="宋体"/>
          <w:b/>
          <w:color w:val="auto"/>
          <w:spacing w:val="7"/>
          <w:sz w:val="24"/>
          <w:highlight w:val="none"/>
        </w:rPr>
        <w:t xml:space="preserve">.0 分</w:t>
      </w:r>
      <w:r>
        <w:rPr>
          <w:color w:val="auto"/>
        </w:rPr>
      </w:r>
      <w:r/>
    </w:p>
    <w:p>
      <w:pPr>
        <w:pStyle w:val="987"/>
        <w:ind w:firstLine="500"/>
        <w:spacing w:line="360" w:lineRule="auto"/>
        <w:rPr>
          <w:rStyle w:val="913"/>
          <w:rFonts w:hint="eastAsia" w:ascii="宋体" w:hAnsi="宋体" w:eastAsia="宋体" w:cs="宋体"/>
          <w:b w:val="0"/>
          <w:color w:val="auto"/>
          <w:spacing w:val="7"/>
          <w:sz w:val="24"/>
          <w:highlight w:val="none"/>
        </w:rPr>
        <w:outlineLvl w:val="9"/>
      </w:pPr>
      <w:r>
        <w:rPr>
          <w:rStyle w:val="913"/>
          <w:rFonts w:hint="eastAsia" w:ascii="宋体" w:hAnsi="宋体" w:eastAsia="宋体" w:cs="宋体"/>
          <w:b w:val="0"/>
          <w:color w:val="auto"/>
          <w:spacing w:val="7"/>
          <w:sz w:val="24"/>
          <w:highlight w:val="none"/>
        </w:rPr>
        <w:t xml:space="preserve">采用低价优先法计算，即满足招标文件要求且投标优惠率最高的投标人，其价格分为满分</w:t>
      </w:r>
      <w:r>
        <w:rPr>
          <w:rStyle w:val="913"/>
          <w:rFonts w:hint="eastAsia" w:ascii="宋体" w:hAnsi="宋体" w:eastAsia="宋体" w:cs="宋体"/>
          <w:b w:val="0"/>
          <w:color w:val="auto"/>
          <w:spacing w:val="7"/>
          <w:sz w:val="24"/>
          <w:highlight w:val="none"/>
          <w:lang w:val="en-US" w:eastAsia="zh-CN"/>
        </w:rPr>
        <w:t xml:space="preserve">2</w:t>
      </w:r>
      <w:r>
        <w:rPr>
          <w:rStyle w:val="913"/>
          <w:rFonts w:hint="eastAsia" w:ascii="宋体" w:hAnsi="宋体" w:eastAsia="宋体" w:cs="宋体"/>
          <w:b w:val="0"/>
          <w:color w:val="auto"/>
          <w:spacing w:val="7"/>
          <w:sz w:val="24"/>
          <w:highlight w:val="none"/>
        </w:rPr>
        <w:t xml:space="preserve">0.0分。其他投标人的价格分统一按照下列公式计算：</w:t>
      </w:r>
      <w:r>
        <w:rPr>
          <w:color w:val="auto"/>
        </w:rPr>
      </w:r>
      <w:r/>
    </w:p>
    <w:p>
      <w:pPr>
        <w:pStyle w:val="987"/>
        <w:ind w:firstLine="500"/>
        <w:spacing w:line="360" w:lineRule="auto"/>
        <w:rPr>
          <w:rStyle w:val="913"/>
          <w:rFonts w:hint="eastAsia" w:ascii="宋体" w:hAnsi="宋体" w:eastAsia="宋体" w:cs="宋体"/>
          <w:b w:val="0"/>
          <w:color w:val="auto"/>
          <w:spacing w:val="7"/>
          <w:sz w:val="24"/>
          <w:highlight w:val="none"/>
        </w:rPr>
        <w:outlineLvl w:val="9"/>
      </w:pPr>
      <w:r>
        <w:rPr>
          <w:rStyle w:val="913"/>
          <w:rFonts w:hint="eastAsia" w:ascii="宋体" w:hAnsi="宋体" w:eastAsia="宋体" w:cs="宋体"/>
          <w:b w:val="0"/>
          <w:color w:val="auto"/>
          <w:spacing w:val="7"/>
          <w:sz w:val="24"/>
          <w:highlight w:val="none"/>
        </w:rPr>
        <w:t xml:space="preserve">投标报价得分=(1-【最高优惠率评审价】)/(1-【优惠率评审价】)* </w:t>
      </w:r>
      <w:r>
        <w:rPr>
          <w:rStyle w:val="913"/>
          <w:rFonts w:hint="eastAsia" w:ascii="宋体" w:hAnsi="宋体" w:eastAsia="宋体" w:cs="宋体"/>
          <w:b w:val="0"/>
          <w:color w:val="auto"/>
          <w:spacing w:val="7"/>
          <w:sz w:val="24"/>
          <w:highlight w:val="none"/>
          <w:lang w:val="en-US" w:eastAsia="zh-CN"/>
        </w:rPr>
        <w:t xml:space="preserve">2</w:t>
      </w:r>
      <w:r>
        <w:rPr>
          <w:rStyle w:val="913"/>
          <w:rFonts w:hint="eastAsia" w:ascii="宋体" w:hAnsi="宋体" w:eastAsia="宋体" w:cs="宋体"/>
          <w:b w:val="0"/>
          <w:color w:val="auto"/>
          <w:spacing w:val="7"/>
          <w:sz w:val="24"/>
          <w:highlight w:val="none"/>
        </w:rPr>
        <w:t xml:space="preserve">0.0% * 100（保留二位小数）；</w:t>
      </w:r>
      <w:r>
        <w:rPr>
          <w:color w:val="auto"/>
        </w:rPr>
      </w:r>
      <w:r/>
    </w:p>
    <w:p>
      <w:pPr>
        <w:pStyle w:val="944"/>
        <w:ind w:firstLine="480"/>
        <w:pageBreakBefore w:val="0"/>
        <w:spacing w:line="46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r/>
    </w:p>
    <w:p>
      <w:pPr>
        <w:pStyle w:val="987"/>
        <w:ind w:firstLine="500"/>
        <w:spacing w:line="360" w:lineRule="auto"/>
        <w:rPr>
          <w:rStyle w:val="913"/>
          <w:rFonts w:hint="eastAsia" w:ascii="宋体" w:hAnsi="宋体" w:eastAsia="宋体" w:cs="宋体"/>
          <w:b w:val="0"/>
          <w:color w:val="auto"/>
          <w:spacing w:val="7"/>
          <w:sz w:val="24"/>
          <w:highlight w:val="none"/>
        </w:rPr>
        <w:outlineLvl w:val="9"/>
      </w:pPr>
      <w:r>
        <w:rPr>
          <w:rStyle w:val="913"/>
          <w:rFonts w:hint="eastAsia" w:ascii="宋体" w:hAnsi="宋体" w:eastAsia="宋体" w:cs="宋体"/>
          <w:b w:val="0"/>
          <w:color w:val="auto"/>
          <w:spacing w:val="7"/>
          <w:sz w:val="24"/>
          <w:highlight w:val="none"/>
        </w:rPr>
      </w:r>
      <w:r>
        <w:rPr>
          <w:color w:val="auto"/>
        </w:rPr>
      </w:r>
      <w:r/>
    </w:p>
    <w:p>
      <w:pPr>
        <w:pStyle w:val="911"/>
        <w:ind w:firstLine="510"/>
        <w:pageBreakBefore w:val="0"/>
        <w:spacing w:line="460" w:lineRule="exact"/>
        <w:shd w:val="clear" w:color="auto" w:fill="auto"/>
        <w:rPr>
          <w:rFonts w:ascii="宋体" w:hAnsi="宋体" w:eastAsia="宋体" w:cs="宋体"/>
          <w:b/>
          <w:bCs/>
          <w:color w:val="auto"/>
          <w:sz w:val="24"/>
          <w:highlight w:val="none"/>
        </w:rPr>
      </w:pPr>
      <w:r>
        <w:rPr>
          <w:rStyle w:val="913"/>
          <w:rFonts w:hint="eastAsia" w:ascii="宋体" w:hAnsi="宋体" w:eastAsia="宋体" w:cs="宋体"/>
          <w:b/>
          <w:color w:val="auto"/>
          <w:spacing w:val="7"/>
          <w:sz w:val="24"/>
          <w:highlight w:val="none"/>
          <w:lang w:eastAsia="zh-CN"/>
        </w:rPr>
        <w:t xml:space="preserve">（二）</w:t>
      </w:r>
      <w:r>
        <w:rPr>
          <w:rFonts w:hint="eastAsia" w:ascii="宋体" w:hAnsi="宋体" w:cs="宋体"/>
          <w:b/>
          <w:bCs/>
          <w:color w:val="auto"/>
          <w:sz w:val="24"/>
          <w:highlight w:val="none"/>
          <w:lang w:val="en-US" w:eastAsia="zh-CN"/>
        </w:rPr>
        <w:t xml:space="preserve"> 服务方案50.0分</w:t>
      </w:r>
      <w:r>
        <w:rPr>
          <w:color w:val="auto"/>
        </w:rPr>
      </w:r>
      <w:r/>
    </w:p>
    <w:p>
      <w:pPr>
        <w:pStyle w:val="911"/>
        <w:ind w:firstLine="482"/>
        <w:pageBreakBefore w:val="0"/>
        <w:spacing w:line="460" w:lineRule="exact"/>
        <w:shd w:val="clear" w:color="auto" w:fil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1．发展规划与目标定位</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分</w:t>
      </w:r>
      <w:r>
        <w:rPr>
          <w:color w:val="auto"/>
        </w:rPr>
      </w:r>
      <w:r/>
    </w:p>
    <w:p>
      <w:pPr>
        <w:pStyle w:val="911"/>
        <w:ind w:firstLine="508"/>
        <w:pageBreakBefore w:val="0"/>
        <w:spacing w:line="460" w:lineRule="exact"/>
        <w:shd w:val="clear" w:color="auto" w:fill="auto"/>
        <w:rPr>
          <w:rFonts w:hint="eastAsia" w:ascii="宋体" w:hAnsi="宋体" w:eastAsia="宋体" w:cs="宋体"/>
          <w:color w:val="auto"/>
          <w:sz w:val="24"/>
          <w:highlight w:val="none"/>
        </w:rPr>
      </w:pPr>
      <w:r>
        <w:rPr>
          <w:rStyle w:val="913"/>
          <w:rFonts w:hint="eastAsia" w:ascii="宋体" w:hAnsi="宋体" w:eastAsia="宋体" w:cs="宋体"/>
          <w:b w:val="0"/>
          <w:color w:val="auto"/>
          <w:spacing w:val="7"/>
          <w:sz w:val="24"/>
          <w:highlight w:val="none"/>
        </w:rPr>
        <w:t xml:space="preserve">根据投标人提供的</w:t>
      </w:r>
      <w:r>
        <w:rPr>
          <w:rStyle w:val="913"/>
          <w:rFonts w:hint="eastAsia" w:ascii="宋体" w:hAnsi="宋体" w:eastAsia="宋体" w:cs="宋体"/>
          <w:b w:val="0"/>
          <w:color w:val="auto"/>
          <w:spacing w:val="7"/>
          <w:sz w:val="24"/>
          <w:highlight w:val="none"/>
          <w:lang w:eastAsia="zh-CN"/>
        </w:rPr>
        <w:t xml:space="preserve">针对本项目的</w:t>
      </w:r>
      <w:r>
        <w:rPr>
          <w:rStyle w:val="913"/>
          <w:rFonts w:hint="eastAsia" w:ascii="宋体" w:hAnsi="宋体" w:eastAsia="宋体" w:cs="宋体"/>
          <w:b w:val="0"/>
          <w:color w:val="auto"/>
          <w:spacing w:val="7"/>
          <w:sz w:val="24"/>
          <w:highlight w:val="none"/>
        </w:rPr>
        <w:t xml:space="preserve">发展规划与目标定位</w:t>
      </w:r>
      <w:r>
        <w:rPr>
          <w:rStyle w:val="913"/>
          <w:rFonts w:hint="eastAsia" w:ascii="宋体" w:hAnsi="宋体" w:eastAsia="宋体" w:cs="宋体"/>
          <w:b w:val="0"/>
          <w:color w:val="auto"/>
          <w:spacing w:val="7"/>
          <w:sz w:val="24"/>
          <w:highlight w:val="none"/>
          <w:lang w:eastAsia="zh-CN"/>
        </w:rPr>
        <w:t xml:space="preserve">。内容包括但不限于（</w:t>
      </w:r>
      <w:r>
        <w:rPr>
          <w:rStyle w:val="913"/>
          <w:rFonts w:hint="eastAsia" w:ascii="宋体" w:hAnsi="宋体" w:eastAsia="宋体" w:cs="宋体"/>
          <w:b w:val="0"/>
          <w:color w:val="auto"/>
          <w:spacing w:val="7"/>
          <w:sz w:val="24"/>
          <w:highlight w:val="none"/>
          <w:lang w:val="en-US" w:eastAsia="zh-CN"/>
        </w:rPr>
        <w:t xml:space="preserve">1</w:t>
      </w:r>
      <w:r>
        <w:rPr>
          <w:rStyle w:val="913"/>
          <w:rFonts w:hint="eastAsia" w:ascii="宋体" w:hAnsi="宋体" w:eastAsia="宋体" w:cs="宋体"/>
          <w:b w:val="0"/>
          <w:color w:val="auto"/>
          <w:spacing w:val="7"/>
          <w:sz w:val="24"/>
          <w:highlight w:val="none"/>
          <w:lang w:eastAsia="zh-CN"/>
        </w:rPr>
        <w:t xml:space="preserve">）</w:t>
      </w:r>
      <w:r>
        <w:rPr>
          <w:rStyle w:val="913"/>
          <w:rFonts w:hint="eastAsia" w:ascii="宋体" w:hAnsi="宋体" w:eastAsia="宋体" w:cs="宋体"/>
          <w:b w:val="0"/>
          <w:color w:val="auto"/>
          <w:spacing w:val="7"/>
          <w:sz w:val="24"/>
          <w:highlight w:val="none"/>
        </w:rPr>
        <w:t xml:space="preserve">有明确且合理的目标定位</w:t>
      </w:r>
      <w:r>
        <w:rPr>
          <w:rStyle w:val="913"/>
          <w:rFonts w:hint="eastAsia" w:ascii="宋体" w:hAnsi="宋体" w:eastAsia="宋体" w:cs="宋体"/>
          <w:b w:val="0"/>
          <w:color w:val="auto"/>
          <w:spacing w:val="7"/>
          <w:sz w:val="24"/>
          <w:highlight w:val="none"/>
          <w:lang w:eastAsia="zh-CN"/>
        </w:rPr>
        <w:t xml:space="preserve">（</w:t>
      </w:r>
      <w:r>
        <w:rPr>
          <w:rStyle w:val="913"/>
          <w:rFonts w:hint="eastAsia" w:ascii="宋体" w:hAnsi="宋体" w:eastAsia="宋体" w:cs="宋体"/>
          <w:b w:val="0"/>
          <w:color w:val="auto"/>
          <w:spacing w:val="7"/>
          <w:sz w:val="24"/>
          <w:highlight w:val="none"/>
          <w:lang w:val="en-US" w:eastAsia="zh-CN"/>
        </w:rPr>
        <w:t xml:space="preserve">2</w:t>
      </w:r>
      <w:r>
        <w:rPr>
          <w:rStyle w:val="913"/>
          <w:rFonts w:hint="eastAsia" w:ascii="宋体" w:hAnsi="宋体" w:eastAsia="宋体" w:cs="宋体"/>
          <w:b w:val="0"/>
          <w:color w:val="auto"/>
          <w:spacing w:val="7"/>
          <w:sz w:val="24"/>
          <w:highlight w:val="none"/>
          <w:lang w:eastAsia="zh-CN"/>
        </w:rPr>
        <w:t xml:space="preserve">）</w:t>
      </w:r>
      <w:r>
        <w:rPr>
          <w:rStyle w:val="913"/>
          <w:rFonts w:hint="eastAsia" w:ascii="宋体" w:hAnsi="宋体" w:eastAsia="宋体" w:cs="宋体"/>
          <w:b w:val="0"/>
          <w:color w:val="auto"/>
          <w:spacing w:val="7"/>
          <w:sz w:val="24"/>
          <w:highlight w:val="none"/>
        </w:rPr>
        <w:t xml:space="preserve">能结合目标定位制定科学的发展规划</w:t>
      </w:r>
      <w:r>
        <w:rPr>
          <w:rStyle w:val="913"/>
          <w:rFonts w:hint="eastAsia" w:ascii="宋体" w:hAnsi="宋体" w:eastAsia="宋体" w:cs="宋体"/>
          <w:b w:val="0"/>
          <w:color w:val="auto"/>
          <w:spacing w:val="7"/>
          <w:sz w:val="24"/>
          <w:highlight w:val="none"/>
          <w:lang w:eastAsia="zh-CN"/>
        </w:rPr>
        <w:t xml:space="preserve">（</w:t>
      </w:r>
      <w:r>
        <w:rPr>
          <w:rStyle w:val="913"/>
          <w:rFonts w:hint="eastAsia" w:ascii="宋体" w:hAnsi="宋体" w:eastAsia="宋体" w:cs="宋体"/>
          <w:b w:val="0"/>
          <w:color w:val="auto"/>
          <w:spacing w:val="7"/>
          <w:sz w:val="24"/>
          <w:highlight w:val="none"/>
          <w:lang w:val="en-US" w:eastAsia="zh-CN"/>
        </w:rPr>
        <w:t xml:space="preserve">3</w:t>
      </w:r>
      <w:r>
        <w:rPr>
          <w:rStyle w:val="913"/>
          <w:rFonts w:hint="eastAsia" w:ascii="宋体" w:hAnsi="宋体" w:eastAsia="宋体" w:cs="宋体"/>
          <w:b w:val="0"/>
          <w:color w:val="auto"/>
          <w:spacing w:val="7"/>
          <w:sz w:val="24"/>
          <w:highlight w:val="none"/>
          <w:lang w:eastAsia="zh-CN"/>
        </w:rPr>
        <w:t xml:space="preserve">）</w:t>
      </w:r>
      <w:r>
        <w:rPr>
          <w:rStyle w:val="913"/>
          <w:rFonts w:hint="eastAsia" w:ascii="宋体" w:hAnsi="宋体" w:eastAsia="宋体" w:cs="宋体"/>
          <w:b w:val="0"/>
          <w:color w:val="auto"/>
          <w:spacing w:val="7"/>
          <w:sz w:val="24"/>
          <w:highlight w:val="none"/>
        </w:rPr>
        <w:t xml:space="preserve">对未来的市场化发展有专门的规划</w:t>
      </w:r>
      <w:r>
        <w:rPr>
          <w:rStyle w:val="913"/>
          <w:rFonts w:hint="eastAsia" w:ascii="宋体" w:hAnsi="宋体" w:eastAsia="宋体" w:cs="宋体"/>
          <w:b w:val="0"/>
          <w:color w:val="auto"/>
          <w:spacing w:val="7"/>
          <w:sz w:val="24"/>
          <w:highlight w:val="none"/>
          <w:lang w:eastAsia="zh-CN"/>
        </w:rPr>
        <w:t xml:space="preserve">（</w:t>
      </w:r>
      <w:r>
        <w:rPr>
          <w:rStyle w:val="913"/>
          <w:rFonts w:hint="eastAsia" w:ascii="宋体" w:hAnsi="宋体" w:eastAsia="宋体" w:cs="宋体"/>
          <w:b w:val="0"/>
          <w:color w:val="auto"/>
          <w:spacing w:val="7"/>
          <w:sz w:val="24"/>
          <w:highlight w:val="none"/>
          <w:lang w:val="en-US" w:eastAsia="zh-CN"/>
        </w:rPr>
        <w:t xml:space="preserve">4</w:t>
      </w:r>
      <w:r>
        <w:rPr>
          <w:rStyle w:val="913"/>
          <w:rFonts w:hint="eastAsia" w:ascii="宋体" w:hAnsi="宋体" w:eastAsia="宋体" w:cs="宋体"/>
          <w:b w:val="0"/>
          <w:color w:val="auto"/>
          <w:spacing w:val="7"/>
          <w:sz w:val="24"/>
          <w:highlight w:val="none"/>
          <w:lang w:eastAsia="zh-CN"/>
        </w:rPr>
        <w:t xml:space="preserve">）</w:t>
      </w:r>
      <w:r>
        <w:rPr>
          <w:rStyle w:val="913"/>
          <w:rFonts w:hint="eastAsia" w:ascii="宋体" w:hAnsi="宋体" w:eastAsia="宋体" w:cs="宋体"/>
          <w:b w:val="0"/>
          <w:color w:val="auto"/>
          <w:spacing w:val="7"/>
          <w:sz w:val="24"/>
          <w:highlight w:val="none"/>
        </w:rPr>
        <w:t xml:space="preserve">能展现未来养老服务产品提供的丰富性</w:t>
      </w:r>
      <w:r>
        <w:rPr>
          <w:rStyle w:val="913"/>
          <w:rFonts w:hint="eastAsia" w:ascii="宋体" w:hAnsi="宋体" w:eastAsia="宋体" w:cs="宋体"/>
          <w:b w:val="0"/>
          <w:color w:val="auto"/>
          <w:spacing w:val="7"/>
          <w:sz w:val="24"/>
          <w:highlight w:val="none"/>
          <w:lang w:eastAsia="zh-CN"/>
        </w:rPr>
        <w:t xml:space="preserve">；方案完全包含上述内容且详细、贴合项目实际需要的</w:t>
      </w:r>
      <w:r>
        <w:rPr>
          <w:rStyle w:val="913"/>
          <w:rFonts w:hint="eastAsia" w:ascii="宋体" w:hAnsi="宋体" w:eastAsia="宋体" w:cs="宋体"/>
          <w:b w:val="0"/>
          <w:color w:val="auto"/>
          <w:spacing w:val="7"/>
          <w:sz w:val="24"/>
          <w:highlight w:val="none"/>
        </w:rPr>
        <w:t xml:space="preserve">得</w:t>
      </w:r>
      <w:r>
        <w:rPr>
          <w:rStyle w:val="913"/>
          <w:rFonts w:hint="eastAsia" w:ascii="宋体" w:hAnsi="宋体" w:eastAsia="宋体" w:cs="宋体"/>
          <w:b w:val="0"/>
          <w:color w:val="auto"/>
          <w:spacing w:val="7"/>
          <w:sz w:val="24"/>
          <w:highlight w:val="none"/>
          <w:lang w:val="en-US" w:eastAsia="zh-CN"/>
        </w:rPr>
        <w:t xml:space="preserve">8</w:t>
      </w:r>
      <w:r>
        <w:rPr>
          <w:rStyle w:val="913"/>
          <w:rFonts w:hint="eastAsia" w:ascii="宋体" w:hAnsi="宋体" w:eastAsia="宋体" w:cs="宋体"/>
          <w:b w:val="0"/>
          <w:color w:val="auto"/>
          <w:spacing w:val="7"/>
          <w:sz w:val="24"/>
          <w:highlight w:val="none"/>
        </w:rPr>
        <w:t xml:space="preserve">分；</w:t>
      </w:r>
      <w:r>
        <w:rPr>
          <w:rFonts w:hint="eastAsia" w:ascii="宋体" w:hAnsi="宋体" w:eastAsia="宋体" w:cs="宋体"/>
          <w:color w:val="auto"/>
          <w:sz w:val="24"/>
          <w:szCs w:val="24"/>
          <w:highlight w:val="none"/>
          <w:lang w:eastAsia="zh-CN"/>
        </w:rPr>
        <w:t xml:space="preserve">上述内容与</w:t>
      </w:r>
      <w:r>
        <w:rPr>
          <w:rFonts w:hint="eastAsia" w:ascii="宋体" w:hAnsi="宋体" w:eastAsia="宋体" w:cs="宋体"/>
          <w:color w:val="auto"/>
          <w:sz w:val="24"/>
          <w:szCs w:val="24"/>
          <w:highlight w:val="none"/>
          <w:lang w:val="en-US" w:eastAsia="zh-CN"/>
        </w:rPr>
        <w:t xml:space="preserve">项目需求</w:t>
      </w:r>
      <w:r>
        <w:rPr>
          <w:rFonts w:hint="eastAsia" w:ascii="宋体" w:hAnsi="宋体" w:eastAsia="宋体" w:cs="宋体"/>
          <w:color w:val="auto"/>
          <w:sz w:val="24"/>
          <w:szCs w:val="24"/>
          <w:highlight w:val="none"/>
          <w:lang w:eastAsia="zh-CN"/>
        </w:rPr>
        <w:t xml:space="preserve">有部分偏离的，有一项扣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bCs/>
          <w:color w:val="auto"/>
          <w:sz w:val="24"/>
          <w:highlight w:val="none"/>
          <w:lang w:val="en-US" w:eastAsia="zh-CN"/>
        </w:rPr>
        <w:t xml:space="preserve">上述内容中有</w:t>
      </w:r>
      <w:r>
        <w:rPr>
          <w:rFonts w:hint="eastAsia" w:ascii="宋体" w:hAnsi="宋体" w:cs="宋体"/>
          <w:bCs/>
          <w:color w:val="auto"/>
          <w:sz w:val="24"/>
          <w:highlight w:val="none"/>
          <w:lang w:val="en-US" w:eastAsia="zh-CN"/>
        </w:rPr>
        <w:t xml:space="preserve">未提供</w:t>
      </w:r>
      <w:r>
        <w:rPr>
          <w:rFonts w:hint="eastAsia" w:ascii="宋体" w:hAnsi="宋体" w:eastAsia="宋体" w:cs="宋体"/>
          <w:color w:val="auto"/>
          <w:sz w:val="24"/>
          <w:szCs w:val="24"/>
          <w:highlight w:val="none"/>
          <w:lang w:eastAsia="zh-CN"/>
        </w:rPr>
        <w:t xml:space="preserve">或完全脱离项目实际需要的，有一项扣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分，扣完为止</w:t>
      </w:r>
      <w:r>
        <w:rPr>
          <w:rStyle w:val="913"/>
          <w:rFonts w:hint="eastAsia" w:ascii="宋体" w:hAnsi="宋体" w:eastAsia="宋体" w:cs="宋体"/>
          <w:b w:val="0"/>
          <w:color w:val="auto"/>
          <w:spacing w:val="7"/>
          <w:sz w:val="24"/>
          <w:highlight w:val="none"/>
        </w:rPr>
        <w:t xml:space="preserve">。</w:t>
      </w:r>
      <w:r>
        <w:rPr>
          <w:rFonts w:hint="eastAsia" w:ascii="宋体" w:hAnsi="宋体" w:eastAsia="宋体" w:cs="宋体"/>
          <w:color w:val="auto"/>
          <w:sz w:val="24"/>
          <w:highlight w:val="none"/>
        </w:rPr>
        <w:t xml:space="preserve">【0</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w:t>
      </w:r>
      <w:r>
        <w:rPr>
          <w:color w:val="auto"/>
        </w:rPr>
      </w:r>
      <w:r/>
    </w:p>
    <w:p>
      <w:pPr>
        <w:pStyle w:val="911"/>
        <w:ind w:firstLine="482"/>
        <w:pageBreakBefore w:val="0"/>
        <w:spacing w:line="460" w:lineRule="exact"/>
        <w:shd w:val="clear" w:color="auto" w:fil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rPr>
        <w:t xml:space="preserve">针对不同类型的老人提供的服务方案8分</w:t>
      </w:r>
      <w:r>
        <w:rPr>
          <w:color w:val="auto"/>
        </w:rPr>
      </w:r>
      <w:r/>
    </w:p>
    <w:p>
      <w:pPr>
        <w:pStyle w:val="911"/>
        <w:ind w:firstLine="508"/>
        <w:pageBreakBefore w:val="0"/>
        <w:spacing w:line="460" w:lineRule="exact"/>
        <w:shd w:val="clear" w:color="auto" w:fill="auto"/>
        <w:rPr>
          <w:rFonts w:hint="eastAsia" w:ascii="宋体" w:hAnsi="宋体" w:eastAsia="宋体" w:cs="宋体"/>
          <w:color w:val="auto"/>
          <w:highlight w:val="none"/>
        </w:rPr>
      </w:pPr>
      <w:r>
        <w:rPr>
          <w:rStyle w:val="913"/>
          <w:rFonts w:hint="eastAsia" w:ascii="宋体" w:hAnsi="宋体" w:eastAsia="宋体" w:cs="宋体"/>
          <w:b w:val="0"/>
          <w:color w:val="auto"/>
          <w:spacing w:val="7"/>
          <w:sz w:val="24"/>
          <w:highlight w:val="none"/>
        </w:rPr>
        <w:t xml:space="preserve">根据投标人提供的</w:t>
      </w:r>
      <w:r>
        <w:rPr>
          <w:rStyle w:val="913"/>
          <w:rFonts w:hint="eastAsia" w:ascii="宋体" w:hAnsi="宋体" w:eastAsia="宋体" w:cs="宋体"/>
          <w:b w:val="0"/>
          <w:color w:val="auto"/>
          <w:spacing w:val="7"/>
          <w:sz w:val="24"/>
          <w:highlight w:val="none"/>
          <w:lang w:eastAsia="zh-CN"/>
        </w:rPr>
        <w:t xml:space="preserve">针对</w:t>
      </w:r>
      <w:r>
        <w:rPr>
          <w:rStyle w:val="913"/>
          <w:rFonts w:hint="eastAsia" w:ascii="宋体" w:hAnsi="宋体" w:eastAsia="宋体" w:cs="宋体"/>
          <w:b w:val="0"/>
          <w:color w:val="auto"/>
          <w:spacing w:val="7"/>
          <w:sz w:val="24"/>
          <w:highlight w:val="none"/>
        </w:rPr>
        <w:t xml:space="preserve">不同类型的老人提供适合的个性化、专业化、标准化的服务方案</w:t>
      </w:r>
      <w:r>
        <w:rPr>
          <w:rStyle w:val="913"/>
          <w:rFonts w:hint="eastAsia" w:ascii="宋体" w:hAnsi="宋体" w:eastAsia="宋体" w:cs="宋体"/>
          <w:b w:val="0"/>
          <w:color w:val="auto"/>
          <w:spacing w:val="7"/>
          <w:sz w:val="24"/>
          <w:highlight w:val="none"/>
          <w:lang w:eastAsia="zh-CN"/>
        </w:rPr>
        <w:t xml:space="preserve">。内容包括但不限于（</w:t>
      </w:r>
      <w:r>
        <w:rPr>
          <w:rStyle w:val="913"/>
          <w:rFonts w:hint="eastAsia" w:ascii="宋体" w:hAnsi="宋体" w:eastAsia="宋体" w:cs="宋体"/>
          <w:b w:val="0"/>
          <w:color w:val="auto"/>
          <w:spacing w:val="7"/>
          <w:sz w:val="24"/>
          <w:highlight w:val="none"/>
          <w:lang w:val="en-US" w:eastAsia="zh-CN"/>
        </w:rPr>
        <w:t xml:space="preserve">1</w:t>
      </w:r>
      <w:r>
        <w:rPr>
          <w:rStyle w:val="913"/>
          <w:rFonts w:hint="eastAsia" w:ascii="宋体" w:hAnsi="宋体" w:eastAsia="宋体" w:cs="宋体"/>
          <w:b w:val="0"/>
          <w:color w:val="auto"/>
          <w:spacing w:val="7"/>
          <w:sz w:val="24"/>
          <w:highlight w:val="none"/>
          <w:lang w:eastAsia="zh-CN"/>
        </w:rPr>
        <w:t xml:space="preserve">）人文关怀类（</w:t>
      </w:r>
      <w:r>
        <w:rPr>
          <w:rStyle w:val="913"/>
          <w:rFonts w:hint="eastAsia" w:ascii="宋体" w:hAnsi="宋体" w:eastAsia="宋体" w:cs="宋体"/>
          <w:b w:val="0"/>
          <w:color w:val="auto"/>
          <w:spacing w:val="7"/>
          <w:sz w:val="24"/>
          <w:highlight w:val="none"/>
          <w:lang w:val="en-US" w:eastAsia="zh-CN"/>
        </w:rPr>
        <w:t xml:space="preserve">2</w:t>
      </w:r>
      <w:r>
        <w:rPr>
          <w:rStyle w:val="913"/>
          <w:rFonts w:hint="eastAsia" w:ascii="宋体" w:hAnsi="宋体" w:eastAsia="宋体" w:cs="宋体"/>
          <w:b w:val="0"/>
          <w:color w:val="auto"/>
          <w:spacing w:val="7"/>
          <w:sz w:val="24"/>
          <w:highlight w:val="none"/>
          <w:lang w:eastAsia="zh-CN"/>
        </w:rPr>
        <w:t xml:space="preserve">）生活照料类（</w:t>
      </w:r>
      <w:r>
        <w:rPr>
          <w:rStyle w:val="913"/>
          <w:rFonts w:hint="eastAsia" w:ascii="宋体" w:hAnsi="宋体" w:eastAsia="宋体" w:cs="宋体"/>
          <w:b w:val="0"/>
          <w:color w:val="auto"/>
          <w:spacing w:val="7"/>
          <w:sz w:val="24"/>
          <w:highlight w:val="none"/>
          <w:lang w:val="en-US" w:eastAsia="zh-CN"/>
        </w:rPr>
        <w:t xml:space="preserve">3</w:t>
      </w:r>
      <w:r>
        <w:rPr>
          <w:rStyle w:val="913"/>
          <w:rFonts w:hint="eastAsia" w:ascii="宋体" w:hAnsi="宋体" w:eastAsia="宋体" w:cs="宋体"/>
          <w:b w:val="0"/>
          <w:color w:val="auto"/>
          <w:spacing w:val="7"/>
          <w:sz w:val="24"/>
          <w:highlight w:val="none"/>
          <w:lang w:eastAsia="zh-CN"/>
        </w:rPr>
        <w:t xml:space="preserve">）家政服务类（</w:t>
      </w:r>
      <w:r>
        <w:rPr>
          <w:rStyle w:val="913"/>
          <w:rFonts w:hint="eastAsia" w:ascii="宋体" w:hAnsi="宋体" w:eastAsia="宋体" w:cs="宋体"/>
          <w:b w:val="0"/>
          <w:color w:val="auto"/>
          <w:spacing w:val="7"/>
          <w:sz w:val="24"/>
          <w:highlight w:val="none"/>
          <w:lang w:val="en-US" w:eastAsia="zh-CN"/>
        </w:rPr>
        <w:t xml:space="preserve">4</w:t>
      </w:r>
      <w:r>
        <w:rPr>
          <w:rStyle w:val="913"/>
          <w:rFonts w:hint="eastAsia" w:ascii="宋体" w:hAnsi="宋体" w:eastAsia="宋体" w:cs="宋体"/>
          <w:b w:val="0"/>
          <w:color w:val="auto"/>
          <w:spacing w:val="7"/>
          <w:sz w:val="24"/>
          <w:highlight w:val="none"/>
          <w:lang w:eastAsia="zh-CN"/>
        </w:rPr>
        <w:t xml:space="preserve">）康复理疗类，方案中需涵盖具体的服务规范、操作流程、服务标准等；方案完全包含上述内容且详细、贴合项目实际需要的</w:t>
      </w:r>
      <w:r>
        <w:rPr>
          <w:rStyle w:val="913"/>
          <w:rFonts w:hint="eastAsia" w:ascii="宋体" w:hAnsi="宋体" w:eastAsia="宋体" w:cs="宋体"/>
          <w:b w:val="0"/>
          <w:color w:val="auto"/>
          <w:spacing w:val="7"/>
          <w:sz w:val="24"/>
          <w:highlight w:val="none"/>
        </w:rPr>
        <w:t xml:space="preserve">得</w:t>
      </w:r>
      <w:r>
        <w:rPr>
          <w:rStyle w:val="913"/>
          <w:rFonts w:hint="eastAsia" w:ascii="宋体" w:hAnsi="宋体" w:eastAsia="宋体" w:cs="宋体"/>
          <w:b w:val="0"/>
          <w:color w:val="auto"/>
          <w:spacing w:val="7"/>
          <w:sz w:val="24"/>
          <w:highlight w:val="none"/>
          <w:lang w:val="en-US" w:eastAsia="zh-CN"/>
        </w:rPr>
        <w:t xml:space="preserve">8</w:t>
      </w:r>
      <w:r>
        <w:rPr>
          <w:rStyle w:val="913"/>
          <w:rFonts w:hint="eastAsia" w:ascii="宋体" w:hAnsi="宋体" w:eastAsia="宋体" w:cs="宋体"/>
          <w:b w:val="0"/>
          <w:color w:val="auto"/>
          <w:spacing w:val="7"/>
          <w:sz w:val="24"/>
          <w:highlight w:val="none"/>
        </w:rPr>
        <w:t xml:space="preserve">分；</w:t>
      </w:r>
      <w:r>
        <w:rPr>
          <w:rFonts w:hint="eastAsia" w:ascii="宋体" w:hAnsi="宋体" w:eastAsia="宋体" w:cs="宋体"/>
          <w:color w:val="auto"/>
          <w:sz w:val="24"/>
          <w:szCs w:val="24"/>
          <w:highlight w:val="none"/>
          <w:lang w:eastAsia="zh-CN"/>
        </w:rPr>
        <w:t xml:space="preserve">上述内容与</w:t>
      </w:r>
      <w:r>
        <w:rPr>
          <w:rFonts w:hint="eastAsia" w:ascii="宋体" w:hAnsi="宋体" w:eastAsia="宋体" w:cs="宋体"/>
          <w:color w:val="auto"/>
          <w:sz w:val="24"/>
          <w:szCs w:val="24"/>
          <w:highlight w:val="none"/>
          <w:lang w:val="en-US" w:eastAsia="zh-CN"/>
        </w:rPr>
        <w:t xml:space="preserve">项目需求</w:t>
      </w:r>
      <w:r>
        <w:rPr>
          <w:rFonts w:hint="eastAsia" w:ascii="宋体" w:hAnsi="宋体" w:eastAsia="宋体" w:cs="宋体"/>
          <w:color w:val="auto"/>
          <w:sz w:val="24"/>
          <w:szCs w:val="24"/>
          <w:highlight w:val="none"/>
          <w:lang w:eastAsia="zh-CN"/>
        </w:rPr>
        <w:t xml:space="preserve">有部分偏离的，有一项扣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bCs/>
          <w:color w:val="auto"/>
          <w:sz w:val="24"/>
          <w:highlight w:val="none"/>
          <w:lang w:val="en-US" w:eastAsia="zh-CN"/>
        </w:rPr>
        <w:t xml:space="preserve">上述内容中有</w:t>
      </w:r>
      <w:r>
        <w:rPr>
          <w:rFonts w:hint="eastAsia" w:ascii="宋体" w:hAnsi="宋体" w:cs="宋体"/>
          <w:bCs/>
          <w:color w:val="auto"/>
          <w:sz w:val="24"/>
          <w:highlight w:val="none"/>
          <w:lang w:val="en-US" w:eastAsia="zh-CN"/>
        </w:rPr>
        <w:t xml:space="preserve">未提供</w:t>
      </w:r>
      <w:r>
        <w:rPr>
          <w:rFonts w:hint="eastAsia" w:ascii="宋体" w:hAnsi="宋体" w:eastAsia="宋体" w:cs="宋体"/>
          <w:color w:val="auto"/>
          <w:sz w:val="24"/>
          <w:szCs w:val="24"/>
          <w:highlight w:val="none"/>
          <w:lang w:eastAsia="zh-CN"/>
        </w:rPr>
        <w:t xml:space="preserve">或完全脱离项目实际需要的，有一项扣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分，扣完为止</w:t>
      </w:r>
      <w:r>
        <w:rPr>
          <w:rStyle w:val="913"/>
          <w:rFonts w:hint="eastAsia" w:ascii="宋体" w:hAnsi="宋体" w:eastAsia="宋体" w:cs="宋体"/>
          <w:b w:val="0"/>
          <w:color w:val="auto"/>
          <w:spacing w:val="7"/>
          <w:sz w:val="24"/>
          <w:highlight w:val="none"/>
        </w:rPr>
        <w:t xml:space="preserve">。</w:t>
      </w:r>
      <w:r>
        <w:rPr>
          <w:rFonts w:hint="eastAsia" w:ascii="宋体" w:hAnsi="宋体" w:eastAsia="宋体" w:cs="宋体"/>
          <w:color w:val="auto"/>
          <w:sz w:val="24"/>
          <w:highlight w:val="none"/>
        </w:rPr>
        <w:t xml:space="preserve">【0</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8】</w:t>
      </w:r>
      <w:r>
        <w:rPr>
          <w:color w:val="auto"/>
        </w:rPr>
      </w:r>
      <w:r/>
    </w:p>
    <w:p>
      <w:pPr>
        <w:pStyle w:val="911"/>
        <w:ind w:firstLine="482"/>
        <w:pageBreakBefore w:val="0"/>
        <w:spacing w:line="460" w:lineRule="exact"/>
        <w:shd w:val="clear" w:color="auto" w:fil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．项目服务人员培训制度</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分</w:t>
      </w:r>
      <w:r>
        <w:rPr>
          <w:color w:val="auto"/>
        </w:rPr>
      </w:r>
      <w:r/>
    </w:p>
    <w:p>
      <w:pPr>
        <w:pStyle w:val="911"/>
        <w:ind w:firstLine="480"/>
        <w:pageBreakBefore w:val="0"/>
        <w:spacing w:line="460" w:lineRule="exact"/>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投标人根据本项目需求提供针对本项目的人员培训方案，方案包含但不限于</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职业道德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政策法规</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专业知识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职业技能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安全知识；</w:t>
      </w:r>
      <w:r>
        <w:rPr>
          <w:rFonts w:hint="eastAsia" w:ascii="宋体" w:hAnsi="宋体" w:eastAsia="宋体" w:cs="宋体"/>
          <w:color w:val="auto"/>
          <w:sz w:val="24"/>
          <w:szCs w:val="24"/>
          <w:highlight w:val="none"/>
          <w:lang w:eastAsia="zh-CN"/>
        </w:rPr>
        <w:t xml:space="preserve">方案完全包含上述内容且详细、贴合项目实际需要的得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分；上述内容与</w:t>
      </w:r>
      <w:r>
        <w:rPr>
          <w:rFonts w:hint="eastAsia" w:ascii="宋体" w:hAnsi="宋体" w:eastAsia="宋体" w:cs="宋体"/>
          <w:color w:val="auto"/>
          <w:sz w:val="24"/>
          <w:szCs w:val="24"/>
          <w:highlight w:val="none"/>
          <w:lang w:val="en-US" w:eastAsia="zh-CN"/>
        </w:rPr>
        <w:t xml:space="preserve">项目需求</w:t>
      </w:r>
      <w:r>
        <w:rPr>
          <w:rFonts w:hint="eastAsia" w:ascii="宋体" w:hAnsi="宋体" w:eastAsia="宋体" w:cs="宋体"/>
          <w:color w:val="auto"/>
          <w:sz w:val="24"/>
          <w:szCs w:val="24"/>
          <w:highlight w:val="none"/>
          <w:lang w:eastAsia="zh-CN"/>
        </w:rPr>
        <w:t xml:space="preserve">有部分偏离的，有一项扣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bCs/>
          <w:color w:val="auto"/>
          <w:sz w:val="24"/>
          <w:highlight w:val="none"/>
          <w:lang w:val="en-US" w:eastAsia="zh-CN"/>
        </w:rPr>
        <w:t xml:space="preserve">上述内容中有</w:t>
      </w:r>
      <w:r>
        <w:rPr>
          <w:rFonts w:hint="eastAsia" w:ascii="宋体" w:hAnsi="宋体" w:cs="宋体"/>
          <w:bCs/>
          <w:color w:val="auto"/>
          <w:sz w:val="24"/>
          <w:highlight w:val="none"/>
          <w:lang w:val="en-US" w:eastAsia="zh-CN"/>
        </w:rPr>
        <w:t xml:space="preserve">未提供</w:t>
      </w:r>
      <w:r>
        <w:rPr>
          <w:rFonts w:hint="eastAsia" w:ascii="宋体" w:hAnsi="宋体" w:eastAsia="宋体" w:cs="宋体"/>
          <w:color w:val="auto"/>
          <w:sz w:val="24"/>
          <w:szCs w:val="24"/>
          <w:highlight w:val="none"/>
          <w:lang w:eastAsia="zh-CN"/>
        </w:rPr>
        <w:t xml:space="preserve">或完全脱离项目实际需要的，有一项扣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分，扣完为止。【0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color w:val="auto"/>
        </w:rPr>
      </w:r>
      <w:r/>
    </w:p>
    <w:p>
      <w:pPr>
        <w:pStyle w:val="911"/>
        <w:ind w:firstLine="482"/>
        <w:pageBreakBefore w:val="0"/>
        <w:spacing w:line="460" w:lineRule="exact"/>
        <w:shd w:val="clear" w:color="auto" w:fil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．内部管理职能方案</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分</w:t>
      </w:r>
      <w:r>
        <w:rPr>
          <w:color w:val="auto"/>
        </w:rPr>
      </w:r>
      <w:r/>
    </w:p>
    <w:p>
      <w:pPr>
        <w:pStyle w:val="911"/>
        <w:ind w:firstLine="480"/>
        <w:pageBreakBefore w:val="0"/>
        <w:spacing w:line="460" w:lineRule="exact"/>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投标人根据本项目需求提供针对本项目的</w:t>
      </w:r>
      <w:r>
        <w:rPr>
          <w:rFonts w:hint="eastAsia" w:ascii="宋体" w:hAnsi="宋体" w:eastAsia="宋体" w:cs="宋体"/>
          <w:color w:val="auto"/>
          <w:sz w:val="24"/>
          <w:highlight w:val="none"/>
          <w:lang w:val="en-US" w:eastAsia="zh-CN"/>
        </w:rPr>
        <w:t xml:space="preserve">内部管理职能方案</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方案包含但不限于</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人员岗位责任制度、管理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考核与奖惩制度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技术服务规范与工作制度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服务质量管理制度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none"/>
          <w:lang w:eastAsia="zh-CN"/>
        </w:rPr>
        <w:t xml:space="preserve">方案完全包含上述内容且详细、贴合项目实际需要的得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分；上述内容与</w:t>
      </w:r>
      <w:r>
        <w:rPr>
          <w:rFonts w:hint="eastAsia" w:ascii="宋体" w:hAnsi="宋体" w:eastAsia="宋体" w:cs="宋体"/>
          <w:color w:val="auto"/>
          <w:sz w:val="24"/>
          <w:szCs w:val="24"/>
          <w:highlight w:val="none"/>
          <w:lang w:val="en-US" w:eastAsia="zh-CN"/>
        </w:rPr>
        <w:t xml:space="preserve">项目需求</w:t>
      </w:r>
      <w:r>
        <w:rPr>
          <w:rFonts w:hint="eastAsia" w:ascii="宋体" w:hAnsi="宋体" w:eastAsia="宋体" w:cs="宋体"/>
          <w:color w:val="auto"/>
          <w:sz w:val="24"/>
          <w:szCs w:val="24"/>
          <w:highlight w:val="none"/>
          <w:lang w:eastAsia="zh-CN"/>
        </w:rPr>
        <w:t xml:space="preserve">有部分偏离的，有一项扣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bCs/>
          <w:color w:val="auto"/>
          <w:sz w:val="24"/>
          <w:highlight w:val="none"/>
          <w:lang w:val="en-US" w:eastAsia="zh-CN"/>
        </w:rPr>
        <w:t xml:space="preserve">上述内容中有</w:t>
      </w:r>
      <w:r>
        <w:rPr>
          <w:rFonts w:hint="eastAsia" w:ascii="宋体" w:hAnsi="宋体" w:cs="宋体"/>
          <w:bCs/>
          <w:color w:val="auto"/>
          <w:sz w:val="24"/>
          <w:highlight w:val="none"/>
          <w:lang w:val="en-US" w:eastAsia="zh-CN"/>
        </w:rPr>
        <w:t xml:space="preserve">未提供</w:t>
      </w:r>
      <w:r>
        <w:rPr>
          <w:rFonts w:hint="eastAsia" w:ascii="宋体" w:hAnsi="宋体" w:eastAsia="宋体" w:cs="宋体"/>
          <w:color w:val="auto"/>
          <w:sz w:val="24"/>
          <w:szCs w:val="24"/>
          <w:highlight w:val="none"/>
          <w:lang w:eastAsia="zh-CN"/>
        </w:rPr>
        <w:t xml:space="preserve">或完全脱离项目实际需要的，有一项扣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分，扣完为止。【0</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color w:val="auto"/>
        </w:rPr>
      </w:r>
      <w:r/>
    </w:p>
    <w:p>
      <w:pPr>
        <w:pStyle w:val="911"/>
        <w:ind w:firstLine="482"/>
        <w:pageBreakBefore w:val="0"/>
        <w:spacing w:line="460" w:lineRule="exact"/>
        <w:shd w:val="clear" w:color="auto" w:fil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．沟通协作方案</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分</w:t>
      </w:r>
      <w:r>
        <w:rPr>
          <w:color w:val="auto"/>
        </w:rPr>
      </w:r>
      <w:r/>
    </w:p>
    <w:p>
      <w:pPr>
        <w:pStyle w:val="911"/>
        <w:ind w:firstLine="480"/>
        <w:pageBreakBefore w:val="0"/>
        <w:spacing w:line="460" w:lineRule="exact"/>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投标人根据本项目需求提供针对本项目的</w:t>
      </w:r>
      <w:r>
        <w:rPr>
          <w:rFonts w:hint="eastAsia" w:ascii="宋体" w:hAnsi="宋体" w:eastAsia="宋体" w:cs="宋体"/>
          <w:color w:val="auto"/>
          <w:sz w:val="24"/>
          <w:highlight w:val="none"/>
          <w:lang w:val="en-US" w:eastAsia="zh-CN"/>
        </w:rPr>
        <w:t xml:space="preserve">沟通协作方案，方案包含（1）当服务内出现增减服务项目（2）交接方案（需要明确交接时间，内容）（3）服务内容与标准发生重大变化（4）</w:t>
      </w:r>
      <w:r>
        <w:rPr>
          <w:rFonts w:hint="eastAsia" w:ascii="宋体" w:hAnsi="宋体" w:eastAsia="宋体" w:cs="宋体"/>
          <w:bCs/>
          <w:color w:val="auto"/>
          <w:sz w:val="24"/>
          <w:highlight w:val="none"/>
        </w:rPr>
        <w:t xml:space="preserve">与其他单位或组织的配合协调</w:t>
      </w:r>
      <w:r>
        <w:rPr>
          <w:rFonts w:hint="eastAsia" w:ascii="宋体" w:hAnsi="宋体" w:eastAsia="宋体" w:cs="宋体"/>
          <w:bCs/>
          <w:color w:val="auto"/>
          <w:sz w:val="24"/>
          <w:highlight w:val="none"/>
          <w:lang w:val="en-US" w:eastAsia="zh-CN"/>
        </w:rPr>
        <w:t xml:space="preserve">方案；</w:t>
      </w:r>
      <w:r>
        <w:rPr>
          <w:rFonts w:hint="eastAsia" w:ascii="宋体" w:hAnsi="宋体" w:eastAsia="宋体" w:cs="宋体"/>
          <w:color w:val="auto"/>
          <w:sz w:val="24"/>
          <w:szCs w:val="24"/>
          <w:highlight w:val="none"/>
          <w:lang w:eastAsia="zh-CN"/>
        </w:rPr>
        <w:t xml:space="preserve">方案完全包含上述内容且详细、贴合项目实际需要的得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分；上述内容与</w:t>
      </w:r>
      <w:r>
        <w:rPr>
          <w:rFonts w:hint="eastAsia" w:ascii="宋体" w:hAnsi="宋体" w:eastAsia="宋体" w:cs="宋体"/>
          <w:color w:val="auto"/>
          <w:sz w:val="24"/>
          <w:szCs w:val="24"/>
          <w:highlight w:val="none"/>
          <w:lang w:val="en-US" w:eastAsia="zh-CN"/>
        </w:rPr>
        <w:t xml:space="preserve">项目需求</w:t>
      </w:r>
      <w:r>
        <w:rPr>
          <w:rFonts w:hint="eastAsia" w:ascii="宋体" w:hAnsi="宋体" w:eastAsia="宋体" w:cs="宋体"/>
          <w:color w:val="auto"/>
          <w:sz w:val="24"/>
          <w:szCs w:val="24"/>
          <w:highlight w:val="none"/>
          <w:lang w:eastAsia="zh-CN"/>
        </w:rPr>
        <w:t xml:space="preserve">有部分偏离的，有一项扣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bCs/>
          <w:color w:val="auto"/>
          <w:sz w:val="24"/>
          <w:highlight w:val="none"/>
          <w:lang w:val="en-US" w:eastAsia="zh-CN"/>
        </w:rPr>
        <w:t xml:space="preserve">上述内容中有</w:t>
      </w:r>
      <w:r>
        <w:rPr>
          <w:rFonts w:hint="eastAsia" w:ascii="宋体" w:hAnsi="宋体" w:cs="宋体"/>
          <w:bCs/>
          <w:color w:val="auto"/>
          <w:sz w:val="24"/>
          <w:highlight w:val="none"/>
          <w:lang w:val="en-US" w:eastAsia="zh-CN"/>
        </w:rPr>
        <w:t xml:space="preserve">未提供</w:t>
      </w:r>
      <w:r>
        <w:rPr>
          <w:rFonts w:hint="eastAsia" w:ascii="宋体" w:hAnsi="宋体" w:eastAsia="宋体" w:cs="宋体"/>
          <w:color w:val="auto"/>
          <w:sz w:val="24"/>
          <w:szCs w:val="24"/>
          <w:highlight w:val="none"/>
          <w:lang w:eastAsia="zh-CN"/>
        </w:rPr>
        <w:t xml:space="preserve">或完全脱离项目实际需要的，有一项扣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分，扣完为止。【0</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color w:val="auto"/>
        </w:rPr>
      </w:r>
      <w:r/>
    </w:p>
    <w:p>
      <w:pPr>
        <w:pStyle w:val="911"/>
        <w:ind w:left="420"/>
        <w:pageBreakBefore w:val="0"/>
        <w:spacing w:line="460" w:lineRule="exact"/>
        <w:shd w:val="clear" w:color="auto" w:fil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．应急与安全保障措施</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分</w:t>
      </w:r>
      <w:r>
        <w:rPr>
          <w:color w:val="auto"/>
        </w:rPr>
      </w:r>
      <w:r/>
    </w:p>
    <w:p>
      <w:pPr>
        <w:pStyle w:val="911"/>
        <w:ind w:firstLine="480"/>
        <w:pageBreakBefore w:val="0"/>
        <w:spacing w:line="460" w:lineRule="exact"/>
        <w:shd w:val="clear" w:color="auto" w:fil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投标人根据本项目需求提供针对本项目的应急与安全保障措施，方案包含（1）服务过程中服务人员、对象可能发生的意外情况及对应的处理方案（2）突发事件（包括突发公共卫生事件、灾害事故等）（3）应急演练；方案完全包含上述内容且详细、贴合项目实际需要的</w:t>
      </w:r>
      <w:r>
        <w:rPr>
          <w:rFonts w:hint="eastAsia" w:ascii="宋体" w:hAnsi="宋体" w:cs="宋体"/>
          <w:bCs/>
          <w:color w:val="auto"/>
          <w:sz w:val="24"/>
          <w:highlight w:val="none"/>
          <w:lang w:val="en-US" w:eastAsia="zh-CN"/>
        </w:rPr>
        <w:t xml:space="preserve">得</w:t>
      </w:r>
      <w:r>
        <w:rPr>
          <w:rFonts w:hint="eastAsia" w:ascii="宋体" w:hAnsi="宋体" w:eastAsia="宋体" w:cs="宋体"/>
          <w:bCs/>
          <w:color w:val="auto"/>
          <w:sz w:val="24"/>
          <w:highlight w:val="none"/>
          <w:lang w:val="en-US" w:eastAsia="zh-CN"/>
        </w:rPr>
        <w:t xml:space="preserve">6分；上述内容与项目需求有部分偏离的，有一项扣1分；上述内容</w:t>
      </w:r>
      <w:r>
        <w:rPr>
          <w:rFonts w:hint="eastAsia" w:ascii="宋体" w:hAnsi="宋体" w:eastAsia="宋体" w:cs="宋体"/>
          <w:bCs/>
          <w:color w:val="auto"/>
          <w:sz w:val="24"/>
          <w:highlight w:val="none"/>
          <w:lang w:val="en-US" w:eastAsia="zh-CN"/>
        </w:rPr>
        <w:t xml:space="preserve">中有</w:t>
      </w:r>
      <w:r>
        <w:rPr>
          <w:rFonts w:hint="eastAsia" w:ascii="宋体" w:hAnsi="宋体" w:cs="宋体"/>
          <w:bCs/>
          <w:color w:val="auto"/>
          <w:sz w:val="24"/>
          <w:highlight w:val="none"/>
          <w:lang w:val="en-US" w:eastAsia="zh-CN"/>
        </w:rPr>
        <w:t xml:space="preserve">未提供</w:t>
      </w:r>
      <w:r>
        <w:rPr>
          <w:rFonts w:hint="eastAsia" w:ascii="宋体" w:hAnsi="宋体" w:eastAsia="宋体" w:cs="宋体"/>
          <w:bCs/>
          <w:color w:val="auto"/>
          <w:sz w:val="24"/>
          <w:highlight w:val="none"/>
          <w:lang w:val="en-US" w:eastAsia="zh-CN"/>
        </w:rPr>
        <w:t xml:space="preserve">或完全脱离项目实际需要的，有一项扣2分，扣完为止。【0-6】</w:t>
      </w:r>
      <w:r>
        <w:rPr>
          <w:color w:val="auto"/>
        </w:rPr>
      </w:r>
      <w:r/>
    </w:p>
    <w:p>
      <w:pPr>
        <w:pStyle w:val="911"/>
        <w:ind w:firstLine="482"/>
        <w:pageBreakBefore w:val="0"/>
        <w:spacing w:line="460" w:lineRule="exact"/>
        <w:shd w:val="clear" w:color="auto" w:fil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．联动方案</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分</w:t>
      </w:r>
      <w:r>
        <w:rPr>
          <w:color w:val="auto"/>
        </w:rPr>
      </w:r>
      <w:r/>
    </w:p>
    <w:p>
      <w:pPr>
        <w:pStyle w:val="911"/>
        <w:ind w:firstLine="508"/>
        <w:pageBreakBefore w:val="0"/>
        <w:spacing w:line="460" w:lineRule="exact"/>
        <w:shd w:val="clear" w:color="auto" w:fill="auto"/>
        <w:rPr>
          <w:rFonts w:hint="eastAsia" w:ascii="宋体" w:hAnsi="宋体" w:eastAsia="宋体" w:cs="宋体"/>
          <w:bCs/>
          <w:color w:val="auto"/>
          <w:sz w:val="24"/>
          <w:highlight w:val="none"/>
        </w:rPr>
      </w:pPr>
      <w:r>
        <w:rPr>
          <w:rStyle w:val="913"/>
          <w:rFonts w:hint="eastAsia" w:ascii="宋体" w:hAnsi="宋体" w:eastAsia="宋体" w:cs="宋体"/>
          <w:b w:val="0"/>
          <w:color w:val="auto"/>
          <w:spacing w:val="7"/>
          <w:sz w:val="24"/>
          <w:highlight w:val="none"/>
        </w:rPr>
        <w:t xml:space="preserve">根据项目需求联合当地志愿者、多家机构、部门，结合老年人的养老需求，提供相应的联动方案</w:t>
      </w:r>
      <w:r>
        <w:rPr>
          <w:rStyle w:val="913"/>
          <w:rFonts w:hint="eastAsia" w:ascii="宋体" w:hAnsi="宋体" w:eastAsia="宋体" w:cs="宋体"/>
          <w:b w:val="0"/>
          <w:color w:val="auto"/>
          <w:spacing w:val="7"/>
          <w:sz w:val="24"/>
          <w:highlight w:val="none"/>
          <w:lang w:eastAsia="zh-CN"/>
        </w:rPr>
        <w:t xml:space="preserve">。内容包括但不限于生活照料、心理关爱、居家养老、助餐服务、便民服务、卫生健康、文化文艺、法律服务、综合项目等，并针对特定的服务项目拟定出相应本土化、可行的联动方案</w:t>
      </w:r>
      <w:r>
        <w:rPr>
          <w:rFonts w:hint="eastAsia" w:ascii="宋体" w:hAnsi="宋体" w:eastAsia="宋体" w:cs="宋体"/>
          <w:bCs/>
          <w:color w:val="auto"/>
          <w:sz w:val="24"/>
          <w:highlight w:val="none"/>
          <w:lang w:val="en-US" w:eastAsia="zh-CN"/>
        </w:rPr>
        <w:t xml:space="preserve">；方案完全包含上述内容且详细、贴合项目实际需要的得</w:t>
      </w:r>
      <w:r>
        <w:rPr>
          <w:rStyle w:val="913"/>
          <w:rFonts w:hint="eastAsia" w:ascii="宋体" w:hAnsi="宋体" w:eastAsia="宋体" w:cs="宋体"/>
          <w:b w:val="0"/>
          <w:color w:val="auto"/>
          <w:spacing w:val="7"/>
          <w:sz w:val="24"/>
          <w:highlight w:val="none"/>
          <w:lang w:val="en-US" w:eastAsia="zh-CN"/>
        </w:rPr>
        <w:t xml:space="preserve">7</w:t>
      </w:r>
      <w:r>
        <w:rPr>
          <w:rStyle w:val="913"/>
          <w:rFonts w:hint="eastAsia" w:ascii="宋体" w:hAnsi="宋体" w:eastAsia="宋体" w:cs="宋体"/>
          <w:b w:val="0"/>
          <w:color w:val="auto"/>
          <w:spacing w:val="7"/>
          <w:sz w:val="24"/>
          <w:highlight w:val="none"/>
        </w:rPr>
        <w:t xml:space="preserve">分；</w:t>
      </w:r>
      <w:r>
        <w:rPr>
          <w:rFonts w:hint="eastAsia" w:ascii="宋体" w:hAnsi="宋体" w:eastAsia="宋体" w:cs="宋体"/>
          <w:bCs/>
          <w:color w:val="auto"/>
          <w:sz w:val="24"/>
          <w:highlight w:val="none"/>
          <w:lang w:val="en-US" w:eastAsia="zh-CN"/>
        </w:rPr>
        <w:t xml:space="preserve">上述内容与项目需求有部分偏离的，有一项扣0.5分；上述内容中有未提供或完全脱离项目实际需要的，有一项扣1分，扣完为止</w:t>
      </w:r>
      <w:r>
        <w:rPr>
          <w:rStyle w:val="913"/>
          <w:rFonts w:hint="eastAsia" w:ascii="宋体" w:hAnsi="宋体" w:eastAsia="宋体" w:cs="宋体"/>
          <w:b w:val="0"/>
          <w:color w:val="auto"/>
          <w:spacing w:val="7"/>
          <w:sz w:val="24"/>
          <w:highlight w:val="none"/>
        </w:rPr>
        <w:t xml:space="preserve">。</w:t>
      </w:r>
      <w:r>
        <w:rPr>
          <w:rFonts w:hint="eastAsia" w:ascii="宋体" w:hAnsi="宋体" w:eastAsia="宋体" w:cs="宋体"/>
          <w:bCs/>
          <w:color w:val="auto"/>
          <w:sz w:val="24"/>
          <w:highlight w:val="none"/>
        </w:rPr>
        <w:t xml:space="preserve">【0</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lang w:val="en-US" w:eastAsia="zh-CN"/>
        </w:rPr>
        <w:t xml:space="preserve">7</w:t>
      </w:r>
      <w:r>
        <w:rPr>
          <w:rFonts w:hint="eastAsia" w:ascii="宋体" w:hAnsi="宋体" w:eastAsia="宋体" w:cs="宋体"/>
          <w:bCs/>
          <w:color w:val="auto"/>
          <w:sz w:val="24"/>
          <w:highlight w:val="none"/>
        </w:rPr>
        <w:t xml:space="preserve">】</w:t>
      </w:r>
      <w:r>
        <w:rPr>
          <w:color w:val="auto"/>
        </w:rPr>
      </w:r>
      <w:r/>
    </w:p>
    <w:p>
      <w:pPr>
        <w:pStyle w:val="911"/>
        <w:ind w:firstLine="482"/>
        <w:pageBreakBefore w:val="0"/>
        <w:spacing w:line="460" w:lineRule="exact"/>
        <w:shd w:val="clear" w:color="auto" w:fil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（三）本项目的人员配置方案2</w:t>
      </w: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rPr>
        <w:t xml:space="preserve">分</w:t>
      </w:r>
      <w:r>
        <w:rPr>
          <w:color w:val="auto"/>
        </w:rPr>
      </w:r>
      <w:r/>
    </w:p>
    <w:p>
      <w:pPr>
        <w:pStyle w:val="911"/>
        <w:ind w:firstLine="480"/>
        <w:pageBreakBefore w:val="0"/>
        <w:spacing w:line="460" w:lineRule="exact"/>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1．专业服务队伍情况</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rPr>
          <w:color w:val="auto"/>
        </w:rPr>
      </w:r>
      <w:r/>
    </w:p>
    <w:p>
      <w:pPr>
        <w:pStyle w:val="911"/>
        <w:ind w:firstLine="480"/>
        <w:pageBreakBefore w:val="0"/>
        <w:spacing w:line="460" w:lineRule="exact"/>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能够根据居家养老服务以及日常行政、业务管理合理设置职能部门，各职能部门均按需配备人员，且各项工作均有专人负责但不冗余。服务职能部门设置、人员配备、专业程度，优于项目需求的得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分；职能部门设置、人员配备、专业程度，符合项目需求的得4分；职能部门设置、人员配备、专业程度，未达到项目需求的得2分；不提供不得分</w:t>
      </w:r>
      <w:r>
        <w:rPr>
          <w:rFonts w:hint="eastAsia" w:ascii="宋体" w:hAnsi="宋体" w:eastAsia="宋体" w:cs="宋体"/>
          <w:b/>
          <w:iCs/>
          <w:color w:val="auto"/>
          <w:sz w:val="24"/>
          <w:highlight w:val="none"/>
        </w:rPr>
        <w:t xml:space="preserve">（</w:t>
      </w:r>
      <w:r>
        <w:rPr>
          <w:rFonts w:hint="eastAsia" w:ascii="宋体" w:hAnsi="宋体" w:eastAsia="宋体" w:cs="宋体"/>
          <w:b/>
          <w:bCs/>
          <w:color w:val="auto"/>
          <w:sz w:val="24"/>
          <w:highlight w:val="none"/>
        </w:rPr>
        <w:t xml:space="preserve">项目负责人、专职行政管理人员、专业技术人员</w:t>
      </w:r>
      <w:r>
        <w:rPr>
          <w:rFonts w:hint="eastAsia" w:ascii="宋体" w:hAnsi="宋体" w:eastAsia="宋体" w:cs="宋体"/>
          <w:b/>
          <w:iCs/>
          <w:color w:val="auto"/>
          <w:sz w:val="24"/>
          <w:highlight w:val="none"/>
        </w:rPr>
        <w:t xml:space="preserve">、上门服务人员需单独配备，</w:t>
      </w:r>
      <w:r>
        <w:rPr>
          <w:rFonts w:hint="eastAsia" w:ascii="宋体" w:hAnsi="宋体" w:eastAsia="宋体" w:cs="宋体"/>
          <w:b/>
          <w:iCs/>
          <w:color w:val="auto"/>
          <w:sz w:val="24"/>
          <w:highlight w:val="none"/>
          <w:lang w:val="en-US" w:eastAsia="zh-CN"/>
        </w:rPr>
        <w:t xml:space="preserve">请在投标文件中列出人员清单，人员</w:t>
      </w:r>
      <w:r>
        <w:rPr>
          <w:rFonts w:hint="eastAsia" w:ascii="宋体" w:hAnsi="宋体" w:eastAsia="宋体" w:cs="宋体"/>
          <w:b/>
          <w:iCs/>
          <w:color w:val="auto"/>
          <w:sz w:val="24"/>
          <w:highlight w:val="none"/>
        </w:rPr>
        <w:t xml:space="preserve">按任职对应岗位计分，不提供不得</w:t>
      </w:r>
      <w:r>
        <w:rPr>
          <w:rFonts w:hint="eastAsia" w:ascii="宋体" w:hAnsi="宋体" w:eastAsia="宋体" w:cs="宋体"/>
          <w:b/>
          <w:iCs/>
          <w:color w:val="auto"/>
          <w:sz w:val="24"/>
          <w:highlight w:val="none"/>
          <w:lang w:val="en-US" w:eastAsia="zh-CN"/>
        </w:rPr>
        <w:t xml:space="preserve">分</w:t>
      </w:r>
      <w:r>
        <w:rPr>
          <w:rFonts w:hint="eastAsia" w:ascii="宋体" w:hAnsi="宋体" w:eastAsia="宋体" w:cs="宋体"/>
          <w:b/>
          <w:iCs/>
          <w:color w:val="auto"/>
          <w:sz w:val="24"/>
          <w:highlight w:val="none"/>
        </w:rPr>
        <w:t xml:space="preserve">）</w:t>
      </w:r>
      <w:r>
        <w:rPr>
          <w:rFonts w:hint="eastAsia" w:ascii="宋体" w:hAnsi="宋体" w:eastAsia="宋体" w:cs="宋体"/>
          <w:bCs/>
          <w:iCs/>
          <w:color w:val="auto"/>
          <w:sz w:val="24"/>
          <w:highlight w:val="none"/>
        </w:rPr>
        <w:t xml:space="preserve">。【0/2/4/</w:t>
      </w:r>
      <w:r>
        <w:rPr>
          <w:rFonts w:hint="eastAsia" w:ascii="宋体" w:hAnsi="宋体" w:eastAsia="宋体" w:cs="宋体"/>
          <w:bCs/>
          <w:iCs/>
          <w:color w:val="auto"/>
          <w:sz w:val="24"/>
          <w:highlight w:val="none"/>
          <w:lang w:val="en-US" w:eastAsia="zh-CN"/>
        </w:rPr>
        <w:t xml:space="preserve">6</w:t>
      </w:r>
      <w:r>
        <w:rPr>
          <w:rFonts w:hint="eastAsia" w:ascii="宋体" w:hAnsi="宋体" w:eastAsia="宋体" w:cs="宋体"/>
          <w:bCs/>
          <w:iCs/>
          <w:color w:val="auto"/>
          <w:sz w:val="24"/>
          <w:highlight w:val="none"/>
        </w:rPr>
        <w:t xml:space="preserve">】</w:t>
      </w:r>
      <w:r>
        <w:rPr>
          <w:color w:val="auto"/>
        </w:rPr>
      </w:r>
      <w:r/>
    </w:p>
    <w:p>
      <w:pPr>
        <w:pStyle w:val="911"/>
        <w:numPr>
          <w:ilvl w:val="0"/>
          <w:numId w:val="2"/>
        </w:numPr>
        <w:ind w:firstLine="480"/>
        <w:jc w:val="both"/>
        <w:pageBreakBefore w:val="0"/>
        <w:spacing w:line="460" w:lineRule="exact"/>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lang w:val="en-US" w:eastAsia="zh-CN"/>
        </w:rPr>
        <w:t xml:space="preserve">针对</w:t>
      </w:r>
      <w:r>
        <w:rPr>
          <w:rFonts w:hint="eastAsia" w:ascii="宋体" w:hAnsi="宋体" w:eastAsia="宋体" w:cs="宋体"/>
          <w:color w:val="auto"/>
          <w:sz w:val="24"/>
          <w:highlight w:val="none"/>
          <w:lang w:val="en-US" w:eastAsia="zh-CN"/>
        </w:rPr>
        <w:t xml:space="preserve">本项目</w:t>
      </w:r>
      <w:r>
        <w:rPr>
          <w:rFonts w:hint="eastAsia" w:ascii="宋体" w:hAnsi="宋体" w:eastAsia="宋体" w:cs="宋体"/>
          <w:color w:val="auto"/>
          <w:sz w:val="24"/>
          <w:highlight w:val="none"/>
        </w:rPr>
        <w:t xml:space="preserve">配备上门服务人员有</w:t>
      </w: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人持有</w:t>
      </w:r>
      <w:r>
        <w:rPr>
          <w:rFonts w:hint="eastAsia" w:ascii="宋体" w:hAnsi="宋体" w:eastAsia="宋体" w:cs="宋体"/>
          <w:color w:val="auto"/>
          <w:sz w:val="24"/>
          <w:highlight w:val="none"/>
          <w:lang w:val="en-US" w:eastAsia="zh-CN"/>
        </w:rPr>
        <w:t xml:space="preserve">行政部门颁发的</w:t>
      </w:r>
      <w:r>
        <w:rPr>
          <w:rFonts w:hint="eastAsia" w:ascii="宋体" w:hAnsi="宋体" w:eastAsia="宋体" w:cs="宋体"/>
          <w:color w:val="auto"/>
          <w:sz w:val="24"/>
          <w:highlight w:val="none"/>
        </w:rPr>
        <w:t xml:space="preserve">初级及以上养老护理员资格证</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或</w:t>
      </w:r>
      <w:r>
        <w:rPr>
          <w:rFonts w:hint="eastAsia" w:ascii="宋体" w:hAnsi="宋体" w:eastAsia="宋体" w:cs="宋体"/>
          <w:color w:val="auto"/>
          <w:sz w:val="24"/>
          <w:highlight w:val="none"/>
          <w:lang w:val="en-US" w:eastAsia="zh-CN"/>
        </w:rPr>
        <w:t xml:space="preserve">取得由行政部门授权的机构（部门）颁发的</w:t>
      </w:r>
      <w:r>
        <w:rPr>
          <w:rFonts w:hint="eastAsia" w:ascii="宋体" w:hAnsi="宋体" w:eastAsia="宋体" w:cs="宋体"/>
          <w:color w:val="auto"/>
          <w:sz w:val="24"/>
          <w:highlight w:val="none"/>
        </w:rPr>
        <w:t xml:space="preserve">长期护理保险居家护理服务技能培训结业证书</w:t>
      </w:r>
      <w:r>
        <w:rPr>
          <w:rFonts w:hint="eastAsia" w:ascii="宋体" w:hAnsi="宋体" w:cs="宋体"/>
          <w:color w:val="auto"/>
          <w:sz w:val="24"/>
          <w:highlight w:val="none"/>
          <w:lang w:eastAsia="zh-CN"/>
        </w:rPr>
        <w:t xml:space="preserve">的</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分，每缺一份</w:t>
      </w:r>
      <w:r>
        <w:rPr>
          <w:rFonts w:hint="eastAsia" w:ascii="宋体" w:hAnsi="宋体" w:eastAsia="宋体" w:cs="宋体"/>
          <w:color w:val="auto"/>
          <w:sz w:val="24"/>
          <w:highlight w:val="none"/>
          <w:lang w:val="en-US" w:eastAsia="zh-CN"/>
        </w:rPr>
        <w:t xml:space="preserve">证书</w:t>
      </w:r>
      <w:r>
        <w:rPr>
          <w:rFonts w:hint="eastAsia" w:ascii="宋体" w:hAnsi="宋体" w:eastAsia="宋体" w:cs="宋体"/>
          <w:color w:val="auto"/>
          <w:sz w:val="24"/>
          <w:highlight w:val="none"/>
        </w:rPr>
        <w:t xml:space="preserve">扣0.5分，扣完为止</w:t>
      </w:r>
      <w:r>
        <w:rPr>
          <w:rFonts w:hint="eastAsia" w:ascii="宋体" w:hAnsi="宋体" w:eastAsia="宋体" w:cs="宋体"/>
          <w:b/>
          <w:bCs/>
          <w:color w:val="auto"/>
          <w:sz w:val="24"/>
          <w:highlight w:val="none"/>
        </w:rPr>
        <w:t xml:space="preserve">（请在投标文件中提供相关资格证书的</w:t>
      </w:r>
      <w:r>
        <w:rPr>
          <w:rFonts w:hint="eastAsia" w:ascii="宋体" w:hAnsi="宋体" w:eastAsia="宋体" w:cs="宋体"/>
          <w:b/>
          <w:bCs/>
          <w:color w:val="auto"/>
          <w:sz w:val="24"/>
          <w:highlight w:val="none"/>
          <w:lang w:val="en-US" w:eastAsia="zh-CN"/>
        </w:rPr>
        <w:t xml:space="preserve">扫描件</w:t>
      </w:r>
      <w:r>
        <w:rPr>
          <w:rFonts w:hint="eastAsia" w:ascii="宋体" w:hAnsi="宋体" w:eastAsia="宋体" w:cs="宋体"/>
          <w:b/>
          <w:bCs/>
          <w:color w:val="auto"/>
          <w:sz w:val="24"/>
          <w:highlight w:val="none"/>
        </w:rPr>
        <w:t xml:space="preserve">，不提供不得分）</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w:t>
      </w:r>
      <w:r>
        <w:rPr>
          <w:color w:val="auto"/>
        </w:rPr>
      </w:r>
      <w:r/>
    </w:p>
    <w:p>
      <w:pPr>
        <w:pStyle w:val="911"/>
        <w:numPr>
          <w:ilvl w:val="0"/>
          <w:numId w:val="2"/>
        </w:numPr>
        <w:ind w:left="0" w:firstLine="480"/>
        <w:pageBreakBefore w:val="0"/>
        <w:spacing w:line="460" w:lineRule="exact"/>
        <w:shd w:val="clear" w:color="auto" w:fill="auto"/>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en-US" w:eastAsia="zh-CN"/>
        </w:rPr>
        <w:t xml:space="preserve">投标人针对本项目</w:t>
      </w:r>
      <w:r>
        <w:rPr>
          <w:rFonts w:hint="eastAsia" w:ascii="宋体" w:hAnsi="宋体" w:eastAsia="宋体" w:cs="宋体"/>
          <w:bCs/>
          <w:color w:val="auto"/>
          <w:sz w:val="24"/>
          <w:highlight w:val="none"/>
        </w:rPr>
        <w:t xml:space="preserve">配备1名项目负责人、不少于2名专职行政管理人员</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均</w:t>
      </w:r>
      <w:r>
        <w:rPr>
          <w:rFonts w:hint="eastAsia" w:ascii="宋体" w:hAnsi="宋体" w:eastAsia="宋体" w:cs="宋体"/>
          <w:bCs/>
          <w:color w:val="auto"/>
          <w:sz w:val="24"/>
          <w:highlight w:val="none"/>
          <w:u w:val="none"/>
        </w:rPr>
        <w:t xml:space="preserve">具有</w:t>
      </w:r>
      <w:r>
        <w:rPr>
          <w:rFonts w:hint="eastAsia" w:ascii="宋体" w:hAnsi="宋体" w:eastAsia="宋体" w:cs="宋体"/>
          <w:bCs/>
          <w:color w:val="auto"/>
          <w:sz w:val="24"/>
          <w:highlight w:val="none"/>
          <w:u w:val="none"/>
          <w:lang w:val="en-US" w:eastAsia="zh-CN"/>
        </w:rPr>
        <w:t xml:space="preserve">本科</w:t>
      </w:r>
      <w:r>
        <w:rPr>
          <w:rFonts w:hint="eastAsia" w:ascii="宋体" w:hAnsi="宋体" w:eastAsia="宋体" w:cs="宋体"/>
          <w:bCs/>
          <w:color w:val="auto"/>
          <w:sz w:val="24"/>
          <w:highlight w:val="none"/>
          <w:u w:val="none"/>
        </w:rPr>
        <w:t xml:space="preserve">及以上学历，</w:t>
      </w:r>
      <w:r>
        <w:rPr>
          <w:rFonts w:hint="eastAsia" w:ascii="宋体" w:hAnsi="宋体" w:eastAsia="宋体" w:cs="宋体"/>
          <w:bCs/>
          <w:color w:val="auto"/>
          <w:sz w:val="24"/>
          <w:highlight w:val="none"/>
          <w:u w:val="none"/>
          <w:lang w:val="en-US" w:eastAsia="zh-CN"/>
        </w:rPr>
        <w:t xml:space="preserve">满足要求的</w:t>
      </w:r>
      <w:r>
        <w:rPr>
          <w:rFonts w:hint="eastAsia" w:ascii="宋体" w:hAnsi="宋体" w:eastAsia="宋体" w:cs="宋体"/>
          <w:color w:val="auto"/>
          <w:sz w:val="24"/>
          <w:highlight w:val="none"/>
        </w:rPr>
        <w:t xml:space="preserve">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不满足不得分</w:t>
      </w:r>
      <w:r>
        <w:rPr>
          <w:rFonts w:hint="eastAsia" w:ascii="宋体" w:hAnsi="宋体" w:eastAsia="宋体" w:cs="宋体"/>
          <w:b/>
          <w:bCs/>
          <w:color w:val="auto"/>
          <w:sz w:val="24"/>
          <w:highlight w:val="none"/>
        </w:rPr>
        <w:t xml:space="preserve">（请在投标文件中提供相关人员学历证明或其他证明材料，以</w:t>
      </w:r>
      <w:r>
        <w:rPr>
          <w:rFonts w:hint="eastAsia" w:ascii="宋体" w:hAnsi="宋体" w:eastAsia="宋体" w:cs="宋体"/>
          <w:b/>
          <w:color w:val="auto"/>
          <w:sz w:val="24"/>
          <w:szCs w:val="24"/>
          <w:highlight w:val="none"/>
        </w:rPr>
        <w:t xml:space="preserve">及</w:t>
      </w:r>
      <w:r>
        <w:rPr>
          <w:rFonts w:hint="eastAsia" w:ascii="宋体" w:hAnsi="宋体" w:eastAsia="宋体" w:cs="宋体"/>
          <w:b/>
          <w:color w:val="auto"/>
          <w:sz w:val="24"/>
          <w:szCs w:val="24"/>
          <w:highlight w:val="none"/>
          <w:lang w:val="en-US" w:eastAsia="zh-CN"/>
        </w:rPr>
        <w:t xml:space="preserve">本单位</w:t>
      </w:r>
      <w:r>
        <w:rPr>
          <w:rFonts w:hint="eastAsia" w:ascii="宋体" w:hAnsi="宋体" w:eastAsia="宋体" w:cs="宋体"/>
          <w:b/>
          <w:color w:val="auto"/>
          <w:sz w:val="24"/>
          <w:szCs w:val="24"/>
          <w:highlight w:val="none"/>
        </w:rPr>
        <w:t xml:space="preserve">为该员工缴纳的近</w:t>
      </w: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个月的社保证明材</w:t>
      </w:r>
      <w:r>
        <w:rPr>
          <w:rFonts w:hint="eastAsia" w:ascii="宋体" w:hAnsi="宋体" w:eastAsia="宋体" w:cs="宋体"/>
          <w:b/>
          <w:color w:val="auto"/>
          <w:sz w:val="24"/>
          <w:szCs w:val="24"/>
          <w:highlight w:val="none"/>
          <w:lang w:val="en-US" w:eastAsia="zh-CN"/>
        </w:rPr>
        <w:t xml:space="preserve">料</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highlight w:val="none"/>
        </w:rPr>
        <w:t xml:space="preserve">不提供不得分）</w:t>
      </w:r>
      <w:r>
        <w:rPr>
          <w:rFonts w:hint="eastAsia" w:ascii="宋体" w:hAnsi="宋体" w:eastAsia="宋体" w:cs="宋体"/>
          <w:color w:val="auto"/>
          <w:sz w:val="24"/>
          <w:highlight w:val="none"/>
        </w:rPr>
        <w:t xml:space="preserve">。【0/</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color w:val="auto"/>
        </w:rPr>
      </w:r>
      <w:r/>
    </w:p>
    <w:p>
      <w:pPr>
        <w:pStyle w:val="911"/>
        <w:ind w:firstLine="480"/>
        <w:jc w:val="both"/>
        <w:pageBreakBefore w:val="0"/>
        <w:spacing w:line="460" w:lineRule="exact"/>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bCs/>
          <w:color w:val="auto"/>
          <w:sz w:val="24"/>
          <w:szCs w:val="22"/>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项目组成员中不少于2名</w:t>
      </w:r>
      <w:r>
        <w:rPr>
          <w:rFonts w:hint="eastAsia" w:ascii="宋体" w:hAnsi="宋体" w:eastAsia="宋体" w:cs="宋体"/>
          <w:bCs/>
          <w:color w:val="auto"/>
          <w:sz w:val="24"/>
          <w:szCs w:val="22"/>
          <w:highlight w:val="none"/>
          <w:lang w:val="en-US" w:eastAsia="zh-CN" w:bidi="ar-SA"/>
        </w:rPr>
        <w:t xml:space="preserve">专业技术人员，</w:t>
      </w:r>
      <w:r>
        <w:rPr>
          <w:rFonts w:hint="eastAsia" w:ascii="宋体" w:hAnsi="宋体" w:eastAsia="宋体" w:cs="宋体"/>
          <w:color w:val="auto"/>
          <w:sz w:val="24"/>
          <w:szCs w:val="24"/>
          <w:highlight w:val="none"/>
          <w:lang w:val="en-US" w:eastAsia="zh-CN" w:bidi="ar-SA"/>
        </w:rPr>
        <w:t xml:space="preserve">具有行政部门颁发的执业医师证、执业护师证或康复医师证的，有一人得3分，本项最多得6分</w:t>
      </w:r>
      <w:r>
        <w:rPr>
          <w:rFonts w:hint="eastAsia" w:ascii="宋体" w:hAnsi="宋体" w:eastAsia="宋体" w:cs="宋体"/>
          <w:b/>
          <w:color w:val="auto"/>
          <w:sz w:val="24"/>
          <w:szCs w:val="24"/>
          <w:highlight w:val="none"/>
          <w:lang w:val="en-US" w:eastAsia="zh-CN" w:bidi="ar-SA"/>
        </w:rPr>
        <w:t xml:space="preserve">（同一人员不累计得分，请在投标文件中提供相关资格证书</w:t>
      </w:r>
      <w:r>
        <w:rPr>
          <w:rFonts w:hint="eastAsia" w:ascii="宋体" w:hAnsi="宋体" w:eastAsia="宋体" w:cs="宋体"/>
          <w:b/>
          <w:bCs/>
          <w:color w:val="auto"/>
          <w:sz w:val="24"/>
          <w:szCs w:val="22"/>
          <w:highlight w:val="none"/>
          <w:lang w:val="en-US" w:eastAsia="zh-CN" w:bidi="ar-SA"/>
        </w:rPr>
        <w:t xml:space="preserve">或其他证明材料的复印件，以</w:t>
      </w:r>
      <w:r>
        <w:rPr>
          <w:rFonts w:hint="eastAsia" w:ascii="宋体" w:hAnsi="宋体" w:eastAsia="宋体" w:cs="宋体"/>
          <w:b/>
          <w:color w:val="auto"/>
          <w:sz w:val="24"/>
          <w:szCs w:val="24"/>
          <w:highlight w:val="none"/>
          <w:lang w:val="en-US" w:eastAsia="zh-CN" w:bidi="ar-SA"/>
        </w:rPr>
        <w:t xml:space="preserve">及本单位为该员工缴纳的近六个月的社保证明材料，不提供不得分）</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2"/>
          <w:highlight w:val="none"/>
          <w:lang w:val="en-US" w:eastAsia="zh-CN" w:bidi="ar-SA"/>
        </w:rPr>
        <w:t xml:space="preserve">0/3/6</w:t>
      </w:r>
      <w:r>
        <w:rPr>
          <w:rFonts w:hint="eastAsia" w:ascii="宋体" w:hAnsi="宋体" w:eastAsia="宋体" w:cs="宋体"/>
          <w:bCs/>
          <w:color w:val="auto"/>
          <w:sz w:val="24"/>
          <w:szCs w:val="24"/>
          <w:highlight w:val="none"/>
          <w:lang w:val="en-US" w:eastAsia="zh-CN" w:bidi="ar-SA"/>
        </w:rPr>
        <w:t xml:space="preserve">】</w:t>
      </w:r>
      <w:r>
        <w:rPr>
          <w:color w:val="auto"/>
        </w:rPr>
      </w:r>
      <w:r/>
    </w:p>
    <w:p>
      <w:pPr>
        <w:pStyle w:val="911"/>
        <w:ind w:firstLine="482"/>
        <w:pageBreakBefore w:val="0"/>
        <w:spacing w:line="460" w:lineRule="exact"/>
        <w:shd w:val="clear" w:color="auto" w:fil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（四）履约能力分</w:t>
      </w:r>
      <w:r>
        <w:rPr>
          <w:rFonts w:hint="eastAsia" w:ascii="宋体" w:hAnsi="宋体" w:eastAsia="宋体" w:cs="宋体"/>
          <w:b/>
          <w:bCs/>
          <w:color w:val="auto"/>
          <w:sz w:val="24"/>
          <w:highlight w:val="none"/>
          <w:lang w:val="en-US" w:eastAsia="zh-CN"/>
        </w:rPr>
        <w:t xml:space="preserve">9</w:t>
      </w:r>
      <w:r>
        <w:rPr>
          <w:rFonts w:hint="eastAsia" w:ascii="宋体" w:hAnsi="宋体" w:eastAsia="宋体" w:cs="宋体"/>
          <w:b/>
          <w:bCs/>
          <w:color w:val="auto"/>
          <w:sz w:val="24"/>
          <w:highlight w:val="none"/>
        </w:rPr>
        <w:t xml:space="preserve">分</w:t>
      </w:r>
      <w:r>
        <w:rPr>
          <w:color w:val="auto"/>
        </w:rPr>
      </w:r>
      <w:r/>
    </w:p>
    <w:p>
      <w:pPr>
        <w:pStyle w:val="911"/>
        <w:ind w:firstLine="480"/>
        <w:pageBreakBefore w:val="0"/>
        <w:spacing w:line="460" w:lineRule="exact"/>
        <w:shd w:val="clear" w:color="auto" w:fil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1．投标人提供20</w:t>
      </w: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年1月以来承接的</w:t>
      </w:r>
      <w:r>
        <w:rPr>
          <w:rFonts w:hint="eastAsia" w:ascii="宋体" w:hAnsi="宋体" w:eastAsia="宋体" w:cs="宋体"/>
          <w:color w:val="auto"/>
          <w:sz w:val="24"/>
          <w:highlight w:val="none"/>
          <w:lang w:val="en-US" w:eastAsia="zh-CN"/>
        </w:rPr>
        <w:t xml:space="preserve">类似项目业绩（以合同签订时间为准 ），</w:t>
      </w:r>
      <w:r>
        <w:rPr>
          <w:rStyle w:val="913"/>
          <w:rFonts w:ascii="宋体" w:hAnsi="宋体" w:eastAsia="宋体" w:cs="宋体"/>
          <w:b w:val="0"/>
          <w:color w:val="auto"/>
          <w:spacing w:val="7"/>
          <w:sz w:val="24"/>
          <w:highlight w:val="none"/>
          <w:lang w:val="en-US" w:eastAsia="zh-CN"/>
        </w:rPr>
        <w:t xml:space="preserve">有一项得</w:t>
      </w:r>
      <w:r>
        <w:rPr>
          <w:rStyle w:val="913"/>
          <w:rFonts w:hint="eastAsia" w:ascii="宋体" w:hAnsi="宋体" w:eastAsia="宋体" w:cs="宋体"/>
          <w:b w:val="0"/>
          <w:color w:val="auto"/>
          <w:spacing w:val="7"/>
          <w:sz w:val="24"/>
          <w:highlight w:val="none"/>
          <w:lang w:val="en-US" w:eastAsia="zh-CN"/>
        </w:rPr>
        <w:t xml:space="preserve"> 1</w:t>
      </w:r>
      <w:r>
        <w:rPr>
          <w:rStyle w:val="913"/>
          <w:rFonts w:ascii="宋体" w:hAnsi="宋体" w:eastAsia="宋体" w:cs="宋体"/>
          <w:b w:val="0"/>
          <w:color w:val="auto"/>
          <w:spacing w:val="7"/>
          <w:sz w:val="24"/>
          <w:highlight w:val="none"/>
          <w:lang w:val="en-US" w:eastAsia="zh-CN"/>
        </w:rPr>
        <w:t xml:space="preserve"> 分，最多得 </w:t>
      </w:r>
      <w:r>
        <w:rPr>
          <w:rStyle w:val="913"/>
          <w:rFonts w:hint="eastAsia" w:ascii="宋体" w:hAnsi="宋体" w:eastAsia="宋体" w:cs="宋体"/>
          <w:b w:val="0"/>
          <w:color w:val="auto"/>
          <w:spacing w:val="7"/>
          <w:sz w:val="24"/>
          <w:highlight w:val="none"/>
          <w:lang w:val="en-US" w:eastAsia="zh-CN"/>
        </w:rPr>
        <w:t xml:space="preserve">3</w:t>
      </w:r>
      <w:r>
        <w:rPr>
          <w:rStyle w:val="913"/>
          <w:rFonts w:ascii="宋体" w:hAnsi="宋体" w:eastAsia="宋体" w:cs="宋体"/>
          <w:b w:val="0"/>
          <w:color w:val="auto"/>
          <w:spacing w:val="7"/>
          <w:sz w:val="24"/>
          <w:highlight w:val="none"/>
          <w:lang w:val="en-US" w:eastAsia="zh-CN"/>
        </w:rPr>
        <w:t xml:space="preserve"> 分</w:t>
      </w:r>
      <w:r>
        <w:rPr>
          <w:rFonts w:hint="eastAsia" w:ascii="宋体" w:hAnsi="宋体" w:eastAsia="宋体" w:cs="宋体"/>
          <w:color w:val="auto"/>
          <w:sz w:val="24"/>
          <w:highlight w:val="none"/>
          <w:lang w:val="en-US" w:eastAsia="zh-CN"/>
        </w:rPr>
        <w:t xml:space="preserve">（</w:t>
      </w:r>
      <w:r>
        <w:rPr>
          <w:rFonts w:hint="eastAsia" w:ascii="宋体" w:hAnsi="宋体" w:eastAsia="宋体" w:cs="宋体"/>
          <w:b w:val="0"/>
          <w:color w:val="auto"/>
          <w:spacing w:val="7"/>
          <w:sz w:val="24"/>
          <w:highlight w:val="none"/>
        </w:rPr>
        <w:t xml:space="preserve">请在投标文件中提供相关业绩合同复印件，合同中须反映出相关内容，如合同不能反映，须提供其他材料予以佐证，不提供不得分）</w:t>
      </w:r>
      <w:r>
        <w:rPr>
          <w:rFonts w:hint="eastAsia" w:ascii="宋体" w:hAnsi="宋体" w:eastAsia="宋体" w:cs="宋体"/>
          <w:color w:val="auto"/>
          <w:sz w:val="24"/>
          <w:highlight w:val="none"/>
        </w:rPr>
        <w:t xml:space="preserve">。【0</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color w:val="auto"/>
        </w:rPr>
      </w:r>
      <w:r/>
    </w:p>
    <w:p>
      <w:pPr>
        <w:pStyle w:val="911"/>
        <w:ind w:right="-124" w:firstLine="508"/>
        <w:spacing w:line="360" w:lineRule="auto"/>
        <w:rPr>
          <w:rStyle w:val="913"/>
          <w:rFonts w:hint="eastAsia" w:ascii="宋体" w:hAnsi="宋体" w:eastAsia="宋体" w:cs="宋体"/>
          <w:b w:val="0"/>
          <w:color w:val="auto"/>
          <w:spacing w:val="7"/>
          <w:sz w:val="24"/>
          <w:highlight w:val="none"/>
        </w:rPr>
      </w:pPr>
      <w:r>
        <w:rPr>
          <w:rStyle w:val="913"/>
          <w:rFonts w:hint="eastAsia" w:ascii="宋体" w:hAnsi="宋体" w:eastAsia="宋体" w:cs="宋体"/>
          <w:b w:val="0"/>
          <w:color w:val="auto"/>
          <w:spacing w:val="7"/>
          <w:sz w:val="24"/>
          <w:highlight w:val="none"/>
          <w:lang w:val="en-US" w:eastAsia="zh-CN"/>
        </w:rPr>
        <w:t xml:space="preserve">2.养老资源</w:t>
      </w:r>
      <w:r>
        <w:rPr>
          <w:color w:val="auto"/>
        </w:rPr>
      </w:r>
      <w:r/>
    </w:p>
    <w:p>
      <w:pPr>
        <w:pStyle w:val="911"/>
        <w:ind w:right="-124" w:firstLine="508"/>
        <w:spacing w:line="360" w:lineRule="auto"/>
        <w:rPr>
          <w:rFonts w:hint="eastAsia" w:ascii="宋体" w:hAnsi="宋体" w:eastAsia="宋体" w:cs="宋体"/>
          <w:bCs/>
          <w:color w:val="auto"/>
          <w:sz w:val="24"/>
          <w:highlight w:val="none"/>
        </w:rPr>
      </w:pPr>
      <w:r>
        <w:rPr>
          <w:rStyle w:val="913"/>
          <w:rFonts w:ascii="宋体" w:hAnsi="宋体" w:eastAsia="宋体" w:cs="宋体"/>
          <w:b w:val="0"/>
          <w:color w:val="auto"/>
          <w:spacing w:val="7"/>
          <w:sz w:val="24"/>
          <w:highlight w:val="none"/>
          <w:lang w:val="en-US" w:eastAsia="zh-CN"/>
        </w:rPr>
        <w:t xml:space="preserve">投标</w:t>
      </w:r>
      <w:r>
        <w:rPr>
          <w:rStyle w:val="913"/>
          <w:rFonts w:hint="eastAsia" w:ascii="宋体" w:hAnsi="宋体" w:eastAsia="宋体" w:cs="宋体"/>
          <w:b w:val="0"/>
          <w:color w:val="auto"/>
          <w:spacing w:val="7"/>
          <w:sz w:val="24"/>
          <w:highlight w:val="none"/>
          <w:lang w:val="en-US" w:eastAsia="zh-CN"/>
        </w:rPr>
        <w:t xml:space="preserve">人</w:t>
      </w:r>
      <w:r>
        <w:rPr>
          <w:rStyle w:val="913"/>
          <w:rFonts w:ascii="宋体" w:hAnsi="宋体" w:eastAsia="宋体" w:cs="宋体"/>
          <w:b w:val="0"/>
          <w:color w:val="auto"/>
          <w:spacing w:val="7"/>
          <w:sz w:val="24"/>
          <w:highlight w:val="none"/>
          <w:lang w:val="en-US" w:eastAsia="zh-CN"/>
        </w:rPr>
        <w:t xml:space="preserve">具有满足项目需求的固定合作的养老服务相关资源的，有一项得</w:t>
      </w:r>
      <w:r>
        <w:rPr>
          <w:rStyle w:val="913"/>
          <w:rFonts w:hint="eastAsia" w:ascii="宋体" w:hAnsi="宋体" w:eastAsia="宋体" w:cs="宋体"/>
          <w:b w:val="0"/>
          <w:color w:val="auto"/>
          <w:spacing w:val="7"/>
          <w:sz w:val="24"/>
          <w:highlight w:val="none"/>
          <w:lang w:val="en-US" w:eastAsia="zh-CN"/>
        </w:rPr>
        <w:t xml:space="preserve"> 2</w:t>
      </w:r>
      <w:r>
        <w:rPr>
          <w:rStyle w:val="913"/>
          <w:rFonts w:ascii="宋体" w:hAnsi="宋体" w:eastAsia="宋体" w:cs="宋体"/>
          <w:b w:val="0"/>
          <w:color w:val="auto"/>
          <w:spacing w:val="7"/>
          <w:sz w:val="24"/>
          <w:highlight w:val="none"/>
          <w:lang w:val="en-US" w:eastAsia="zh-CN"/>
        </w:rPr>
        <w:t xml:space="preserve"> 分，最多得 </w:t>
      </w:r>
      <w:r>
        <w:rPr>
          <w:rStyle w:val="913"/>
          <w:rFonts w:hint="eastAsia" w:ascii="宋体" w:hAnsi="宋体" w:eastAsia="宋体" w:cs="宋体"/>
          <w:b w:val="0"/>
          <w:color w:val="auto"/>
          <w:spacing w:val="7"/>
          <w:sz w:val="24"/>
          <w:highlight w:val="none"/>
          <w:lang w:val="en-US" w:eastAsia="zh-CN"/>
        </w:rPr>
        <w:t xml:space="preserve">6</w:t>
      </w:r>
      <w:r>
        <w:rPr>
          <w:rStyle w:val="913"/>
          <w:rFonts w:ascii="宋体" w:hAnsi="宋体" w:eastAsia="宋体" w:cs="宋体"/>
          <w:b w:val="0"/>
          <w:color w:val="auto"/>
          <w:spacing w:val="7"/>
          <w:sz w:val="24"/>
          <w:highlight w:val="none"/>
          <w:lang w:val="en-US" w:eastAsia="zh-CN"/>
        </w:rPr>
        <w:t xml:space="preserve"> 分（请在投标文件中提供相关合同，合作期需要涵盖服务期限。不提供不得分）。</w:t>
      </w:r>
      <w:r>
        <w:rPr>
          <w:rFonts w:hint="eastAsia" w:ascii="宋体" w:hAnsi="宋体" w:eastAsia="宋体" w:cs="宋体"/>
          <w:bCs/>
          <w:color w:val="auto"/>
          <w:sz w:val="24"/>
          <w:highlight w:val="none"/>
        </w:rPr>
        <w:t xml:space="preserve">【0/</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w:t>
      </w:r>
      <w:r>
        <w:rPr>
          <w:color w:val="auto"/>
        </w:rPr>
      </w:r>
      <w:r/>
    </w:p>
    <w:p>
      <w:pPr>
        <w:pStyle w:val="94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rPr>
          <w:color w:val="auto"/>
        </w:rPr>
      </w:r>
      <w:r/>
    </w:p>
    <w:p>
      <w:pPr>
        <w:pStyle w:val="911"/>
        <w:ind w:firstLine="480"/>
        <w:jc w:val="left"/>
        <w:rPr>
          <w:rFonts w:hint="eastAsia"/>
          <w:color w:val="auto"/>
          <w:highlight w:val="none"/>
        </w:rPr>
      </w:pPr>
      <w:r>
        <w:rPr>
          <w:rFonts w:hint="eastAsia" w:ascii="宋体" w:hAnsi="宋体" w:eastAsia="宋体" w:cs="宋体"/>
          <w:color w:val="auto"/>
          <w:sz w:val="24"/>
          <w:highlight w:val="none"/>
        </w:rPr>
        <w:t xml:space="preserve">注:以上证明材料，不提供不得分。</w:t>
      </w:r>
      <w:r>
        <w:rPr>
          <w:color w:val="auto"/>
        </w:rPr>
      </w:r>
      <w:r/>
    </w:p>
    <w:p>
      <w:pPr>
        <w:pStyle w:val="944"/>
        <w:rPr>
          <w:color w:val="auto"/>
          <w:highlight w:val="none"/>
        </w:rPr>
      </w:pPr>
      <w:r>
        <w:rPr>
          <w:color w:val="auto"/>
          <w:highlight w:val="none"/>
          <w:lang w:val="en-US" w:eastAsia="zh-CN"/>
        </w:rPr>
      </w:r>
      <w:r>
        <w:rPr>
          <w:color w:val="auto"/>
        </w:rPr>
      </w:r>
      <w:r/>
    </w:p>
    <w:p>
      <w:pPr>
        <w:pStyle w:val="927"/>
        <w:pageBreakBefore/>
        <w:spacing w:line="360" w:lineRule="auto"/>
        <w:rPr>
          <w:rFonts w:hint="eastAsia" w:ascii="宋体" w:hAnsi="宋体" w:eastAsia="宋体" w:cs="宋体"/>
          <w:color w:val="auto"/>
          <w:highlight w:val="none"/>
        </w:rPr>
      </w:pPr>
      <w:r>
        <w:rPr>
          <w:color w:val="auto"/>
        </w:rPr>
      </w:r>
      <w:bookmarkStart w:id="252" w:name="_Toc35266032"/>
      <w:r>
        <w:rPr>
          <w:color w:val="auto"/>
        </w:rPr>
      </w:r>
      <w:bookmarkStart w:id="253" w:name="_Toc38368132"/>
      <w:r>
        <w:rPr>
          <w:color w:val="auto"/>
        </w:rPr>
      </w:r>
      <w:bookmarkStart w:id="254" w:name="_Toc54615250"/>
      <w:r>
        <w:rPr>
          <w:color w:val="auto"/>
        </w:rPr>
      </w:r>
      <w:bookmarkStart w:id="255" w:name="_Toc28596"/>
      <w:r>
        <w:rPr>
          <w:rFonts w:hint="eastAsia" w:ascii="宋体" w:hAnsi="宋体" w:eastAsia="宋体" w:cs="宋体"/>
          <w:color w:val="auto"/>
          <w:highlight w:val="none"/>
        </w:rPr>
        <w:t xml:space="preserve">第六章 投标</w:t>
      </w:r>
      <w:bookmarkEnd w:id="230"/>
      <w:r>
        <w:rPr>
          <w:color w:val="auto"/>
        </w:rPr>
      </w:r>
      <w:bookmarkEnd w:id="231"/>
      <w:r>
        <w:rPr>
          <w:color w:val="auto"/>
        </w:rPr>
      </w:r>
      <w:bookmarkEnd w:id="238"/>
      <w:r>
        <w:rPr>
          <w:rFonts w:hint="eastAsia" w:ascii="宋体" w:hAnsi="宋体" w:eastAsia="宋体" w:cs="宋体"/>
          <w:color w:val="auto"/>
          <w:highlight w:val="none"/>
        </w:rPr>
        <w:t xml:space="preserve">文件格式</w:t>
      </w:r>
      <w:bookmarkEnd w:id="252"/>
      <w:r>
        <w:rPr>
          <w:color w:val="auto"/>
        </w:rPr>
      </w:r>
      <w:bookmarkEnd w:id="253"/>
      <w:r>
        <w:rPr>
          <w:color w:val="auto"/>
        </w:rPr>
      </w:r>
      <w:bookmarkEnd w:id="254"/>
      <w:r>
        <w:rPr>
          <w:color w:val="auto"/>
        </w:rPr>
      </w:r>
      <w:bookmarkEnd w:id="255"/>
      <w:r>
        <w:rPr>
          <w:color w:val="auto"/>
        </w:rPr>
      </w:r>
      <w:r/>
    </w:p>
    <w:p>
      <w:pPr>
        <w:pStyle w:val="911"/>
        <w:spacing w:line="360" w:lineRule="auto"/>
        <w:rPr>
          <w:rFonts w:hint="eastAsia" w:ascii="宋体" w:hAnsi="宋体" w:eastAsia="宋体" w:cs="宋体"/>
          <w:b/>
          <w:bCs/>
          <w:color w:val="auto"/>
          <w:sz w:val="32"/>
          <w:szCs w:val="32"/>
          <w:highlight w:val="none"/>
        </w:rPr>
      </w:pPr>
      <w:r>
        <w:rPr>
          <w:color w:val="auto"/>
        </w:rPr>
      </w:r>
      <w:bookmarkStart w:id="256" w:name="_Hlt26955039"/>
      <w:r>
        <w:rPr>
          <w:color w:val="auto"/>
        </w:rPr>
      </w:r>
      <w:bookmarkStart w:id="257" w:name="_Toc26554094"/>
      <w:r>
        <w:rPr>
          <w:color w:val="auto"/>
        </w:rPr>
      </w:r>
      <w:r/>
    </w:p>
    <w:p>
      <w:pPr>
        <w:pStyle w:val="988"/>
        <w:jc w:val="center"/>
        <w:spacing w:after="400" w:line="360" w:lineRule="auto"/>
        <w:rPr>
          <w:rStyle w:val="913"/>
          <w:rFonts w:hint="eastAsia" w:ascii="宋体" w:hAnsi="宋体" w:eastAsia="宋体" w:cs="宋体"/>
          <w:color w:val="auto"/>
          <w:sz w:val="40"/>
          <w:szCs w:val="40"/>
          <w:highlight w:val="none"/>
        </w:rPr>
      </w:pPr>
      <w:r>
        <w:rPr>
          <w:rStyle w:val="913"/>
          <w:rFonts w:hint="eastAsia" w:ascii="宋体" w:hAnsi="宋体" w:eastAsia="宋体" w:cs="宋体"/>
          <w:color w:val="auto"/>
          <w:sz w:val="40"/>
          <w:szCs w:val="40"/>
          <w:highlight w:val="none"/>
        </w:rPr>
        <w:t xml:space="preserve">投标主要文件目录</w:t>
      </w:r>
      <w:r>
        <w:rPr>
          <w:color w:val="auto"/>
        </w:rPr>
      </w:r>
      <w:r/>
    </w:p>
    <w:p>
      <w:pPr>
        <w:pStyle w:val="988"/>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一、封面</w:t>
      </w:r>
      <w:r>
        <w:rPr>
          <w:color w:val="auto"/>
        </w:rPr>
      </w:r>
      <w:r/>
    </w:p>
    <w:p>
      <w:pPr>
        <w:pStyle w:val="988"/>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二、投标函格式</w:t>
      </w:r>
      <w:r>
        <w:rPr>
          <w:color w:val="auto"/>
        </w:rPr>
      </w:r>
      <w:r/>
    </w:p>
    <w:p>
      <w:pPr>
        <w:pStyle w:val="988"/>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三、开标一览表</w:t>
      </w:r>
      <w:r>
        <w:rPr>
          <w:color w:val="auto"/>
        </w:rPr>
      </w:r>
      <w:r/>
    </w:p>
    <w:p>
      <w:pPr>
        <w:pStyle w:val="988"/>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四、资格证明文件</w:t>
      </w:r>
      <w:r>
        <w:rPr>
          <w:color w:val="auto"/>
        </w:rPr>
      </w:r>
      <w:r/>
    </w:p>
    <w:p>
      <w:pPr>
        <w:pStyle w:val="988"/>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法人或者其他组织的营业执照等证明文件，自然人的身份证明</w:t>
      </w:r>
      <w:r>
        <w:rPr>
          <w:color w:val="auto"/>
        </w:rPr>
      </w:r>
      <w:r/>
    </w:p>
    <w:p>
      <w:pPr>
        <w:pStyle w:val="988"/>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财务状况报告（成立不满一年不需要提供）</w:t>
      </w:r>
      <w:r>
        <w:rPr>
          <w:color w:val="auto"/>
        </w:rPr>
      </w:r>
      <w:r/>
    </w:p>
    <w:p>
      <w:pPr>
        <w:pStyle w:val="988"/>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依法缴纳税收和社会保障资金的相关材料</w:t>
      </w:r>
      <w:r>
        <w:rPr>
          <w:color w:val="auto"/>
        </w:rPr>
      </w:r>
      <w:r/>
    </w:p>
    <w:p>
      <w:pPr>
        <w:pStyle w:val="988"/>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具备履行合同所必需的设备和专业技术能力的书面声明</w:t>
      </w:r>
      <w:r>
        <w:rPr>
          <w:color w:val="auto"/>
        </w:rPr>
      </w:r>
      <w:r/>
    </w:p>
    <w:p>
      <w:pPr>
        <w:pStyle w:val="988"/>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参加政府采购活动前3年内在经营活动中没有重大违法记录的书面声明</w:t>
      </w:r>
      <w:r>
        <w:rPr>
          <w:color w:val="auto"/>
        </w:rPr>
      </w:r>
      <w:r/>
    </w:p>
    <w:p>
      <w:pPr>
        <w:pStyle w:val="988"/>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授权委托书</w:t>
      </w:r>
      <w:r>
        <w:rPr>
          <w:color w:val="auto"/>
        </w:rPr>
      </w:r>
      <w:r/>
    </w:p>
    <w:p>
      <w:pPr>
        <w:pStyle w:val="988"/>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关于资格证明文件的书面承诺</w:t>
      </w:r>
      <w:r>
        <w:rPr>
          <w:color w:val="auto"/>
        </w:rPr>
      </w:r>
      <w:r/>
    </w:p>
    <w:p>
      <w:pPr>
        <w:pStyle w:val="988"/>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lang w:eastAsia="zh-CN"/>
        </w:rPr>
        <w:t xml:space="preserve">五、</w:t>
      </w:r>
      <w:r>
        <w:rPr>
          <w:rStyle w:val="913"/>
          <w:rFonts w:hint="eastAsia" w:ascii="宋体" w:hAnsi="宋体" w:eastAsia="宋体" w:cs="宋体"/>
          <w:color w:val="auto"/>
          <w:highlight w:val="none"/>
        </w:rPr>
        <w:t xml:space="preserve">第四章项目需求中实质性要求响应对照表</w:t>
      </w:r>
      <w:r>
        <w:rPr>
          <w:color w:val="auto"/>
        </w:rPr>
      </w:r>
      <w:r/>
    </w:p>
    <w:p>
      <w:pPr>
        <w:pStyle w:val="988"/>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lang w:eastAsia="zh-CN"/>
        </w:rPr>
        <w:t xml:space="preserve">六</w:t>
      </w:r>
      <w:r>
        <w:rPr>
          <w:rStyle w:val="913"/>
          <w:rFonts w:hint="eastAsia" w:ascii="宋体" w:hAnsi="宋体" w:eastAsia="宋体" w:cs="宋体"/>
          <w:color w:val="auto"/>
          <w:highlight w:val="none"/>
        </w:rPr>
        <w:t xml:space="preserve">、服务方案</w:t>
      </w:r>
      <w:r>
        <w:rPr>
          <w:color w:val="auto"/>
        </w:rPr>
      </w:r>
      <w:r/>
    </w:p>
    <w:p>
      <w:pPr>
        <w:pStyle w:val="988"/>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lang w:eastAsia="zh-CN"/>
        </w:rPr>
        <w:t xml:space="preserve">七</w:t>
      </w:r>
      <w:r>
        <w:rPr>
          <w:rStyle w:val="913"/>
          <w:rFonts w:hint="eastAsia" w:ascii="宋体" w:hAnsi="宋体" w:eastAsia="宋体" w:cs="宋体"/>
          <w:color w:val="auto"/>
          <w:highlight w:val="none"/>
        </w:rPr>
        <w:t xml:space="preserve">、投标人情况介绍</w:t>
      </w:r>
      <w:r>
        <w:rPr>
          <w:color w:val="auto"/>
        </w:rPr>
      </w:r>
      <w:r/>
    </w:p>
    <w:p>
      <w:pPr>
        <w:pStyle w:val="988"/>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投标人拥有的设施设备情况</w:t>
      </w:r>
      <w:r>
        <w:rPr>
          <w:color w:val="auto"/>
        </w:rPr>
      </w:r>
      <w:r/>
    </w:p>
    <w:p>
      <w:pPr>
        <w:pStyle w:val="988"/>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类似业绩一览表</w:t>
      </w:r>
      <w:r>
        <w:rPr>
          <w:color w:val="auto"/>
        </w:rPr>
      </w:r>
      <w:r/>
    </w:p>
    <w:p>
      <w:pPr>
        <w:pStyle w:val="988"/>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投标人获得的相关证书</w:t>
      </w:r>
      <w:r>
        <w:rPr>
          <w:color w:val="auto"/>
        </w:rPr>
      </w:r>
      <w:r/>
    </w:p>
    <w:p>
      <w:pPr>
        <w:pStyle w:val="988"/>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投标人获得的相关奖项</w:t>
      </w:r>
      <w:r>
        <w:rPr>
          <w:color w:val="auto"/>
        </w:rPr>
      </w:r>
      <w:r/>
    </w:p>
    <w:p>
      <w:pPr>
        <w:pStyle w:val="988"/>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lang w:eastAsia="zh-CN"/>
        </w:rPr>
        <w:t xml:space="preserve">八</w:t>
      </w:r>
      <w:r>
        <w:rPr>
          <w:rStyle w:val="913"/>
          <w:rFonts w:hint="eastAsia" w:ascii="宋体" w:hAnsi="宋体" w:eastAsia="宋体" w:cs="宋体"/>
          <w:color w:val="auto"/>
          <w:highlight w:val="none"/>
        </w:rPr>
        <w:t xml:space="preserve">、中小企业声明函</w:t>
      </w:r>
      <w:r>
        <w:rPr>
          <w:color w:val="auto"/>
        </w:rPr>
      </w:r>
      <w:r/>
    </w:p>
    <w:p>
      <w:pPr>
        <w:pStyle w:val="988"/>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lang w:eastAsia="zh-CN"/>
        </w:rPr>
        <w:t xml:space="preserve">九</w:t>
      </w:r>
      <w:r>
        <w:rPr>
          <w:rStyle w:val="913"/>
          <w:rFonts w:hint="eastAsia" w:ascii="宋体" w:hAnsi="宋体" w:eastAsia="宋体" w:cs="宋体"/>
          <w:color w:val="auto"/>
          <w:highlight w:val="none"/>
        </w:rPr>
        <w:t xml:space="preserve">、残疾人福利性单位声明函</w:t>
      </w:r>
      <w:r>
        <w:rPr>
          <w:color w:val="auto"/>
        </w:rPr>
      </w:r>
      <w:r/>
    </w:p>
    <w:p>
      <w:pPr>
        <w:pStyle w:val="988"/>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十、监狱企业的证明文件</w:t>
      </w:r>
      <w:r>
        <w:rPr>
          <w:color w:val="auto"/>
        </w:rPr>
      </w:r>
      <w:r/>
    </w:p>
    <w:p>
      <w:pPr>
        <w:pStyle w:val="988"/>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lang w:eastAsia="zh-CN"/>
        </w:rPr>
        <w:t xml:space="preserve">十一、</w:t>
      </w:r>
      <w:r>
        <w:rPr>
          <w:rStyle w:val="913"/>
          <w:rFonts w:hint="eastAsia" w:ascii="宋体" w:hAnsi="宋体" w:eastAsia="宋体" w:cs="宋体"/>
          <w:color w:val="auto"/>
          <w:highlight w:val="none"/>
        </w:rPr>
        <w:t xml:space="preserve">技术参数响应及偏离表</w:t>
      </w:r>
      <w:r>
        <w:rPr>
          <w:color w:val="auto"/>
        </w:rPr>
      </w:r>
      <w:r/>
    </w:p>
    <w:p>
      <w:pPr>
        <w:pStyle w:val="988"/>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十</w:t>
      </w:r>
      <w:r>
        <w:rPr>
          <w:rStyle w:val="913"/>
          <w:rFonts w:hint="eastAsia" w:ascii="宋体" w:hAnsi="宋体" w:eastAsia="宋体" w:cs="宋体"/>
          <w:color w:val="auto"/>
          <w:highlight w:val="none"/>
          <w:lang w:eastAsia="zh-CN"/>
        </w:rPr>
        <w:t xml:space="preserve">二</w:t>
      </w:r>
      <w:r>
        <w:rPr>
          <w:rStyle w:val="913"/>
          <w:rFonts w:hint="eastAsia" w:ascii="宋体" w:hAnsi="宋体" w:eastAsia="宋体" w:cs="宋体"/>
          <w:color w:val="auto"/>
          <w:highlight w:val="none"/>
        </w:rPr>
        <w:t xml:space="preserve">、商务条款响应及偏离表</w:t>
      </w:r>
      <w:r>
        <w:rPr>
          <w:color w:val="auto"/>
        </w:rPr>
      </w:r>
      <w:r/>
    </w:p>
    <w:p>
      <w:pPr>
        <w:pStyle w:val="988"/>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十</w:t>
      </w:r>
      <w:r>
        <w:rPr>
          <w:rStyle w:val="913"/>
          <w:rFonts w:hint="eastAsia" w:ascii="宋体" w:hAnsi="宋体" w:eastAsia="宋体" w:cs="宋体"/>
          <w:color w:val="auto"/>
          <w:highlight w:val="none"/>
          <w:lang w:eastAsia="zh-CN"/>
        </w:rPr>
        <w:t xml:space="preserve">三</w:t>
      </w:r>
      <w:r>
        <w:rPr>
          <w:rStyle w:val="913"/>
          <w:rFonts w:hint="eastAsia" w:ascii="宋体" w:hAnsi="宋体" w:eastAsia="宋体" w:cs="宋体"/>
          <w:color w:val="auto"/>
          <w:highlight w:val="none"/>
        </w:rPr>
        <w:t xml:space="preserve">、其他材料</w:t>
      </w:r>
      <w:r>
        <w:rPr>
          <w:color w:val="auto"/>
        </w:rPr>
      </w:r>
      <w:r/>
    </w:p>
    <w:p>
      <w:pPr>
        <w:pStyle w:val="989"/>
        <w:jc w:val="left"/>
        <w:spacing w:line="360" w:lineRule="auto"/>
        <w:rPr>
          <w:rStyle w:val="913"/>
          <w:rFonts w:hint="eastAsia" w:ascii="宋体" w:hAnsi="宋体" w:eastAsia="宋体" w:cs="宋体"/>
          <w:color w:val="auto"/>
          <w:highlight w:val="none"/>
        </w:rPr>
        <w:outlineLvl w:val="1"/>
      </w:pPr>
      <w:r>
        <w:rPr>
          <w:rStyle w:val="913"/>
          <w:rFonts w:hint="eastAsia" w:ascii="宋体" w:hAnsi="宋体" w:eastAsia="宋体" w:cs="宋体"/>
          <w:color w:val="auto"/>
          <w:highlight w:val="none"/>
        </w:rPr>
        <w:br w:type="page" w:clear="all"/>
      </w:r>
      <w:bookmarkStart w:id="258" w:name="_Toc23638"/>
      <w:r>
        <w:rPr>
          <w:rStyle w:val="913"/>
          <w:rFonts w:hint="eastAsia" w:ascii="宋体" w:hAnsi="宋体" w:eastAsia="宋体" w:cs="宋体"/>
          <w:b/>
          <w:color w:val="auto"/>
          <w:sz w:val="32"/>
          <w:highlight w:val="none"/>
        </w:rPr>
        <w:t xml:space="preserve">一、封面</w:t>
      </w:r>
      <w:bookmarkEnd w:id="258"/>
      <w:r>
        <w:rPr>
          <w:color w:val="auto"/>
        </w:rPr>
      </w:r>
      <w:r/>
    </w:p>
    <w:p>
      <w:pPr>
        <w:pStyle w:val="990"/>
        <w:spacing w:line="360" w:lineRule="auto"/>
        <w:rPr>
          <w:rStyle w:val="913"/>
          <w:rFonts w:hint="eastAsia" w:ascii="宋体" w:hAnsi="宋体" w:eastAsia="宋体" w:cs="宋体"/>
          <w:color w:val="auto"/>
          <w:spacing w:val="7"/>
          <w:highlight w:val="none"/>
        </w:rPr>
        <w:outlineLvl w:val="9"/>
      </w:pPr>
      <w:r>
        <w:rPr>
          <w:rStyle w:val="913"/>
          <w:rFonts w:hint="eastAsia" w:ascii="宋体" w:hAnsi="宋体" w:eastAsia="宋体" w:cs="宋体"/>
          <w:color w:val="auto"/>
          <w:highlight w:val="none"/>
        </w:rPr>
        <w:t xml:space="preserve">﻿ </w:t>
      </w:r>
      <w:r>
        <w:rPr>
          <w:color w:val="auto"/>
        </w:rPr>
      </w:r>
      <w:r/>
    </w:p>
    <w:p>
      <w:pPr>
        <w:pStyle w:val="990"/>
        <w:jc w:val="center"/>
        <w:spacing w:before="540" w:after="540" w:line="360" w:lineRule="auto"/>
        <w:rPr>
          <w:rStyle w:val="913"/>
          <w:rFonts w:hint="eastAsia" w:ascii="宋体" w:hAnsi="宋体" w:eastAsia="宋体" w:cs="宋体"/>
          <w:color w:val="auto"/>
          <w:sz w:val="54"/>
          <w:szCs w:val="54"/>
          <w:highlight w:val="none"/>
        </w:rPr>
      </w:pPr>
      <w:r>
        <w:rPr>
          <w:rStyle w:val="913"/>
          <w:rFonts w:hint="eastAsia" w:ascii="宋体" w:hAnsi="宋体" w:eastAsia="宋体" w:cs="宋体"/>
          <w:color w:val="auto"/>
          <w:sz w:val="54"/>
          <w:szCs w:val="54"/>
          <w:highlight w:val="none"/>
        </w:rPr>
        <w:t xml:space="preserve">投 标 文 件</w:t>
      </w:r>
      <w:r>
        <w:rPr>
          <w:color w:val="auto"/>
        </w:rPr>
      </w:r>
      <w:r/>
    </w:p>
    <w:p>
      <w:pPr>
        <w:pStyle w:val="990"/>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p>
      <w:pPr>
        <w:pStyle w:val="990"/>
        <w:jc w:val="center"/>
        <w:spacing w:before="400" w:after="400" w:line="360" w:lineRule="auto"/>
        <w:rPr>
          <w:rStyle w:val="913"/>
          <w:rFonts w:hint="eastAsia" w:ascii="宋体" w:hAnsi="宋体" w:eastAsia="宋体" w:cs="宋体"/>
          <w:color w:val="auto"/>
          <w:sz w:val="40"/>
          <w:szCs w:val="40"/>
          <w:highlight w:val="none"/>
        </w:rPr>
      </w:pPr>
      <w:r>
        <w:rPr>
          <w:rStyle w:val="913"/>
          <w:rFonts w:hint="eastAsia" w:ascii="宋体" w:hAnsi="宋体" w:eastAsia="宋体" w:cs="宋体"/>
          <w:color w:val="auto"/>
          <w:sz w:val="40"/>
          <w:szCs w:val="40"/>
          <w:highlight w:val="none"/>
        </w:rPr>
        <w:t xml:space="preserve"> </w:t>
      </w:r>
      <w:r>
        <w:rPr>
          <w:color w:val="auto"/>
        </w:rPr>
      </w:r>
      <w:r/>
    </w:p>
    <w:p>
      <w:pPr>
        <w:pStyle w:val="990"/>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p>
      <w:pPr>
        <w:pStyle w:val="990"/>
        <w:jc w:val="center"/>
        <w:spacing w:before="360" w:after="360" w:line="360" w:lineRule="auto"/>
        <w:rPr>
          <w:rStyle w:val="913"/>
          <w:rFonts w:hint="eastAsia" w:ascii="宋体" w:hAnsi="宋体" w:eastAsia="宋体" w:cs="宋体"/>
          <w:color w:val="auto"/>
          <w:sz w:val="36"/>
          <w:szCs w:val="36"/>
          <w:highlight w:val="none"/>
        </w:rPr>
      </w:pPr>
      <w:r>
        <w:rPr>
          <w:rStyle w:val="913"/>
          <w:rFonts w:hint="eastAsia" w:ascii="宋体" w:hAnsi="宋体" w:eastAsia="宋体" w:cs="宋体"/>
          <w:color w:val="auto"/>
          <w:sz w:val="36"/>
          <w:szCs w:val="36"/>
          <w:highlight w:val="none"/>
        </w:rPr>
        <w:t xml:space="preserve">项目名称：   </w:t>
      </w:r>
      <w:r>
        <w:rPr>
          <w:color w:val="auto"/>
        </w:rPr>
      </w:r>
      <w:r/>
    </w:p>
    <w:p>
      <w:pPr>
        <w:pStyle w:val="990"/>
        <w:jc w:val="center"/>
        <w:spacing w:before="360" w:after="360" w:line="360" w:lineRule="auto"/>
        <w:rPr>
          <w:rStyle w:val="913"/>
          <w:rFonts w:hint="eastAsia" w:ascii="宋体" w:hAnsi="宋体" w:eastAsia="宋体" w:cs="宋体"/>
          <w:color w:val="auto"/>
          <w:sz w:val="36"/>
          <w:szCs w:val="36"/>
          <w:highlight w:val="none"/>
        </w:rPr>
      </w:pPr>
      <w:r>
        <w:rPr>
          <w:rStyle w:val="913"/>
          <w:rFonts w:hint="eastAsia" w:ascii="宋体" w:hAnsi="宋体" w:eastAsia="宋体" w:cs="宋体"/>
          <w:color w:val="auto"/>
          <w:sz w:val="36"/>
          <w:szCs w:val="36"/>
          <w:highlight w:val="none"/>
        </w:rPr>
        <w:t xml:space="preserve">招标编号：   </w:t>
      </w:r>
      <w:r>
        <w:rPr>
          <w:color w:val="auto"/>
        </w:rPr>
      </w:r>
      <w:r/>
    </w:p>
    <w:p>
      <w:pPr>
        <w:pStyle w:val="990"/>
        <w:jc w:val="center"/>
        <w:spacing w:before="360" w:after="360" w:line="360" w:lineRule="auto"/>
        <w:rPr>
          <w:rStyle w:val="913"/>
          <w:rFonts w:hint="eastAsia" w:ascii="宋体" w:hAnsi="宋体" w:eastAsia="宋体" w:cs="宋体"/>
          <w:color w:val="auto"/>
          <w:sz w:val="36"/>
          <w:szCs w:val="36"/>
          <w:highlight w:val="none"/>
        </w:rPr>
      </w:pPr>
      <w:r>
        <w:rPr>
          <w:rStyle w:val="913"/>
          <w:rFonts w:hint="eastAsia" w:ascii="宋体" w:hAnsi="宋体" w:eastAsia="宋体" w:cs="宋体"/>
          <w:color w:val="auto"/>
          <w:sz w:val="36"/>
          <w:szCs w:val="36"/>
          <w:highlight w:val="none"/>
        </w:rPr>
        <w:t xml:space="preserve"> </w:t>
      </w:r>
      <w:r>
        <w:rPr>
          <w:color w:val="auto"/>
        </w:rPr>
      </w:r>
      <w:r/>
    </w:p>
    <w:p>
      <w:pPr>
        <w:pStyle w:val="990"/>
        <w:jc w:val="center"/>
        <w:spacing w:before="360" w:after="360" w:line="360" w:lineRule="auto"/>
        <w:rPr>
          <w:rStyle w:val="913"/>
          <w:rFonts w:hint="eastAsia" w:ascii="宋体" w:hAnsi="宋体" w:eastAsia="宋体" w:cs="宋体"/>
          <w:color w:val="auto"/>
          <w:sz w:val="36"/>
          <w:szCs w:val="36"/>
          <w:highlight w:val="none"/>
        </w:rPr>
      </w:pPr>
      <w:r>
        <w:rPr>
          <w:rStyle w:val="913"/>
          <w:rFonts w:hint="eastAsia" w:ascii="宋体" w:hAnsi="宋体" w:eastAsia="宋体" w:cs="宋体"/>
          <w:color w:val="auto"/>
          <w:sz w:val="36"/>
          <w:szCs w:val="36"/>
          <w:highlight w:val="none"/>
        </w:rPr>
        <w:t xml:space="preserve"> </w:t>
      </w:r>
      <w:r>
        <w:rPr>
          <w:color w:val="auto"/>
        </w:rPr>
      </w:r>
      <w:r/>
    </w:p>
    <w:p>
      <w:pPr>
        <w:pStyle w:val="990"/>
        <w:jc w:val="center"/>
        <w:spacing w:before="360" w:after="360" w:line="360" w:lineRule="auto"/>
        <w:rPr>
          <w:rStyle w:val="913"/>
          <w:rFonts w:hint="eastAsia" w:ascii="宋体" w:hAnsi="宋体" w:eastAsia="宋体" w:cs="宋体"/>
          <w:color w:val="auto"/>
          <w:sz w:val="36"/>
          <w:szCs w:val="36"/>
          <w:highlight w:val="none"/>
        </w:rPr>
      </w:pPr>
      <w:r>
        <w:rPr>
          <w:rStyle w:val="913"/>
          <w:rFonts w:hint="eastAsia" w:ascii="宋体" w:hAnsi="宋体" w:eastAsia="宋体" w:cs="宋体"/>
          <w:color w:val="auto"/>
          <w:sz w:val="36"/>
          <w:szCs w:val="36"/>
          <w:highlight w:val="none"/>
        </w:rPr>
        <w:t xml:space="preserve">投标人名称：   </w:t>
      </w:r>
      <w:r>
        <w:rPr>
          <w:color w:val="auto"/>
        </w:rPr>
      </w:r>
      <w:r/>
    </w:p>
    <w:p>
      <w:pPr>
        <w:pStyle w:val="990"/>
        <w:jc w:val="center"/>
        <w:spacing w:before="360" w:after="360" w:line="360" w:lineRule="auto"/>
        <w:rPr>
          <w:rStyle w:val="913"/>
          <w:rFonts w:hint="eastAsia" w:ascii="宋体" w:hAnsi="宋体" w:eastAsia="宋体" w:cs="宋体"/>
          <w:color w:val="auto"/>
          <w:sz w:val="36"/>
          <w:szCs w:val="36"/>
          <w:highlight w:val="none"/>
        </w:rPr>
      </w:pPr>
      <w:r>
        <w:rPr>
          <w:rStyle w:val="913"/>
          <w:rFonts w:hint="eastAsia" w:ascii="宋体" w:hAnsi="宋体" w:eastAsia="宋体" w:cs="宋体"/>
          <w:color w:val="auto"/>
          <w:sz w:val="36"/>
          <w:szCs w:val="36"/>
          <w:highlight w:val="none"/>
        </w:rPr>
        <w:t xml:space="preserve">日期：   </w:t>
      </w:r>
      <w:r>
        <w:rPr>
          <w:color w:val="auto"/>
        </w:rPr>
      </w:r>
      <w:r/>
    </w:p>
    <w:p>
      <w:pPr>
        <w:pStyle w:val="990"/>
        <w:jc w:val="center"/>
        <w:spacing w:before="360" w:after="360" w:line="360" w:lineRule="auto"/>
        <w:rPr>
          <w:rStyle w:val="913"/>
          <w:rFonts w:hint="eastAsia" w:ascii="宋体" w:hAnsi="宋体" w:eastAsia="宋体" w:cs="宋体"/>
          <w:color w:val="auto"/>
          <w:sz w:val="36"/>
          <w:szCs w:val="36"/>
          <w:highlight w:val="none"/>
        </w:rPr>
      </w:pPr>
      <w:r>
        <w:rPr>
          <w:rStyle w:val="913"/>
          <w:rFonts w:hint="eastAsia" w:ascii="宋体" w:hAnsi="宋体" w:eastAsia="宋体" w:cs="宋体"/>
          <w:color w:val="auto"/>
          <w:sz w:val="36"/>
          <w:szCs w:val="36"/>
          <w:highlight w:val="none"/>
        </w:rPr>
        <w:t xml:space="preserve"> </w:t>
      </w:r>
      <w:r>
        <w:rPr>
          <w:color w:val="auto"/>
        </w:rPr>
      </w:r>
      <w:r/>
    </w:p>
    <w:p>
      <w:pPr>
        <w:pStyle w:val="990"/>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p>
      <w:pPr>
        <w:pStyle w:val="991"/>
        <w:jc w:val="left"/>
        <w:spacing w:line="360" w:lineRule="auto"/>
        <w:rPr>
          <w:rStyle w:val="913"/>
          <w:rFonts w:hint="eastAsia" w:ascii="宋体" w:hAnsi="宋体" w:eastAsia="宋体" w:cs="宋体"/>
          <w:color w:val="auto"/>
          <w:spacing w:val="7"/>
          <w:highlight w:val="none"/>
        </w:rPr>
        <w:outlineLvl w:val="1"/>
      </w:pPr>
      <w:r>
        <w:rPr>
          <w:rStyle w:val="913"/>
          <w:rFonts w:hint="eastAsia" w:ascii="宋体" w:hAnsi="宋体" w:eastAsia="宋体" w:cs="宋体"/>
          <w:color w:val="auto"/>
          <w:highlight w:val="none"/>
        </w:rPr>
        <w:br w:type="page" w:clear="all"/>
      </w:r>
      <w:bookmarkStart w:id="259" w:name="_Toc6257"/>
      <w:r>
        <w:rPr>
          <w:rStyle w:val="913"/>
          <w:rFonts w:hint="eastAsia" w:ascii="宋体" w:hAnsi="宋体" w:eastAsia="宋体" w:cs="宋体"/>
          <w:b/>
          <w:color w:val="auto"/>
          <w:sz w:val="32"/>
          <w:highlight w:val="none"/>
        </w:rPr>
        <w:t xml:space="preserve">二、投标函格式</w:t>
      </w:r>
      <w:r>
        <w:rPr>
          <w:rStyle w:val="913"/>
          <w:rFonts w:hint="eastAsia" w:ascii="宋体" w:hAnsi="宋体" w:eastAsia="宋体" w:cs="宋体"/>
          <w:color w:val="auto"/>
          <w:highlight w:val="none"/>
        </w:rPr>
        <w:t xml:space="preserve">﻿</w:t>
      </w:r>
      <w:bookmarkEnd w:id="259"/>
      <w:r>
        <w:rPr>
          <w:rStyle w:val="913"/>
          <w:rFonts w:hint="eastAsia" w:ascii="宋体" w:hAnsi="宋体" w:eastAsia="宋体" w:cs="宋体"/>
          <w:color w:val="auto"/>
          <w:highlight w:val="none"/>
        </w:rPr>
        <w:t xml:space="preserve"> </w:t>
      </w:r>
      <w:r>
        <w:rPr>
          <w:color w:val="auto"/>
        </w:rPr>
      </w:r>
      <w:r/>
    </w:p>
    <w:p>
      <w:pPr>
        <w:pStyle w:val="992"/>
        <w:jc w:val="center"/>
        <w:spacing w:before="320" w:after="320" w:line="360" w:lineRule="auto"/>
        <w:rPr>
          <w:rStyle w:val="913"/>
          <w:rFonts w:hint="eastAsia" w:ascii="宋体" w:hAnsi="宋体" w:eastAsia="宋体" w:cs="宋体"/>
          <w:b/>
          <w:bCs/>
          <w:color w:val="auto"/>
          <w:sz w:val="32"/>
          <w:szCs w:val="32"/>
          <w:highlight w:val="none"/>
        </w:rPr>
      </w:pPr>
      <w:r>
        <w:rPr>
          <w:rStyle w:val="913"/>
          <w:rFonts w:hint="eastAsia" w:ascii="宋体" w:hAnsi="宋体" w:eastAsia="宋体" w:cs="宋体"/>
          <w:b/>
          <w:bCs/>
          <w:color w:val="auto"/>
          <w:sz w:val="32"/>
          <w:szCs w:val="32"/>
          <w:highlight w:val="none"/>
        </w:rPr>
        <w:t xml:space="preserve">投标函格式</w:t>
      </w:r>
      <w:r>
        <w:rPr>
          <w:color w:val="auto"/>
        </w:rPr>
      </w:r>
      <w:r/>
    </w:p>
    <w:p>
      <w:pPr>
        <w:pStyle w:val="992"/>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致：   ：</w:t>
      </w:r>
      <w:r>
        <w:rPr>
          <w:color w:val="auto"/>
        </w:rPr>
      </w:r>
      <w:r/>
    </w:p>
    <w:p>
      <w:pPr>
        <w:pStyle w:val="992"/>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根据贵方的   号招标文件，正式授权下述签字人      (姓名和职务)代表我方   （投标人的名称），全权处理本次项目投标的有关事宜。 </w:t>
      </w:r>
      <w:r>
        <w:rPr>
          <w:color w:val="auto"/>
        </w:rPr>
      </w:r>
      <w:r/>
    </w:p>
    <w:p>
      <w:pPr>
        <w:pStyle w:val="992"/>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据此函，签字人兹宣布同意如下： </w:t>
      </w:r>
      <w:r>
        <w:rPr>
          <w:color w:val="auto"/>
        </w:rPr>
      </w:r>
      <w:r/>
    </w:p>
    <w:p>
      <w:pPr>
        <w:pStyle w:val="992"/>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1、同意向贵方提供贵方可能另外要求的与投标有关的任何证据或资料； </w:t>
      </w:r>
      <w:r>
        <w:rPr>
          <w:color w:val="auto"/>
        </w:rPr>
      </w:r>
      <w:r/>
    </w:p>
    <w:p>
      <w:pPr>
        <w:pStyle w:val="992"/>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2、我们完全理解贵方不一定将合同授予最低报价的投标人； </w:t>
      </w:r>
      <w:r>
        <w:rPr>
          <w:color w:val="auto"/>
        </w:rPr>
      </w:r>
      <w:r/>
    </w:p>
    <w:p>
      <w:pPr>
        <w:pStyle w:val="992"/>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3、我们已详细审核全部招标文件及其有效补充文件，我们知道必须放弃提出含糊不清或误解问题的权利； </w:t>
      </w:r>
      <w:r>
        <w:rPr>
          <w:color w:val="auto"/>
        </w:rPr>
      </w:r>
      <w:r/>
    </w:p>
    <w:p>
      <w:pPr>
        <w:pStyle w:val="992"/>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4、一旦我方中标，我们将根据招标文件的规定，严格履行合同条款的责任和义务，并保证按照合同条款提供服务； </w:t>
      </w:r>
      <w:r>
        <w:rPr>
          <w:color w:val="auto"/>
        </w:rPr>
      </w:r>
      <w:r/>
    </w:p>
    <w:p>
      <w:pPr>
        <w:pStyle w:val="992"/>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5、与本投标有关的正式通讯地址为： </w:t>
      </w:r>
      <w:r>
        <w:rPr>
          <w:color w:val="auto"/>
        </w:rPr>
      </w:r>
      <w:r/>
    </w:p>
    <w:p>
      <w:pPr>
        <w:pStyle w:val="992"/>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地址：    </w:t>
      </w:r>
      <w:r>
        <w:rPr>
          <w:color w:val="auto"/>
        </w:rPr>
      </w:r>
      <w:r/>
    </w:p>
    <w:p>
      <w:pPr>
        <w:pStyle w:val="992"/>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邮编：    </w:t>
      </w:r>
      <w:r>
        <w:rPr>
          <w:color w:val="auto"/>
        </w:rPr>
      </w:r>
      <w:r/>
    </w:p>
    <w:p>
      <w:pPr>
        <w:pStyle w:val="992"/>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电话：    </w:t>
      </w:r>
      <w:r>
        <w:rPr>
          <w:color w:val="auto"/>
        </w:rPr>
      </w:r>
      <w:r/>
    </w:p>
    <w:p>
      <w:pPr>
        <w:pStyle w:val="992"/>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传真：    </w:t>
      </w:r>
      <w:r>
        <w:rPr>
          <w:color w:val="auto"/>
        </w:rPr>
      </w:r>
      <w:r/>
    </w:p>
    <w:p>
      <w:pPr>
        <w:pStyle w:val="992"/>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投标单位代表姓名：    </w:t>
      </w:r>
      <w:r>
        <w:rPr>
          <w:color w:val="auto"/>
        </w:rPr>
      </w:r>
      <w:r/>
    </w:p>
    <w:p>
      <w:pPr>
        <w:pStyle w:val="992"/>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投标单位名称：    </w:t>
      </w:r>
      <w:r>
        <w:rPr>
          <w:color w:val="auto"/>
        </w:rPr>
      </w:r>
      <w:r/>
    </w:p>
    <w:p>
      <w:pPr>
        <w:pStyle w:val="992"/>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公章：</w:t>
      </w:r>
      <w:r>
        <w:rPr>
          <w:color w:val="auto"/>
        </w:rPr>
      </w:r>
      <w:r/>
    </w:p>
    <w:p>
      <w:pPr>
        <w:pStyle w:val="992"/>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日期：   </w:t>
      </w:r>
      <w:r>
        <w:rPr>
          <w:color w:val="auto"/>
        </w:rPr>
      </w:r>
      <w:r/>
    </w:p>
    <w:p>
      <w:pPr>
        <w:pStyle w:val="992"/>
        <w:spacing w:before="240" w:after="240" w:line="360" w:lineRule="auto"/>
        <w:rPr>
          <w:rStyle w:val="913"/>
          <w:rFonts w:hint="eastAsia" w:ascii="宋体" w:hAnsi="宋体" w:eastAsia="宋体" w:cs="宋体"/>
          <w:color w:val="auto"/>
          <w:highlight w:val="none"/>
        </w:rPr>
      </w:pPr>
      <w:r>
        <w:rPr>
          <w:rStyle w:val="913"/>
          <w:rFonts w:hint="eastAsia" w:ascii="宋体" w:hAnsi="宋体" w:eastAsia="宋体" w:cs="宋体"/>
          <w:color w:val="auto"/>
          <w:highlight w:val="none"/>
        </w:rPr>
        <w:t xml:space="preserve"> </w:t>
      </w:r>
      <w:r>
        <w:rPr>
          <w:color w:val="auto"/>
        </w:rPr>
      </w:r>
      <w:r/>
    </w:p>
    <w:p>
      <w:pPr>
        <w:pStyle w:val="912"/>
        <w:jc w:val="left"/>
        <w:rPr>
          <w:rStyle w:val="913"/>
          <w:rFonts w:hint="eastAsia" w:ascii="宋体" w:hAnsi="宋体" w:eastAsia="宋体" w:cs="宋体"/>
          <w:color w:val="auto"/>
          <w:highlight w:val="none"/>
        </w:rPr>
      </w:pPr>
      <w:r>
        <w:rPr>
          <w:rStyle w:val="913"/>
          <w:rFonts w:hint="eastAsia" w:ascii="宋体" w:hAnsi="宋体" w:eastAsia="宋体" w:cs="宋体"/>
          <w:color w:val="auto"/>
          <w:highlight w:val="none"/>
        </w:rPr>
        <w:br w:type="page" w:clear="all"/>
      </w:r>
      <w:bookmarkStart w:id="260" w:name="_Toc1359"/>
      <w:r>
        <w:rPr>
          <w:rStyle w:val="913"/>
          <w:rFonts w:hint="eastAsia" w:ascii="宋体" w:hAnsi="宋体" w:eastAsia="宋体" w:cs="宋体"/>
          <w:b/>
          <w:color w:val="auto"/>
          <w:sz w:val="32"/>
          <w:szCs w:val="24"/>
          <w:highlight w:val="none"/>
        </w:rPr>
        <w:t xml:space="preserve">三、开标一览表</w:t>
      </w:r>
      <w:bookmarkEnd w:id="260"/>
      <w:r>
        <w:rPr>
          <w:color w:val="auto"/>
        </w:rPr>
      </w:r>
      <w:r/>
    </w:p>
    <w:p>
      <w:pPr>
        <w:pStyle w:val="994"/>
        <w:spacing w:line="360" w:lineRule="auto"/>
        <w:rPr>
          <w:rStyle w:val="913"/>
          <w:rFonts w:hint="eastAsia" w:ascii="宋体" w:hAnsi="宋体" w:eastAsia="宋体" w:cs="宋体"/>
          <w:color w:val="auto"/>
          <w:spacing w:val="7"/>
          <w:highlight w:val="none"/>
        </w:rPr>
        <w:outlineLvl w:val="9"/>
      </w:pPr>
      <w:r>
        <w:rPr>
          <w:rStyle w:val="913"/>
          <w:rFonts w:hint="eastAsia" w:ascii="宋体" w:hAnsi="宋体" w:eastAsia="宋体" w:cs="宋体"/>
          <w:color w:val="auto"/>
          <w:highlight w:val="none"/>
        </w:rPr>
        <w:t xml:space="preserve">﻿ </w:t>
      </w:r>
      <w:r>
        <w:rPr>
          <w:color w:val="auto"/>
        </w:rPr>
      </w:r>
      <w:r/>
    </w:p>
    <w:p>
      <w:pPr>
        <w:pStyle w:val="994"/>
        <w:jc w:val="center"/>
        <w:spacing w:before="400" w:after="400" w:line="360" w:lineRule="auto"/>
        <w:rPr>
          <w:rStyle w:val="913"/>
          <w:rFonts w:hint="eastAsia" w:ascii="宋体" w:hAnsi="宋体" w:eastAsia="宋体" w:cs="宋体"/>
          <w:b/>
          <w:bCs/>
          <w:color w:val="auto"/>
          <w:sz w:val="40"/>
          <w:szCs w:val="40"/>
          <w:highlight w:val="none"/>
        </w:rPr>
      </w:pPr>
      <w:r>
        <w:rPr>
          <w:rStyle w:val="913"/>
          <w:rFonts w:hint="eastAsia" w:ascii="宋体" w:hAnsi="宋体" w:eastAsia="宋体" w:cs="宋体"/>
          <w:b/>
          <w:bCs/>
          <w:color w:val="auto"/>
          <w:sz w:val="40"/>
          <w:szCs w:val="40"/>
          <w:highlight w:val="none"/>
        </w:rPr>
        <w:t xml:space="preserve">开标一览表</w:t>
      </w:r>
      <w:r>
        <w:rPr>
          <w:color w:val="auto"/>
        </w:rPr>
      </w:r>
      <w:r/>
    </w:p>
    <w:p>
      <w:pPr>
        <w:pStyle w:val="994"/>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投标单位全称（加盖公章）：    </w:t>
      </w:r>
      <w:r>
        <w:rPr>
          <w:color w:val="auto"/>
        </w:rPr>
      </w:r>
      <w:r/>
    </w:p>
    <w:p>
      <w:pPr>
        <w:pStyle w:val="994"/>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tbl>
      <w:tblPr>
        <w:tblW w:w="9376" w:type="dxa"/>
        <w:jc w:val="center"/>
        <w:tblInd w:w="54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376"/>
        <w:gridCol w:w="3757"/>
        <w:gridCol w:w="3243"/>
      </w:tblGrid>
      <w:tr>
        <w:trPr>
          <w:trHeight w:val="287"/>
        </w:trPr>
        <w:tc>
          <w:tcPr>
            <w:tcMar>
              <w:left w:w="0" w:type="dxa"/>
              <w:top w:w="0" w:type="dxa"/>
              <w:right w:w="0" w:type="dxa"/>
              <w:bottom w:w="0" w:type="dxa"/>
            </w:tcMar>
            <w:tcW w:w="2376" w:type="dxa"/>
            <w:vAlign w:val="center"/>
            <w:textDirection w:val="lrTb"/>
            <w:noWrap w:val="false"/>
          </w:tcPr>
          <w:p>
            <w:pPr>
              <w:pStyle w:val="994"/>
              <w:jc w:val="center"/>
              <w:spacing w:line="360" w:lineRule="auto"/>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项目名称 </w:t>
            </w:r>
            <w:r>
              <w:rPr>
                <w:color w:val="auto"/>
              </w:rPr>
            </w:r>
            <w:r/>
          </w:p>
        </w:tc>
        <w:tc>
          <w:tcPr>
            <w:tcMar>
              <w:left w:w="0" w:type="dxa"/>
              <w:top w:w="0" w:type="dxa"/>
              <w:right w:w="0" w:type="dxa"/>
              <w:bottom w:w="0" w:type="dxa"/>
            </w:tcMar>
            <w:tcW w:w="3757" w:type="dxa"/>
            <w:vAlign w:val="center"/>
            <w:textDirection w:val="lrTb"/>
            <w:noWrap w:val="false"/>
          </w:tcPr>
          <w:p>
            <w:pPr>
              <w:pStyle w:val="994"/>
              <w:jc w:val="center"/>
              <w:spacing w:line="360" w:lineRule="auto"/>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lang w:eastAsia="zh-CN"/>
              </w:rPr>
              <w:t xml:space="preserve">优惠率</w:t>
            </w:r>
            <w:r>
              <w:rPr>
                <w:color w:val="auto"/>
              </w:rPr>
            </w:r>
            <w:r/>
          </w:p>
        </w:tc>
        <w:tc>
          <w:tcPr>
            <w:tcMar>
              <w:left w:w="0" w:type="dxa"/>
              <w:top w:w="0" w:type="dxa"/>
              <w:right w:w="0" w:type="dxa"/>
              <w:bottom w:w="0" w:type="dxa"/>
            </w:tcMar>
            <w:tcW w:w="3243" w:type="dxa"/>
            <w:vAlign w:val="center"/>
            <w:textDirection w:val="lrTb"/>
            <w:noWrap w:val="false"/>
          </w:tcPr>
          <w:p>
            <w:pPr>
              <w:pStyle w:val="994"/>
              <w:jc w:val="center"/>
              <w:spacing w:line="360" w:lineRule="auto"/>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备注 </w:t>
            </w:r>
            <w:r>
              <w:rPr>
                <w:color w:val="auto"/>
              </w:rPr>
            </w:r>
            <w:r/>
          </w:p>
        </w:tc>
      </w:tr>
      <w:tr>
        <w:trPr/>
        <w:tc>
          <w:tcPr>
            <w:tcMar>
              <w:left w:w="0" w:type="dxa"/>
              <w:top w:w="0" w:type="dxa"/>
              <w:right w:w="0" w:type="dxa"/>
              <w:bottom w:w="0" w:type="dxa"/>
            </w:tcMar>
            <w:tcW w:w="2376" w:type="dxa"/>
            <w:vAlign w:val="center"/>
            <w:textDirection w:val="lrTb"/>
            <w:noWrap w:val="false"/>
          </w:tcPr>
          <w:p>
            <w:pPr>
              <w:pStyle w:val="994"/>
              <w:spacing w:line="360" w:lineRule="auto"/>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Mar>
              <w:left w:w="0" w:type="dxa"/>
              <w:top w:w="0" w:type="dxa"/>
              <w:right w:w="0" w:type="dxa"/>
              <w:bottom w:w="0" w:type="dxa"/>
            </w:tcMar>
            <w:tcW w:w="3757" w:type="dxa"/>
            <w:vAlign w:val="center"/>
            <w:textDirection w:val="lrTb"/>
            <w:noWrap w:val="false"/>
          </w:tcPr>
          <w:p>
            <w:pPr>
              <w:pStyle w:val="994"/>
              <w:spacing w:line="360" w:lineRule="auto"/>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p>
            <w:pPr>
              <w:pStyle w:val="994"/>
              <w:spacing w:line="360" w:lineRule="auto"/>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rStyle w:val="913"/>
                <w:rFonts w:hint="eastAsia" w:ascii="宋体" w:hAnsi="宋体" w:eastAsia="宋体" w:cs="宋体"/>
                <w:b w:val="0"/>
                <w:bCs w:val="0"/>
                <w:i w:val="0"/>
                <w:iCs w:val="0"/>
                <w:smallCaps w:val="0"/>
                <w:color w:val="auto"/>
                <w:sz w:val="24"/>
                <w:szCs w:val="24"/>
                <w:highlight w:val="none"/>
                <w:lang w:val="en-US" w:eastAsia="zh-CN"/>
              </w:rPr>
              <w:t xml:space="preserve">              </w:t>
            </w:r>
            <w:r>
              <w:rPr>
                <w:rStyle w:val="913"/>
                <w:rFonts w:hint="eastAsia" w:ascii="宋体" w:hAnsi="宋体" w:eastAsia="宋体" w:cs="宋体"/>
                <w:b w:val="0"/>
                <w:bCs w:val="0"/>
                <w:i w:val="0"/>
                <w:iCs w:val="0"/>
                <w:smallCaps w:val="0"/>
                <w:color w:val="auto"/>
                <w:sz w:val="24"/>
                <w:szCs w:val="24"/>
                <w:highlight w:val="none"/>
                <w:lang w:val="en-US" w:eastAsia="zh-CN"/>
              </w:rPr>
              <w:t xml:space="preserve">%</w:t>
            </w:r>
            <w:r>
              <w:rPr>
                <w:color w:val="auto"/>
              </w:rPr>
            </w:r>
            <w:r/>
          </w:p>
        </w:tc>
        <w:tc>
          <w:tcPr>
            <w:tcMar>
              <w:left w:w="0" w:type="dxa"/>
              <w:top w:w="0" w:type="dxa"/>
              <w:right w:w="0" w:type="dxa"/>
              <w:bottom w:w="0" w:type="dxa"/>
            </w:tcMar>
            <w:tcW w:w="3243" w:type="dxa"/>
            <w:vAlign w:val="center"/>
            <w:textDirection w:val="lrTb"/>
            <w:noWrap w:val="false"/>
          </w:tcPr>
          <w:p>
            <w:pPr>
              <w:pStyle w:val="994"/>
              <w:spacing w:line="360" w:lineRule="auto"/>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r>
    </w:tbl>
    <w:p>
      <w:pPr>
        <w:pStyle w:val="994"/>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p>
      <w:pPr>
        <w:pStyle w:val="994"/>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注：</w:t>
      </w:r>
      <w:r>
        <w:rPr>
          <w:color w:val="auto"/>
        </w:rPr>
      </w:r>
      <w:r/>
    </w:p>
    <w:p>
      <w:pPr>
        <w:pStyle w:val="994"/>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1、总价为综合报价，详见招标文件第二章1</w:t>
      </w:r>
      <w:r>
        <w:rPr>
          <w:rStyle w:val="913"/>
          <w:rFonts w:hint="eastAsia" w:ascii="宋体" w:hAnsi="宋体" w:eastAsia="宋体" w:cs="宋体"/>
          <w:color w:val="auto"/>
          <w:highlight w:val="none"/>
          <w:lang w:val="en-US" w:eastAsia="zh-CN"/>
        </w:rPr>
        <w:t xml:space="preserve">2</w:t>
      </w:r>
      <w:r>
        <w:rPr>
          <w:rStyle w:val="913"/>
          <w:rFonts w:hint="eastAsia" w:ascii="宋体" w:hAnsi="宋体" w:eastAsia="宋体" w:cs="宋体"/>
          <w:color w:val="auto"/>
          <w:highlight w:val="none"/>
        </w:rPr>
        <w:t xml:space="preserve">.4。</w:t>
      </w:r>
      <w:r>
        <w:rPr>
          <w:color w:val="auto"/>
        </w:rPr>
      </w:r>
      <w:r/>
    </w:p>
    <w:p>
      <w:pPr>
        <w:pStyle w:val="994"/>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 </w:t>
      </w:r>
      <w:r>
        <w:rPr>
          <w:color w:val="auto"/>
        </w:rPr>
      </w:r>
      <w:r/>
    </w:p>
    <w:p>
      <w:pPr>
        <w:pStyle w:val="994"/>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3、本表中的报价已包括公共责任险（第三者险），中标单位未及时投保所造成的损害责任由中标单位承担。</w:t>
      </w:r>
      <w:r>
        <w:rPr>
          <w:color w:val="auto"/>
        </w:rPr>
      </w:r>
      <w:r/>
    </w:p>
    <w:p>
      <w:pPr>
        <w:pStyle w:val="995"/>
        <w:jc w:val="left"/>
        <w:spacing w:line="360" w:lineRule="auto"/>
        <w:rPr>
          <w:rStyle w:val="913"/>
          <w:rFonts w:hint="eastAsia" w:ascii="宋体" w:hAnsi="宋体" w:eastAsia="宋体" w:cs="宋体"/>
          <w:color w:val="auto"/>
          <w:highlight w:val="none"/>
        </w:rPr>
        <w:outlineLvl w:val="1"/>
      </w:pPr>
      <w:r>
        <w:rPr>
          <w:rStyle w:val="913"/>
          <w:rFonts w:hint="eastAsia" w:ascii="宋体" w:hAnsi="宋体" w:eastAsia="宋体" w:cs="宋体"/>
          <w:color w:val="auto"/>
          <w:highlight w:val="none"/>
        </w:rPr>
        <w:br w:type="page" w:clear="all"/>
      </w:r>
      <w:bookmarkStart w:id="261" w:name="_Toc9622"/>
      <w:r>
        <w:rPr>
          <w:rStyle w:val="913"/>
          <w:rFonts w:hint="eastAsia" w:ascii="宋体" w:hAnsi="宋体" w:eastAsia="宋体" w:cs="宋体"/>
          <w:b/>
          <w:color w:val="auto"/>
          <w:sz w:val="32"/>
          <w:highlight w:val="none"/>
        </w:rPr>
        <w:t xml:space="preserve">四、资格证明文件</w:t>
      </w:r>
      <w:bookmarkEnd w:id="261"/>
      <w:r>
        <w:rPr>
          <w:color w:val="auto"/>
        </w:rPr>
      </w:r>
      <w:r/>
    </w:p>
    <w:p>
      <w:pPr>
        <w:pStyle w:val="996"/>
        <w:jc w:val="left"/>
        <w:spacing w:line="360" w:lineRule="auto"/>
        <w:rPr>
          <w:rStyle w:val="913"/>
          <w:rFonts w:hint="eastAsia" w:ascii="宋体" w:hAnsi="宋体" w:eastAsia="宋体" w:cs="宋体"/>
          <w:color w:val="auto"/>
          <w:highlight w:val="none"/>
        </w:rPr>
        <w:outlineLvl w:val="2"/>
      </w:pPr>
      <w:r>
        <w:rPr>
          <w:rStyle w:val="913"/>
          <w:rFonts w:hint="eastAsia" w:ascii="宋体" w:hAnsi="宋体" w:eastAsia="宋体" w:cs="宋体"/>
          <w:color w:val="auto"/>
          <w:highlight w:val="none"/>
        </w:rPr>
        <w:br w:type="page" w:clear="all"/>
      </w:r>
      <w:r>
        <w:rPr>
          <w:rStyle w:val="913"/>
          <w:rFonts w:hint="eastAsia" w:ascii="宋体" w:hAnsi="宋体" w:eastAsia="宋体" w:cs="宋体"/>
          <w:b/>
          <w:color w:val="auto"/>
          <w:sz w:val="28"/>
          <w:highlight w:val="none"/>
        </w:rPr>
        <w:t xml:space="preserve">  法人或者其他组织的营业执照等证明文件，自然人的身份证明</w:t>
      </w:r>
      <w:r>
        <w:rPr>
          <w:color w:val="auto"/>
        </w:rPr>
      </w:r>
      <w:r/>
    </w:p>
    <w:p>
      <w:pPr>
        <w:pStyle w:val="997"/>
        <w:spacing w:line="360" w:lineRule="auto"/>
        <w:rPr>
          <w:rStyle w:val="913"/>
          <w:rFonts w:hint="eastAsia" w:ascii="宋体" w:hAnsi="宋体" w:eastAsia="宋体" w:cs="宋体"/>
          <w:color w:val="auto"/>
          <w:spacing w:val="7"/>
          <w:highlight w:val="none"/>
        </w:rPr>
        <w:outlineLvl w:val="9"/>
      </w:pPr>
      <w:r>
        <w:rPr>
          <w:rStyle w:val="913"/>
          <w:rFonts w:hint="eastAsia" w:ascii="宋体" w:hAnsi="宋体" w:eastAsia="宋体" w:cs="宋体"/>
          <w:color w:val="auto"/>
          <w:highlight w:val="none"/>
        </w:rPr>
        <w:t xml:space="preserve">﻿ </w:t>
      </w:r>
      <w:r>
        <w:rPr>
          <w:color w:val="auto"/>
        </w:rPr>
      </w:r>
      <w:r/>
    </w:p>
    <w:p>
      <w:pPr>
        <w:pStyle w:val="997"/>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p>
      <w:pPr>
        <w:pStyle w:val="997"/>
        <w:jc w:val="center"/>
        <w:spacing w:before="360" w:after="360" w:line="360" w:lineRule="auto"/>
        <w:rPr>
          <w:rStyle w:val="913"/>
          <w:rFonts w:hint="eastAsia" w:ascii="宋体" w:hAnsi="宋体" w:eastAsia="宋体" w:cs="宋体"/>
          <w:b/>
          <w:bCs/>
          <w:color w:val="auto"/>
          <w:sz w:val="36"/>
          <w:szCs w:val="36"/>
          <w:highlight w:val="none"/>
        </w:rPr>
      </w:pPr>
      <w:r>
        <w:rPr>
          <w:rStyle w:val="913"/>
          <w:rFonts w:hint="eastAsia" w:ascii="宋体" w:hAnsi="宋体" w:eastAsia="宋体" w:cs="宋体"/>
          <w:b/>
          <w:bCs/>
          <w:color w:val="auto"/>
          <w:sz w:val="36"/>
          <w:szCs w:val="36"/>
          <w:highlight w:val="none"/>
        </w:rPr>
        <w:t xml:space="preserve">法人或者其他组织的营业执照等证明文件，自然人的身份证明 </w:t>
      </w:r>
      <w:r>
        <w:rPr>
          <w:color w:val="auto"/>
        </w:rPr>
      </w:r>
      <w:r/>
    </w:p>
    <w:tbl>
      <w:tblPr>
        <w:tblW w:w="8985"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tc>
          <w:tcPr>
            <w:tcMar>
              <w:left w:w="0" w:type="dxa"/>
              <w:top w:w="0" w:type="dxa"/>
              <w:right w:w="0" w:type="dxa"/>
              <w:bottom w:w="0" w:type="dxa"/>
            </w:tcMar>
            <w:tcW w:w="1215" w:type="dxa"/>
            <w:vAlign w:val="center"/>
            <w:textDirection w:val="lrTb"/>
            <w:noWrap w:val="false"/>
          </w:tcPr>
          <w:p>
            <w:pPr>
              <w:pStyle w:val="997"/>
              <w:jc w:val="center"/>
              <w:spacing w:line="360" w:lineRule="auto"/>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序号 </w:t>
            </w:r>
            <w:r>
              <w:rPr>
                <w:color w:val="auto"/>
              </w:rPr>
            </w:r>
            <w:r/>
          </w:p>
        </w:tc>
        <w:tc>
          <w:tcPr>
            <w:tcMar>
              <w:left w:w="0" w:type="dxa"/>
              <w:top w:w="0" w:type="dxa"/>
              <w:right w:w="0" w:type="dxa"/>
              <w:bottom w:w="0" w:type="dxa"/>
            </w:tcMar>
            <w:tcW w:w="6255" w:type="dxa"/>
            <w:vAlign w:val="center"/>
            <w:textDirection w:val="lrTb"/>
            <w:noWrap w:val="false"/>
          </w:tcPr>
          <w:p>
            <w:pPr>
              <w:pStyle w:val="997"/>
              <w:jc w:val="center"/>
              <w:spacing w:line="360" w:lineRule="auto"/>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证书名称 </w:t>
            </w:r>
            <w:r>
              <w:rPr>
                <w:color w:val="auto"/>
              </w:rPr>
            </w:r>
            <w:r/>
          </w:p>
        </w:tc>
        <w:tc>
          <w:tcPr>
            <w:tcMar>
              <w:left w:w="0" w:type="dxa"/>
              <w:top w:w="0" w:type="dxa"/>
              <w:right w:w="0" w:type="dxa"/>
              <w:bottom w:w="0" w:type="dxa"/>
            </w:tcMar>
            <w:tcW w:w="1515" w:type="dxa"/>
            <w:vAlign w:val="center"/>
            <w:textDirection w:val="lrTb"/>
            <w:noWrap w:val="false"/>
          </w:tcPr>
          <w:p>
            <w:pPr>
              <w:pStyle w:val="997"/>
              <w:jc w:val="center"/>
              <w:spacing w:line="360" w:lineRule="auto"/>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查看 </w:t>
            </w:r>
            <w:r>
              <w:rPr>
                <w:color w:val="auto"/>
              </w:rPr>
            </w:r>
            <w:r/>
          </w:p>
        </w:tc>
      </w:tr>
      <w:tr>
        <w:trPr/>
        <w:tc>
          <w:tcPr>
            <w:tcMar>
              <w:left w:w="0" w:type="dxa"/>
              <w:top w:w="0" w:type="dxa"/>
              <w:right w:w="0" w:type="dxa"/>
              <w:bottom w:w="0" w:type="dxa"/>
            </w:tcMar>
            <w:tcW w:w="1215" w:type="dxa"/>
            <w:vAlign w:val="center"/>
            <w:textDirection w:val="lrTb"/>
            <w:noWrap w:val="false"/>
          </w:tcPr>
          <w:p>
            <w:pPr>
              <w:pStyle w:val="997"/>
              <w:jc w:val="center"/>
              <w:spacing w:line="360" w:lineRule="auto"/>
              <w:rPr>
                <w:rStyle w:val="913"/>
                <w:rFonts w:hint="eastAsia" w:ascii="宋体" w:hAnsi="宋体" w:eastAsia="宋体" w:cs="宋体"/>
                <w:b w:val="0"/>
                <w:bCs w:val="0"/>
                <w:i w:val="0"/>
                <w:iCs w:val="0"/>
                <w:smallCaps w:val="0"/>
                <w:color w:val="auto"/>
                <w:sz w:val="24"/>
                <w:szCs w:val="24"/>
                <w:highlight w:val="none"/>
              </w:rPr>
            </w:pPr>
            <w:r>
              <w:rPr>
                <w:color w:val="auto"/>
              </w:rPr>
            </w:r>
            <w:bookmarkStart w:id="262" w:name="A1"/>
            <w:r>
              <w:rPr>
                <w:color w:val="auto"/>
              </w:rPr>
            </w:r>
            <w:bookmarkEnd w:id="262"/>
            <w:r>
              <w:rPr>
                <w:color w:val="auto"/>
              </w:rPr>
            </w:r>
            <w:r/>
          </w:p>
        </w:tc>
        <w:tc>
          <w:tcPr>
            <w:tcMar>
              <w:left w:w="0" w:type="dxa"/>
              <w:top w:w="0" w:type="dxa"/>
              <w:right w:w="0" w:type="dxa"/>
              <w:bottom w:w="0" w:type="dxa"/>
            </w:tcMar>
            <w:tcW w:w="6255" w:type="dxa"/>
            <w:vAlign w:val="center"/>
            <w:textDirection w:val="lrTb"/>
            <w:noWrap w:val="false"/>
          </w:tcPr>
          <w:p>
            <w:pPr>
              <w:pStyle w:val="997"/>
              <w:spacing w:line="360" w:lineRule="auto"/>
              <w:rPr>
                <w:rStyle w:val="913"/>
                <w:rFonts w:hint="eastAsia" w:ascii="宋体" w:hAnsi="宋体" w:eastAsia="宋体" w:cs="宋体"/>
                <w:b w:val="0"/>
                <w:bCs w:val="0"/>
                <w:i w:val="0"/>
                <w:iCs w:val="0"/>
                <w:smallCaps w:val="0"/>
                <w:color w:val="auto"/>
                <w:sz w:val="24"/>
                <w:szCs w:val="24"/>
                <w:highlight w:val="none"/>
              </w:rPr>
            </w:pPr>
            <w:r>
              <w:rPr>
                <w:color w:val="auto"/>
              </w:rPr>
            </w:r>
            <w:bookmarkStart w:id="263" w:name="MC"/>
            <w:r>
              <w:rPr>
                <w:color w:val="auto"/>
              </w:rPr>
            </w:r>
            <w:bookmarkEnd w:id="263"/>
            <w:r>
              <w:rPr>
                <w:color w:val="auto"/>
              </w:rPr>
            </w:r>
            <w:r/>
          </w:p>
        </w:tc>
        <w:tc>
          <w:tcPr>
            <w:tcMar>
              <w:left w:w="0" w:type="dxa"/>
              <w:top w:w="0" w:type="dxa"/>
              <w:right w:w="0" w:type="dxa"/>
              <w:bottom w:w="0" w:type="dxa"/>
            </w:tcMar>
            <w:tcW w:w="1515" w:type="dxa"/>
            <w:vAlign w:val="center"/>
            <w:textDirection w:val="lrTb"/>
            <w:noWrap w:val="false"/>
          </w:tcPr>
          <w:p>
            <w:pPr>
              <w:pStyle w:val="997"/>
              <w:jc w:val="center"/>
              <w:spacing w:line="360" w:lineRule="auto"/>
              <w:rPr>
                <w:rStyle w:val="913"/>
                <w:rFonts w:hint="eastAsia" w:ascii="宋体" w:hAnsi="宋体" w:eastAsia="宋体" w:cs="宋体"/>
                <w:b w:val="0"/>
                <w:bCs w:val="0"/>
                <w:i w:val="0"/>
                <w:iCs w:val="0"/>
                <w:smallCaps w:val="0"/>
                <w:color w:val="auto"/>
                <w:sz w:val="24"/>
                <w:szCs w:val="24"/>
                <w:highlight w:val="none"/>
              </w:rPr>
            </w:pPr>
            <w:r>
              <w:rPr>
                <w:color w:val="auto"/>
              </w:rPr>
            </w:r>
            <w:bookmarkStart w:id="264" w:name="ChaKan"/>
            <w:r>
              <w:rPr>
                <w:color w:val="auto"/>
              </w:rPr>
            </w:r>
            <w:bookmarkEnd w:id="264"/>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r>
    </w:tbl>
    <w:p>
      <w:pPr>
        <w:pStyle w:val="997"/>
        <w:jc w:val="left"/>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color w:val="auto"/>
        </w:rPr>
      </w:r>
      <w:r/>
    </w:p>
    <w:p>
      <w:pPr>
        <w:pStyle w:val="997"/>
        <w:jc w:val="center"/>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p>
      <w:pPr>
        <w:pStyle w:val="998"/>
        <w:jc w:val="left"/>
        <w:spacing w:line="360" w:lineRule="auto"/>
        <w:rPr>
          <w:rStyle w:val="913"/>
          <w:rFonts w:hint="eastAsia" w:ascii="宋体" w:hAnsi="宋体" w:eastAsia="宋体" w:cs="宋体"/>
          <w:color w:val="auto"/>
          <w:highlight w:val="none"/>
        </w:rPr>
        <w:outlineLvl w:val="2"/>
      </w:pPr>
      <w:r>
        <w:rPr>
          <w:rStyle w:val="913"/>
          <w:rFonts w:hint="eastAsia" w:ascii="宋体" w:hAnsi="宋体" w:eastAsia="宋体" w:cs="宋体"/>
          <w:color w:val="auto"/>
          <w:highlight w:val="none"/>
        </w:rPr>
        <w:br w:type="page" w:clear="all"/>
      </w:r>
      <w:r>
        <w:rPr>
          <w:rStyle w:val="913"/>
          <w:rFonts w:hint="eastAsia" w:ascii="宋体" w:hAnsi="宋体" w:eastAsia="宋体" w:cs="宋体"/>
          <w:b/>
          <w:color w:val="auto"/>
          <w:sz w:val="28"/>
          <w:highlight w:val="none"/>
        </w:rPr>
        <w:t xml:space="preserve">  财务状况报告（成立不满一年不需要提供）</w:t>
      </w:r>
      <w:r>
        <w:rPr>
          <w:color w:val="auto"/>
        </w:rPr>
      </w:r>
      <w:r/>
    </w:p>
    <w:p>
      <w:pPr>
        <w:pStyle w:val="999"/>
        <w:spacing w:line="360" w:lineRule="auto"/>
        <w:rPr>
          <w:rStyle w:val="913"/>
          <w:rFonts w:hint="eastAsia" w:ascii="宋体" w:hAnsi="宋体" w:eastAsia="宋体" w:cs="宋体"/>
          <w:color w:val="auto"/>
          <w:spacing w:val="7"/>
          <w:highlight w:val="none"/>
        </w:rPr>
        <w:outlineLvl w:val="9"/>
      </w:pPr>
      <w:r>
        <w:rPr>
          <w:rStyle w:val="913"/>
          <w:rFonts w:hint="eastAsia" w:ascii="宋体" w:hAnsi="宋体" w:eastAsia="宋体" w:cs="宋体"/>
          <w:color w:val="auto"/>
          <w:highlight w:val="none"/>
        </w:rPr>
        <w:t xml:space="preserve">﻿ </w:t>
      </w:r>
      <w:r>
        <w:rPr>
          <w:color w:val="auto"/>
        </w:rPr>
      </w:r>
      <w:r/>
    </w:p>
    <w:p>
      <w:pPr>
        <w:pStyle w:val="999"/>
        <w:jc w:val="center"/>
        <w:spacing w:before="360" w:after="360" w:line="360" w:lineRule="auto"/>
        <w:rPr>
          <w:rStyle w:val="913"/>
          <w:rFonts w:hint="eastAsia" w:ascii="宋体" w:hAnsi="宋体" w:eastAsia="宋体" w:cs="宋体"/>
          <w:b/>
          <w:bCs/>
          <w:color w:val="auto"/>
          <w:sz w:val="36"/>
          <w:szCs w:val="36"/>
          <w:highlight w:val="none"/>
        </w:rPr>
      </w:pPr>
      <w:r>
        <w:rPr>
          <w:rStyle w:val="913"/>
          <w:rFonts w:hint="eastAsia" w:ascii="宋体" w:hAnsi="宋体" w:eastAsia="宋体" w:cs="宋体"/>
          <w:b/>
          <w:bCs/>
          <w:color w:val="auto"/>
          <w:sz w:val="36"/>
          <w:szCs w:val="36"/>
          <w:highlight w:val="none"/>
        </w:rPr>
        <w:t xml:space="preserve">近年财务状况表</w:t>
      </w:r>
      <w:r>
        <w:rPr>
          <w:color w:val="auto"/>
        </w:rPr>
      </w:r>
      <w:r/>
    </w:p>
    <w:tbl>
      <w:tblPr>
        <w:tblW w:w="8985"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815"/>
        <w:gridCol w:w="5025"/>
        <w:gridCol w:w="2145"/>
      </w:tblGrid>
      <w:tr>
        <w:trPr/>
        <w:tc>
          <w:tcPr>
            <w:tcMar>
              <w:left w:w="0" w:type="dxa"/>
              <w:top w:w="0" w:type="dxa"/>
              <w:right w:w="0" w:type="dxa"/>
              <w:bottom w:w="0" w:type="dxa"/>
            </w:tcMar>
            <w:tcW w:w="1815" w:type="dxa"/>
            <w:vAlign w:val="center"/>
            <w:textDirection w:val="lrTb"/>
            <w:noWrap w:val="false"/>
          </w:tcPr>
          <w:p>
            <w:pPr>
              <w:pStyle w:val="999"/>
              <w:jc w:val="center"/>
              <w:spacing w:line="360" w:lineRule="auto"/>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年度 </w:t>
            </w:r>
            <w:r>
              <w:rPr>
                <w:color w:val="auto"/>
              </w:rPr>
            </w:r>
            <w:r/>
          </w:p>
        </w:tc>
        <w:tc>
          <w:tcPr>
            <w:tcMar>
              <w:left w:w="0" w:type="dxa"/>
              <w:top w:w="0" w:type="dxa"/>
              <w:right w:w="0" w:type="dxa"/>
              <w:bottom w:w="0" w:type="dxa"/>
            </w:tcMar>
            <w:tcW w:w="5025" w:type="dxa"/>
            <w:vAlign w:val="center"/>
            <w:textDirection w:val="lrTb"/>
            <w:noWrap w:val="false"/>
          </w:tcPr>
          <w:p>
            <w:pPr>
              <w:pStyle w:val="999"/>
              <w:jc w:val="center"/>
              <w:spacing w:line="360" w:lineRule="auto"/>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说明 </w:t>
            </w:r>
            <w:r>
              <w:rPr>
                <w:color w:val="auto"/>
              </w:rPr>
            </w:r>
            <w:r/>
          </w:p>
        </w:tc>
        <w:tc>
          <w:tcPr>
            <w:tcMar>
              <w:left w:w="0" w:type="dxa"/>
              <w:top w:w="0" w:type="dxa"/>
              <w:right w:w="0" w:type="dxa"/>
              <w:bottom w:w="0" w:type="dxa"/>
            </w:tcMar>
            <w:tcW w:w="2145" w:type="dxa"/>
            <w:vAlign w:val="center"/>
            <w:textDirection w:val="lrTb"/>
            <w:noWrap w:val="false"/>
          </w:tcPr>
          <w:p>
            <w:pPr>
              <w:pStyle w:val="999"/>
              <w:jc w:val="center"/>
              <w:spacing w:line="360" w:lineRule="auto"/>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查看 </w:t>
            </w:r>
            <w:r>
              <w:rPr>
                <w:color w:val="auto"/>
              </w:rPr>
            </w:r>
            <w:r/>
          </w:p>
        </w:tc>
      </w:tr>
      <w:tr>
        <w:trPr/>
        <w:tc>
          <w:tcPr>
            <w:tcMar>
              <w:left w:w="0" w:type="dxa"/>
              <w:top w:w="0" w:type="dxa"/>
              <w:right w:w="0" w:type="dxa"/>
              <w:bottom w:w="0" w:type="dxa"/>
            </w:tcMar>
            <w:tcW w:w="1815" w:type="dxa"/>
            <w:vAlign w:val="center"/>
            <w:textDirection w:val="lrTb"/>
            <w:noWrap w:val="false"/>
          </w:tcPr>
          <w:p>
            <w:pPr>
              <w:pStyle w:val="999"/>
              <w:spacing w:line="360" w:lineRule="auto"/>
              <w:rPr>
                <w:rStyle w:val="913"/>
                <w:rFonts w:hint="eastAsia" w:ascii="宋体" w:hAnsi="宋体" w:eastAsia="宋体" w:cs="宋体"/>
                <w:b w:val="0"/>
                <w:bCs w:val="0"/>
                <w:i w:val="0"/>
                <w:iCs w:val="0"/>
                <w:smallCaps w:val="0"/>
                <w:color w:val="auto"/>
                <w:sz w:val="24"/>
                <w:szCs w:val="24"/>
                <w:highlight w:val="none"/>
              </w:rPr>
            </w:pPr>
            <w:r>
              <w:rPr>
                <w:color w:val="auto"/>
              </w:rPr>
            </w:r>
            <w:bookmarkStart w:id="265" w:name="Year"/>
            <w:r>
              <w:rPr>
                <w:color w:val="auto"/>
              </w:rPr>
            </w:r>
            <w:bookmarkEnd w:id="265"/>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Mar>
              <w:left w:w="0" w:type="dxa"/>
              <w:top w:w="0" w:type="dxa"/>
              <w:right w:w="0" w:type="dxa"/>
              <w:bottom w:w="0" w:type="dxa"/>
            </w:tcMar>
            <w:tcW w:w="5025" w:type="dxa"/>
            <w:vAlign w:val="center"/>
            <w:textDirection w:val="lrTb"/>
            <w:noWrap w:val="false"/>
          </w:tcPr>
          <w:p>
            <w:pPr>
              <w:pStyle w:val="999"/>
              <w:spacing w:line="360" w:lineRule="auto"/>
              <w:rPr>
                <w:rStyle w:val="913"/>
                <w:rFonts w:hint="eastAsia" w:ascii="宋体" w:hAnsi="宋体" w:eastAsia="宋体" w:cs="宋体"/>
                <w:b w:val="0"/>
                <w:bCs w:val="0"/>
                <w:i w:val="0"/>
                <w:iCs w:val="0"/>
                <w:smallCaps w:val="0"/>
                <w:color w:val="auto"/>
                <w:sz w:val="24"/>
                <w:szCs w:val="24"/>
                <w:highlight w:val="none"/>
              </w:rPr>
            </w:pPr>
            <w:r>
              <w:rPr>
                <w:color w:val="auto"/>
              </w:rPr>
            </w:r>
            <w:bookmarkStart w:id="266" w:name="ReMark"/>
            <w:r>
              <w:rPr>
                <w:color w:val="auto"/>
              </w:rPr>
            </w:r>
            <w:bookmarkEnd w:id="266"/>
            <w:r>
              <w:rPr>
                <w:color w:val="auto"/>
              </w:rPr>
            </w:r>
            <w:r/>
          </w:p>
        </w:tc>
        <w:tc>
          <w:tcPr>
            <w:tcMar>
              <w:left w:w="0" w:type="dxa"/>
              <w:top w:w="0" w:type="dxa"/>
              <w:right w:w="0" w:type="dxa"/>
              <w:bottom w:w="0" w:type="dxa"/>
            </w:tcMar>
            <w:tcW w:w="2145" w:type="dxa"/>
            <w:vAlign w:val="center"/>
            <w:textDirection w:val="lrTb"/>
            <w:noWrap w:val="false"/>
          </w:tcPr>
          <w:p>
            <w:pPr>
              <w:pStyle w:val="999"/>
              <w:spacing w:line="360" w:lineRule="auto"/>
              <w:rPr>
                <w:rStyle w:val="913"/>
                <w:rFonts w:hint="eastAsia" w:ascii="宋体" w:hAnsi="宋体" w:eastAsia="宋体" w:cs="宋体"/>
                <w:b w:val="0"/>
                <w:bCs w:val="0"/>
                <w:i w:val="0"/>
                <w:iCs w:val="0"/>
                <w:smallCaps w:val="0"/>
                <w:color w:val="auto"/>
                <w:sz w:val="24"/>
                <w:szCs w:val="24"/>
                <w:highlight w:val="none"/>
              </w:rPr>
            </w:pPr>
            <w:r>
              <w:rPr>
                <w:color w:val="auto"/>
              </w:rPr>
            </w:r>
            <w:bookmarkStart w:id="267" w:name="ChaKan_0"/>
            <w:r>
              <w:rPr>
                <w:color w:val="auto"/>
              </w:rPr>
            </w:r>
            <w:bookmarkEnd w:id="267"/>
            <w:r>
              <w:rPr>
                <w:color w:val="auto"/>
              </w:rPr>
            </w:r>
            <w:r/>
          </w:p>
        </w:tc>
      </w:tr>
    </w:tbl>
    <w:p>
      <w:pPr>
        <w:pStyle w:val="999"/>
        <w:spacing w:line="360" w:lineRule="auto"/>
        <w:rPr>
          <w:rStyle w:val="913"/>
          <w:rFonts w:hint="eastAsia" w:ascii="宋体" w:hAnsi="宋体" w:eastAsia="宋体" w:cs="宋体"/>
          <w:b/>
          <w:bCs/>
          <w:color w:val="auto"/>
          <w:sz w:val="36"/>
          <w:szCs w:val="36"/>
          <w:highlight w:val="none"/>
        </w:rPr>
      </w:pPr>
      <w:r>
        <w:rPr>
          <w:rStyle w:val="913"/>
          <w:rFonts w:hint="eastAsia" w:ascii="宋体" w:hAnsi="宋体" w:eastAsia="宋体" w:cs="宋体"/>
          <w:b/>
          <w:bCs/>
          <w:color w:val="auto"/>
          <w:sz w:val="36"/>
          <w:szCs w:val="36"/>
          <w:highlight w:val="none"/>
        </w:rPr>
      </w:r>
      <w:r>
        <w:rPr>
          <w:color w:val="auto"/>
        </w:rPr>
      </w:r>
      <w:r/>
    </w:p>
    <w:p>
      <w:pPr>
        <w:pStyle w:val="1000"/>
        <w:jc w:val="left"/>
        <w:spacing w:line="360" w:lineRule="auto"/>
        <w:rPr>
          <w:rStyle w:val="913"/>
          <w:rFonts w:hint="eastAsia" w:ascii="宋体" w:hAnsi="宋体" w:eastAsia="宋体" w:cs="宋体"/>
          <w:color w:val="auto"/>
          <w:highlight w:val="none"/>
        </w:rPr>
        <w:outlineLvl w:val="2"/>
      </w:pPr>
      <w:r>
        <w:rPr>
          <w:rStyle w:val="913"/>
          <w:rFonts w:hint="eastAsia" w:ascii="宋体" w:hAnsi="宋体" w:eastAsia="宋体" w:cs="宋体"/>
          <w:color w:val="auto"/>
          <w:highlight w:val="none"/>
        </w:rPr>
        <w:br w:type="page" w:clear="all"/>
      </w:r>
      <w:r>
        <w:rPr>
          <w:rStyle w:val="913"/>
          <w:rFonts w:hint="eastAsia" w:ascii="宋体" w:hAnsi="宋体" w:eastAsia="宋体" w:cs="宋体"/>
          <w:b/>
          <w:color w:val="auto"/>
          <w:sz w:val="28"/>
          <w:highlight w:val="none"/>
        </w:rPr>
        <w:t xml:space="preserve">  依法缴纳税收和社会保障资金的相关材料</w:t>
      </w:r>
      <w:r>
        <w:rPr>
          <w:color w:val="auto"/>
        </w:rPr>
      </w:r>
      <w:r/>
    </w:p>
    <w:p>
      <w:pPr>
        <w:pStyle w:val="1001"/>
        <w:spacing w:line="360" w:lineRule="auto"/>
        <w:rPr>
          <w:rStyle w:val="913"/>
          <w:rFonts w:hint="eastAsia" w:ascii="宋体" w:hAnsi="宋体" w:eastAsia="宋体" w:cs="宋体"/>
          <w:color w:val="auto"/>
          <w:highlight w:val="none"/>
        </w:rPr>
      </w:pPr>
      <w:r>
        <w:rPr>
          <w:rStyle w:val="913"/>
          <w:rFonts w:hint="eastAsia" w:ascii="宋体" w:hAnsi="宋体" w:eastAsia="宋体" w:cs="宋体"/>
          <w:color w:val="auto"/>
          <w:highlight w:val="none"/>
        </w:rPr>
        <w:t xml:space="preserve">依法缴纳税收和社会保障资金的相关材料 </w:t>
      </w:r>
      <w:r>
        <w:rPr>
          <w:color w:val="auto"/>
        </w:rPr>
      </w:r>
      <w:r/>
    </w:p>
    <w:p>
      <w:pPr>
        <w:pStyle w:val="1002"/>
        <w:jc w:val="left"/>
        <w:spacing w:line="360" w:lineRule="auto"/>
        <w:rPr>
          <w:rStyle w:val="913"/>
          <w:rFonts w:hint="eastAsia" w:ascii="宋体" w:hAnsi="宋体" w:eastAsia="宋体" w:cs="宋体"/>
          <w:color w:val="auto"/>
          <w:highlight w:val="none"/>
        </w:rPr>
        <w:outlineLvl w:val="2"/>
      </w:pPr>
      <w:r>
        <w:rPr>
          <w:rStyle w:val="913"/>
          <w:rFonts w:hint="eastAsia" w:ascii="宋体" w:hAnsi="宋体" w:eastAsia="宋体" w:cs="宋体"/>
          <w:color w:val="auto"/>
          <w:highlight w:val="none"/>
        </w:rPr>
        <w:br w:type="page" w:clear="all"/>
      </w:r>
      <w:r>
        <w:rPr>
          <w:rStyle w:val="913"/>
          <w:rFonts w:hint="eastAsia" w:ascii="宋体" w:hAnsi="宋体" w:eastAsia="宋体" w:cs="宋体"/>
          <w:b/>
          <w:color w:val="auto"/>
          <w:sz w:val="28"/>
          <w:highlight w:val="none"/>
        </w:rPr>
        <w:t xml:space="preserve">  具备履行合同所必需的设备和专业技术能力的书面声明</w:t>
      </w:r>
      <w:r>
        <w:rPr>
          <w:color w:val="auto"/>
        </w:rPr>
      </w:r>
      <w:r/>
    </w:p>
    <w:p>
      <w:pPr>
        <w:pStyle w:val="1003"/>
        <w:spacing w:line="360" w:lineRule="auto"/>
        <w:rPr>
          <w:rStyle w:val="913"/>
          <w:rFonts w:hint="eastAsia" w:ascii="宋体" w:hAnsi="宋体" w:eastAsia="宋体" w:cs="宋体"/>
          <w:color w:val="auto"/>
          <w:spacing w:val="7"/>
          <w:highlight w:val="none"/>
        </w:rPr>
        <w:outlineLvl w:val="9"/>
      </w:pPr>
      <w:r>
        <w:rPr>
          <w:rStyle w:val="913"/>
          <w:rFonts w:hint="eastAsia" w:ascii="宋体" w:hAnsi="宋体" w:eastAsia="宋体" w:cs="宋体"/>
          <w:color w:val="auto"/>
          <w:highlight w:val="none"/>
        </w:rPr>
        <w:t xml:space="preserve">﻿ </w:t>
      </w:r>
      <w:r>
        <w:rPr>
          <w:color w:val="auto"/>
        </w:rPr>
      </w:r>
      <w:r/>
    </w:p>
    <w:p>
      <w:pPr>
        <w:pStyle w:val="1003"/>
        <w:jc w:val="center"/>
        <w:spacing w:before="320" w:after="320" w:line="360" w:lineRule="auto"/>
        <w:rPr>
          <w:rStyle w:val="913"/>
          <w:rFonts w:hint="eastAsia" w:ascii="宋体" w:hAnsi="宋体" w:eastAsia="宋体" w:cs="宋体"/>
          <w:b/>
          <w:bCs/>
          <w:color w:val="auto"/>
          <w:sz w:val="32"/>
          <w:szCs w:val="32"/>
          <w:highlight w:val="none"/>
        </w:rPr>
      </w:pPr>
      <w:r>
        <w:rPr>
          <w:rStyle w:val="913"/>
          <w:rFonts w:hint="eastAsia" w:ascii="宋体" w:hAnsi="宋体" w:eastAsia="宋体" w:cs="宋体"/>
          <w:b/>
          <w:bCs/>
          <w:color w:val="auto"/>
          <w:sz w:val="32"/>
          <w:szCs w:val="32"/>
          <w:highlight w:val="none"/>
        </w:rPr>
        <w:t xml:space="preserve">具备履行合同所必需的设备和专业技术能力的书面声明</w:t>
      </w:r>
      <w:r>
        <w:rPr>
          <w:color w:val="auto"/>
        </w:rPr>
      </w:r>
      <w:r/>
    </w:p>
    <w:p>
      <w:pPr>
        <w:pStyle w:val="1003"/>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p>
      <w:pPr>
        <w:pStyle w:val="1003"/>
        <w:jc w:val="center"/>
        <w:spacing w:before="320" w:after="320" w:line="360" w:lineRule="auto"/>
        <w:rPr>
          <w:rStyle w:val="913"/>
          <w:rFonts w:hint="eastAsia" w:ascii="宋体" w:hAnsi="宋体" w:eastAsia="宋体" w:cs="宋体"/>
          <w:b/>
          <w:bCs/>
          <w:color w:val="auto"/>
          <w:sz w:val="32"/>
          <w:szCs w:val="32"/>
          <w:highlight w:val="none"/>
        </w:rPr>
      </w:pPr>
      <w:r>
        <w:rPr>
          <w:rStyle w:val="913"/>
          <w:rFonts w:hint="eastAsia" w:ascii="宋体" w:hAnsi="宋体" w:eastAsia="宋体" w:cs="宋体"/>
          <w:b/>
          <w:bCs/>
          <w:color w:val="auto"/>
          <w:sz w:val="32"/>
          <w:szCs w:val="32"/>
          <w:highlight w:val="none"/>
        </w:rPr>
        <w:t xml:space="preserve"> </w:t>
      </w:r>
      <w:r>
        <w:rPr>
          <w:color w:val="auto"/>
        </w:rPr>
      </w:r>
      <w:r/>
    </w:p>
    <w:p>
      <w:pPr>
        <w:pStyle w:val="1003"/>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p>
      <w:pPr>
        <w:pStyle w:val="1003"/>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我单位郑重声明： 我单位具备履行本项采购合同所必需的设备和专业技术能力。 </w:t>
      </w:r>
      <w:r>
        <w:rPr>
          <w:color w:val="auto"/>
        </w:rPr>
      </w:r>
      <w:r/>
    </w:p>
    <w:p>
      <w:pPr>
        <w:pStyle w:val="1003"/>
        <w:spacing w:before="360" w:after="360" w:line="360" w:lineRule="auto"/>
        <w:rPr>
          <w:rStyle w:val="913"/>
          <w:rFonts w:hint="eastAsia" w:ascii="宋体" w:hAnsi="宋体" w:eastAsia="宋体" w:cs="宋体"/>
          <w:color w:val="auto"/>
          <w:sz w:val="36"/>
          <w:szCs w:val="36"/>
          <w:highlight w:val="none"/>
        </w:rPr>
      </w:pPr>
      <w:r>
        <w:rPr>
          <w:rStyle w:val="913"/>
          <w:rFonts w:hint="eastAsia" w:ascii="宋体" w:hAnsi="宋体" w:eastAsia="宋体" w:cs="宋体"/>
          <w:color w:val="auto"/>
          <w:sz w:val="36"/>
          <w:szCs w:val="36"/>
          <w:highlight w:val="none"/>
        </w:rPr>
        <w:t xml:space="preserve"> </w:t>
      </w:r>
      <w:r>
        <w:rPr>
          <w:color w:val="auto"/>
        </w:rPr>
      </w:r>
      <w:r/>
    </w:p>
    <w:p>
      <w:pPr>
        <w:pStyle w:val="1003"/>
        <w:jc w:val="center"/>
        <w:spacing w:before="360" w:after="360" w:line="360" w:lineRule="auto"/>
        <w:rPr>
          <w:rStyle w:val="913"/>
          <w:rFonts w:hint="eastAsia" w:ascii="宋体" w:hAnsi="宋体" w:eastAsia="宋体" w:cs="宋体"/>
          <w:color w:val="auto"/>
          <w:sz w:val="36"/>
          <w:szCs w:val="36"/>
          <w:highlight w:val="none"/>
        </w:rPr>
      </w:pPr>
      <w:r>
        <w:rPr>
          <w:rStyle w:val="913"/>
          <w:rFonts w:hint="eastAsia" w:ascii="宋体" w:hAnsi="宋体" w:eastAsia="宋体" w:cs="宋体"/>
          <w:color w:val="auto"/>
          <w:sz w:val="36"/>
          <w:szCs w:val="36"/>
          <w:highlight w:val="none"/>
        </w:rPr>
        <w:t xml:space="preserve"> </w:t>
      </w:r>
      <w:r>
        <w:rPr>
          <w:color w:val="auto"/>
        </w:rPr>
      </w:r>
      <w:r/>
    </w:p>
    <w:p>
      <w:pPr>
        <w:pStyle w:val="1003"/>
        <w:jc w:val="center"/>
        <w:spacing w:before="360" w:after="360" w:line="360" w:lineRule="auto"/>
        <w:rPr>
          <w:rStyle w:val="913"/>
          <w:rFonts w:hint="eastAsia" w:ascii="宋体" w:hAnsi="宋体" w:eastAsia="宋体" w:cs="宋体"/>
          <w:color w:val="auto"/>
          <w:sz w:val="36"/>
          <w:szCs w:val="36"/>
          <w:highlight w:val="none"/>
        </w:rPr>
      </w:pPr>
      <w:r>
        <w:rPr>
          <w:rStyle w:val="913"/>
          <w:rFonts w:hint="eastAsia" w:ascii="宋体" w:hAnsi="宋体" w:eastAsia="宋体" w:cs="宋体"/>
          <w:color w:val="auto"/>
          <w:sz w:val="36"/>
          <w:szCs w:val="36"/>
          <w:highlight w:val="none"/>
        </w:rPr>
        <w:t xml:space="preserve"> </w:t>
      </w:r>
      <w:r>
        <w:rPr>
          <w:color w:val="auto"/>
        </w:rPr>
      </w:r>
      <w:r/>
    </w:p>
    <w:p>
      <w:pPr>
        <w:pStyle w:val="1003"/>
        <w:jc w:val="center"/>
        <w:spacing w:before="360" w:after="360" w:line="360" w:lineRule="auto"/>
        <w:rPr>
          <w:rStyle w:val="913"/>
          <w:rFonts w:hint="eastAsia" w:ascii="宋体" w:hAnsi="宋体" w:eastAsia="宋体" w:cs="宋体"/>
          <w:color w:val="auto"/>
          <w:sz w:val="36"/>
          <w:szCs w:val="36"/>
          <w:highlight w:val="none"/>
        </w:rPr>
      </w:pPr>
      <w:r>
        <w:rPr>
          <w:rStyle w:val="913"/>
          <w:rFonts w:hint="eastAsia" w:ascii="宋体" w:hAnsi="宋体" w:eastAsia="宋体" w:cs="宋体"/>
          <w:color w:val="auto"/>
          <w:sz w:val="36"/>
          <w:szCs w:val="36"/>
          <w:highlight w:val="none"/>
        </w:rPr>
        <w:t xml:space="preserve"> </w:t>
      </w:r>
      <w:r>
        <w:rPr>
          <w:color w:val="auto"/>
        </w:rPr>
      </w:r>
      <w:r/>
    </w:p>
    <w:p>
      <w:pPr>
        <w:pStyle w:val="1003"/>
        <w:spacing w:before="210" w:after="210" w:line="360" w:lineRule="auto"/>
        <w:rPr>
          <w:rStyle w:val="913"/>
          <w:rFonts w:hint="eastAsia" w:ascii="宋体" w:hAnsi="宋体" w:eastAsia="宋体" w:cs="宋体"/>
          <w:color w:val="auto"/>
          <w:sz w:val="21"/>
          <w:szCs w:val="21"/>
          <w:highlight w:val="none"/>
        </w:rPr>
      </w:pPr>
      <w:r>
        <w:rPr>
          <w:rStyle w:val="913"/>
          <w:rFonts w:hint="eastAsia" w:ascii="宋体" w:hAnsi="宋体" w:eastAsia="宋体" w:cs="宋体"/>
          <w:color w:val="auto"/>
          <w:sz w:val="21"/>
          <w:szCs w:val="21"/>
          <w:highlight w:val="none"/>
        </w:rPr>
        <w:t xml:space="preserve"> 投标单位（加盖公章）：   </w:t>
      </w:r>
      <w:r>
        <w:rPr>
          <w:color w:val="auto"/>
        </w:rPr>
      </w:r>
      <w:r/>
    </w:p>
    <w:p>
      <w:pPr>
        <w:pStyle w:val="1004"/>
        <w:jc w:val="left"/>
        <w:spacing w:line="360" w:lineRule="auto"/>
        <w:rPr>
          <w:rStyle w:val="913"/>
          <w:rFonts w:hint="eastAsia" w:ascii="宋体" w:hAnsi="宋体" w:eastAsia="宋体" w:cs="宋体"/>
          <w:color w:val="auto"/>
          <w:highlight w:val="none"/>
        </w:rPr>
        <w:outlineLvl w:val="2"/>
      </w:pPr>
      <w:r>
        <w:rPr>
          <w:rStyle w:val="913"/>
          <w:rFonts w:hint="eastAsia" w:ascii="宋体" w:hAnsi="宋体" w:eastAsia="宋体" w:cs="宋体"/>
          <w:color w:val="auto"/>
          <w:highlight w:val="none"/>
        </w:rPr>
        <w:br w:type="page" w:clear="all"/>
      </w:r>
      <w:r>
        <w:rPr>
          <w:rStyle w:val="913"/>
          <w:rFonts w:hint="eastAsia" w:ascii="宋体" w:hAnsi="宋体" w:eastAsia="宋体" w:cs="宋体"/>
          <w:b/>
          <w:color w:val="auto"/>
          <w:sz w:val="28"/>
          <w:highlight w:val="none"/>
        </w:rPr>
        <w:t xml:space="preserve">  参加政府采购活动前3年内在经营活动中没有重大违法记录的书面声明</w:t>
      </w:r>
      <w:r>
        <w:rPr>
          <w:color w:val="auto"/>
        </w:rPr>
      </w:r>
      <w:r/>
    </w:p>
    <w:p>
      <w:pPr>
        <w:pStyle w:val="1005"/>
        <w:spacing w:line="360" w:lineRule="auto"/>
        <w:rPr>
          <w:rStyle w:val="913"/>
          <w:rFonts w:hint="eastAsia" w:ascii="宋体" w:hAnsi="宋体" w:eastAsia="宋体" w:cs="宋体"/>
          <w:color w:val="auto"/>
          <w:spacing w:val="7"/>
          <w:highlight w:val="none"/>
        </w:rPr>
        <w:outlineLvl w:val="9"/>
      </w:pPr>
      <w:r>
        <w:rPr>
          <w:rStyle w:val="913"/>
          <w:rFonts w:hint="eastAsia" w:ascii="宋体" w:hAnsi="宋体" w:eastAsia="宋体" w:cs="宋体"/>
          <w:color w:val="auto"/>
          <w:highlight w:val="none"/>
        </w:rPr>
        <w:t xml:space="preserve">﻿ </w:t>
      </w:r>
      <w:r>
        <w:rPr>
          <w:color w:val="auto"/>
        </w:rPr>
      </w:r>
      <w:r/>
    </w:p>
    <w:p>
      <w:pPr>
        <w:pStyle w:val="1005"/>
        <w:jc w:val="center"/>
        <w:spacing w:before="320" w:after="320" w:line="360" w:lineRule="auto"/>
        <w:rPr>
          <w:rStyle w:val="913"/>
          <w:rFonts w:hint="eastAsia" w:ascii="宋体" w:hAnsi="宋体" w:eastAsia="宋体" w:cs="宋体"/>
          <w:b/>
          <w:bCs/>
          <w:color w:val="auto"/>
          <w:sz w:val="32"/>
          <w:szCs w:val="32"/>
          <w:highlight w:val="none"/>
        </w:rPr>
      </w:pPr>
      <w:r>
        <w:rPr>
          <w:rStyle w:val="913"/>
          <w:rFonts w:hint="eastAsia" w:ascii="宋体" w:hAnsi="宋体" w:eastAsia="宋体" w:cs="宋体"/>
          <w:b/>
          <w:bCs/>
          <w:color w:val="auto"/>
          <w:sz w:val="32"/>
          <w:szCs w:val="32"/>
          <w:highlight w:val="none"/>
        </w:rPr>
        <w:t xml:space="preserve">参加政府采购活动前3年内在经营活动中没有重大违法记录的书面声明</w:t>
      </w:r>
      <w:r>
        <w:rPr>
          <w:color w:val="auto"/>
        </w:rPr>
      </w:r>
      <w:r/>
    </w:p>
    <w:p>
      <w:pPr>
        <w:pStyle w:val="1005"/>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p>
      <w:pPr>
        <w:pStyle w:val="1005"/>
        <w:jc w:val="center"/>
        <w:spacing w:before="320" w:after="320" w:line="360" w:lineRule="auto"/>
        <w:rPr>
          <w:rStyle w:val="913"/>
          <w:rFonts w:hint="eastAsia" w:ascii="宋体" w:hAnsi="宋体" w:eastAsia="宋体" w:cs="宋体"/>
          <w:b/>
          <w:bCs/>
          <w:color w:val="auto"/>
          <w:sz w:val="32"/>
          <w:szCs w:val="32"/>
          <w:highlight w:val="none"/>
        </w:rPr>
      </w:pPr>
      <w:r>
        <w:rPr>
          <w:rStyle w:val="913"/>
          <w:rFonts w:hint="eastAsia" w:ascii="宋体" w:hAnsi="宋体" w:eastAsia="宋体" w:cs="宋体"/>
          <w:b/>
          <w:bCs/>
          <w:color w:val="auto"/>
          <w:sz w:val="32"/>
          <w:szCs w:val="32"/>
          <w:highlight w:val="none"/>
        </w:rPr>
        <w:t xml:space="preserve"> </w:t>
      </w:r>
      <w:r>
        <w:rPr>
          <w:color w:val="auto"/>
        </w:rPr>
      </w:r>
      <w:r/>
    </w:p>
    <w:p>
      <w:pPr>
        <w:pStyle w:val="1005"/>
        <w:jc w:val="center"/>
        <w:spacing w:before="320" w:after="320" w:line="360" w:lineRule="auto"/>
        <w:rPr>
          <w:rStyle w:val="913"/>
          <w:rFonts w:hint="eastAsia" w:ascii="宋体" w:hAnsi="宋体" w:eastAsia="宋体" w:cs="宋体"/>
          <w:color w:val="auto"/>
          <w:sz w:val="32"/>
          <w:szCs w:val="32"/>
          <w:highlight w:val="none"/>
        </w:rPr>
      </w:pPr>
      <w:r>
        <w:rPr>
          <w:rStyle w:val="913"/>
          <w:rFonts w:hint="eastAsia" w:ascii="宋体" w:hAnsi="宋体" w:eastAsia="宋体" w:cs="宋体"/>
          <w:color w:val="auto"/>
          <w:sz w:val="32"/>
          <w:szCs w:val="32"/>
          <w:highlight w:val="none"/>
        </w:rPr>
        <w:t xml:space="preserve">声明</w:t>
      </w:r>
      <w:r>
        <w:rPr>
          <w:color w:val="auto"/>
        </w:rPr>
      </w:r>
      <w:r/>
    </w:p>
    <w:p>
      <w:pPr>
        <w:pStyle w:val="1005"/>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p>
      <w:pPr>
        <w:pStyle w:val="1005"/>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我单位郑重声明：参加本次政府采购活动前3年内，我单位在经营活动中没有因违法经营受到刑事处罚或者责令停产停业、吊销许可证或者执照、较大数额罚款等行政处罚。 </w:t>
      </w:r>
      <w:r>
        <w:rPr>
          <w:color w:val="auto"/>
        </w:rPr>
      </w:r>
      <w:r/>
    </w:p>
    <w:p>
      <w:pPr>
        <w:pStyle w:val="1005"/>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p>
      <w:pPr>
        <w:pStyle w:val="1005"/>
        <w:jc w:val="center"/>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p>
      <w:pPr>
        <w:pStyle w:val="1005"/>
        <w:jc w:val="center"/>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p>
      <w:pPr>
        <w:pStyle w:val="1005"/>
        <w:jc w:val="center"/>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p>
      <w:pPr>
        <w:pStyle w:val="1005"/>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投标单位（加盖公章）：   </w:t>
      </w:r>
      <w:r>
        <w:rPr>
          <w:color w:val="auto"/>
        </w:rPr>
      </w:r>
      <w:r/>
    </w:p>
    <w:p>
      <w:pPr>
        <w:pStyle w:val="1006"/>
        <w:jc w:val="left"/>
        <w:spacing w:line="360" w:lineRule="auto"/>
        <w:rPr>
          <w:rStyle w:val="913"/>
          <w:rFonts w:hint="eastAsia" w:ascii="宋体" w:hAnsi="宋体" w:eastAsia="宋体" w:cs="宋体"/>
          <w:color w:val="auto"/>
          <w:highlight w:val="none"/>
        </w:rPr>
        <w:outlineLvl w:val="2"/>
      </w:pPr>
      <w:r>
        <w:rPr>
          <w:rStyle w:val="913"/>
          <w:rFonts w:hint="eastAsia" w:ascii="宋体" w:hAnsi="宋体" w:eastAsia="宋体" w:cs="宋体"/>
          <w:color w:val="auto"/>
          <w:highlight w:val="none"/>
        </w:rPr>
        <w:br w:type="page" w:clear="all"/>
      </w:r>
      <w:r>
        <w:rPr>
          <w:rStyle w:val="913"/>
          <w:rFonts w:hint="eastAsia" w:ascii="宋体" w:hAnsi="宋体" w:eastAsia="宋体" w:cs="宋体"/>
          <w:b/>
          <w:color w:val="auto"/>
          <w:sz w:val="28"/>
          <w:highlight w:val="none"/>
        </w:rPr>
        <w:t xml:space="preserve">  授权委托书</w:t>
      </w:r>
      <w:r>
        <w:rPr>
          <w:color w:val="auto"/>
        </w:rPr>
      </w:r>
      <w:r/>
    </w:p>
    <w:p>
      <w:pPr>
        <w:pStyle w:val="1007"/>
        <w:spacing w:line="360" w:lineRule="auto"/>
        <w:rPr>
          <w:rStyle w:val="913"/>
          <w:rFonts w:hint="eastAsia" w:ascii="宋体" w:hAnsi="宋体" w:eastAsia="宋体" w:cs="宋体"/>
          <w:color w:val="auto"/>
          <w:spacing w:val="7"/>
          <w:highlight w:val="none"/>
        </w:rPr>
        <w:outlineLvl w:val="9"/>
      </w:pPr>
      <w:r>
        <w:rPr>
          <w:rStyle w:val="913"/>
          <w:rFonts w:hint="eastAsia" w:ascii="宋体" w:hAnsi="宋体" w:eastAsia="宋体" w:cs="宋体"/>
          <w:color w:val="auto"/>
          <w:highlight w:val="none"/>
        </w:rPr>
        <w:t xml:space="preserve">﻿ </w:t>
      </w:r>
      <w:r>
        <w:rPr>
          <w:color w:val="auto"/>
        </w:rPr>
      </w:r>
      <w:r/>
    </w:p>
    <w:p>
      <w:pPr>
        <w:pStyle w:val="1007"/>
        <w:jc w:val="center"/>
        <w:spacing w:before="320" w:after="320" w:line="360" w:lineRule="auto"/>
        <w:rPr>
          <w:rStyle w:val="913"/>
          <w:rFonts w:hint="eastAsia" w:ascii="宋体" w:hAnsi="宋体" w:eastAsia="宋体" w:cs="宋体"/>
          <w:b/>
          <w:bCs/>
          <w:color w:val="auto"/>
          <w:sz w:val="32"/>
          <w:szCs w:val="32"/>
          <w:highlight w:val="none"/>
        </w:rPr>
      </w:pPr>
      <w:r>
        <w:rPr>
          <w:rStyle w:val="913"/>
          <w:rFonts w:hint="eastAsia" w:ascii="宋体" w:hAnsi="宋体" w:eastAsia="宋体" w:cs="宋体"/>
          <w:b/>
          <w:bCs/>
          <w:color w:val="auto"/>
          <w:sz w:val="32"/>
          <w:szCs w:val="32"/>
          <w:highlight w:val="none"/>
        </w:rPr>
        <w:t xml:space="preserve">授权委托书</w:t>
      </w:r>
      <w:r>
        <w:rPr>
          <w:color w:val="auto"/>
        </w:rPr>
      </w:r>
      <w:r/>
    </w:p>
    <w:p>
      <w:pPr>
        <w:pStyle w:val="1007"/>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p>
      <w:pPr>
        <w:pStyle w:val="1007"/>
        <w:ind w:firstLine="500"/>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本授权书声明：   （投标人名称）授权</w:t>
      </w:r>
      <w:bookmarkStart w:id="268" w:name="sys_STR"/>
      <w:r>
        <w:rPr>
          <w:color w:val="auto"/>
        </w:rPr>
      </w:r>
      <w:bookmarkEnd w:id="268"/>
      <w:r>
        <w:rPr>
          <w:rStyle w:val="913"/>
          <w:rFonts w:hint="eastAsia" w:ascii="宋体" w:hAnsi="宋体" w:eastAsia="宋体" w:cs="宋体"/>
          <w:color w:val="auto"/>
          <w:highlight w:val="none"/>
        </w:rPr>
        <w:t xml:space="preserve">(被授权人的姓名)为我方就   项目采购活动的合法代理人，以本单位名义全权处理一切与该项目采购有关的事务。 </w:t>
      </w:r>
      <w:r>
        <w:rPr>
          <w:color w:val="auto"/>
        </w:rPr>
      </w:r>
      <w:r/>
    </w:p>
    <w:p>
      <w:pPr>
        <w:pStyle w:val="1007"/>
        <w:ind w:firstLine="500"/>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本授权书于   起生效，特此声明。  </w:t>
      </w:r>
      <w:r>
        <w:rPr>
          <w:color w:val="auto"/>
        </w:rPr>
      </w:r>
      <w:r/>
    </w:p>
    <w:p>
      <w:pPr>
        <w:pStyle w:val="1007"/>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p>
      <w:pPr>
        <w:pStyle w:val="1007"/>
        <w:ind w:firstLine="3570"/>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被授权人身份证号码：   </w:t>
      </w:r>
      <w:r>
        <w:rPr>
          <w:color w:val="auto"/>
        </w:rPr>
      </w:r>
      <w:r/>
    </w:p>
    <w:p>
      <w:pPr>
        <w:pStyle w:val="1007"/>
        <w:ind w:firstLine="3570"/>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被授权人联系电话：（手机）   </w:t>
      </w:r>
      <w:r>
        <w:rPr>
          <w:color w:val="auto"/>
        </w:rPr>
      </w:r>
      <w:r/>
    </w:p>
    <w:p>
      <w:pPr>
        <w:pStyle w:val="1007"/>
        <w:ind w:firstLine="3570"/>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授权单位名称：   （加盖公章）</w:t>
      </w:r>
      <w:r>
        <w:rPr>
          <w:color w:val="auto"/>
        </w:rPr>
      </w:r>
      <w:r/>
    </w:p>
    <w:p>
      <w:pPr>
        <w:pStyle w:val="1007"/>
        <w:ind w:firstLine="3570"/>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单位地址：   </w:t>
      </w:r>
      <w:r>
        <w:rPr>
          <w:color w:val="auto"/>
        </w:rPr>
      </w:r>
      <w:r/>
    </w:p>
    <w:p>
      <w:pPr>
        <w:pStyle w:val="1007"/>
        <w:ind w:firstLine="4830"/>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日期：   </w:t>
      </w:r>
      <w:r>
        <w:rPr>
          <w:color w:val="auto"/>
        </w:rPr>
      </w:r>
      <w:r/>
    </w:p>
    <w:p>
      <w:pPr>
        <w:pStyle w:val="1008"/>
        <w:jc w:val="left"/>
        <w:spacing w:line="360" w:lineRule="auto"/>
        <w:rPr>
          <w:rStyle w:val="913"/>
          <w:rFonts w:hint="eastAsia" w:ascii="宋体" w:hAnsi="宋体" w:eastAsia="宋体" w:cs="宋体"/>
          <w:color w:val="auto"/>
          <w:highlight w:val="none"/>
        </w:rPr>
        <w:outlineLvl w:val="2"/>
      </w:pPr>
      <w:r>
        <w:rPr>
          <w:rStyle w:val="913"/>
          <w:rFonts w:hint="eastAsia" w:ascii="宋体" w:hAnsi="宋体" w:eastAsia="宋体" w:cs="宋体"/>
          <w:color w:val="auto"/>
          <w:highlight w:val="none"/>
        </w:rPr>
        <w:br w:type="page" w:clear="all"/>
      </w:r>
      <w:r>
        <w:rPr>
          <w:rStyle w:val="913"/>
          <w:rFonts w:hint="eastAsia" w:ascii="宋体" w:hAnsi="宋体" w:eastAsia="宋体" w:cs="宋体"/>
          <w:b/>
          <w:color w:val="auto"/>
          <w:sz w:val="28"/>
          <w:highlight w:val="none"/>
        </w:rPr>
        <w:t xml:space="preserve">  关于资格证明文件的书面承诺</w:t>
      </w:r>
      <w:r>
        <w:rPr>
          <w:color w:val="auto"/>
        </w:rPr>
      </w:r>
      <w:r/>
    </w:p>
    <w:p>
      <w:pPr>
        <w:pStyle w:val="1009"/>
        <w:spacing w:line="360" w:lineRule="auto"/>
        <w:rPr>
          <w:rStyle w:val="913"/>
          <w:rFonts w:hint="eastAsia" w:ascii="宋体" w:hAnsi="宋体" w:eastAsia="宋体" w:cs="宋体"/>
          <w:color w:val="auto"/>
          <w:spacing w:val="7"/>
          <w:highlight w:val="none"/>
        </w:rPr>
        <w:outlineLvl w:val="9"/>
      </w:pPr>
      <w:r>
        <w:rPr>
          <w:rStyle w:val="913"/>
          <w:rFonts w:hint="eastAsia" w:ascii="宋体" w:hAnsi="宋体" w:eastAsia="宋体" w:cs="宋体"/>
          <w:color w:val="auto"/>
          <w:highlight w:val="none"/>
        </w:rPr>
        <w:t xml:space="preserve">﻿ </w:t>
      </w:r>
      <w:r>
        <w:rPr>
          <w:color w:val="auto"/>
        </w:rPr>
      </w:r>
      <w:r/>
    </w:p>
    <w:p>
      <w:pPr>
        <w:pStyle w:val="1009"/>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p>
      <w:pPr>
        <w:pStyle w:val="1009"/>
        <w:jc w:val="center"/>
        <w:spacing w:before="320" w:after="320" w:line="360" w:lineRule="auto"/>
        <w:rPr>
          <w:rStyle w:val="913"/>
          <w:rFonts w:hint="eastAsia" w:ascii="宋体" w:hAnsi="宋体" w:eastAsia="宋体" w:cs="宋体"/>
          <w:b/>
          <w:bCs/>
          <w:color w:val="auto"/>
          <w:sz w:val="32"/>
          <w:szCs w:val="32"/>
          <w:highlight w:val="none"/>
        </w:rPr>
      </w:pPr>
      <w:r>
        <w:rPr>
          <w:rStyle w:val="913"/>
          <w:rFonts w:hint="eastAsia" w:ascii="宋体" w:hAnsi="宋体" w:eastAsia="宋体" w:cs="宋体"/>
          <w:b/>
          <w:bCs/>
          <w:color w:val="auto"/>
          <w:sz w:val="32"/>
          <w:szCs w:val="32"/>
          <w:highlight w:val="none"/>
        </w:rPr>
        <w:t xml:space="preserve"> </w:t>
      </w:r>
      <w:r>
        <w:rPr>
          <w:color w:val="auto"/>
        </w:rPr>
      </w:r>
      <w:r/>
    </w:p>
    <w:p>
      <w:pPr>
        <w:pStyle w:val="1009"/>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p>
      <w:pPr>
        <w:pStyle w:val="1009"/>
        <w:jc w:val="center"/>
        <w:spacing w:before="320" w:after="320" w:line="360" w:lineRule="auto"/>
        <w:rPr>
          <w:rStyle w:val="913"/>
          <w:rFonts w:hint="eastAsia" w:ascii="宋体" w:hAnsi="宋体" w:eastAsia="宋体" w:cs="宋体"/>
          <w:color w:val="auto"/>
          <w:sz w:val="32"/>
          <w:szCs w:val="32"/>
          <w:highlight w:val="none"/>
        </w:rPr>
      </w:pPr>
      <w:r>
        <w:rPr>
          <w:rStyle w:val="913"/>
          <w:rFonts w:hint="eastAsia" w:ascii="宋体" w:hAnsi="宋体" w:eastAsia="宋体" w:cs="宋体"/>
          <w:color w:val="auto"/>
          <w:sz w:val="32"/>
          <w:szCs w:val="32"/>
          <w:highlight w:val="none"/>
        </w:rPr>
        <w:t xml:space="preserve">关于资格证明文件的书面承诺</w:t>
      </w:r>
      <w:r>
        <w:rPr>
          <w:color w:val="auto"/>
        </w:rPr>
      </w:r>
      <w:r/>
    </w:p>
    <w:p>
      <w:pPr>
        <w:pStyle w:val="1009"/>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p>
      <w:pPr>
        <w:pStyle w:val="1009"/>
        <w:jc w:val="center"/>
        <w:spacing w:before="320" w:after="320" w:line="360" w:lineRule="auto"/>
        <w:rPr>
          <w:rStyle w:val="913"/>
          <w:rFonts w:hint="eastAsia" w:ascii="宋体" w:hAnsi="宋体" w:eastAsia="宋体" w:cs="宋体"/>
          <w:b/>
          <w:bCs/>
          <w:color w:val="auto"/>
          <w:sz w:val="32"/>
          <w:szCs w:val="32"/>
          <w:highlight w:val="none"/>
        </w:rPr>
      </w:pPr>
      <w:r>
        <w:rPr>
          <w:rStyle w:val="913"/>
          <w:rFonts w:hint="eastAsia" w:ascii="宋体" w:hAnsi="宋体" w:eastAsia="宋体" w:cs="宋体"/>
          <w:b/>
          <w:bCs/>
          <w:color w:val="auto"/>
          <w:sz w:val="32"/>
          <w:szCs w:val="32"/>
          <w:highlight w:val="none"/>
        </w:rPr>
        <w:t xml:space="preserve"> </w:t>
      </w:r>
      <w:r>
        <w:rPr>
          <w:color w:val="auto"/>
        </w:rPr>
      </w:r>
      <w:r/>
    </w:p>
    <w:p>
      <w:pPr>
        <w:pStyle w:val="1009"/>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p>
      <w:pPr>
        <w:pStyle w:val="1009"/>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rPr>
          <w:color w:val="auto"/>
        </w:rPr>
      </w:r>
      <w:r/>
    </w:p>
    <w:p>
      <w:pPr>
        <w:pStyle w:val="1009"/>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p>
      <w:pPr>
        <w:pStyle w:val="1009"/>
        <w:jc w:val="center"/>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p>
      <w:pPr>
        <w:pStyle w:val="1009"/>
        <w:jc w:val="center"/>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p>
      <w:pPr>
        <w:pStyle w:val="1009"/>
        <w:jc w:val="center"/>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p>
      <w:pPr>
        <w:pStyle w:val="1009"/>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投标单位（加盖公章）：   </w:t>
      </w:r>
      <w:r>
        <w:rPr>
          <w:color w:val="auto"/>
        </w:rPr>
      </w:r>
      <w:r/>
    </w:p>
    <w:p>
      <w:pPr>
        <w:pStyle w:val="1010"/>
        <w:jc w:val="left"/>
        <w:spacing w:line="360" w:lineRule="auto"/>
        <w:rPr>
          <w:rStyle w:val="913"/>
          <w:rFonts w:hint="eastAsia" w:ascii="宋体" w:hAnsi="宋体" w:eastAsia="宋体" w:cs="宋体"/>
          <w:b/>
          <w:color w:val="auto"/>
          <w:sz w:val="28"/>
          <w:highlight w:val="none"/>
        </w:rPr>
        <w:outlineLvl w:val="2"/>
      </w:pPr>
      <w:r>
        <w:rPr>
          <w:rStyle w:val="913"/>
          <w:rFonts w:hint="eastAsia" w:ascii="宋体" w:hAnsi="宋体" w:eastAsia="宋体" w:cs="宋体"/>
          <w:b/>
          <w:color w:val="auto"/>
          <w:sz w:val="28"/>
          <w:highlight w:val="none"/>
        </w:rPr>
        <w:t xml:space="preserve"> </w:t>
      </w:r>
      <w:r>
        <w:rPr>
          <w:color w:val="auto"/>
        </w:rPr>
      </w:r>
      <w:r/>
    </w:p>
    <w:p>
      <w:pPr>
        <w:pStyle w:val="1012"/>
        <w:spacing w:before="240" w:after="240" w:line="360" w:lineRule="auto"/>
        <w:rPr>
          <w:rStyle w:val="917"/>
          <w:rFonts w:hint="eastAsia" w:ascii="宋体" w:hAnsi="宋体" w:eastAsia="宋体" w:cs="宋体"/>
          <w:color w:val="auto"/>
          <w:sz w:val="32"/>
          <w:szCs w:val="32"/>
          <w:highlight w:val="none"/>
        </w:rPr>
      </w:pPr>
      <w:r>
        <w:rPr>
          <w:rStyle w:val="913"/>
          <w:rFonts w:hint="eastAsia" w:ascii="宋体" w:hAnsi="宋体" w:eastAsia="宋体" w:cs="宋体"/>
          <w:color w:val="auto"/>
          <w:highlight w:val="none"/>
        </w:rPr>
        <w:br w:type="page" w:clear="all"/>
      </w:r>
      <w:bookmarkStart w:id="269" w:name="_Toc28878"/>
      <w:r>
        <w:rPr>
          <w:rStyle w:val="917"/>
          <w:rFonts w:hint="eastAsia" w:ascii="宋体" w:hAnsi="宋体" w:eastAsia="宋体" w:cs="宋体"/>
          <w:color w:val="auto"/>
          <w:sz w:val="32"/>
          <w:szCs w:val="32"/>
          <w:highlight w:val="none"/>
          <w:lang w:eastAsia="zh-CN"/>
        </w:rPr>
        <w:t xml:space="preserve">五</w:t>
      </w:r>
      <w:r>
        <w:rPr>
          <w:rStyle w:val="917"/>
          <w:rFonts w:hint="eastAsia" w:ascii="宋体" w:hAnsi="宋体" w:eastAsia="宋体" w:cs="宋体"/>
          <w:color w:val="auto"/>
          <w:sz w:val="32"/>
          <w:szCs w:val="32"/>
          <w:highlight w:val="none"/>
        </w:rPr>
        <w:t xml:space="preserve">、第四章项目需求中实质性要求响应对照表</w:t>
      </w:r>
      <w:r>
        <w:rPr>
          <w:color w:val="auto"/>
        </w:rPr>
      </w:r>
      <w:r/>
    </w:p>
    <w:p>
      <w:pPr>
        <w:pStyle w:val="1018"/>
        <w:spacing w:line="360" w:lineRule="auto"/>
        <w:rPr>
          <w:rStyle w:val="913"/>
          <w:rFonts w:hint="eastAsia" w:ascii="宋体" w:hAnsi="宋体" w:eastAsia="宋体" w:cs="宋体"/>
          <w:color w:val="auto"/>
          <w:spacing w:val="7"/>
          <w:highlight w:val="none"/>
        </w:rPr>
        <w:outlineLvl w:val="9"/>
      </w:pPr>
      <w:r>
        <w:rPr>
          <w:color w:val="auto"/>
        </w:rPr>
      </w:r>
      <w:bookmarkEnd w:id="269"/>
      <w:r>
        <w:rPr>
          <w:rStyle w:val="913"/>
          <w:rFonts w:hint="eastAsia" w:ascii="宋体" w:hAnsi="宋体" w:eastAsia="宋体" w:cs="宋体"/>
          <w:color w:val="auto"/>
          <w:highlight w:val="none"/>
        </w:rPr>
        <w:t xml:space="preserve">﻿ </w:t>
      </w:r>
      <w:r>
        <w:rPr>
          <w:color w:val="auto"/>
        </w:rPr>
      </w:r>
      <w:r/>
    </w:p>
    <w:p>
      <w:pPr>
        <w:pStyle w:val="1018"/>
        <w:jc w:val="center"/>
        <w:spacing w:before="400" w:after="400" w:line="360" w:lineRule="auto"/>
        <w:rPr>
          <w:rStyle w:val="913"/>
          <w:rFonts w:hint="eastAsia" w:ascii="宋体" w:hAnsi="宋体" w:eastAsia="宋体" w:cs="宋体"/>
          <w:b/>
          <w:bCs/>
          <w:color w:val="auto"/>
          <w:sz w:val="40"/>
          <w:szCs w:val="40"/>
          <w:highlight w:val="none"/>
        </w:rPr>
      </w:pPr>
      <w:r>
        <w:rPr>
          <w:rStyle w:val="913"/>
          <w:rFonts w:hint="eastAsia" w:ascii="宋体" w:hAnsi="宋体" w:eastAsia="宋体" w:cs="宋体"/>
          <w:b/>
          <w:bCs/>
          <w:color w:val="auto"/>
          <w:sz w:val="40"/>
          <w:szCs w:val="40"/>
          <w:highlight w:val="none"/>
        </w:rPr>
        <w:t xml:space="preserve">第四章项目需求中实质性要求响应对照表 </w:t>
      </w:r>
      <w:r>
        <w:rPr>
          <w:color w:val="auto"/>
        </w:rPr>
      </w:r>
      <w:r/>
    </w:p>
    <w:p>
      <w:pPr>
        <w:pStyle w:val="1018"/>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tbl>
      <w:tblPr>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886"/>
        <w:gridCol w:w="7203"/>
        <w:gridCol w:w="896"/>
      </w:tblGrid>
      <w:tr>
        <w:trPr>
          <w:trHeight w:val="287"/>
        </w:trPr>
        <w:tc>
          <w:tcPr>
            <w:tcMar>
              <w:left w:w="0" w:type="dxa"/>
              <w:top w:w="0" w:type="dxa"/>
              <w:right w:w="0" w:type="dxa"/>
              <w:bottom w:w="0" w:type="dxa"/>
            </w:tcMar>
            <w:tcW w:w="915" w:type="dxa"/>
            <w:vAlign w:val="center"/>
            <w:textDirection w:val="lrTb"/>
            <w:noWrap w:val="false"/>
          </w:tcPr>
          <w:p>
            <w:pPr>
              <w:pStyle w:val="1018"/>
              <w:jc w:val="center"/>
              <w:spacing w:line="360" w:lineRule="auto"/>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序号</w:t>
            </w:r>
            <w:r>
              <w:rPr>
                <w:color w:val="auto"/>
              </w:rPr>
            </w:r>
            <w:r/>
          </w:p>
        </w:tc>
        <w:tc>
          <w:tcPr>
            <w:tcMar>
              <w:left w:w="0" w:type="dxa"/>
              <w:top w:w="0" w:type="dxa"/>
              <w:right w:w="0" w:type="dxa"/>
              <w:bottom w:w="0" w:type="dxa"/>
            </w:tcMar>
            <w:tcW w:w="7515" w:type="dxa"/>
            <w:vAlign w:val="center"/>
            <w:textDirection w:val="lrTb"/>
            <w:noWrap w:val="false"/>
          </w:tcPr>
          <w:p>
            <w:pPr>
              <w:pStyle w:val="1018"/>
              <w:jc w:val="center"/>
              <w:spacing w:line="360" w:lineRule="auto"/>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第四章项目需求中的实质性要求（即斜体且有下划线部分，每条详细列出）</w:t>
            </w:r>
            <w:r>
              <w:rPr>
                <w:color w:val="auto"/>
              </w:rPr>
            </w:r>
            <w:r/>
          </w:p>
        </w:tc>
        <w:tc>
          <w:tcPr>
            <w:tcMar>
              <w:left w:w="0" w:type="dxa"/>
              <w:top w:w="0" w:type="dxa"/>
              <w:right w:w="0" w:type="dxa"/>
              <w:bottom w:w="0" w:type="dxa"/>
            </w:tcMar>
            <w:tcW w:w="915" w:type="dxa"/>
            <w:vAlign w:val="center"/>
            <w:textDirection w:val="lrTb"/>
            <w:noWrap w:val="false"/>
          </w:tcPr>
          <w:p>
            <w:pPr>
              <w:pStyle w:val="1018"/>
              <w:jc w:val="center"/>
              <w:spacing w:line="360" w:lineRule="auto"/>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是否响应（填是或者否）</w:t>
            </w:r>
            <w:r>
              <w:rPr>
                <w:color w:val="auto"/>
              </w:rPr>
            </w:r>
            <w:r/>
          </w:p>
        </w:tc>
      </w:tr>
    </w:tbl>
    <w:p>
      <w:pPr>
        <w:pStyle w:val="1018"/>
        <w:spacing w:line="360" w:lineRule="auto"/>
        <w:rPr>
          <w:rStyle w:val="913"/>
          <w:rFonts w:hint="eastAsia" w:ascii="宋体" w:hAnsi="宋体" w:eastAsia="宋体" w:cs="宋体"/>
          <w:color w:val="auto"/>
          <w:highlight w:val="none"/>
        </w:rPr>
      </w:pPr>
      <w:r>
        <w:rPr>
          <w:rStyle w:val="913"/>
          <w:rFonts w:hint="eastAsia" w:ascii="宋体" w:hAnsi="宋体" w:eastAsia="宋体" w:cs="宋体"/>
          <w:color w:val="auto"/>
          <w:highlight w:val="none"/>
        </w:rPr>
      </w:r>
      <w:r>
        <w:rPr>
          <w:color w:val="auto"/>
        </w:rPr>
      </w:r>
      <w:r/>
    </w:p>
    <w:p>
      <w:pPr>
        <w:pStyle w:val="1019"/>
        <w:jc w:val="left"/>
        <w:spacing w:line="360" w:lineRule="auto"/>
        <w:rPr>
          <w:rStyle w:val="913"/>
          <w:rFonts w:hint="eastAsia" w:ascii="宋体" w:hAnsi="宋体" w:eastAsia="宋体" w:cs="宋体"/>
          <w:color w:val="auto"/>
          <w:highlight w:val="none"/>
        </w:rPr>
        <w:outlineLvl w:val="1"/>
      </w:pPr>
      <w:r>
        <w:rPr>
          <w:rStyle w:val="913"/>
          <w:rFonts w:hint="eastAsia" w:ascii="宋体" w:hAnsi="宋体" w:eastAsia="宋体" w:cs="宋体"/>
          <w:color w:val="auto"/>
          <w:highlight w:val="none"/>
        </w:rPr>
        <w:br w:type="page" w:clear="all"/>
      </w:r>
      <w:bookmarkStart w:id="270" w:name="_Toc10476"/>
      <w:r>
        <w:rPr>
          <w:rStyle w:val="913"/>
          <w:rFonts w:hint="eastAsia" w:ascii="宋体" w:hAnsi="宋体" w:eastAsia="宋体" w:cs="宋体"/>
          <w:b/>
          <w:color w:val="auto"/>
          <w:sz w:val="32"/>
          <w:szCs w:val="24"/>
          <w:highlight w:val="none"/>
          <w:lang w:eastAsia="zh-CN"/>
        </w:rPr>
        <w:t xml:space="preserve">六</w:t>
      </w:r>
      <w:r>
        <w:rPr>
          <w:rStyle w:val="913"/>
          <w:rFonts w:hint="eastAsia" w:ascii="宋体" w:hAnsi="宋体" w:eastAsia="宋体" w:cs="宋体"/>
          <w:b/>
          <w:color w:val="auto"/>
          <w:sz w:val="32"/>
          <w:szCs w:val="24"/>
          <w:highlight w:val="none"/>
        </w:rPr>
        <w:t xml:space="preserve">、服务</w:t>
      </w:r>
      <w:r>
        <w:rPr>
          <w:rStyle w:val="913"/>
          <w:rFonts w:hint="eastAsia" w:ascii="宋体" w:hAnsi="宋体" w:eastAsia="宋体" w:cs="宋体"/>
          <w:b/>
          <w:color w:val="auto"/>
          <w:sz w:val="32"/>
          <w:highlight w:val="none"/>
        </w:rPr>
        <w:t xml:space="preserve">方案</w:t>
      </w:r>
      <w:bookmarkEnd w:id="270"/>
      <w:r>
        <w:rPr>
          <w:color w:val="auto"/>
        </w:rPr>
      </w:r>
      <w:r/>
    </w:p>
    <w:p>
      <w:pPr>
        <w:pStyle w:val="1020"/>
        <w:jc w:val="center"/>
        <w:keepLines/>
        <w:keepNext/>
        <w:spacing w:before="260" w:after="260" w:line="360" w:lineRule="auto"/>
        <w:rPr>
          <w:rStyle w:val="913"/>
          <w:rFonts w:hint="eastAsia" w:ascii="宋体" w:hAnsi="宋体" w:eastAsia="宋体" w:cs="宋体"/>
          <w:b/>
          <w:bCs/>
          <w:color w:val="auto"/>
          <w:sz w:val="28"/>
          <w:szCs w:val="28"/>
          <w:highlight w:val="none"/>
        </w:rPr>
        <w:outlineLvl w:val="9"/>
      </w:pPr>
      <w:r>
        <w:rPr>
          <w:color w:val="auto"/>
        </w:rPr>
      </w:r>
      <w:bookmarkStart w:id="271" w:name="_Toc35266041"/>
      <w:r>
        <w:rPr>
          <w:color w:val="auto"/>
        </w:rPr>
      </w:r>
      <w:bookmarkStart w:id="272" w:name="_Toc43285583"/>
      <w:r>
        <w:rPr>
          <w:rStyle w:val="913"/>
          <w:rFonts w:hint="eastAsia" w:ascii="宋体" w:hAnsi="宋体" w:eastAsia="宋体" w:cs="宋体"/>
          <w:b/>
          <w:bCs/>
          <w:color w:val="auto"/>
          <w:sz w:val="28"/>
          <w:szCs w:val="28"/>
          <w:highlight w:val="none"/>
        </w:rPr>
        <w:t xml:space="preserve">服务方案</w:t>
      </w:r>
      <w:bookmarkEnd w:id="271"/>
      <w:r>
        <w:rPr>
          <w:color w:val="auto"/>
        </w:rPr>
      </w:r>
      <w:bookmarkEnd w:id="272"/>
      <w:r>
        <w:rPr>
          <w:color w:val="auto"/>
        </w:rPr>
      </w:r>
      <w:r/>
    </w:p>
    <w:p>
      <w:pPr>
        <w:pStyle w:val="1020"/>
        <w:ind w:firstLine="480"/>
        <w:jc w:val="left"/>
        <w:spacing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sz w:val="24"/>
          <w:szCs w:val="24"/>
          <w:highlight w:val="none"/>
        </w:rPr>
      </w:r>
      <w:r>
        <w:rPr>
          <w:color w:val="auto"/>
        </w:rPr>
      </w:r>
      <w:r/>
    </w:p>
    <w:p>
      <w:pPr>
        <w:pStyle w:val="1020"/>
        <w:jc w:val="center"/>
        <w:spacing w:line="360" w:lineRule="auto"/>
        <w:rPr>
          <w:rStyle w:val="913"/>
          <w:rFonts w:hint="eastAsia" w:ascii="宋体" w:hAnsi="宋体" w:eastAsia="宋体" w:cs="宋体"/>
          <w:color w:val="auto"/>
          <w:sz w:val="24"/>
          <w:szCs w:val="21"/>
          <w:highlight w:val="none"/>
        </w:rPr>
      </w:pPr>
      <w:r>
        <w:rPr>
          <w:rStyle w:val="913"/>
          <w:rFonts w:hint="eastAsia" w:ascii="宋体" w:hAnsi="宋体" w:eastAsia="宋体" w:cs="宋体"/>
          <w:color w:val="auto"/>
          <w:sz w:val="24"/>
          <w:szCs w:val="21"/>
          <w:highlight w:val="none"/>
        </w:rPr>
        <w:t xml:space="preserve">（服务方案的内容编排等由投标人自定）</w:t>
      </w:r>
      <w:r>
        <w:rPr>
          <w:color w:val="auto"/>
        </w:rPr>
      </w:r>
      <w:r/>
    </w:p>
    <w:p>
      <w:pPr>
        <w:pStyle w:val="1022"/>
        <w:jc w:val="left"/>
        <w:spacing w:line="360" w:lineRule="auto"/>
        <w:rPr>
          <w:rStyle w:val="913"/>
          <w:rFonts w:hint="eastAsia" w:ascii="宋体" w:hAnsi="宋体" w:eastAsia="宋体" w:cs="宋体"/>
          <w:color w:val="auto"/>
          <w:highlight w:val="none"/>
        </w:rPr>
        <w:outlineLvl w:val="1"/>
      </w:pPr>
      <w:r>
        <w:rPr>
          <w:rStyle w:val="913"/>
          <w:rFonts w:hint="eastAsia" w:ascii="宋体" w:hAnsi="宋体" w:eastAsia="宋体" w:cs="宋体"/>
          <w:color w:val="auto"/>
          <w:highlight w:val="none"/>
        </w:rPr>
        <w:br w:type="page" w:clear="all"/>
      </w:r>
      <w:bookmarkStart w:id="273" w:name="_Toc6517"/>
      <w:r>
        <w:rPr>
          <w:rStyle w:val="913"/>
          <w:rFonts w:hint="eastAsia" w:ascii="宋体" w:hAnsi="宋体" w:eastAsia="宋体" w:cs="宋体"/>
          <w:b/>
          <w:bCs/>
          <w:color w:val="auto"/>
          <w:sz w:val="32"/>
          <w:szCs w:val="32"/>
          <w:highlight w:val="none"/>
          <w:lang w:eastAsia="zh-CN"/>
        </w:rPr>
        <w:t xml:space="preserve">七</w:t>
      </w:r>
      <w:r>
        <w:rPr>
          <w:rStyle w:val="913"/>
          <w:rFonts w:hint="eastAsia" w:ascii="宋体" w:hAnsi="宋体" w:eastAsia="宋体" w:cs="宋体"/>
          <w:b/>
          <w:bCs/>
          <w:color w:val="auto"/>
          <w:sz w:val="32"/>
          <w:szCs w:val="32"/>
          <w:highlight w:val="none"/>
        </w:rPr>
        <w:t xml:space="preserve">、</w:t>
      </w:r>
      <w:r>
        <w:rPr>
          <w:rStyle w:val="913"/>
          <w:rFonts w:hint="eastAsia" w:ascii="宋体" w:hAnsi="宋体" w:eastAsia="宋体" w:cs="宋体"/>
          <w:b/>
          <w:color w:val="auto"/>
          <w:sz w:val="32"/>
          <w:highlight w:val="none"/>
        </w:rPr>
        <w:t xml:space="preserve">投标人情况介绍</w:t>
      </w:r>
      <w:bookmarkEnd w:id="273"/>
      <w:r>
        <w:rPr>
          <w:color w:val="auto"/>
        </w:rPr>
      </w:r>
      <w:r/>
    </w:p>
    <w:p>
      <w:pPr>
        <w:pStyle w:val="1023"/>
        <w:jc w:val="left"/>
        <w:spacing w:line="360" w:lineRule="auto"/>
        <w:rPr>
          <w:rStyle w:val="913"/>
          <w:rFonts w:hint="eastAsia" w:ascii="宋体" w:hAnsi="宋体" w:eastAsia="宋体" w:cs="宋体"/>
          <w:color w:val="auto"/>
          <w:highlight w:val="none"/>
        </w:rPr>
        <w:outlineLvl w:val="2"/>
      </w:pPr>
      <w:r>
        <w:rPr>
          <w:rStyle w:val="913"/>
          <w:rFonts w:hint="eastAsia" w:ascii="宋体" w:hAnsi="宋体" w:eastAsia="宋体" w:cs="宋体"/>
          <w:color w:val="auto"/>
          <w:highlight w:val="none"/>
        </w:rPr>
        <w:br w:type="page" w:clear="all"/>
      </w:r>
      <w:r>
        <w:rPr>
          <w:rStyle w:val="913"/>
          <w:rFonts w:hint="eastAsia" w:ascii="宋体" w:hAnsi="宋体" w:eastAsia="宋体" w:cs="宋体"/>
          <w:b/>
          <w:color w:val="auto"/>
          <w:sz w:val="28"/>
          <w:highlight w:val="none"/>
        </w:rPr>
        <w:t xml:space="preserve">  投标人拥有的设施设备情况</w:t>
      </w:r>
      <w:r>
        <w:rPr>
          <w:color w:val="auto"/>
        </w:rPr>
      </w:r>
      <w:r/>
    </w:p>
    <w:p>
      <w:pPr>
        <w:pStyle w:val="1024"/>
        <w:jc w:val="center"/>
        <w:keepLines w:val="0"/>
        <w:keepNext w:val="0"/>
        <w:pageBreakBefore w:val="0"/>
        <w:spacing w:line="360" w:lineRule="auto"/>
        <w:widowControl w:val="off"/>
        <w:rPr>
          <w:rStyle w:val="913"/>
          <w:rFonts w:hint="eastAsia" w:ascii="宋体" w:hAnsi="宋体" w:eastAsia="宋体" w:cs="宋体"/>
          <w:b/>
          <w:bCs/>
          <w:color w:val="auto"/>
          <w:sz w:val="28"/>
          <w:szCs w:val="28"/>
          <w:highlight w:val="none"/>
        </w:rPr>
      </w:pPr>
      <w:r>
        <w:rPr>
          <w:rStyle w:val="913"/>
          <w:rFonts w:hint="eastAsia" w:ascii="宋体" w:hAnsi="宋体" w:eastAsia="宋体" w:cs="宋体"/>
          <w:b/>
          <w:bCs/>
          <w:color w:val="auto"/>
          <w:sz w:val="28"/>
          <w:szCs w:val="28"/>
          <w:highlight w:val="none"/>
        </w:rPr>
      </w:r>
      <w:r>
        <w:rPr>
          <w:color w:val="auto"/>
        </w:rPr>
      </w:r>
      <w:r/>
    </w:p>
    <w:p>
      <w:pPr>
        <w:pStyle w:val="1024"/>
        <w:jc w:val="center"/>
        <w:keepLines w:val="0"/>
        <w:keepNext w:val="0"/>
        <w:pageBreakBefore w:val="0"/>
        <w:spacing w:line="360" w:lineRule="auto"/>
        <w:widowControl w:val="off"/>
        <w:rPr>
          <w:rStyle w:val="913"/>
          <w:rFonts w:hint="eastAsia" w:ascii="宋体" w:hAnsi="宋体" w:eastAsia="宋体" w:cs="宋体"/>
          <w:b/>
          <w:bCs/>
          <w:color w:val="auto"/>
          <w:sz w:val="28"/>
          <w:szCs w:val="28"/>
          <w:highlight w:val="none"/>
        </w:rPr>
      </w:pPr>
      <w:r>
        <w:rPr>
          <w:rStyle w:val="913"/>
          <w:rFonts w:hint="eastAsia" w:ascii="宋体" w:hAnsi="宋体" w:eastAsia="宋体" w:cs="宋体"/>
          <w:b/>
          <w:bCs/>
          <w:color w:val="auto"/>
          <w:sz w:val="28"/>
          <w:szCs w:val="28"/>
          <w:highlight w:val="none"/>
          <w:lang w:val="en-US" w:eastAsia="zh-CN"/>
        </w:rPr>
        <w:t xml:space="preserve">投标人拥有的设施设备情况</w:t>
      </w:r>
      <w:r>
        <w:rPr>
          <w:rStyle w:val="913"/>
          <w:rFonts w:hint="eastAsia" w:ascii="宋体" w:hAnsi="宋体" w:eastAsia="宋体" w:cs="宋体"/>
          <w:b/>
          <w:bCs/>
          <w:color w:val="auto"/>
          <w:sz w:val="28"/>
          <w:szCs w:val="28"/>
          <w:highlight w:val="none"/>
        </w:rPr>
        <w:t xml:space="preserve">（若有的话）</w:t>
      </w:r>
      <w:r>
        <w:rPr>
          <w:color w:val="auto"/>
        </w:rPr>
      </w:r>
      <w:r/>
    </w:p>
    <w:p>
      <w:pPr>
        <w:pStyle w:val="1026"/>
        <w:jc w:val="left"/>
        <w:spacing w:line="360" w:lineRule="auto"/>
        <w:rPr>
          <w:rStyle w:val="913"/>
          <w:rFonts w:hint="eastAsia" w:ascii="宋体" w:hAnsi="宋体" w:eastAsia="宋体" w:cs="宋体"/>
          <w:color w:val="auto"/>
          <w:highlight w:val="none"/>
        </w:rPr>
        <w:outlineLvl w:val="2"/>
      </w:pPr>
      <w:r>
        <w:rPr>
          <w:rStyle w:val="913"/>
          <w:rFonts w:hint="eastAsia" w:ascii="宋体" w:hAnsi="宋体" w:eastAsia="宋体" w:cs="宋体"/>
          <w:color w:val="auto"/>
          <w:highlight w:val="none"/>
        </w:rPr>
        <w:br w:type="page" w:clear="all"/>
      </w:r>
      <w:r>
        <w:rPr>
          <w:rStyle w:val="913"/>
          <w:rFonts w:hint="eastAsia" w:ascii="宋体" w:hAnsi="宋体" w:eastAsia="宋体" w:cs="宋体"/>
          <w:b/>
          <w:color w:val="auto"/>
          <w:sz w:val="28"/>
          <w:highlight w:val="none"/>
        </w:rPr>
        <w:t xml:space="preserve">  类似业绩一览表</w:t>
      </w:r>
      <w:r>
        <w:rPr>
          <w:color w:val="auto"/>
        </w:rPr>
      </w:r>
      <w:r/>
    </w:p>
    <w:p>
      <w:pPr>
        <w:pStyle w:val="1027"/>
        <w:spacing w:line="360" w:lineRule="auto"/>
        <w:rPr>
          <w:rStyle w:val="913"/>
          <w:rFonts w:hint="eastAsia" w:ascii="宋体" w:hAnsi="宋体" w:eastAsia="宋体" w:cs="宋体"/>
          <w:color w:val="auto"/>
          <w:spacing w:val="7"/>
          <w:highlight w:val="none"/>
        </w:rPr>
        <w:outlineLvl w:val="9"/>
      </w:pPr>
      <w:r>
        <w:rPr>
          <w:rStyle w:val="913"/>
          <w:rFonts w:hint="eastAsia" w:ascii="宋体" w:hAnsi="宋体" w:eastAsia="宋体" w:cs="宋体"/>
          <w:color w:val="auto"/>
          <w:highlight w:val="none"/>
        </w:rPr>
        <w:t xml:space="preserve">﻿ </w:t>
      </w:r>
      <w:r>
        <w:rPr>
          <w:color w:val="auto"/>
        </w:rPr>
      </w:r>
      <w:r/>
    </w:p>
    <w:p>
      <w:pPr>
        <w:pStyle w:val="1027"/>
        <w:jc w:val="center"/>
        <w:spacing w:before="360" w:after="360" w:line="360" w:lineRule="auto"/>
        <w:rPr>
          <w:rStyle w:val="913"/>
          <w:rFonts w:hint="eastAsia" w:ascii="宋体" w:hAnsi="宋体" w:eastAsia="宋体" w:cs="宋体"/>
          <w:b/>
          <w:bCs/>
          <w:color w:val="auto"/>
          <w:sz w:val="36"/>
          <w:szCs w:val="36"/>
          <w:highlight w:val="none"/>
        </w:rPr>
      </w:pPr>
      <w:r>
        <w:rPr>
          <w:rStyle w:val="913"/>
          <w:rFonts w:hint="eastAsia" w:ascii="宋体" w:hAnsi="宋体" w:eastAsia="宋体" w:cs="宋体"/>
          <w:b/>
          <w:bCs/>
          <w:color w:val="auto"/>
          <w:sz w:val="36"/>
          <w:szCs w:val="36"/>
          <w:highlight w:val="none"/>
        </w:rPr>
        <w:t xml:space="preserve">类似业绩一览表 </w:t>
      </w:r>
      <w:r>
        <w:rPr>
          <w:color w:val="auto"/>
        </w:rPr>
      </w:r>
      <w:r/>
    </w:p>
    <w:tbl>
      <w:tblPr>
        <w:tblW w:w="8985"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tc>
          <w:tcPr>
            <w:tcMar>
              <w:left w:w="0" w:type="dxa"/>
              <w:top w:w="0" w:type="dxa"/>
              <w:right w:w="0" w:type="dxa"/>
              <w:bottom w:w="0" w:type="dxa"/>
            </w:tcMar>
            <w:tcW w:w="1142" w:type="dxa"/>
            <w:vAlign w:val="center"/>
            <w:textDirection w:val="lrTb"/>
            <w:noWrap w:val="false"/>
          </w:tcPr>
          <w:p>
            <w:pPr>
              <w:pStyle w:val="1027"/>
              <w:spacing w:line="360" w:lineRule="auto"/>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序号 </w:t>
            </w:r>
            <w:r>
              <w:rPr>
                <w:color w:val="auto"/>
              </w:rPr>
            </w:r>
            <w:r/>
          </w:p>
        </w:tc>
        <w:tc>
          <w:tcPr>
            <w:tcMar>
              <w:left w:w="0" w:type="dxa"/>
              <w:top w:w="0" w:type="dxa"/>
              <w:right w:w="0" w:type="dxa"/>
              <w:bottom w:w="0" w:type="dxa"/>
            </w:tcMar>
            <w:tcW w:w="2246" w:type="dxa"/>
            <w:vAlign w:val="center"/>
            <w:textDirection w:val="lrTb"/>
            <w:noWrap w:val="false"/>
          </w:tcPr>
          <w:p>
            <w:pPr>
              <w:pStyle w:val="1027"/>
              <w:spacing w:line="360" w:lineRule="auto"/>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项目名称 </w:t>
            </w:r>
            <w:r>
              <w:rPr>
                <w:color w:val="auto"/>
              </w:rPr>
            </w:r>
            <w:r/>
          </w:p>
        </w:tc>
        <w:tc>
          <w:tcPr>
            <w:tcMar>
              <w:left w:w="0" w:type="dxa"/>
              <w:top w:w="0" w:type="dxa"/>
              <w:right w:w="0" w:type="dxa"/>
              <w:bottom w:w="0" w:type="dxa"/>
            </w:tcMar>
            <w:tcW w:w="3351" w:type="dxa"/>
            <w:vAlign w:val="center"/>
            <w:textDirection w:val="lrTb"/>
            <w:noWrap w:val="false"/>
          </w:tcPr>
          <w:p>
            <w:pPr>
              <w:pStyle w:val="1027"/>
              <w:spacing w:line="360" w:lineRule="auto"/>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合同期（天） </w:t>
            </w:r>
            <w:r>
              <w:rPr>
                <w:color w:val="auto"/>
              </w:rPr>
            </w:r>
            <w:r/>
          </w:p>
        </w:tc>
        <w:tc>
          <w:tcPr>
            <w:tcMar>
              <w:left w:w="0" w:type="dxa"/>
              <w:top w:w="0" w:type="dxa"/>
              <w:right w:w="0" w:type="dxa"/>
              <w:bottom w:w="0" w:type="dxa"/>
            </w:tcMar>
            <w:tcW w:w="2246" w:type="dxa"/>
            <w:vAlign w:val="center"/>
            <w:textDirection w:val="lrTb"/>
            <w:noWrap w:val="false"/>
          </w:tcPr>
          <w:p>
            <w:pPr>
              <w:pStyle w:val="1027"/>
              <w:spacing w:line="360" w:lineRule="auto"/>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合同金额 </w:t>
            </w:r>
            <w:r>
              <w:rPr>
                <w:color w:val="auto"/>
              </w:rPr>
            </w:r>
            <w:r/>
          </w:p>
        </w:tc>
      </w:tr>
      <w:tr>
        <w:trPr/>
        <w:tc>
          <w:tcPr>
            <w:tcMar>
              <w:left w:w="0" w:type="dxa"/>
              <w:top w:w="0" w:type="dxa"/>
              <w:right w:w="0" w:type="dxa"/>
              <w:bottom w:w="0" w:type="dxa"/>
            </w:tcMar>
            <w:tcW w:w="1142" w:type="dxa"/>
            <w:vAlign w:val="center"/>
            <w:textDirection w:val="lrTb"/>
            <w:noWrap w:val="false"/>
          </w:tcPr>
          <w:p>
            <w:pPr>
              <w:pStyle w:val="1027"/>
              <w:spacing w:line="360" w:lineRule="auto"/>
              <w:rPr>
                <w:rStyle w:val="913"/>
                <w:rFonts w:hint="eastAsia" w:ascii="宋体" w:hAnsi="宋体" w:eastAsia="宋体" w:cs="宋体"/>
                <w:b w:val="0"/>
                <w:bCs w:val="0"/>
                <w:i w:val="0"/>
                <w:iCs w:val="0"/>
                <w:smallCaps w:val="0"/>
                <w:color w:val="auto"/>
                <w:sz w:val="24"/>
                <w:szCs w:val="24"/>
                <w:highlight w:val="none"/>
              </w:rPr>
            </w:pPr>
            <w:r>
              <w:rPr>
                <w:color w:val="auto"/>
              </w:rPr>
            </w:r>
            <w:bookmarkStart w:id="274" w:name="xh"/>
            <w:r>
              <w:rPr>
                <w:color w:val="auto"/>
              </w:rPr>
            </w:r>
            <w:bookmarkEnd w:id="274"/>
            <w:r>
              <w:rPr>
                <w:color w:val="auto"/>
              </w:rPr>
            </w:r>
            <w:r/>
          </w:p>
        </w:tc>
        <w:tc>
          <w:tcPr>
            <w:tcMar>
              <w:left w:w="0" w:type="dxa"/>
              <w:top w:w="0" w:type="dxa"/>
              <w:right w:w="0" w:type="dxa"/>
              <w:bottom w:w="0" w:type="dxa"/>
            </w:tcMar>
            <w:tcW w:w="2246" w:type="dxa"/>
            <w:vAlign w:val="center"/>
            <w:textDirection w:val="lrTb"/>
            <w:noWrap w:val="false"/>
          </w:tcPr>
          <w:p>
            <w:pPr>
              <w:pStyle w:val="1027"/>
              <w:spacing w:line="360" w:lineRule="auto"/>
              <w:rPr>
                <w:rStyle w:val="913"/>
                <w:rFonts w:hint="eastAsia" w:ascii="宋体" w:hAnsi="宋体" w:eastAsia="宋体" w:cs="宋体"/>
                <w:b w:val="0"/>
                <w:bCs w:val="0"/>
                <w:i w:val="0"/>
                <w:iCs w:val="0"/>
                <w:smallCaps w:val="0"/>
                <w:color w:val="auto"/>
                <w:sz w:val="24"/>
                <w:szCs w:val="24"/>
                <w:highlight w:val="none"/>
              </w:rPr>
            </w:pPr>
            <w:r>
              <w:rPr>
                <w:color w:val="auto"/>
              </w:rPr>
            </w:r>
            <w:bookmarkStart w:id="275" w:name="XmName"/>
            <w:r>
              <w:rPr>
                <w:color w:val="auto"/>
              </w:rPr>
            </w:r>
            <w:bookmarkEnd w:id="275"/>
            <w:r>
              <w:rPr>
                <w:color w:val="auto"/>
              </w:rPr>
            </w:r>
            <w:r/>
          </w:p>
        </w:tc>
        <w:tc>
          <w:tcPr>
            <w:tcMar>
              <w:left w:w="0" w:type="dxa"/>
              <w:top w:w="0" w:type="dxa"/>
              <w:right w:w="0" w:type="dxa"/>
              <w:bottom w:w="0" w:type="dxa"/>
            </w:tcMar>
            <w:tcW w:w="3351" w:type="dxa"/>
            <w:vAlign w:val="center"/>
            <w:textDirection w:val="lrTb"/>
            <w:noWrap w:val="false"/>
          </w:tcPr>
          <w:p>
            <w:pPr>
              <w:pStyle w:val="1027"/>
              <w:spacing w:line="360" w:lineRule="auto"/>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Mar>
              <w:left w:w="0" w:type="dxa"/>
              <w:top w:w="0" w:type="dxa"/>
              <w:right w:w="0" w:type="dxa"/>
              <w:bottom w:w="0" w:type="dxa"/>
            </w:tcMar>
            <w:tcW w:w="2246" w:type="dxa"/>
            <w:vAlign w:val="center"/>
            <w:textDirection w:val="lrTb"/>
            <w:noWrap w:val="false"/>
          </w:tcPr>
          <w:p>
            <w:pPr>
              <w:pStyle w:val="1027"/>
              <w:spacing w:line="360" w:lineRule="auto"/>
              <w:rPr>
                <w:rStyle w:val="913"/>
                <w:rFonts w:hint="eastAsia" w:ascii="宋体" w:hAnsi="宋体" w:eastAsia="宋体" w:cs="宋体"/>
                <w:b w:val="0"/>
                <w:bCs w:val="0"/>
                <w:i w:val="0"/>
                <w:iCs w:val="0"/>
                <w:smallCaps w:val="0"/>
                <w:color w:val="auto"/>
                <w:sz w:val="24"/>
                <w:szCs w:val="24"/>
                <w:highlight w:val="none"/>
              </w:rPr>
            </w:pPr>
            <w:r>
              <w:rPr>
                <w:color w:val="auto"/>
              </w:rPr>
            </w:r>
            <w:bookmarkStart w:id="276" w:name="ZhongBiaoJia"/>
            <w:r>
              <w:rPr>
                <w:color w:val="auto"/>
              </w:rPr>
            </w:r>
            <w:bookmarkEnd w:id="276"/>
            <w:r>
              <w:rPr>
                <w:color w:val="auto"/>
              </w:rPr>
            </w:r>
            <w:r/>
          </w:p>
        </w:tc>
      </w:tr>
    </w:tbl>
    <w:p>
      <w:pPr>
        <w:pStyle w:val="1027"/>
        <w:jc w:val="center"/>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p>
      <w:pPr>
        <w:pStyle w:val="1028"/>
        <w:jc w:val="left"/>
        <w:spacing w:line="360" w:lineRule="auto"/>
        <w:rPr>
          <w:rStyle w:val="913"/>
          <w:rFonts w:hint="eastAsia" w:ascii="宋体" w:hAnsi="宋体" w:eastAsia="宋体" w:cs="宋体"/>
          <w:color w:val="auto"/>
          <w:highlight w:val="none"/>
        </w:rPr>
        <w:outlineLvl w:val="2"/>
      </w:pPr>
      <w:r>
        <w:rPr>
          <w:rStyle w:val="913"/>
          <w:rFonts w:hint="eastAsia" w:ascii="宋体" w:hAnsi="宋体" w:eastAsia="宋体" w:cs="宋体"/>
          <w:color w:val="auto"/>
          <w:highlight w:val="none"/>
        </w:rPr>
        <w:br w:type="page" w:clear="all"/>
      </w:r>
      <w:r>
        <w:rPr>
          <w:rStyle w:val="913"/>
          <w:rFonts w:hint="eastAsia" w:ascii="宋体" w:hAnsi="宋体" w:eastAsia="宋体" w:cs="宋体"/>
          <w:b/>
          <w:color w:val="auto"/>
          <w:sz w:val="28"/>
          <w:highlight w:val="none"/>
        </w:rPr>
        <w:t xml:space="preserve">  投标人获得的相关证书</w:t>
      </w:r>
      <w:r>
        <w:rPr>
          <w:color w:val="auto"/>
        </w:rPr>
      </w:r>
      <w:r/>
    </w:p>
    <w:p>
      <w:pPr>
        <w:pStyle w:val="1029"/>
        <w:spacing w:line="360" w:lineRule="auto"/>
        <w:rPr>
          <w:rStyle w:val="913"/>
          <w:rFonts w:hint="eastAsia" w:ascii="宋体" w:hAnsi="宋体" w:eastAsia="宋体" w:cs="宋体"/>
          <w:color w:val="auto"/>
          <w:spacing w:val="7"/>
          <w:highlight w:val="none"/>
        </w:rPr>
        <w:outlineLvl w:val="9"/>
      </w:pPr>
      <w:r>
        <w:rPr>
          <w:rStyle w:val="913"/>
          <w:rFonts w:hint="eastAsia" w:ascii="宋体" w:hAnsi="宋体" w:eastAsia="宋体" w:cs="宋体"/>
          <w:color w:val="auto"/>
          <w:highlight w:val="none"/>
        </w:rPr>
        <w:t xml:space="preserve">﻿ </w:t>
      </w:r>
      <w:r>
        <w:rPr>
          <w:color w:val="auto"/>
        </w:rPr>
      </w:r>
      <w:r/>
    </w:p>
    <w:p>
      <w:pPr>
        <w:pStyle w:val="1029"/>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p>
      <w:pPr>
        <w:pStyle w:val="1029"/>
        <w:jc w:val="center"/>
        <w:spacing w:before="360" w:after="360" w:line="360" w:lineRule="auto"/>
        <w:rPr>
          <w:rStyle w:val="913"/>
          <w:rFonts w:hint="eastAsia" w:ascii="宋体" w:hAnsi="宋体" w:eastAsia="宋体" w:cs="宋体"/>
          <w:b/>
          <w:bCs/>
          <w:color w:val="auto"/>
          <w:sz w:val="36"/>
          <w:szCs w:val="36"/>
          <w:highlight w:val="none"/>
        </w:rPr>
      </w:pPr>
      <w:r>
        <w:rPr>
          <w:rStyle w:val="913"/>
          <w:rFonts w:hint="eastAsia" w:ascii="宋体" w:hAnsi="宋体" w:eastAsia="宋体" w:cs="宋体"/>
          <w:b/>
          <w:bCs/>
          <w:color w:val="auto"/>
          <w:sz w:val="36"/>
          <w:szCs w:val="36"/>
          <w:highlight w:val="none"/>
        </w:rPr>
        <w:t xml:space="preserve">各类证书</w:t>
      </w:r>
      <w:r>
        <w:rPr>
          <w:color w:val="auto"/>
        </w:rPr>
      </w:r>
      <w:r/>
    </w:p>
    <w:tbl>
      <w:tblPr>
        <w:tblW w:w="8985"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tc>
          <w:tcPr>
            <w:tcMar>
              <w:left w:w="0" w:type="dxa"/>
              <w:top w:w="0" w:type="dxa"/>
              <w:right w:w="0" w:type="dxa"/>
              <w:bottom w:w="0" w:type="dxa"/>
            </w:tcMar>
            <w:tcW w:w="7170" w:type="dxa"/>
            <w:vAlign w:val="center"/>
            <w:textDirection w:val="lrTb"/>
            <w:noWrap w:val="false"/>
          </w:tcPr>
          <w:p>
            <w:pPr>
              <w:pStyle w:val="1029"/>
              <w:jc w:val="center"/>
              <w:spacing w:line="360" w:lineRule="auto"/>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证书名称 </w:t>
            </w:r>
            <w:r>
              <w:rPr>
                <w:color w:val="auto"/>
              </w:rPr>
            </w:r>
            <w:r/>
          </w:p>
        </w:tc>
        <w:tc>
          <w:tcPr>
            <w:tcMar>
              <w:left w:w="0" w:type="dxa"/>
              <w:top w:w="0" w:type="dxa"/>
              <w:right w:w="0" w:type="dxa"/>
              <w:bottom w:w="0" w:type="dxa"/>
            </w:tcMar>
            <w:tcW w:w="1815" w:type="dxa"/>
            <w:vAlign w:val="center"/>
            <w:textDirection w:val="lrTb"/>
            <w:noWrap w:val="false"/>
          </w:tcPr>
          <w:p>
            <w:pPr>
              <w:pStyle w:val="1029"/>
              <w:jc w:val="center"/>
              <w:spacing w:line="360" w:lineRule="auto"/>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查看 </w:t>
            </w:r>
            <w:r>
              <w:rPr>
                <w:color w:val="auto"/>
              </w:rPr>
            </w:r>
            <w:r/>
          </w:p>
        </w:tc>
      </w:tr>
      <w:tr>
        <w:trPr/>
        <w:tc>
          <w:tcPr>
            <w:tcMar>
              <w:left w:w="0" w:type="dxa"/>
              <w:top w:w="0" w:type="dxa"/>
              <w:right w:w="0" w:type="dxa"/>
              <w:bottom w:w="0" w:type="dxa"/>
            </w:tcMar>
            <w:tcW w:w="7170" w:type="dxa"/>
            <w:vAlign w:val="center"/>
            <w:textDirection w:val="lrTb"/>
            <w:noWrap w:val="false"/>
          </w:tcPr>
          <w:p>
            <w:pPr>
              <w:pStyle w:val="1029"/>
              <w:spacing w:line="360" w:lineRule="auto"/>
              <w:rPr>
                <w:rStyle w:val="913"/>
                <w:rFonts w:hint="eastAsia" w:ascii="宋体" w:hAnsi="宋体" w:eastAsia="宋体" w:cs="宋体"/>
                <w:b w:val="0"/>
                <w:bCs w:val="0"/>
                <w:i w:val="0"/>
                <w:iCs w:val="0"/>
                <w:smallCaps w:val="0"/>
                <w:color w:val="auto"/>
                <w:sz w:val="24"/>
                <w:szCs w:val="24"/>
                <w:highlight w:val="none"/>
              </w:rPr>
            </w:pPr>
            <w:r>
              <w:rPr>
                <w:color w:val="auto"/>
              </w:rPr>
            </w:r>
            <w:bookmarkStart w:id="277" w:name="MC_0"/>
            <w:r>
              <w:rPr>
                <w:color w:val="auto"/>
              </w:rPr>
            </w:r>
            <w:bookmarkEnd w:id="277"/>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Mar>
              <w:left w:w="0" w:type="dxa"/>
              <w:top w:w="0" w:type="dxa"/>
              <w:right w:w="0" w:type="dxa"/>
              <w:bottom w:w="0" w:type="dxa"/>
            </w:tcMar>
            <w:tcW w:w="1815" w:type="dxa"/>
            <w:vAlign w:val="center"/>
            <w:textDirection w:val="lrTb"/>
            <w:noWrap w:val="false"/>
          </w:tcPr>
          <w:p>
            <w:pPr>
              <w:pStyle w:val="1029"/>
              <w:spacing w:line="360" w:lineRule="auto"/>
              <w:rPr>
                <w:rStyle w:val="913"/>
                <w:rFonts w:hint="eastAsia" w:ascii="宋体" w:hAnsi="宋体" w:eastAsia="宋体" w:cs="宋体"/>
                <w:b w:val="0"/>
                <w:bCs w:val="0"/>
                <w:i w:val="0"/>
                <w:iCs w:val="0"/>
                <w:smallCaps w:val="0"/>
                <w:color w:val="auto"/>
                <w:sz w:val="24"/>
                <w:szCs w:val="24"/>
                <w:highlight w:val="none"/>
              </w:rPr>
            </w:pPr>
            <w:r>
              <w:rPr>
                <w:color w:val="auto"/>
              </w:rPr>
            </w:r>
            <w:bookmarkStart w:id="278" w:name="ChaKan_1"/>
            <w:r>
              <w:rPr>
                <w:color w:val="auto"/>
              </w:rPr>
            </w:r>
            <w:bookmarkEnd w:id="278"/>
            <w:r>
              <w:rPr>
                <w:color w:val="auto"/>
              </w:rPr>
            </w:r>
            <w:r/>
          </w:p>
        </w:tc>
      </w:tr>
    </w:tbl>
    <w:p>
      <w:pPr>
        <w:pStyle w:val="1029"/>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p>
      <w:pPr>
        <w:pStyle w:val="1029"/>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p>
      <w:pPr>
        <w:pStyle w:val="1029"/>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p>
      <w:pPr>
        <w:pStyle w:val="1030"/>
        <w:jc w:val="left"/>
        <w:spacing w:line="360" w:lineRule="auto"/>
        <w:rPr>
          <w:rStyle w:val="913"/>
          <w:rFonts w:hint="eastAsia" w:ascii="宋体" w:hAnsi="宋体" w:eastAsia="宋体" w:cs="宋体"/>
          <w:color w:val="auto"/>
          <w:highlight w:val="none"/>
        </w:rPr>
        <w:outlineLvl w:val="2"/>
      </w:pPr>
      <w:r>
        <w:rPr>
          <w:rStyle w:val="913"/>
          <w:rFonts w:hint="eastAsia" w:ascii="宋体" w:hAnsi="宋体" w:eastAsia="宋体" w:cs="宋体"/>
          <w:color w:val="auto"/>
          <w:highlight w:val="none"/>
        </w:rPr>
        <w:br w:type="page" w:clear="all"/>
      </w:r>
      <w:r>
        <w:rPr>
          <w:rStyle w:val="913"/>
          <w:rFonts w:hint="eastAsia" w:ascii="宋体" w:hAnsi="宋体" w:eastAsia="宋体" w:cs="宋体"/>
          <w:b/>
          <w:color w:val="auto"/>
          <w:sz w:val="28"/>
          <w:highlight w:val="none"/>
        </w:rPr>
        <w:t xml:space="preserve">  投标人获得的相关奖项</w:t>
      </w:r>
      <w:r>
        <w:rPr>
          <w:color w:val="auto"/>
        </w:rPr>
      </w:r>
      <w:r/>
    </w:p>
    <w:p>
      <w:pPr>
        <w:pStyle w:val="1031"/>
        <w:spacing w:line="360" w:lineRule="auto"/>
        <w:rPr>
          <w:rStyle w:val="913"/>
          <w:rFonts w:hint="eastAsia" w:ascii="宋体" w:hAnsi="宋体" w:eastAsia="宋体" w:cs="宋体"/>
          <w:color w:val="auto"/>
          <w:spacing w:val="7"/>
          <w:highlight w:val="none"/>
        </w:rPr>
        <w:outlineLvl w:val="9"/>
      </w:pPr>
      <w:r>
        <w:rPr>
          <w:rStyle w:val="913"/>
          <w:rFonts w:hint="eastAsia" w:ascii="宋体" w:hAnsi="宋体" w:eastAsia="宋体" w:cs="宋体"/>
          <w:color w:val="auto"/>
          <w:highlight w:val="none"/>
        </w:rPr>
        <w:t xml:space="preserve">﻿ </w:t>
      </w:r>
      <w:r>
        <w:rPr>
          <w:color w:val="auto"/>
        </w:rPr>
      </w:r>
      <w:r/>
    </w:p>
    <w:p>
      <w:pPr>
        <w:pStyle w:val="1031"/>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p>
      <w:pPr>
        <w:pStyle w:val="1031"/>
        <w:jc w:val="center"/>
        <w:spacing w:before="360" w:after="360" w:line="360" w:lineRule="auto"/>
        <w:rPr>
          <w:rStyle w:val="913"/>
          <w:rFonts w:hint="eastAsia" w:ascii="宋体" w:hAnsi="宋体" w:eastAsia="宋体" w:cs="宋体"/>
          <w:b/>
          <w:bCs/>
          <w:color w:val="auto"/>
          <w:sz w:val="36"/>
          <w:szCs w:val="36"/>
          <w:highlight w:val="none"/>
        </w:rPr>
      </w:pPr>
      <w:r>
        <w:rPr>
          <w:rStyle w:val="913"/>
          <w:rFonts w:hint="eastAsia" w:ascii="宋体" w:hAnsi="宋体" w:eastAsia="宋体" w:cs="宋体"/>
          <w:b/>
          <w:bCs/>
          <w:color w:val="auto"/>
          <w:sz w:val="36"/>
          <w:szCs w:val="36"/>
          <w:highlight w:val="none"/>
        </w:rPr>
        <w:t xml:space="preserve">各类奖项</w:t>
      </w:r>
      <w:r>
        <w:rPr>
          <w:color w:val="auto"/>
        </w:rPr>
      </w:r>
      <w:r/>
    </w:p>
    <w:tbl>
      <w:tblPr>
        <w:tblW w:w="8985"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tc>
          <w:tcPr>
            <w:tcMar>
              <w:left w:w="0" w:type="dxa"/>
              <w:top w:w="0" w:type="dxa"/>
              <w:right w:w="0" w:type="dxa"/>
              <w:bottom w:w="0" w:type="dxa"/>
            </w:tcMar>
            <w:tcW w:w="7170" w:type="dxa"/>
            <w:vAlign w:val="center"/>
            <w:textDirection w:val="lrTb"/>
            <w:noWrap w:val="false"/>
          </w:tcPr>
          <w:p>
            <w:pPr>
              <w:pStyle w:val="1031"/>
              <w:jc w:val="center"/>
              <w:spacing w:line="360" w:lineRule="auto"/>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证书名称 </w:t>
            </w:r>
            <w:r>
              <w:rPr>
                <w:color w:val="auto"/>
              </w:rPr>
            </w:r>
            <w:r/>
          </w:p>
        </w:tc>
        <w:tc>
          <w:tcPr>
            <w:tcMar>
              <w:left w:w="0" w:type="dxa"/>
              <w:top w:w="0" w:type="dxa"/>
              <w:right w:w="0" w:type="dxa"/>
              <w:bottom w:w="0" w:type="dxa"/>
            </w:tcMar>
            <w:tcW w:w="1815" w:type="dxa"/>
            <w:vAlign w:val="center"/>
            <w:textDirection w:val="lrTb"/>
            <w:noWrap w:val="false"/>
          </w:tcPr>
          <w:p>
            <w:pPr>
              <w:pStyle w:val="1031"/>
              <w:jc w:val="center"/>
              <w:spacing w:line="360" w:lineRule="auto"/>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查看 </w:t>
            </w:r>
            <w:r>
              <w:rPr>
                <w:color w:val="auto"/>
              </w:rPr>
            </w:r>
            <w:r/>
          </w:p>
        </w:tc>
      </w:tr>
      <w:tr>
        <w:trPr/>
        <w:tc>
          <w:tcPr>
            <w:tcMar>
              <w:left w:w="0" w:type="dxa"/>
              <w:top w:w="0" w:type="dxa"/>
              <w:right w:w="0" w:type="dxa"/>
              <w:bottom w:w="0" w:type="dxa"/>
            </w:tcMar>
            <w:tcW w:w="7170" w:type="dxa"/>
            <w:vAlign w:val="center"/>
            <w:textDirection w:val="lrTb"/>
            <w:noWrap w:val="false"/>
          </w:tcPr>
          <w:p>
            <w:pPr>
              <w:pStyle w:val="1031"/>
              <w:spacing w:line="360" w:lineRule="auto"/>
              <w:rPr>
                <w:rStyle w:val="913"/>
                <w:rFonts w:hint="eastAsia" w:ascii="宋体" w:hAnsi="宋体" w:eastAsia="宋体" w:cs="宋体"/>
                <w:b w:val="0"/>
                <w:bCs w:val="0"/>
                <w:i w:val="0"/>
                <w:iCs w:val="0"/>
                <w:smallCaps w:val="0"/>
                <w:color w:val="auto"/>
                <w:sz w:val="24"/>
                <w:szCs w:val="24"/>
                <w:highlight w:val="none"/>
              </w:rPr>
            </w:pPr>
            <w:r>
              <w:rPr>
                <w:color w:val="auto"/>
              </w:rPr>
            </w:r>
            <w:bookmarkStart w:id="279" w:name="MC_1"/>
            <w:r>
              <w:rPr>
                <w:color w:val="auto"/>
              </w:rPr>
            </w:r>
            <w:bookmarkEnd w:id="279"/>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c>
          <w:tcPr>
            <w:tcMar>
              <w:left w:w="0" w:type="dxa"/>
              <w:top w:w="0" w:type="dxa"/>
              <w:right w:w="0" w:type="dxa"/>
              <w:bottom w:w="0" w:type="dxa"/>
            </w:tcMar>
            <w:tcW w:w="1815" w:type="dxa"/>
            <w:vAlign w:val="center"/>
            <w:textDirection w:val="lrTb"/>
            <w:noWrap w:val="false"/>
          </w:tcPr>
          <w:p>
            <w:pPr>
              <w:pStyle w:val="1031"/>
              <w:spacing w:line="360" w:lineRule="auto"/>
              <w:rPr>
                <w:rStyle w:val="913"/>
                <w:rFonts w:hint="eastAsia" w:ascii="宋体" w:hAnsi="宋体" w:eastAsia="宋体" w:cs="宋体"/>
                <w:b w:val="0"/>
                <w:bCs w:val="0"/>
                <w:i w:val="0"/>
                <w:iCs w:val="0"/>
                <w:smallCaps w:val="0"/>
                <w:color w:val="auto"/>
                <w:sz w:val="24"/>
                <w:szCs w:val="24"/>
                <w:highlight w:val="none"/>
              </w:rPr>
            </w:pPr>
            <w:r>
              <w:rPr>
                <w:color w:val="auto"/>
              </w:rPr>
            </w:r>
            <w:bookmarkStart w:id="280" w:name="ChaKan_2"/>
            <w:r>
              <w:rPr>
                <w:color w:val="auto"/>
              </w:rPr>
            </w:r>
            <w:bookmarkEnd w:id="280"/>
            <w:r>
              <w:rPr>
                <w:color w:val="auto"/>
              </w:rPr>
            </w:r>
            <w:r/>
          </w:p>
        </w:tc>
      </w:tr>
    </w:tbl>
    <w:p>
      <w:pPr>
        <w:pStyle w:val="1031"/>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p>
      <w:pPr>
        <w:pStyle w:val="1031"/>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p>
      <w:pPr>
        <w:pStyle w:val="1031"/>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p>
      <w:pPr>
        <w:pStyle w:val="1032"/>
        <w:jc w:val="left"/>
        <w:spacing w:line="360" w:lineRule="auto"/>
        <w:rPr>
          <w:rStyle w:val="913"/>
          <w:rFonts w:hint="eastAsia" w:ascii="宋体" w:hAnsi="宋体" w:eastAsia="宋体" w:cs="宋体"/>
          <w:color w:val="auto"/>
          <w:highlight w:val="none"/>
        </w:rPr>
        <w:outlineLvl w:val="1"/>
      </w:pPr>
      <w:r>
        <w:rPr>
          <w:rStyle w:val="913"/>
          <w:rFonts w:hint="eastAsia" w:ascii="宋体" w:hAnsi="宋体" w:eastAsia="宋体" w:cs="宋体"/>
          <w:color w:val="auto"/>
          <w:highlight w:val="none"/>
        </w:rPr>
        <w:br w:type="page" w:clear="all"/>
      </w:r>
      <w:bookmarkStart w:id="281" w:name="_Toc2715"/>
      <w:r>
        <w:rPr>
          <w:rStyle w:val="913"/>
          <w:rFonts w:hint="eastAsia" w:ascii="宋体" w:hAnsi="宋体" w:eastAsia="宋体" w:cs="宋体"/>
          <w:b/>
          <w:color w:val="auto"/>
          <w:sz w:val="32"/>
          <w:highlight w:val="none"/>
          <w:lang w:eastAsia="zh-CN"/>
        </w:rPr>
        <w:t xml:space="preserve">八</w:t>
      </w:r>
      <w:r>
        <w:rPr>
          <w:rStyle w:val="913"/>
          <w:rFonts w:hint="eastAsia" w:ascii="宋体" w:hAnsi="宋体" w:eastAsia="宋体" w:cs="宋体"/>
          <w:b/>
          <w:color w:val="auto"/>
          <w:sz w:val="32"/>
          <w:highlight w:val="none"/>
        </w:rPr>
        <w:t xml:space="preserve">、中小企业声明函</w:t>
      </w:r>
      <w:bookmarkEnd w:id="281"/>
      <w:r>
        <w:rPr>
          <w:color w:val="auto"/>
        </w:rPr>
      </w:r>
      <w:r/>
    </w:p>
    <w:p>
      <w:pPr>
        <w:pStyle w:val="1033"/>
        <w:spacing w:line="360" w:lineRule="auto"/>
        <w:rPr>
          <w:rStyle w:val="913"/>
          <w:rFonts w:hint="eastAsia" w:ascii="宋体" w:hAnsi="宋体" w:eastAsia="宋体" w:cs="宋体"/>
          <w:color w:val="auto"/>
          <w:sz w:val="24"/>
          <w:szCs w:val="24"/>
          <w:highlight w:val="none"/>
        </w:rPr>
        <w:outlineLvl w:val="9"/>
      </w:pPr>
      <w:r>
        <w:rPr>
          <w:rStyle w:val="913"/>
          <w:rFonts w:hint="eastAsia" w:ascii="宋体" w:hAnsi="宋体" w:eastAsia="宋体" w:cs="宋体"/>
          <w:color w:val="auto"/>
          <w:highlight w:val="none"/>
        </w:rPr>
        <w:t xml:space="preserve">﻿ </w:t>
      </w:r>
      <w:r>
        <w:rPr>
          <w:color w:val="auto"/>
        </w:rPr>
      </w:r>
      <w:r/>
    </w:p>
    <w:p>
      <w:pPr>
        <w:pStyle w:val="1033"/>
        <w:jc w:val="center"/>
        <w:spacing w:before="320" w:after="320" w:line="360" w:lineRule="auto"/>
        <w:rPr>
          <w:rStyle w:val="913"/>
          <w:rFonts w:hint="eastAsia" w:ascii="宋体" w:hAnsi="宋体" w:eastAsia="宋体" w:cs="宋体"/>
          <w:color w:val="auto"/>
          <w:sz w:val="32"/>
          <w:szCs w:val="32"/>
          <w:highlight w:val="none"/>
        </w:rPr>
      </w:pPr>
      <w:r>
        <w:rPr>
          <w:rStyle w:val="913"/>
          <w:rFonts w:hint="eastAsia" w:ascii="宋体" w:hAnsi="宋体" w:eastAsia="宋体" w:cs="宋体"/>
          <w:color w:val="auto"/>
          <w:sz w:val="32"/>
          <w:szCs w:val="32"/>
          <w:highlight w:val="none"/>
        </w:rPr>
        <w:t xml:space="preserve">中小企业声明函（服务）</w:t>
      </w:r>
      <w:r>
        <w:rPr>
          <w:color w:val="auto"/>
        </w:rPr>
      </w:r>
      <w:r/>
    </w:p>
    <w:p>
      <w:pPr>
        <w:pStyle w:val="1033"/>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本公司郑重声明，根据《政府采购促进中小企业发展管理办法》 (财库〔2020〕46号)的规定，本公司参加   （单位名称）的   （项目名称）采购活动，服务全部由符合政策要求的中小企业承接。相关企业的具体情况如下：</w:t>
      </w:r>
      <w:r>
        <w:rPr>
          <w:color w:val="auto"/>
        </w:rPr>
      </w:r>
      <w:r/>
    </w:p>
    <w:p>
      <w:pPr>
        <w:pStyle w:val="911"/>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 </w:t>
      </w:r>
      <w:r>
        <w:rPr>
          <w:rFonts w:hint="eastAsia" w:ascii="宋体" w:hAnsi="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其他未列明行业</w:t>
      </w:r>
      <w:r>
        <w:rPr>
          <w:rFonts w:hint="eastAsia" w:ascii="宋体" w:hAnsi="宋体" w:cs="宋体"/>
          <w:color w:val="auto"/>
          <w:sz w:val="24"/>
          <w:szCs w:val="24"/>
          <w:highlight w:val="none"/>
        </w:rPr>
        <w:t xml:space="preserve">；承建（承接）企业为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（中型企业、小型企业、微型企业）</w:t>
      </w:r>
      <w:r>
        <w:rPr>
          <w:rFonts w:hint="eastAsia" w:ascii="宋体" w:hAnsi="宋体" w:cs="宋体"/>
          <w:color w:val="auto"/>
          <w:sz w:val="24"/>
          <w:szCs w:val="24"/>
          <w:highlight w:val="none"/>
        </w:rPr>
        <w:t xml:space="preserve">；</w:t>
      </w:r>
      <w:r>
        <w:rPr>
          <w:color w:val="auto"/>
        </w:rPr>
      </w:r>
      <w:r/>
    </w:p>
    <w:p>
      <w:pPr>
        <w:pStyle w:val="911"/>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color w:val="auto"/>
        </w:rPr>
      </w:r>
      <w:r/>
    </w:p>
    <w:p>
      <w:pPr>
        <w:pStyle w:val="1033"/>
        <w:spacing w:before="240" w:after="240" w:line="360" w:lineRule="auto"/>
        <w:rPr>
          <w:rStyle w:val="913"/>
          <w:rFonts w:hint="eastAsia" w:ascii="宋体" w:hAnsi="宋体" w:eastAsia="宋体" w:cs="宋体"/>
          <w:color w:val="auto"/>
          <w:highlight w:val="none"/>
        </w:rPr>
      </w:pPr>
      <w:r>
        <w:rPr>
          <w:rStyle w:val="913"/>
          <w:rFonts w:hint="eastAsia" w:ascii="宋体" w:hAnsi="宋体" w:eastAsia="宋体" w:cs="宋体"/>
          <w:color w:val="auto"/>
          <w:highlight w:val="none"/>
        </w:rPr>
      </w:r>
      <w:r>
        <w:rPr>
          <w:color w:val="auto"/>
        </w:rPr>
      </w:r>
      <w:r/>
    </w:p>
    <w:p>
      <w:pPr>
        <w:pStyle w:val="1033"/>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以上企业，不属于大企业的分支机构，不存在控股股东为大企业的情形，也不存在与大企业的负责人为同一人的情形。 </w:t>
      </w:r>
      <w:r>
        <w:rPr>
          <w:color w:val="auto"/>
        </w:rPr>
      </w:r>
      <w:r/>
    </w:p>
    <w:p>
      <w:pPr>
        <w:pStyle w:val="1033"/>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本企业对上述声明内容的真实性负责。如有虚假，将依法承担相应责任。 </w:t>
      </w:r>
      <w:r>
        <w:rPr>
          <w:color w:val="auto"/>
        </w:rPr>
      </w:r>
      <w:r/>
    </w:p>
    <w:p>
      <w:pPr>
        <w:pStyle w:val="1033"/>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企业名称（盖章）：   </w:t>
      </w:r>
      <w:r>
        <w:rPr>
          <w:color w:val="auto"/>
        </w:rPr>
      </w:r>
      <w:r/>
    </w:p>
    <w:p>
      <w:pPr>
        <w:pStyle w:val="1033"/>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日期：   </w:t>
      </w:r>
      <w:r>
        <w:rPr>
          <w:color w:val="auto"/>
        </w:rPr>
      </w:r>
      <w:r/>
    </w:p>
    <w:p>
      <w:pPr>
        <w:pStyle w:val="1033"/>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注：供应商对照《关于印发中小企业划型标准规定的通知》（工信部联企业【2011】300号）中的标准，明确标的承接企业所属企业类型。</w:t>
      </w:r>
      <w:r>
        <w:rPr>
          <w:color w:val="auto"/>
        </w:rPr>
      </w:r>
      <w:r/>
    </w:p>
    <w:p>
      <w:pPr>
        <w:pStyle w:val="1033"/>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从业人员、营业收入、资产总额填报上一年度数据，无上一年度数据的新成立企业可不填报。</w:t>
      </w:r>
      <w:r>
        <w:rPr>
          <w:color w:val="auto"/>
        </w:rPr>
      </w:r>
      <w:r/>
    </w:p>
    <w:p>
      <w:pPr>
        <w:pStyle w:val="1029"/>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highlight w:val="none"/>
        </w:rPr>
        <w:t xml:space="preserve">附：中小企业划型标准规定</w:t>
      </w:r>
      <w:r>
        <w:rPr>
          <w:color w:val="auto"/>
        </w:rPr>
      </w:r>
      <w:r/>
    </w:p>
    <w:p>
      <w:pPr>
        <w:pStyle w:val="1029"/>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highlight w:val="none"/>
        </w:rPr>
        <w:t xml:space="preserve">（一）农、林、牧、渔业。营业收入20000万元以下的为中小微型企业。其中，营业收入500万元及以上的为中型企业，营业收入50万元及以上的为小型企业，营业收入50万元以下的为微型企业。</w:t>
      </w:r>
      <w:r>
        <w:rPr>
          <w:color w:val="auto"/>
        </w:rPr>
      </w:r>
      <w:r/>
    </w:p>
    <w:p>
      <w:pPr>
        <w:pStyle w:val="1029"/>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auto"/>
        </w:rPr>
      </w:r>
      <w:r/>
    </w:p>
    <w:p>
      <w:pPr>
        <w:pStyle w:val="1029"/>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auto"/>
        </w:rPr>
      </w:r>
      <w:r/>
    </w:p>
    <w:p>
      <w:pPr>
        <w:pStyle w:val="1029"/>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auto"/>
        </w:rPr>
      </w:r>
      <w:r/>
    </w:p>
    <w:p>
      <w:pPr>
        <w:pStyle w:val="1029"/>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auto"/>
        </w:rPr>
      </w:r>
      <w:r/>
    </w:p>
    <w:p>
      <w:pPr>
        <w:pStyle w:val="1029"/>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auto"/>
        </w:rPr>
      </w:r>
      <w:r/>
    </w:p>
    <w:p>
      <w:pPr>
        <w:pStyle w:val="1029"/>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auto"/>
        </w:rPr>
      </w:r>
      <w:r/>
    </w:p>
    <w:p>
      <w:pPr>
        <w:pStyle w:val="1029"/>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auto"/>
        </w:rPr>
      </w:r>
      <w:r/>
    </w:p>
    <w:p>
      <w:pPr>
        <w:pStyle w:val="1029"/>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auto"/>
        </w:rPr>
      </w:r>
      <w:r/>
    </w:p>
    <w:p>
      <w:pPr>
        <w:pStyle w:val="1029"/>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auto"/>
        </w:rPr>
      </w:r>
      <w:r/>
    </w:p>
    <w:p>
      <w:pPr>
        <w:pStyle w:val="1029"/>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auto"/>
        </w:rPr>
      </w:r>
      <w:r/>
    </w:p>
    <w:p>
      <w:pPr>
        <w:pStyle w:val="1029"/>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auto"/>
        </w:rPr>
      </w:r>
      <w:r/>
    </w:p>
    <w:p>
      <w:pPr>
        <w:pStyle w:val="1029"/>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auto"/>
        </w:rPr>
      </w:r>
      <w:r/>
    </w:p>
    <w:p>
      <w:pPr>
        <w:pStyle w:val="1029"/>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color w:val="auto"/>
        </w:rPr>
      </w:r>
      <w:r/>
    </w:p>
    <w:p>
      <w:pPr>
        <w:pStyle w:val="1029"/>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auto"/>
        </w:rPr>
      </w:r>
      <w:r/>
    </w:p>
    <w:p>
      <w:pPr>
        <w:pStyle w:val="1029"/>
        <w:spacing w:before="240" w:after="240"/>
        <w:rPr>
          <w:rStyle w:val="913"/>
          <w:rFonts w:ascii="宋体" w:hAnsi="宋体" w:eastAsia="宋体" w:cs="宋体"/>
          <w:color w:val="auto"/>
          <w:sz w:val="24"/>
          <w:szCs w:val="24"/>
          <w:highlight w:val="none"/>
        </w:rPr>
      </w:pPr>
      <w:r>
        <w:rPr>
          <w:rStyle w:val="913"/>
          <w:rFonts w:ascii="宋体" w:hAnsi="宋体" w:eastAsia="宋体" w:cs="宋体"/>
          <w:color w:val="auto"/>
          <w:highlight w:val="none"/>
        </w:rPr>
        <w:t xml:space="preserve">（十六）其他未列明行业。从业人员300人以下的为中小微型企业。其中，从业人员100人及以上的为中型企业；从业人员10人及以上的为小型企业；从业人员10人以下的为微型企业。</w:t>
      </w:r>
      <w:r>
        <w:rPr>
          <w:color w:val="auto"/>
        </w:rPr>
      </w:r>
      <w:r/>
    </w:p>
    <w:p>
      <w:pPr>
        <w:pStyle w:val="1034"/>
        <w:jc w:val="left"/>
        <w:spacing w:line="360" w:lineRule="auto"/>
        <w:rPr>
          <w:rStyle w:val="913"/>
          <w:rFonts w:hint="eastAsia" w:ascii="宋体" w:hAnsi="宋体" w:eastAsia="宋体" w:cs="宋体"/>
          <w:color w:val="auto"/>
          <w:highlight w:val="none"/>
        </w:rPr>
        <w:outlineLvl w:val="1"/>
      </w:pPr>
      <w:r>
        <w:rPr>
          <w:rStyle w:val="913"/>
          <w:rFonts w:hint="eastAsia" w:ascii="宋体" w:hAnsi="宋体" w:eastAsia="宋体" w:cs="宋体"/>
          <w:color w:val="auto"/>
          <w:highlight w:val="none"/>
        </w:rPr>
        <w:br w:type="page" w:clear="all"/>
      </w:r>
      <w:bookmarkStart w:id="282" w:name="_Toc1684"/>
      <w:r>
        <w:rPr>
          <w:rStyle w:val="913"/>
          <w:rFonts w:hint="eastAsia" w:ascii="宋体" w:hAnsi="宋体" w:eastAsia="宋体" w:cs="宋体"/>
          <w:b/>
          <w:color w:val="auto"/>
          <w:sz w:val="32"/>
          <w:highlight w:val="none"/>
          <w:lang w:eastAsia="zh-CN"/>
        </w:rPr>
        <w:t xml:space="preserve">九</w:t>
      </w:r>
      <w:r>
        <w:rPr>
          <w:rStyle w:val="913"/>
          <w:rFonts w:hint="eastAsia" w:ascii="宋体" w:hAnsi="宋体" w:eastAsia="宋体" w:cs="宋体"/>
          <w:b/>
          <w:color w:val="auto"/>
          <w:sz w:val="32"/>
          <w:highlight w:val="none"/>
        </w:rPr>
        <w:t xml:space="preserve">、残疾人福利性单位声明函</w:t>
      </w:r>
      <w:bookmarkEnd w:id="282"/>
      <w:r>
        <w:rPr>
          <w:color w:val="auto"/>
        </w:rPr>
      </w:r>
      <w:r/>
    </w:p>
    <w:p>
      <w:pPr>
        <w:pStyle w:val="1035"/>
        <w:spacing w:line="360" w:lineRule="auto"/>
        <w:rPr>
          <w:rStyle w:val="913"/>
          <w:rFonts w:hint="eastAsia" w:ascii="宋体" w:hAnsi="宋体" w:eastAsia="宋体" w:cs="宋体"/>
          <w:color w:val="auto"/>
          <w:spacing w:val="7"/>
          <w:highlight w:val="none"/>
        </w:rPr>
        <w:outlineLvl w:val="9"/>
      </w:pPr>
      <w:r>
        <w:rPr>
          <w:rStyle w:val="913"/>
          <w:rFonts w:hint="eastAsia" w:ascii="宋体" w:hAnsi="宋体" w:eastAsia="宋体" w:cs="宋体"/>
          <w:color w:val="auto"/>
          <w:highlight w:val="none"/>
        </w:rPr>
        <w:t xml:space="preserve">﻿ </w:t>
      </w:r>
      <w:r>
        <w:rPr>
          <w:color w:val="auto"/>
        </w:rPr>
      </w:r>
      <w:r/>
    </w:p>
    <w:p>
      <w:pPr>
        <w:pStyle w:val="1035"/>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p>
      <w:pPr>
        <w:pStyle w:val="1035"/>
        <w:jc w:val="center"/>
        <w:spacing w:before="320" w:after="320" w:line="360" w:lineRule="auto"/>
        <w:rPr>
          <w:rStyle w:val="913"/>
          <w:rFonts w:hint="eastAsia" w:ascii="宋体" w:hAnsi="宋体" w:eastAsia="宋体" w:cs="宋体"/>
          <w:color w:val="auto"/>
          <w:sz w:val="32"/>
          <w:szCs w:val="32"/>
          <w:highlight w:val="none"/>
        </w:rPr>
      </w:pPr>
      <w:r>
        <w:rPr>
          <w:rStyle w:val="913"/>
          <w:rFonts w:hint="eastAsia" w:ascii="宋体" w:hAnsi="宋体" w:eastAsia="宋体" w:cs="宋体"/>
          <w:color w:val="auto"/>
          <w:sz w:val="32"/>
          <w:szCs w:val="32"/>
          <w:highlight w:val="none"/>
        </w:rPr>
        <w:t xml:space="preserve">残疾人福利性单位声明函</w:t>
      </w:r>
      <w:r>
        <w:rPr>
          <w:color w:val="auto"/>
        </w:rPr>
      </w:r>
      <w:r/>
    </w:p>
    <w:p>
      <w:pPr>
        <w:pStyle w:val="1035"/>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p>
      <w:pPr>
        <w:pStyle w:val="1035"/>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rPr>
          <w:color w:val="auto"/>
        </w:rPr>
      </w:r>
      <w:r/>
    </w:p>
    <w:p>
      <w:pPr>
        <w:pStyle w:val="1035"/>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本单位对上述声明的真实性负责。如有虚假，将依法承担相应责任。</w:t>
      </w:r>
      <w:r>
        <w:rPr>
          <w:color w:val="auto"/>
        </w:rPr>
      </w:r>
      <w:r/>
    </w:p>
    <w:p>
      <w:pPr>
        <w:pStyle w:val="1035"/>
        <w:jc w:val="center"/>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p>
      <w:pPr>
        <w:pStyle w:val="1035"/>
        <w:jc w:val="center"/>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p>
      <w:pPr>
        <w:pStyle w:val="1035"/>
        <w:jc w:val="center"/>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p>
      <w:pPr>
        <w:pStyle w:val="1035"/>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单位名称（盖章）：   </w:t>
      </w:r>
      <w:r>
        <w:rPr>
          <w:color w:val="auto"/>
        </w:rPr>
      </w:r>
      <w:r/>
    </w:p>
    <w:p>
      <w:pPr>
        <w:pStyle w:val="1035"/>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日期：   </w:t>
      </w:r>
      <w:r>
        <w:rPr>
          <w:color w:val="auto"/>
        </w:rPr>
      </w:r>
      <w:r/>
    </w:p>
    <w:p>
      <w:pPr>
        <w:pStyle w:val="1035"/>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注：若供应商对照《关于促进残疾人就业政府采购政策的通知》（财库〔2017〕141号）中的规定，明确不符合残疾人福利性单位条件的，则无需提供此声明函。</w:t>
      </w:r>
      <w:r>
        <w:rPr>
          <w:color w:val="auto"/>
        </w:rPr>
      </w:r>
      <w:r/>
    </w:p>
    <w:p>
      <w:pPr>
        <w:pStyle w:val="1036"/>
        <w:jc w:val="left"/>
        <w:spacing w:line="360" w:lineRule="auto"/>
        <w:rPr>
          <w:rStyle w:val="913"/>
          <w:rFonts w:hint="eastAsia" w:ascii="宋体" w:hAnsi="宋体" w:eastAsia="宋体" w:cs="宋体"/>
          <w:color w:val="auto"/>
          <w:highlight w:val="none"/>
        </w:rPr>
        <w:outlineLvl w:val="1"/>
      </w:pPr>
      <w:r>
        <w:rPr>
          <w:rStyle w:val="913"/>
          <w:rFonts w:hint="eastAsia" w:ascii="宋体" w:hAnsi="宋体" w:eastAsia="宋体" w:cs="宋体"/>
          <w:color w:val="auto"/>
          <w:highlight w:val="none"/>
        </w:rPr>
        <w:br w:type="page" w:clear="all"/>
      </w:r>
      <w:bookmarkStart w:id="283" w:name="_Toc7516"/>
      <w:r>
        <w:rPr>
          <w:rStyle w:val="913"/>
          <w:rFonts w:hint="eastAsia" w:ascii="宋体" w:hAnsi="宋体" w:eastAsia="宋体" w:cs="宋体"/>
          <w:b/>
          <w:color w:val="auto"/>
          <w:sz w:val="32"/>
          <w:highlight w:val="none"/>
        </w:rPr>
        <w:t xml:space="preserve">十、监狱企业的证明文件</w:t>
      </w:r>
      <w:bookmarkEnd w:id="283"/>
      <w:r>
        <w:rPr>
          <w:color w:val="auto"/>
        </w:rPr>
      </w:r>
      <w:r/>
    </w:p>
    <w:p>
      <w:pPr>
        <w:pStyle w:val="1037"/>
        <w:jc w:val="center"/>
        <w:spacing w:line="360" w:lineRule="auto"/>
        <w:rPr>
          <w:rStyle w:val="1039"/>
          <w:rFonts w:hint="eastAsia" w:ascii="宋体" w:hAnsi="宋体" w:eastAsia="宋体" w:cs="宋体"/>
          <w:color w:val="auto"/>
          <w:highlight w:val="none"/>
        </w:rPr>
      </w:pPr>
      <w:r>
        <w:rPr>
          <w:color w:val="auto"/>
        </w:rPr>
      </w:r>
      <w:bookmarkStart w:id="284" w:name="_Toc35246808"/>
      <w:r>
        <w:rPr>
          <w:color w:val="auto"/>
        </w:rPr>
      </w:r>
      <w:bookmarkStart w:id="285" w:name="_Toc35244896"/>
      <w:r>
        <w:rPr>
          <w:color w:val="auto"/>
        </w:rPr>
      </w:r>
      <w:bookmarkStart w:id="286" w:name="_Toc43285587"/>
      <w:r>
        <w:rPr>
          <w:color w:val="auto"/>
        </w:rPr>
      </w:r>
      <w:bookmarkStart w:id="287" w:name="_Toc35266045"/>
      <w:r>
        <w:rPr>
          <w:color w:val="auto"/>
        </w:rPr>
      </w:r>
      <w:r/>
    </w:p>
    <w:p>
      <w:pPr>
        <w:pStyle w:val="1037"/>
        <w:jc w:val="center"/>
        <w:spacing w:line="360" w:lineRule="auto"/>
        <w:rPr>
          <w:rStyle w:val="1039"/>
          <w:rFonts w:hint="eastAsia" w:ascii="宋体" w:hAnsi="宋体" w:eastAsia="宋体" w:cs="宋体"/>
          <w:color w:val="auto"/>
          <w:highlight w:val="none"/>
        </w:rPr>
      </w:pPr>
      <w:r>
        <w:rPr>
          <w:rStyle w:val="1039"/>
          <w:rFonts w:hint="eastAsia" w:ascii="宋体" w:hAnsi="宋体" w:eastAsia="宋体" w:cs="宋体"/>
          <w:color w:val="auto"/>
          <w:highlight w:val="none"/>
        </w:rPr>
        <w:t xml:space="preserve">监狱企业的证明文件</w:t>
      </w:r>
      <w:bookmarkEnd w:id="284"/>
      <w:r>
        <w:rPr>
          <w:color w:val="auto"/>
        </w:rPr>
      </w:r>
      <w:bookmarkEnd w:id="285"/>
      <w:r>
        <w:rPr>
          <w:color w:val="auto"/>
        </w:rPr>
      </w:r>
      <w:bookmarkEnd w:id="286"/>
      <w:r>
        <w:rPr>
          <w:color w:val="auto"/>
        </w:rPr>
      </w:r>
      <w:bookmarkEnd w:id="287"/>
      <w:r>
        <w:rPr>
          <w:color w:val="auto"/>
        </w:rPr>
      </w:r>
      <w:r/>
    </w:p>
    <w:p>
      <w:pPr>
        <w:pStyle w:val="1038"/>
        <w:spacing w:line="360" w:lineRule="auto"/>
        <w:rPr>
          <w:rStyle w:val="913"/>
          <w:rFonts w:hint="eastAsia" w:ascii="宋体" w:hAnsi="宋体" w:eastAsia="宋体" w:cs="宋体"/>
          <w:color w:val="auto"/>
          <w:highlight w:val="none"/>
        </w:rPr>
      </w:pPr>
      <w:r>
        <w:rPr>
          <w:rStyle w:val="913"/>
          <w:rFonts w:hint="eastAsia" w:ascii="宋体" w:hAnsi="宋体" w:eastAsia="宋体" w:cs="宋体"/>
          <w:color w:val="auto"/>
          <w:highlight w:val="none"/>
        </w:rPr>
      </w:r>
      <w:r>
        <w:rPr>
          <w:color w:val="auto"/>
        </w:rPr>
      </w:r>
      <w:r/>
    </w:p>
    <w:p>
      <w:pPr>
        <w:pStyle w:val="1038"/>
        <w:spacing w:line="360" w:lineRule="auto"/>
        <w:rPr>
          <w:rStyle w:val="913"/>
          <w:rFonts w:hint="eastAsia" w:ascii="宋体" w:hAnsi="宋体" w:eastAsia="宋体" w:cs="宋体"/>
          <w:color w:val="auto"/>
          <w:highlight w:val="none"/>
        </w:rPr>
      </w:pPr>
      <w:r>
        <w:rPr>
          <w:rStyle w:val="913"/>
          <w:rFonts w:hint="eastAsia" w:ascii="宋体" w:hAnsi="宋体" w:eastAsia="宋体" w:cs="宋体"/>
          <w:color w:val="auto"/>
          <w:highlight w:val="none"/>
        </w:rPr>
        <w:t xml:space="preserve">注：若供应商对照《关于政府采购支持监狱企业发展有关问题的通知》（财库〔2014〕68号）中的规定，明确不符合监狱企业条件的，则无需提供相关证明文件。</w:t>
      </w:r>
      <w:r>
        <w:rPr>
          <w:color w:val="auto"/>
        </w:rPr>
      </w:r>
      <w:r/>
    </w:p>
    <w:p>
      <w:pPr>
        <w:pStyle w:val="1043"/>
        <w:spacing w:before="240" w:after="240" w:line="360" w:lineRule="auto"/>
        <w:rPr>
          <w:rStyle w:val="917"/>
          <w:rFonts w:hint="eastAsia" w:ascii="宋体" w:hAnsi="宋体" w:eastAsia="宋体" w:cs="宋体"/>
          <w:color w:val="auto"/>
          <w:sz w:val="32"/>
          <w:szCs w:val="32"/>
          <w:highlight w:val="none"/>
        </w:rPr>
      </w:pPr>
      <w:r>
        <w:rPr>
          <w:rStyle w:val="913"/>
          <w:rFonts w:hint="eastAsia" w:ascii="宋体" w:hAnsi="宋体" w:eastAsia="宋体" w:cs="宋体"/>
          <w:color w:val="auto"/>
          <w:highlight w:val="none"/>
        </w:rPr>
        <w:br w:type="page" w:clear="all"/>
      </w:r>
      <w:bookmarkStart w:id="288" w:name="_Toc3609"/>
      <w:r>
        <w:rPr>
          <w:rStyle w:val="917"/>
          <w:rFonts w:hint="eastAsia" w:ascii="宋体" w:hAnsi="宋体" w:eastAsia="宋体" w:cs="宋体"/>
          <w:color w:val="auto"/>
          <w:sz w:val="32"/>
          <w:szCs w:val="32"/>
          <w:highlight w:val="none"/>
        </w:rPr>
        <w:t xml:space="preserve">十</w:t>
      </w:r>
      <w:r>
        <w:rPr>
          <w:rStyle w:val="917"/>
          <w:rFonts w:hint="eastAsia" w:ascii="宋体" w:hAnsi="宋体" w:eastAsia="宋体" w:cs="宋体"/>
          <w:color w:val="auto"/>
          <w:sz w:val="32"/>
          <w:szCs w:val="32"/>
          <w:highlight w:val="none"/>
          <w:lang w:eastAsia="zh-CN"/>
        </w:rPr>
        <w:t xml:space="preserve">一</w:t>
      </w:r>
      <w:r>
        <w:rPr>
          <w:rStyle w:val="917"/>
          <w:rFonts w:hint="eastAsia" w:ascii="宋体" w:hAnsi="宋体" w:eastAsia="宋体" w:cs="宋体"/>
          <w:color w:val="auto"/>
          <w:sz w:val="32"/>
          <w:szCs w:val="32"/>
          <w:highlight w:val="none"/>
        </w:rPr>
        <w:t xml:space="preserve">、技术参数响应及偏离表</w:t>
      </w:r>
      <w:r>
        <w:rPr>
          <w:color w:val="auto"/>
        </w:rPr>
      </w:r>
      <w:r/>
    </w:p>
    <w:p>
      <w:pPr>
        <w:pStyle w:val="1045"/>
        <w:spacing w:line="360" w:lineRule="auto"/>
        <w:rPr>
          <w:rStyle w:val="913"/>
          <w:rFonts w:hint="eastAsia" w:ascii="宋体" w:hAnsi="宋体" w:eastAsia="宋体" w:cs="宋体"/>
          <w:color w:val="auto"/>
          <w:spacing w:val="7"/>
          <w:highlight w:val="none"/>
        </w:rPr>
        <w:outlineLvl w:val="9"/>
      </w:pPr>
      <w:r>
        <w:rPr>
          <w:color w:val="auto"/>
        </w:rPr>
      </w:r>
      <w:bookmarkEnd w:id="288"/>
      <w:r>
        <w:rPr>
          <w:rStyle w:val="913"/>
          <w:rFonts w:hint="eastAsia" w:ascii="宋体" w:hAnsi="宋体" w:eastAsia="宋体" w:cs="宋体"/>
          <w:color w:val="auto"/>
          <w:highlight w:val="none"/>
        </w:rPr>
        <w:t xml:space="preserve">﻿ </w:t>
      </w:r>
      <w:r>
        <w:rPr>
          <w:color w:val="auto"/>
        </w:rPr>
      </w:r>
      <w:r/>
    </w:p>
    <w:p>
      <w:pPr>
        <w:pStyle w:val="1045"/>
        <w:jc w:val="center"/>
        <w:spacing w:before="320" w:after="320" w:line="360" w:lineRule="auto"/>
        <w:rPr>
          <w:rStyle w:val="913"/>
          <w:rFonts w:hint="eastAsia" w:ascii="宋体" w:hAnsi="宋体" w:eastAsia="宋体" w:cs="宋体"/>
          <w:b/>
          <w:bCs/>
          <w:color w:val="auto"/>
          <w:sz w:val="32"/>
          <w:szCs w:val="32"/>
          <w:highlight w:val="none"/>
        </w:rPr>
      </w:pPr>
      <w:r>
        <w:rPr>
          <w:rStyle w:val="913"/>
          <w:rFonts w:hint="eastAsia" w:ascii="宋体" w:hAnsi="宋体" w:eastAsia="宋体" w:cs="宋体"/>
          <w:b/>
          <w:bCs/>
          <w:color w:val="auto"/>
          <w:sz w:val="32"/>
          <w:szCs w:val="32"/>
          <w:highlight w:val="none"/>
        </w:rPr>
        <w:t xml:space="preserve">技术参数响应及偏离表 </w:t>
      </w:r>
      <w:r>
        <w:rPr>
          <w:color w:val="auto"/>
        </w:rPr>
      </w:r>
      <w:r/>
    </w:p>
    <w:p>
      <w:pPr>
        <w:pStyle w:val="1045"/>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tbl>
      <w:tblPr>
        <w:tblW w:w="899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500"/>
        <w:gridCol w:w="1116"/>
        <w:gridCol w:w="2344"/>
        <w:gridCol w:w="2140"/>
        <w:gridCol w:w="706"/>
        <w:gridCol w:w="2140"/>
        <w:gridCol w:w="14"/>
        <w:gridCol w:w="6"/>
        <w:gridCol w:w="6"/>
        <w:gridCol w:w="6"/>
        <w:gridCol w:w="14"/>
      </w:tblGrid>
      <w:tr>
        <w:trPr>
          <w:trHeight w:val="287"/>
        </w:trPr>
        <w:tc>
          <w:tcPr>
            <w:tcMar>
              <w:left w:w="0" w:type="dxa"/>
              <w:top w:w="0" w:type="dxa"/>
              <w:right w:w="0" w:type="dxa"/>
              <w:bottom w:w="0" w:type="dxa"/>
            </w:tcMar>
            <w:tcW w:w="615" w:type="dxa"/>
            <w:vAlign w:val="center"/>
            <w:textDirection w:val="lrTb"/>
            <w:noWrap w:val="false"/>
          </w:tcPr>
          <w:p>
            <w:pPr>
              <w:pStyle w:val="1045"/>
              <w:jc w:val="center"/>
              <w:spacing w:line="360" w:lineRule="auto"/>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序号</w:t>
            </w:r>
            <w:r>
              <w:rPr>
                <w:color w:val="auto"/>
              </w:rPr>
            </w:r>
            <w:r/>
          </w:p>
        </w:tc>
        <w:tc>
          <w:tcPr>
            <w:tcMar>
              <w:left w:w="0" w:type="dxa"/>
              <w:top w:w="0" w:type="dxa"/>
              <w:right w:w="0" w:type="dxa"/>
              <w:bottom w:w="0" w:type="dxa"/>
            </w:tcMar>
            <w:tcW w:w="1515" w:type="dxa"/>
            <w:vAlign w:val="center"/>
            <w:textDirection w:val="lrTb"/>
            <w:noWrap w:val="false"/>
          </w:tcPr>
          <w:p>
            <w:pPr>
              <w:pStyle w:val="1045"/>
              <w:jc w:val="center"/>
              <w:spacing w:line="360" w:lineRule="auto"/>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名称</w:t>
            </w:r>
            <w:r>
              <w:rPr>
                <w:color w:val="auto"/>
              </w:rPr>
            </w:r>
            <w:r/>
          </w:p>
        </w:tc>
        <w:tc>
          <w:tcPr>
            <w:tcMar>
              <w:left w:w="0" w:type="dxa"/>
              <w:top w:w="0" w:type="dxa"/>
              <w:right w:w="0" w:type="dxa"/>
              <w:bottom w:w="0" w:type="dxa"/>
            </w:tcMar>
            <w:tcW w:w="3315" w:type="dxa"/>
            <w:vAlign w:val="center"/>
            <w:textDirection w:val="lrTb"/>
            <w:noWrap w:val="false"/>
          </w:tcPr>
          <w:p>
            <w:pPr>
              <w:pStyle w:val="1045"/>
              <w:jc w:val="center"/>
              <w:spacing w:line="360" w:lineRule="auto"/>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招标货物的技术性能</w:t>
            </w:r>
            <w:r>
              <w:rPr>
                <w:color w:val="auto"/>
              </w:rPr>
            </w:r>
            <w:r/>
          </w:p>
        </w:tc>
        <w:tc>
          <w:tcPr>
            <w:tcMar>
              <w:left w:w="0" w:type="dxa"/>
              <w:top w:w="0" w:type="dxa"/>
              <w:right w:w="0" w:type="dxa"/>
              <w:bottom w:w="0" w:type="dxa"/>
            </w:tcMar>
            <w:tcW w:w="3015" w:type="dxa"/>
            <w:vAlign w:val="center"/>
            <w:textDirection w:val="lrTb"/>
            <w:noWrap w:val="false"/>
          </w:tcPr>
          <w:p>
            <w:pPr>
              <w:pStyle w:val="1045"/>
              <w:jc w:val="center"/>
              <w:spacing w:line="360" w:lineRule="auto"/>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参与投标的货物的技术性能</w:t>
            </w:r>
            <w:r>
              <w:rPr>
                <w:color w:val="auto"/>
              </w:rPr>
            </w:r>
            <w:r/>
          </w:p>
        </w:tc>
        <w:tc>
          <w:tcPr>
            <w:tcMar>
              <w:left w:w="0" w:type="dxa"/>
              <w:top w:w="0" w:type="dxa"/>
              <w:right w:w="0" w:type="dxa"/>
              <w:bottom w:w="0" w:type="dxa"/>
            </w:tcMar>
            <w:tcW w:w="915" w:type="dxa"/>
            <w:vAlign w:val="center"/>
            <w:textDirection w:val="lrTb"/>
            <w:noWrap w:val="false"/>
          </w:tcPr>
          <w:p>
            <w:pPr>
              <w:pStyle w:val="1045"/>
              <w:jc w:val="center"/>
              <w:spacing w:line="360" w:lineRule="auto"/>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有无偏离</w:t>
            </w:r>
            <w:r>
              <w:rPr>
                <w:color w:val="auto"/>
              </w:rPr>
            </w:r>
            <w:r/>
          </w:p>
        </w:tc>
        <w:tc>
          <w:tcPr>
            <w:tcMar>
              <w:left w:w="0" w:type="dxa"/>
              <w:top w:w="0" w:type="dxa"/>
              <w:right w:w="0" w:type="dxa"/>
              <w:bottom w:w="0" w:type="dxa"/>
            </w:tcMar>
            <w:tcW w:w="3015" w:type="dxa"/>
            <w:vAlign w:val="center"/>
            <w:textDirection w:val="lrTb"/>
            <w:noWrap w:val="false"/>
          </w:tcPr>
          <w:p>
            <w:pPr>
              <w:pStyle w:val="1045"/>
              <w:jc w:val="center"/>
              <w:spacing w:line="360" w:lineRule="auto"/>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偏离内容及原因</w:t>
            </w:r>
            <w:r>
              <w:rPr>
                <w:color w:val="auto"/>
              </w:rPr>
            </w:r>
            <w:r/>
          </w:p>
        </w:tc>
        <w:tc>
          <w:tcPr>
            <w:tcW w:w="14" w:type="dxa"/>
            <w:vAlign w:val="center"/>
            <w:textDirection w:val="lrTb"/>
            <w:noWrap w:val="false"/>
          </w:tcPr>
          <w:p>
            <w:pPr>
              <w:pStyle w:val="1045"/>
              <w:spacing w:line="360" w:lineRule="auto"/>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r>
            <w:r>
              <w:rPr>
                <w:color w:val="auto"/>
              </w:rPr>
            </w:r>
            <w:r/>
          </w:p>
        </w:tc>
        <w:tc>
          <w:tcPr>
            <w:tcW w:w="6" w:type="dxa"/>
            <w:vAlign w:val="center"/>
            <w:textDirection w:val="lrTb"/>
            <w:noWrap w:val="false"/>
          </w:tcPr>
          <w:p>
            <w:pPr>
              <w:pStyle w:val="1045"/>
              <w:spacing w:line="360" w:lineRule="auto"/>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r>
            <w:r>
              <w:rPr>
                <w:color w:val="auto"/>
              </w:rPr>
            </w:r>
            <w:r/>
          </w:p>
        </w:tc>
        <w:tc>
          <w:tcPr>
            <w:tcW w:w="6" w:type="dxa"/>
            <w:vAlign w:val="center"/>
            <w:textDirection w:val="lrTb"/>
            <w:noWrap w:val="false"/>
          </w:tcPr>
          <w:p>
            <w:pPr>
              <w:pStyle w:val="1045"/>
              <w:spacing w:line="360" w:lineRule="auto"/>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r>
            <w:r>
              <w:rPr>
                <w:color w:val="auto"/>
              </w:rPr>
            </w:r>
            <w:r/>
          </w:p>
        </w:tc>
        <w:tc>
          <w:tcPr>
            <w:tcW w:w="6" w:type="dxa"/>
            <w:vAlign w:val="center"/>
            <w:textDirection w:val="lrTb"/>
            <w:noWrap w:val="false"/>
          </w:tcPr>
          <w:p>
            <w:pPr>
              <w:pStyle w:val="1045"/>
              <w:spacing w:line="360" w:lineRule="auto"/>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r>
            <w:r>
              <w:rPr>
                <w:color w:val="auto"/>
              </w:rPr>
            </w:r>
            <w:r/>
          </w:p>
        </w:tc>
        <w:tc>
          <w:tcPr>
            <w:tcW w:w="14" w:type="dxa"/>
            <w:vAlign w:val="center"/>
            <w:textDirection w:val="lrTb"/>
            <w:noWrap w:val="false"/>
          </w:tcPr>
          <w:p>
            <w:pPr>
              <w:pStyle w:val="1045"/>
              <w:spacing w:line="360" w:lineRule="auto"/>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r>
            <w:r>
              <w:rPr>
                <w:color w:val="auto"/>
              </w:rPr>
            </w:r>
            <w:r/>
          </w:p>
        </w:tc>
      </w:tr>
      <w:tr>
        <w:trPr>
          <w:trHeight w:val="460"/>
        </w:trPr>
        <w:tc>
          <w:tcPr>
            <w:gridSpan w:val="11"/>
            <w:tcMar>
              <w:left w:w="0" w:type="dxa"/>
              <w:top w:w="0" w:type="dxa"/>
              <w:right w:w="0" w:type="dxa"/>
              <w:bottom w:w="0" w:type="dxa"/>
            </w:tcMar>
            <w:tcW w:w="8992" w:type="dxa"/>
            <w:vAlign w:val="center"/>
            <w:textDirection w:val="lrTb"/>
            <w:noWrap w:val="false"/>
          </w:tcPr>
          <w:p>
            <w:pPr>
              <w:pStyle w:val="1045"/>
              <w:spacing w:line="360" w:lineRule="auto"/>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        </w:t>
            </w:r>
            <w:r>
              <w:rPr>
                <w:color w:val="auto"/>
              </w:rPr>
            </w:r>
            <w:r/>
          </w:p>
        </w:tc>
      </w:tr>
    </w:tbl>
    <w:p>
      <w:pPr>
        <w:pStyle w:val="1045"/>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p>
      <w:pPr>
        <w:pStyle w:val="1045"/>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注： </w:t>
      </w:r>
      <w:r>
        <w:rPr>
          <w:color w:val="auto"/>
        </w:rPr>
      </w:r>
      <w:r/>
    </w:p>
    <w:p>
      <w:pPr>
        <w:pStyle w:val="1045"/>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1、投标人应根据“技术要求”中的参数要求，对照所投报货物的技术性能进行逐项填写。因未标明或表述含糊导致的评标风险将由投标人承担。 </w:t>
      </w:r>
      <w:r>
        <w:rPr>
          <w:color w:val="auto"/>
        </w:rPr>
      </w:r>
      <w:r/>
    </w:p>
    <w:p>
      <w:pPr>
        <w:pStyle w:val="1045"/>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rPr>
          <w:color w:val="auto"/>
        </w:rPr>
      </w:r>
      <w:r/>
    </w:p>
    <w:p>
      <w:pPr>
        <w:pStyle w:val="1045"/>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3、表格不够可另接。 </w:t>
      </w:r>
      <w:r>
        <w:rPr>
          <w:color w:val="auto"/>
        </w:rPr>
      </w:r>
      <w:r/>
    </w:p>
    <w:p>
      <w:pPr>
        <w:pStyle w:val="1046"/>
        <w:jc w:val="left"/>
        <w:spacing w:line="360" w:lineRule="auto"/>
        <w:rPr>
          <w:rStyle w:val="913"/>
          <w:rFonts w:hint="eastAsia" w:ascii="宋体" w:hAnsi="宋体" w:eastAsia="宋体" w:cs="宋体"/>
          <w:color w:val="auto"/>
          <w:highlight w:val="none"/>
        </w:rPr>
        <w:outlineLvl w:val="1"/>
      </w:pPr>
      <w:r>
        <w:rPr>
          <w:rStyle w:val="913"/>
          <w:rFonts w:hint="eastAsia" w:ascii="宋体" w:hAnsi="宋体" w:eastAsia="宋体" w:cs="宋体"/>
          <w:color w:val="auto"/>
          <w:highlight w:val="none"/>
        </w:rPr>
        <w:br w:type="page" w:clear="all"/>
      </w:r>
      <w:bookmarkStart w:id="289" w:name="_Toc23827"/>
      <w:r>
        <w:rPr>
          <w:rStyle w:val="913"/>
          <w:rFonts w:hint="eastAsia" w:ascii="宋体" w:hAnsi="宋体" w:eastAsia="宋体" w:cs="宋体"/>
          <w:b/>
          <w:color w:val="auto"/>
          <w:sz w:val="32"/>
          <w:highlight w:val="none"/>
        </w:rPr>
        <w:t xml:space="preserve">十</w:t>
      </w:r>
      <w:r>
        <w:rPr>
          <w:rStyle w:val="913"/>
          <w:rFonts w:hint="eastAsia" w:ascii="宋体" w:hAnsi="宋体" w:eastAsia="宋体" w:cs="宋体"/>
          <w:b/>
          <w:color w:val="auto"/>
          <w:sz w:val="32"/>
          <w:highlight w:val="none"/>
          <w:lang w:eastAsia="zh-CN"/>
        </w:rPr>
        <w:t xml:space="preserve">二</w:t>
      </w:r>
      <w:r>
        <w:rPr>
          <w:rStyle w:val="913"/>
          <w:rFonts w:hint="eastAsia" w:ascii="宋体" w:hAnsi="宋体" w:eastAsia="宋体" w:cs="宋体"/>
          <w:b/>
          <w:color w:val="auto"/>
          <w:sz w:val="32"/>
          <w:highlight w:val="none"/>
        </w:rPr>
        <w:t xml:space="preserve">、商务条款响应及偏离表</w:t>
      </w:r>
      <w:bookmarkEnd w:id="289"/>
      <w:r>
        <w:rPr>
          <w:color w:val="auto"/>
        </w:rPr>
      </w:r>
      <w:r/>
    </w:p>
    <w:p>
      <w:pPr>
        <w:pStyle w:val="1047"/>
        <w:spacing w:line="360" w:lineRule="auto"/>
        <w:rPr>
          <w:rStyle w:val="913"/>
          <w:rFonts w:hint="eastAsia" w:ascii="宋体" w:hAnsi="宋体" w:eastAsia="宋体" w:cs="宋体"/>
          <w:color w:val="auto"/>
          <w:spacing w:val="7"/>
          <w:highlight w:val="none"/>
        </w:rPr>
        <w:outlineLvl w:val="9"/>
      </w:pPr>
      <w:r>
        <w:rPr>
          <w:rStyle w:val="913"/>
          <w:rFonts w:hint="eastAsia" w:ascii="宋体" w:hAnsi="宋体" w:eastAsia="宋体" w:cs="宋体"/>
          <w:color w:val="auto"/>
          <w:highlight w:val="none"/>
        </w:rPr>
        <w:t xml:space="preserve">﻿ </w:t>
      </w:r>
      <w:r>
        <w:rPr>
          <w:color w:val="auto"/>
        </w:rPr>
      </w:r>
      <w:r/>
    </w:p>
    <w:p>
      <w:pPr>
        <w:pStyle w:val="1047"/>
        <w:jc w:val="center"/>
        <w:spacing w:before="320" w:after="320" w:line="360" w:lineRule="auto"/>
        <w:rPr>
          <w:rStyle w:val="913"/>
          <w:rFonts w:hint="eastAsia" w:ascii="宋体" w:hAnsi="宋体" w:eastAsia="宋体" w:cs="宋体"/>
          <w:b/>
          <w:bCs/>
          <w:color w:val="auto"/>
          <w:sz w:val="32"/>
          <w:szCs w:val="32"/>
          <w:highlight w:val="none"/>
        </w:rPr>
      </w:pPr>
      <w:r>
        <w:rPr>
          <w:rStyle w:val="913"/>
          <w:rFonts w:hint="eastAsia" w:ascii="宋体" w:hAnsi="宋体" w:eastAsia="宋体" w:cs="宋体"/>
          <w:b/>
          <w:bCs/>
          <w:color w:val="auto"/>
          <w:sz w:val="32"/>
          <w:szCs w:val="32"/>
          <w:highlight w:val="none"/>
        </w:rPr>
        <w:t xml:space="preserve">商务条款响应及偏离表 </w:t>
      </w:r>
      <w:r>
        <w:rPr>
          <w:color w:val="auto"/>
        </w:rPr>
      </w:r>
      <w:r/>
    </w:p>
    <w:p>
      <w:pPr>
        <w:pStyle w:val="1047"/>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tbl>
      <w:tblPr>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559"/>
        <w:gridCol w:w="2559"/>
        <w:gridCol w:w="806"/>
        <w:gridCol w:w="3061"/>
      </w:tblGrid>
      <w:tr>
        <w:trPr>
          <w:trHeight w:val="287"/>
        </w:trPr>
        <w:tc>
          <w:tcPr>
            <w:tcMar>
              <w:left w:w="0" w:type="dxa"/>
              <w:top w:w="0" w:type="dxa"/>
              <w:right w:w="0" w:type="dxa"/>
              <w:bottom w:w="0" w:type="dxa"/>
            </w:tcMar>
            <w:tcW w:w="3015" w:type="dxa"/>
            <w:vAlign w:val="center"/>
            <w:textDirection w:val="lrTb"/>
            <w:noWrap w:val="false"/>
          </w:tcPr>
          <w:p>
            <w:pPr>
              <w:pStyle w:val="1047"/>
              <w:jc w:val="center"/>
              <w:spacing w:line="360" w:lineRule="auto"/>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项目</w:t>
            </w:r>
            <w:r>
              <w:rPr>
                <w:color w:val="auto"/>
              </w:rPr>
            </w:r>
            <w:r/>
          </w:p>
        </w:tc>
        <w:tc>
          <w:tcPr>
            <w:tcMar>
              <w:left w:w="0" w:type="dxa"/>
              <w:top w:w="0" w:type="dxa"/>
              <w:right w:w="0" w:type="dxa"/>
              <w:bottom w:w="0" w:type="dxa"/>
            </w:tcMar>
            <w:tcW w:w="3015" w:type="dxa"/>
            <w:vAlign w:val="center"/>
            <w:textDirection w:val="lrTb"/>
            <w:noWrap w:val="false"/>
          </w:tcPr>
          <w:p>
            <w:pPr>
              <w:pStyle w:val="1047"/>
              <w:jc w:val="center"/>
              <w:spacing w:line="360" w:lineRule="auto"/>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招标文件要求</w:t>
            </w:r>
            <w:r>
              <w:rPr>
                <w:color w:val="auto"/>
              </w:rPr>
            </w:r>
            <w:r/>
          </w:p>
        </w:tc>
        <w:tc>
          <w:tcPr>
            <w:tcMar>
              <w:left w:w="0" w:type="dxa"/>
              <w:top w:w="0" w:type="dxa"/>
              <w:right w:w="0" w:type="dxa"/>
              <w:bottom w:w="0" w:type="dxa"/>
            </w:tcMar>
            <w:tcW w:w="915" w:type="dxa"/>
            <w:vAlign w:val="center"/>
            <w:textDirection w:val="lrTb"/>
            <w:noWrap w:val="false"/>
          </w:tcPr>
          <w:p>
            <w:pPr>
              <w:pStyle w:val="1047"/>
              <w:jc w:val="center"/>
              <w:spacing w:line="360" w:lineRule="auto"/>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是否响应</w:t>
            </w:r>
            <w:r>
              <w:rPr>
                <w:color w:val="auto"/>
              </w:rPr>
            </w:r>
            <w:r/>
          </w:p>
        </w:tc>
        <w:tc>
          <w:tcPr>
            <w:tcMar>
              <w:left w:w="0" w:type="dxa"/>
              <w:top w:w="0" w:type="dxa"/>
              <w:right w:w="0" w:type="dxa"/>
              <w:bottom w:w="0" w:type="dxa"/>
            </w:tcMar>
            <w:tcW w:w="3615" w:type="dxa"/>
            <w:vAlign w:val="center"/>
            <w:textDirection w:val="lrTb"/>
            <w:noWrap w:val="false"/>
          </w:tcPr>
          <w:p>
            <w:pPr>
              <w:pStyle w:val="1047"/>
              <w:jc w:val="center"/>
              <w:spacing w:line="360" w:lineRule="auto"/>
              <w:rPr>
                <w:rStyle w:val="913"/>
                <w:rFonts w:hint="eastAsia" w:ascii="宋体" w:hAnsi="宋体" w:eastAsia="宋体" w:cs="宋体"/>
                <w:b w:val="0"/>
                <w:bCs w:val="0"/>
                <w:i w:val="0"/>
                <w:iCs w:val="0"/>
                <w:smallCaps w:val="0"/>
                <w:color w:val="auto"/>
                <w:sz w:val="24"/>
                <w:szCs w:val="24"/>
                <w:highlight w:val="none"/>
              </w:rPr>
            </w:pPr>
            <w:r>
              <w:rPr>
                <w:rStyle w:val="913"/>
                <w:rFonts w:hint="eastAsia" w:ascii="宋体" w:hAnsi="宋体" w:eastAsia="宋体" w:cs="宋体"/>
                <w:b w:val="0"/>
                <w:bCs w:val="0"/>
                <w:i w:val="0"/>
                <w:iCs w:val="0"/>
                <w:smallCaps w:val="0"/>
                <w:color w:val="auto"/>
                <w:sz w:val="24"/>
                <w:szCs w:val="24"/>
                <w:highlight w:val="none"/>
              </w:rPr>
              <w:t xml:space="preserve">投标人的承诺或说明</w:t>
            </w:r>
            <w:r>
              <w:rPr>
                <w:color w:val="auto"/>
              </w:rPr>
            </w:r>
            <w:r/>
          </w:p>
        </w:tc>
      </w:tr>
    </w:tbl>
    <w:p>
      <w:pPr>
        <w:pStyle w:val="1047"/>
        <w:spacing w:before="240" w:after="240" w:line="360" w:lineRule="auto"/>
        <w:rPr>
          <w:rStyle w:val="913"/>
          <w:rFonts w:hint="eastAsia" w:ascii="宋体" w:hAnsi="宋体" w:eastAsia="宋体" w:cs="宋体"/>
          <w:color w:val="auto"/>
          <w:sz w:val="24"/>
          <w:szCs w:val="24"/>
          <w:highlight w:val="none"/>
        </w:rPr>
      </w:pPr>
      <w:r>
        <w:rPr>
          <w:rStyle w:val="913"/>
          <w:rFonts w:hint="eastAsia" w:ascii="宋体" w:hAnsi="宋体" w:eastAsia="宋体" w:cs="宋体"/>
          <w:color w:val="auto"/>
          <w:highlight w:val="none"/>
        </w:rPr>
        <w:t xml:space="preserve">  </w:t>
      </w:r>
      <w:r>
        <w:rPr>
          <w:color w:val="auto"/>
        </w:rPr>
      </w:r>
      <w:r/>
    </w:p>
    <w:p>
      <w:pPr>
        <w:pStyle w:val="1051"/>
        <w:jc w:val="left"/>
        <w:spacing w:line="360" w:lineRule="auto"/>
        <w:rPr>
          <w:rStyle w:val="913"/>
          <w:rFonts w:hint="eastAsia" w:ascii="宋体" w:hAnsi="宋体" w:eastAsia="宋体" w:cs="宋体"/>
          <w:color w:val="auto"/>
          <w:highlight w:val="none"/>
        </w:rPr>
        <w:outlineLvl w:val="1"/>
      </w:pPr>
      <w:r>
        <w:rPr>
          <w:rStyle w:val="913"/>
          <w:rFonts w:hint="eastAsia" w:ascii="宋体" w:hAnsi="宋体" w:eastAsia="宋体" w:cs="宋体"/>
          <w:color w:val="auto"/>
          <w:highlight w:val="none"/>
        </w:rPr>
        <w:br w:type="page" w:clear="all"/>
      </w:r>
      <w:bookmarkStart w:id="290" w:name="_Toc2886"/>
      <w:r>
        <w:rPr>
          <w:rStyle w:val="913"/>
          <w:rFonts w:hint="eastAsia" w:ascii="宋体" w:hAnsi="宋体" w:eastAsia="宋体" w:cs="宋体"/>
          <w:b/>
          <w:color w:val="auto"/>
          <w:sz w:val="32"/>
          <w:highlight w:val="none"/>
        </w:rPr>
        <w:t xml:space="preserve">十</w:t>
      </w:r>
      <w:r>
        <w:rPr>
          <w:rStyle w:val="913"/>
          <w:rFonts w:hint="eastAsia" w:ascii="宋体" w:hAnsi="宋体" w:eastAsia="宋体" w:cs="宋体"/>
          <w:b/>
          <w:color w:val="auto"/>
          <w:sz w:val="32"/>
          <w:highlight w:val="none"/>
          <w:lang w:eastAsia="zh-CN"/>
        </w:rPr>
        <w:t xml:space="preserve">三</w:t>
      </w:r>
      <w:r>
        <w:rPr>
          <w:rStyle w:val="913"/>
          <w:rFonts w:hint="eastAsia" w:ascii="宋体" w:hAnsi="宋体" w:eastAsia="宋体" w:cs="宋体"/>
          <w:b/>
          <w:color w:val="auto"/>
          <w:sz w:val="32"/>
          <w:highlight w:val="none"/>
        </w:rPr>
        <w:t xml:space="preserve">、其他材料</w:t>
      </w:r>
      <w:bookmarkEnd w:id="290"/>
      <w:r>
        <w:rPr>
          <w:color w:val="auto"/>
        </w:rPr>
      </w:r>
      <w:r/>
    </w:p>
    <w:p>
      <w:pPr>
        <w:pStyle w:val="911"/>
        <w:spacing w:line="360" w:lineRule="auto"/>
        <w:rPr>
          <w:rFonts w:hint="eastAsia" w:ascii="宋体" w:hAnsi="宋体" w:eastAsia="宋体" w:cs="宋体"/>
          <w:b/>
          <w:bCs/>
          <w:color w:val="auto"/>
          <w:sz w:val="20"/>
          <w:szCs w:val="32"/>
          <w:highlight w:val="none"/>
        </w:rPr>
      </w:pPr>
      <w:r>
        <w:rPr>
          <w:color w:val="auto"/>
        </w:rPr>
      </w:r>
      <w:bookmarkEnd w:id="256"/>
      <w:r>
        <w:rPr>
          <w:color w:val="auto"/>
        </w:rPr>
      </w:r>
      <w:bookmarkStart w:id="291" w:name="_Hlt26671244"/>
      <w:r>
        <w:rPr>
          <w:color w:val="auto"/>
        </w:rPr>
      </w:r>
      <w:bookmarkEnd w:id="291"/>
      <w:r>
        <w:rPr>
          <w:color w:val="auto"/>
        </w:rPr>
      </w:r>
      <w:bookmarkStart w:id="292" w:name="EB588535cb89c848fcab6b1c628a21da1b"/>
      <w:r>
        <w:rPr>
          <w:color w:val="auto"/>
        </w:rPr>
      </w:r>
      <w:bookmarkStart w:id="293" w:name="_Toc120614282"/>
      <w:r>
        <w:rPr>
          <w:color w:val="auto"/>
        </w:rPr>
      </w:r>
      <w:bookmarkStart w:id="294" w:name="_Toc49090576"/>
      <w:r>
        <w:rPr>
          <w:rFonts w:hint="eastAsia" w:ascii="宋体" w:hAnsi="宋体" w:eastAsia="宋体" w:cs="宋体"/>
          <w:b/>
          <w:bCs/>
          <w:color w:val="auto"/>
          <w:sz w:val="20"/>
          <w:szCs w:val="32"/>
          <w:highlight w:val="none"/>
        </w:rPr>
        <w:t xml:space="preserve"> </w:t>
      </w:r>
      <w:bookmarkEnd w:id="292"/>
      <w:r>
        <w:rPr>
          <w:color w:val="auto"/>
        </w:rPr>
      </w:r>
      <w:r/>
    </w:p>
    <w:p>
      <w:pPr>
        <w:pStyle w:val="911"/>
        <w:ind w:firstLine="480"/>
        <w:spacing w:line="360" w:lineRule="auto"/>
        <w:rPr>
          <w:rFonts w:hint="eastAsia" w:ascii="宋体" w:hAnsi="宋体" w:eastAsia="宋体" w:cs="宋体"/>
          <w:color w:val="auto"/>
          <w:sz w:val="24"/>
          <w:highlight w:val="none"/>
        </w:rPr>
      </w:pPr>
      <w:r>
        <w:rPr>
          <w:color w:val="auto"/>
        </w:rPr>
      </w:r>
      <w:bookmarkEnd w:id="226"/>
      <w:r>
        <w:rPr>
          <w:color w:val="auto"/>
        </w:rPr>
      </w:r>
      <w:bookmarkEnd w:id="227"/>
      <w:r>
        <w:rPr>
          <w:color w:val="auto"/>
        </w:rPr>
      </w:r>
      <w:bookmarkEnd w:id="257"/>
      <w:r>
        <w:rPr>
          <w:color w:val="auto"/>
        </w:rPr>
      </w:r>
      <w:bookmarkEnd w:id="293"/>
      <w:r>
        <w:rPr>
          <w:color w:val="auto"/>
        </w:rPr>
      </w:r>
      <w:bookmarkEnd w:id="294"/>
      <w:r>
        <w:rPr>
          <w:color w:val="auto"/>
        </w:rPr>
      </w:r>
      <w:r/>
    </w:p>
    <w:sectPr>
      <w:footerReference w:type="default" r:id="rId12"/>
      <w:footerReference w:type="even" r:id="rId13"/>
      <w:footerReference w:type="first" r:id="rId14"/>
      <w:footnotePr/>
      <w:endnotePr/>
      <w:type w:val="nextPage"/>
      <w:pgSz w:w="11906" w:h="16838" w:orient="portrait"/>
      <w:pgMar w:top="720" w:right="720" w:bottom="720" w:left="720" w:header="567"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mbria">
    <w:panose1 w:val="02040503050406030204"/>
  </w:font>
  <w:font w:name="楷体_GB2312">
    <w:panose1 w:val="02010609060101010101"/>
  </w:font>
  <w:font w:name="方正仿宋简体">
    <w:panose1 w:val="020B0503020202020204"/>
  </w:font>
  <w:font w:name="黑体">
    <w:panose1 w:val="02010609060101010101"/>
  </w:font>
  <w:font w:name="幼圆">
    <w:panose1 w:val="02010509060101010101"/>
  </w:font>
  <w:font w:name="Calibri">
    <w:panose1 w:val="020F0502020204030204"/>
  </w:font>
  <w:font w:name="Arial Unicode MS">
    <w:panose1 w:val="020B0604020202020204"/>
  </w:font>
  <w:font w:name="创艺简仿宋">
    <w:panose1 w:val="020B0503020202020204"/>
  </w:font>
  <w:font w:name="Arial">
    <w:panose1 w:val="020B0604020202020204"/>
  </w:font>
  <w:font w:name="monospace">
    <w:panose1 w:val="020B0503020202020204"/>
  </w:font>
  <w:font w:name="ActionIcon ! importan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31"/>
      </w:rPr>
      <w:framePr w:wrap="around" w:vAnchor="text" w:hAnchor="margin" w:xAlign="center" w:y="1"/>
    </w:pPr>
    <w:r>
      <w:fldChar w:fldCharType="begin"/>
    </w:r>
    <w:r>
      <w:rPr>
        <w:rStyle w:val="931"/>
        <w:highlight w:val="white"/>
      </w:rPr>
      <w:instrText xml:space="preserve">PAGE  </w:instrText>
    </w:r>
    <w:r>
      <w:fldChar w:fldCharType="separate"/>
    </w:r>
    <w:r>
      <w:rPr>
        <w:rStyle w:val="931"/>
        <w:highlight w:val="white"/>
      </w:rPr>
      <w:t xml:space="preserve">1</w:t>
    </w:r>
    <w:r>
      <w:fldChar w:fldCharType="end"/>
    </w:r>
    <w:r>
      <w:rPr>
        <w:rStyle w:val="931"/>
      </w:rPr>
    </w:r>
    <w:r/>
  </w:p>
  <w:p>
    <w:pPr>
      <w:pStyle w:val="92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rPr>
        <w:rStyle w:val="931"/>
      </w:rPr>
      <w:framePr w:wrap="around" w:vAnchor="text" w:hAnchor="margin" w:xAlign="center" w:y="1"/>
    </w:pPr>
    <w:r>
      <w:fldChar w:fldCharType="begin"/>
    </w:r>
    <w:r>
      <w:rPr>
        <w:rStyle w:val="931"/>
        <w:highlight w:val="white"/>
      </w:rPr>
      <w:instrText xml:space="preserve">PAGE  </w:instrText>
    </w:r>
    <w:r>
      <w:fldChar w:fldCharType="separate"/>
    </w:r>
    <w:r>
      <w:fldChar w:fldCharType="end"/>
    </w:r>
    <w:r>
      <w:rPr>
        <w:rStyle w:val="931"/>
      </w:rPr>
    </w:r>
    <w:r/>
  </w:p>
  <w:p>
    <w:pPr>
      <w:pStyle w:val="92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84</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ind w:firstLine="360"/>
      <w:tabs>
        <w:tab w:val="center" w:pos="4153" w:leader="none"/>
        <w:tab w:val="right" w:pos="8306" w:leader="none"/>
      </w:tabs>
      <w:rPr>
        <w:rStyle w:val="931"/>
      </w:rPr>
      <w:framePr w:wrap="around" w:vAnchor="text" w:hAnchor="margin" w:xAlign="right" w:y="1"/>
    </w:pPr>
    <w:r>
      <w:fldChar w:fldCharType="begin"/>
    </w:r>
    <w:r>
      <w:rPr>
        <w:rStyle w:val="931"/>
        <w:color w:val="000000"/>
        <w:highlight w:val="white"/>
      </w:rPr>
      <w:instrText xml:space="preserve">PAGE  </w:instrText>
    </w:r>
    <w:r>
      <w:fldChar w:fldCharType="separate"/>
    </w:r>
    <w:r>
      <w:fldChar w:fldCharType="end"/>
    </w:r>
    <w:r>
      <w:rPr>
        <w:rStyle w:val="931"/>
      </w:rPr>
    </w:r>
    <w:r/>
  </w:p>
  <w:p>
    <w:pPr>
      <w:pStyle w:val="921"/>
      <w:ind w:right="360" w:firstLine="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21"/>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name w:val="Heading 1"/>
    <w:basedOn w:val="911"/>
    <w:next w:val="911"/>
    <w:link w:val="736"/>
    <w:uiPriority w:val="9"/>
    <w:qFormat/>
    <w:pPr>
      <w:keepLines/>
      <w:keepNext/>
      <w:spacing w:before="480" w:after="200"/>
      <w:outlineLvl w:val="0"/>
    </w:pPr>
    <w:rPr>
      <w:rFonts w:ascii="Arial" w:hAnsi="Arial" w:eastAsia="Arial" w:cs="Arial"/>
      <w:sz w:val="40"/>
      <w:szCs w:val="40"/>
    </w:rPr>
  </w:style>
  <w:style w:type="character" w:styleId="736">
    <w:name w:val="Heading 1 Char"/>
    <w:link w:val="735"/>
    <w:uiPriority w:val="9"/>
    <w:rPr>
      <w:rFonts w:ascii="Arial" w:hAnsi="Arial" w:eastAsia="Arial" w:cs="Arial"/>
      <w:sz w:val="40"/>
      <w:szCs w:val="40"/>
    </w:rPr>
  </w:style>
  <w:style w:type="paragraph" w:styleId="737">
    <w:name w:val="Heading 2"/>
    <w:basedOn w:val="911"/>
    <w:next w:val="911"/>
    <w:link w:val="738"/>
    <w:uiPriority w:val="9"/>
    <w:unhideWhenUsed/>
    <w:qFormat/>
    <w:pPr>
      <w:keepLines/>
      <w:keepNext/>
      <w:spacing w:before="360" w:after="200"/>
      <w:outlineLvl w:val="1"/>
    </w:pPr>
    <w:rPr>
      <w:rFonts w:ascii="Arial" w:hAnsi="Arial" w:eastAsia="Arial" w:cs="Arial"/>
      <w:sz w:val="34"/>
    </w:rPr>
  </w:style>
  <w:style w:type="character" w:styleId="738">
    <w:name w:val="Heading 2 Char"/>
    <w:link w:val="737"/>
    <w:uiPriority w:val="9"/>
    <w:rPr>
      <w:rFonts w:ascii="Arial" w:hAnsi="Arial" w:eastAsia="Arial" w:cs="Arial"/>
      <w:sz w:val="34"/>
    </w:rPr>
  </w:style>
  <w:style w:type="paragraph" w:styleId="739">
    <w:name w:val="Heading 3"/>
    <w:basedOn w:val="911"/>
    <w:next w:val="911"/>
    <w:link w:val="740"/>
    <w:uiPriority w:val="9"/>
    <w:unhideWhenUsed/>
    <w:qFormat/>
    <w:pPr>
      <w:keepLines/>
      <w:keepNext/>
      <w:spacing w:before="320" w:after="200"/>
      <w:outlineLvl w:val="2"/>
    </w:pPr>
    <w:rPr>
      <w:rFonts w:ascii="Arial" w:hAnsi="Arial" w:eastAsia="Arial" w:cs="Arial"/>
      <w:sz w:val="30"/>
      <w:szCs w:val="30"/>
    </w:rPr>
  </w:style>
  <w:style w:type="character" w:styleId="740">
    <w:name w:val="Heading 3 Char"/>
    <w:link w:val="739"/>
    <w:uiPriority w:val="9"/>
    <w:rPr>
      <w:rFonts w:ascii="Arial" w:hAnsi="Arial" w:eastAsia="Arial" w:cs="Arial"/>
      <w:sz w:val="30"/>
      <w:szCs w:val="30"/>
    </w:rPr>
  </w:style>
  <w:style w:type="character" w:styleId="741">
    <w:name w:val="Heading 4 Char"/>
    <w:link w:val="985"/>
    <w:uiPriority w:val="9"/>
    <w:rPr>
      <w:rFonts w:ascii="Arial" w:hAnsi="Arial" w:eastAsia="Arial" w:cs="Arial"/>
      <w:b/>
      <w:bCs/>
      <w:sz w:val="26"/>
      <w:szCs w:val="26"/>
    </w:rPr>
  </w:style>
  <w:style w:type="paragraph" w:styleId="742">
    <w:name w:val="Heading 5"/>
    <w:basedOn w:val="911"/>
    <w:next w:val="911"/>
    <w:link w:val="743"/>
    <w:uiPriority w:val="9"/>
    <w:unhideWhenUsed/>
    <w:qFormat/>
    <w:pPr>
      <w:keepLines/>
      <w:keepNext/>
      <w:spacing w:before="320" w:after="200"/>
      <w:outlineLvl w:val="4"/>
    </w:pPr>
    <w:rPr>
      <w:rFonts w:ascii="Arial" w:hAnsi="Arial" w:eastAsia="Arial" w:cs="Arial"/>
      <w:b/>
      <w:bCs/>
      <w:sz w:val="24"/>
      <w:szCs w:val="24"/>
    </w:rPr>
  </w:style>
  <w:style w:type="character" w:styleId="743">
    <w:name w:val="Heading 5 Char"/>
    <w:link w:val="742"/>
    <w:uiPriority w:val="9"/>
    <w:rPr>
      <w:rFonts w:ascii="Arial" w:hAnsi="Arial" w:eastAsia="Arial" w:cs="Arial"/>
      <w:b/>
      <w:bCs/>
      <w:sz w:val="24"/>
      <w:szCs w:val="24"/>
    </w:rPr>
  </w:style>
  <w:style w:type="paragraph" w:styleId="744">
    <w:name w:val="Heading 6"/>
    <w:basedOn w:val="911"/>
    <w:next w:val="911"/>
    <w:link w:val="745"/>
    <w:uiPriority w:val="9"/>
    <w:unhideWhenUsed/>
    <w:qFormat/>
    <w:pPr>
      <w:keepLines/>
      <w:keepNext/>
      <w:spacing w:before="320" w:after="200"/>
      <w:outlineLvl w:val="5"/>
    </w:pPr>
    <w:rPr>
      <w:rFonts w:ascii="Arial" w:hAnsi="Arial" w:eastAsia="Arial" w:cs="Arial"/>
      <w:b/>
      <w:bCs/>
      <w:sz w:val="22"/>
      <w:szCs w:val="22"/>
    </w:rPr>
  </w:style>
  <w:style w:type="character" w:styleId="745">
    <w:name w:val="Heading 6 Char"/>
    <w:link w:val="744"/>
    <w:uiPriority w:val="9"/>
    <w:rPr>
      <w:rFonts w:ascii="Arial" w:hAnsi="Arial" w:eastAsia="Arial" w:cs="Arial"/>
      <w:b/>
      <w:bCs/>
      <w:sz w:val="22"/>
      <w:szCs w:val="22"/>
    </w:rPr>
  </w:style>
  <w:style w:type="paragraph" w:styleId="746">
    <w:name w:val="Heading 7"/>
    <w:basedOn w:val="911"/>
    <w:next w:val="911"/>
    <w:link w:val="747"/>
    <w:uiPriority w:val="9"/>
    <w:unhideWhenUsed/>
    <w:qFormat/>
    <w:pPr>
      <w:keepLines/>
      <w:keepNext/>
      <w:spacing w:before="320" w:after="200"/>
      <w:outlineLvl w:val="6"/>
    </w:pPr>
    <w:rPr>
      <w:rFonts w:ascii="Arial" w:hAnsi="Arial" w:eastAsia="Arial" w:cs="Arial"/>
      <w:b/>
      <w:bCs/>
      <w:i/>
      <w:iCs/>
      <w:sz w:val="22"/>
      <w:szCs w:val="22"/>
    </w:rPr>
  </w:style>
  <w:style w:type="character" w:styleId="747">
    <w:name w:val="Heading 7 Char"/>
    <w:link w:val="746"/>
    <w:uiPriority w:val="9"/>
    <w:rPr>
      <w:rFonts w:ascii="Arial" w:hAnsi="Arial" w:eastAsia="Arial" w:cs="Arial"/>
      <w:b/>
      <w:bCs/>
      <w:i/>
      <w:iCs/>
      <w:sz w:val="22"/>
      <w:szCs w:val="22"/>
    </w:rPr>
  </w:style>
  <w:style w:type="paragraph" w:styleId="748">
    <w:name w:val="Heading 8"/>
    <w:basedOn w:val="911"/>
    <w:next w:val="911"/>
    <w:link w:val="749"/>
    <w:uiPriority w:val="9"/>
    <w:unhideWhenUsed/>
    <w:qFormat/>
    <w:pPr>
      <w:keepLines/>
      <w:keepNext/>
      <w:spacing w:before="320" w:after="200"/>
      <w:outlineLvl w:val="7"/>
    </w:pPr>
    <w:rPr>
      <w:rFonts w:ascii="Arial" w:hAnsi="Arial" w:eastAsia="Arial" w:cs="Arial"/>
      <w:i/>
      <w:iCs/>
      <w:sz w:val="22"/>
      <w:szCs w:val="22"/>
    </w:rPr>
  </w:style>
  <w:style w:type="character" w:styleId="749">
    <w:name w:val="Heading 8 Char"/>
    <w:link w:val="748"/>
    <w:uiPriority w:val="9"/>
    <w:rPr>
      <w:rFonts w:ascii="Arial" w:hAnsi="Arial" w:eastAsia="Arial" w:cs="Arial"/>
      <w:i/>
      <w:iCs/>
      <w:sz w:val="22"/>
      <w:szCs w:val="22"/>
    </w:rPr>
  </w:style>
  <w:style w:type="paragraph" w:styleId="750">
    <w:name w:val="Heading 9"/>
    <w:basedOn w:val="911"/>
    <w:next w:val="911"/>
    <w:link w:val="751"/>
    <w:uiPriority w:val="9"/>
    <w:unhideWhenUsed/>
    <w:qFormat/>
    <w:pPr>
      <w:keepLines/>
      <w:keepNext/>
      <w:spacing w:before="320" w:after="200"/>
      <w:outlineLvl w:val="8"/>
    </w:pPr>
    <w:rPr>
      <w:rFonts w:ascii="Arial" w:hAnsi="Arial" w:eastAsia="Arial" w:cs="Arial"/>
      <w:i/>
      <w:iCs/>
      <w:sz w:val="21"/>
      <w:szCs w:val="21"/>
    </w:rPr>
  </w:style>
  <w:style w:type="character" w:styleId="751">
    <w:name w:val="Heading 9 Char"/>
    <w:link w:val="750"/>
    <w:uiPriority w:val="9"/>
    <w:rPr>
      <w:rFonts w:ascii="Arial" w:hAnsi="Arial" w:eastAsia="Arial" w:cs="Arial"/>
      <w:i/>
      <w:iCs/>
      <w:sz w:val="21"/>
      <w:szCs w:val="21"/>
    </w:rPr>
  </w:style>
  <w:style w:type="paragraph" w:styleId="752">
    <w:name w:val="No Spacing"/>
    <w:uiPriority w:val="1"/>
    <w:qFormat/>
    <w:pPr>
      <w:spacing w:before="0" w:after="0" w:line="240" w:lineRule="auto"/>
    </w:pPr>
  </w:style>
  <w:style w:type="paragraph" w:styleId="753">
    <w:name w:val="Title"/>
    <w:basedOn w:val="911"/>
    <w:next w:val="911"/>
    <w:link w:val="754"/>
    <w:uiPriority w:val="10"/>
    <w:qFormat/>
    <w:pPr>
      <w:contextualSpacing/>
      <w:spacing w:before="300" w:after="200"/>
    </w:pPr>
    <w:rPr>
      <w:sz w:val="48"/>
      <w:szCs w:val="48"/>
    </w:rPr>
  </w:style>
  <w:style w:type="character" w:styleId="754">
    <w:name w:val="Title Char"/>
    <w:link w:val="753"/>
    <w:uiPriority w:val="10"/>
    <w:rPr>
      <w:sz w:val="48"/>
      <w:szCs w:val="48"/>
    </w:rPr>
  </w:style>
  <w:style w:type="paragraph" w:styleId="755">
    <w:name w:val="Subtitle"/>
    <w:basedOn w:val="911"/>
    <w:next w:val="911"/>
    <w:link w:val="756"/>
    <w:uiPriority w:val="11"/>
    <w:qFormat/>
    <w:pPr>
      <w:spacing w:before="200" w:after="200"/>
    </w:pPr>
    <w:rPr>
      <w:sz w:val="24"/>
      <w:szCs w:val="24"/>
    </w:rPr>
  </w:style>
  <w:style w:type="character" w:styleId="756">
    <w:name w:val="Subtitle Char"/>
    <w:link w:val="755"/>
    <w:uiPriority w:val="11"/>
    <w:rPr>
      <w:sz w:val="24"/>
      <w:szCs w:val="24"/>
    </w:rPr>
  </w:style>
  <w:style w:type="paragraph" w:styleId="757">
    <w:name w:val="Quote"/>
    <w:basedOn w:val="911"/>
    <w:next w:val="911"/>
    <w:link w:val="758"/>
    <w:uiPriority w:val="29"/>
    <w:qFormat/>
    <w:pPr>
      <w:ind w:left="720" w:right="720"/>
    </w:pPr>
    <w:rPr>
      <w:i/>
    </w:rPr>
  </w:style>
  <w:style w:type="character" w:styleId="758">
    <w:name w:val="Quote Char"/>
    <w:link w:val="757"/>
    <w:uiPriority w:val="29"/>
    <w:rPr>
      <w:i/>
    </w:rPr>
  </w:style>
  <w:style w:type="paragraph" w:styleId="759">
    <w:name w:val="Intense Quote"/>
    <w:basedOn w:val="911"/>
    <w:next w:val="911"/>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name w:val="Intense Quote Char"/>
    <w:link w:val="759"/>
    <w:uiPriority w:val="30"/>
    <w:rPr>
      <w:i/>
    </w:rPr>
  </w:style>
  <w:style w:type="paragraph" w:styleId="761">
    <w:name w:val="Header"/>
    <w:basedOn w:val="911"/>
    <w:link w:val="762"/>
    <w:uiPriority w:val="99"/>
    <w:unhideWhenUsed/>
    <w:pPr>
      <w:spacing w:after="0" w:line="240" w:lineRule="auto"/>
      <w:tabs>
        <w:tab w:val="center" w:pos="7143" w:leader="none"/>
        <w:tab w:val="right" w:pos="14287" w:leader="none"/>
      </w:tabs>
    </w:pPr>
  </w:style>
  <w:style w:type="character" w:styleId="762">
    <w:name w:val="Header Char"/>
    <w:link w:val="761"/>
    <w:uiPriority w:val="99"/>
  </w:style>
  <w:style w:type="paragraph" w:styleId="763">
    <w:name w:val="Footer"/>
    <w:basedOn w:val="911"/>
    <w:link w:val="766"/>
    <w:uiPriority w:val="99"/>
    <w:unhideWhenUsed/>
    <w:pPr>
      <w:spacing w:after="0" w:line="240" w:lineRule="auto"/>
      <w:tabs>
        <w:tab w:val="center" w:pos="7143" w:leader="none"/>
        <w:tab w:val="right" w:pos="14287" w:leader="none"/>
      </w:tabs>
    </w:pPr>
  </w:style>
  <w:style w:type="character" w:styleId="764">
    <w:name w:val="Footer Char"/>
    <w:link w:val="763"/>
    <w:uiPriority w:val="99"/>
  </w:style>
  <w:style w:type="paragraph" w:styleId="765">
    <w:name w:val="Caption"/>
    <w:basedOn w:val="911"/>
    <w:next w:val="911"/>
    <w:uiPriority w:val="35"/>
    <w:semiHidden/>
    <w:unhideWhenUsed/>
    <w:qFormat/>
    <w:pPr>
      <w:spacing w:line="276" w:lineRule="auto"/>
    </w:pPr>
    <w:rPr>
      <w:b/>
      <w:bCs/>
      <w:color w:val="4f81bd" w:themeColor="accent1"/>
      <w:sz w:val="18"/>
      <w:szCs w:val="18"/>
    </w:rPr>
  </w:style>
  <w:style w:type="character" w:styleId="766">
    <w:name w:val="Caption Char"/>
    <w:basedOn w:val="765"/>
    <w:link w:val="763"/>
    <w:uiPriority w:val="99"/>
  </w:style>
  <w:style w:type="table" w:styleId="7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3">
    <w:name w:val="Hyperlink"/>
    <w:uiPriority w:val="99"/>
    <w:unhideWhenUsed/>
    <w:rPr>
      <w:color w:val="0000ff" w:themeColor="hyperlink"/>
      <w:u w:val="single"/>
    </w:rPr>
  </w:style>
  <w:style w:type="paragraph" w:styleId="894">
    <w:name w:val="footnote text"/>
    <w:basedOn w:val="911"/>
    <w:link w:val="895"/>
    <w:uiPriority w:val="99"/>
    <w:semiHidden/>
    <w:unhideWhenUsed/>
    <w:pPr>
      <w:spacing w:after="40" w:line="240" w:lineRule="auto"/>
    </w:pPr>
    <w:rPr>
      <w:sz w:val="18"/>
    </w:rPr>
  </w:style>
  <w:style w:type="character" w:styleId="895">
    <w:name w:val="Footnote Text Char"/>
    <w:link w:val="894"/>
    <w:uiPriority w:val="99"/>
    <w:rPr>
      <w:sz w:val="18"/>
    </w:rPr>
  </w:style>
  <w:style w:type="character" w:styleId="896">
    <w:name w:val="footnote reference"/>
    <w:uiPriority w:val="99"/>
    <w:unhideWhenUsed/>
    <w:rPr>
      <w:vertAlign w:val="superscript"/>
    </w:rPr>
  </w:style>
  <w:style w:type="paragraph" w:styleId="897">
    <w:name w:val="endnote text"/>
    <w:basedOn w:val="911"/>
    <w:link w:val="898"/>
    <w:uiPriority w:val="99"/>
    <w:semiHidden/>
    <w:unhideWhenUsed/>
    <w:pPr>
      <w:spacing w:after="0" w:line="240" w:lineRule="auto"/>
    </w:pPr>
    <w:rPr>
      <w:sz w:val="20"/>
    </w:rPr>
  </w:style>
  <w:style w:type="character" w:styleId="898">
    <w:name w:val="Endnote Text Char"/>
    <w:link w:val="897"/>
    <w:uiPriority w:val="99"/>
    <w:rPr>
      <w:sz w:val="20"/>
    </w:rPr>
  </w:style>
  <w:style w:type="character" w:styleId="899">
    <w:name w:val="endnote reference"/>
    <w:uiPriority w:val="99"/>
    <w:semiHidden/>
    <w:unhideWhenUsed/>
    <w:rPr>
      <w:vertAlign w:val="superscript"/>
    </w:rPr>
  </w:style>
  <w:style w:type="paragraph" w:styleId="900">
    <w:name w:val="toc 1"/>
    <w:basedOn w:val="911"/>
    <w:next w:val="911"/>
    <w:uiPriority w:val="39"/>
    <w:unhideWhenUsed/>
    <w:pPr>
      <w:ind w:left="0" w:right="0" w:firstLine="0"/>
      <w:spacing w:after="57"/>
    </w:pPr>
  </w:style>
  <w:style w:type="paragraph" w:styleId="901">
    <w:name w:val="toc 2"/>
    <w:basedOn w:val="911"/>
    <w:next w:val="911"/>
    <w:uiPriority w:val="39"/>
    <w:unhideWhenUsed/>
    <w:pPr>
      <w:ind w:left="283" w:right="0" w:firstLine="0"/>
      <w:spacing w:after="57"/>
    </w:pPr>
  </w:style>
  <w:style w:type="paragraph" w:styleId="902">
    <w:name w:val="toc 3"/>
    <w:basedOn w:val="911"/>
    <w:next w:val="911"/>
    <w:uiPriority w:val="39"/>
    <w:unhideWhenUsed/>
    <w:pPr>
      <w:ind w:left="567" w:right="0" w:firstLine="0"/>
      <w:spacing w:after="57"/>
    </w:pPr>
  </w:style>
  <w:style w:type="paragraph" w:styleId="903">
    <w:name w:val="toc 4"/>
    <w:basedOn w:val="911"/>
    <w:next w:val="911"/>
    <w:uiPriority w:val="39"/>
    <w:unhideWhenUsed/>
    <w:pPr>
      <w:ind w:left="850" w:right="0" w:firstLine="0"/>
      <w:spacing w:after="57"/>
    </w:pPr>
  </w:style>
  <w:style w:type="paragraph" w:styleId="904">
    <w:name w:val="toc 5"/>
    <w:basedOn w:val="911"/>
    <w:next w:val="911"/>
    <w:uiPriority w:val="39"/>
    <w:unhideWhenUsed/>
    <w:pPr>
      <w:ind w:left="1134" w:right="0" w:firstLine="0"/>
      <w:spacing w:after="57"/>
    </w:pPr>
  </w:style>
  <w:style w:type="paragraph" w:styleId="905">
    <w:name w:val="toc 6"/>
    <w:basedOn w:val="911"/>
    <w:next w:val="911"/>
    <w:uiPriority w:val="39"/>
    <w:unhideWhenUsed/>
    <w:pPr>
      <w:ind w:left="1417" w:right="0" w:firstLine="0"/>
      <w:spacing w:after="57"/>
    </w:pPr>
  </w:style>
  <w:style w:type="paragraph" w:styleId="906">
    <w:name w:val="toc 7"/>
    <w:basedOn w:val="911"/>
    <w:next w:val="911"/>
    <w:uiPriority w:val="39"/>
    <w:unhideWhenUsed/>
    <w:pPr>
      <w:ind w:left="1701" w:right="0" w:firstLine="0"/>
      <w:spacing w:after="57"/>
    </w:pPr>
  </w:style>
  <w:style w:type="paragraph" w:styleId="907">
    <w:name w:val="toc 8"/>
    <w:basedOn w:val="911"/>
    <w:next w:val="911"/>
    <w:uiPriority w:val="39"/>
    <w:unhideWhenUsed/>
    <w:pPr>
      <w:ind w:left="1984" w:right="0" w:firstLine="0"/>
      <w:spacing w:after="57"/>
    </w:pPr>
  </w:style>
  <w:style w:type="paragraph" w:styleId="908">
    <w:name w:val="toc 9"/>
    <w:basedOn w:val="911"/>
    <w:next w:val="911"/>
    <w:uiPriority w:val="39"/>
    <w:unhideWhenUsed/>
    <w:pPr>
      <w:ind w:left="2268" w:right="0" w:firstLine="0"/>
      <w:spacing w:after="57"/>
    </w:pPr>
  </w:style>
  <w:style w:type="paragraph" w:styleId="909">
    <w:name w:val="TOC Heading"/>
    <w:uiPriority w:val="39"/>
    <w:unhideWhenUsed/>
  </w:style>
  <w:style w:type="paragraph" w:styleId="910">
    <w:name w:val="table of figures"/>
    <w:basedOn w:val="911"/>
    <w:next w:val="911"/>
    <w:uiPriority w:val="99"/>
    <w:unhideWhenUsed/>
    <w:pPr>
      <w:spacing w:after="0" w:afterAutospacing="0"/>
    </w:pPr>
  </w:style>
  <w:style w:type="paragraph" w:styleId="911" w:default="1">
    <w:name w:val="Normal"/>
    <w:next w:val="915"/>
    <w:link w:val="911"/>
    <w:qFormat/>
    <w:pPr>
      <w:jc w:val="both"/>
      <w:widowControl w:val="off"/>
    </w:pPr>
    <w:rPr>
      <w:rFonts w:ascii="Calibri" w:hAnsi="Calibri" w:eastAsia="宋体" w:cs="Times New Roman"/>
      <w:sz w:val="21"/>
      <w:szCs w:val="22"/>
      <w:lang w:val="en-US" w:eastAsia="zh-CN" w:bidi="ar-SA"/>
    </w:rPr>
  </w:style>
  <w:style w:type="paragraph" w:styleId="912">
    <w:name w:val="标题 2"/>
    <w:basedOn w:val="911"/>
    <w:next w:val="912"/>
    <w:link w:val="917"/>
    <w:qFormat/>
    <w:pPr>
      <w:jc w:val="center"/>
      <w:keepLines/>
      <w:keepNext/>
      <w:spacing w:before="260" w:after="260" w:line="415" w:lineRule="auto"/>
      <w:outlineLvl w:val="1"/>
    </w:pPr>
    <w:rPr>
      <w:rFonts w:ascii="Arial" w:hAnsi="Arial" w:eastAsia="幼圆"/>
      <w:b/>
      <w:bCs/>
      <w:sz w:val="44"/>
      <w:szCs w:val="44"/>
    </w:rPr>
  </w:style>
  <w:style w:type="character" w:styleId="913">
    <w:name w:val="默认段落字体"/>
    <w:next w:val="913"/>
    <w:link w:val="911"/>
    <w:semiHidden/>
  </w:style>
  <w:style w:type="table" w:styleId="914">
    <w:name w:val="普通表格"/>
    <w:next w:val="914"/>
    <w:link w:val="911"/>
    <w:semiHidden/>
    <w:tblPr/>
  </w:style>
  <w:style w:type="paragraph" w:styleId="915">
    <w:name w:val="正文文本缩进1"/>
    <w:next w:val="916"/>
    <w:link w:val="911"/>
    <w:qFormat/>
    <w:pPr>
      <w:ind w:left="570"/>
      <w:jc w:val="both"/>
      <w:spacing w:line="520" w:lineRule="exact"/>
      <w:widowControl w:val="off"/>
    </w:pPr>
    <w:rPr>
      <w:rFonts w:ascii="方正仿宋简体" w:hAnsi="创艺简仿宋" w:eastAsia="方正仿宋简体" w:cs="Times New Roman"/>
      <w:sz w:val="24"/>
      <w:lang w:val="en-US" w:eastAsia="zh-CN" w:bidi="ar-SA"/>
    </w:rPr>
  </w:style>
  <w:style w:type="paragraph" w:styleId="916">
    <w:name w:val="寄信人地址1"/>
    <w:next w:val="916"/>
    <w:link w:val="911"/>
    <w:qFormat/>
    <w:pPr>
      <w:jc w:val="both"/>
      <w:widowControl w:val="off"/>
    </w:pPr>
    <w:rPr>
      <w:rFonts w:ascii="Arial" w:hAnsi="Arial" w:eastAsia="楷体_GB2312" w:cs="Times New Roman"/>
      <w:sz w:val="26"/>
      <w:lang w:val="en-US" w:eastAsia="zh-CN" w:bidi="ar-SA"/>
    </w:rPr>
  </w:style>
  <w:style w:type="character" w:styleId="917">
    <w:name w:val="标题 2 Char"/>
    <w:next w:val="917"/>
    <w:link w:val="912"/>
    <w:rPr>
      <w:rFonts w:ascii="Arial" w:hAnsi="Arial" w:eastAsia="幼圆"/>
      <w:b/>
      <w:bCs/>
      <w:sz w:val="44"/>
      <w:szCs w:val="44"/>
    </w:rPr>
  </w:style>
  <w:style w:type="paragraph" w:styleId="918">
    <w:name w:val="正文文本"/>
    <w:basedOn w:val="911"/>
    <w:next w:val="918"/>
    <w:link w:val="911"/>
    <w:uiPriority w:val="99"/>
    <w:qFormat/>
    <w:rPr>
      <w:rFonts w:ascii="楷体_GB2312" w:hAnsi="宋体" w:eastAsia="楷体_GB2312"/>
      <w:sz w:val="28"/>
      <w:szCs w:val="28"/>
    </w:rPr>
  </w:style>
  <w:style w:type="paragraph" w:styleId="919">
    <w:name w:val="正文文本缩进"/>
    <w:basedOn w:val="911"/>
    <w:next w:val="919"/>
    <w:link w:val="911"/>
    <w:qFormat/>
    <w:pPr>
      <w:ind w:firstLine="645"/>
    </w:pPr>
    <w:rPr>
      <w:rFonts w:ascii="楷体_GB2312" w:hAnsi="宋体" w:eastAsia="楷体_GB2312" w:cs="宋体"/>
      <w:sz w:val="32"/>
      <w:szCs w:val="32"/>
    </w:rPr>
  </w:style>
  <w:style w:type="paragraph" w:styleId="920">
    <w:name w:val="日期"/>
    <w:basedOn w:val="911"/>
    <w:next w:val="911"/>
    <w:link w:val="911"/>
    <w:qFormat/>
    <w:rPr>
      <w:sz w:val="24"/>
    </w:rPr>
  </w:style>
  <w:style w:type="paragraph" w:styleId="921">
    <w:name w:val="页脚"/>
    <w:basedOn w:val="911"/>
    <w:next w:val="921"/>
    <w:link w:val="911"/>
    <w:uiPriority w:val="99"/>
    <w:qFormat/>
    <w:pPr>
      <w:jc w:val="left"/>
      <w:tabs>
        <w:tab w:val="center" w:pos="4153" w:leader="none"/>
        <w:tab w:val="right" w:pos="8306" w:leader="none"/>
      </w:tabs>
    </w:pPr>
    <w:rPr>
      <w:sz w:val="18"/>
      <w:szCs w:val="18"/>
    </w:rPr>
  </w:style>
  <w:style w:type="paragraph" w:styleId="922">
    <w:name w:val="寄信人地址"/>
    <w:basedOn w:val="911"/>
    <w:next w:val="922"/>
    <w:link w:val="911"/>
    <w:uiPriority w:val="99"/>
    <w:qFormat/>
    <w:rPr>
      <w:rFonts w:ascii="Arial" w:hAnsi="Arial"/>
    </w:rPr>
  </w:style>
  <w:style w:type="paragraph" w:styleId="923">
    <w:name w:val="页眉"/>
    <w:basedOn w:val="911"/>
    <w:next w:val="923"/>
    <w:link w:val="911"/>
    <w:uiPriority w:val="99"/>
    <w:qFormat/>
    <w:pPr>
      <w:jc w:val="center"/>
      <w:tabs>
        <w:tab w:val="center" w:pos="4153" w:leader="none"/>
        <w:tab w:val="right" w:pos="8306" w:leader="none"/>
      </w:tabs>
      <w:pBdr>
        <w:bottom w:val="single" w:color="000000" w:sz="6" w:space="1"/>
      </w:pBdr>
    </w:pPr>
    <w:rPr>
      <w:sz w:val="18"/>
      <w:szCs w:val="18"/>
    </w:rPr>
  </w:style>
  <w:style w:type="paragraph" w:styleId="924">
    <w:name w:val="目录 1"/>
    <w:basedOn w:val="911"/>
    <w:next w:val="911"/>
    <w:link w:val="911"/>
    <w:uiPriority w:val="39"/>
    <w:qFormat/>
    <w:pPr>
      <w:jc w:val="left"/>
      <w:spacing w:before="120" w:after="120"/>
    </w:pPr>
    <w:rPr>
      <w:rFonts w:ascii="Calibri" w:hAnsi="Calibri" w:cs="Calibri"/>
      <w:b/>
      <w:bCs/>
      <w:caps/>
      <w:sz w:val="20"/>
      <w:szCs w:val="20"/>
    </w:rPr>
  </w:style>
  <w:style w:type="paragraph" w:styleId="925">
    <w:name w:val="目录 2"/>
    <w:basedOn w:val="911"/>
    <w:next w:val="911"/>
    <w:link w:val="911"/>
    <w:uiPriority w:val="39"/>
    <w:qFormat/>
    <w:pPr>
      <w:ind w:left="210"/>
      <w:jc w:val="left"/>
    </w:pPr>
    <w:rPr>
      <w:rFonts w:ascii="Calibri" w:hAnsi="Calibri" w:cs="Calibri"/>
      <w:smallCaps/>
      <w:sz w:val="20"/>
      <w:szCs w:val="20"/>
    </w:rPr>
  </w:style>
  <w:style w:type="paragraph" w:styleId="926">
    <w:name w:val="普通(网站)"/>
    <w:basedOn w:val="911"/>
    <w:next w:val="926"/>
    <w:link w:val="911"/>
    <w:rPr>
      <w:sz w:val="24"/>
    </w:rPr>
  </w:style>
  <w:style w:type="paragraph" w:styleId="927">
    <w:name w:val="标题"/>
    <w:basedOn w:val="911"/>
    <w:next w:val="927"/>
    <w:link w:val="911"/>
    <w:qFormat/>
    <w:pPr>
      <w:jc w:val="center"/>
      <w:spacing w:before="240" w:after="60"/>
      <w:outlineLvl w:val="0"/>
    </w:pPr>
    <w:rPr>
      <w:rFonts w:ascii="Arial" w:hAnsi="Arial" w:eastAsia="黑体"/>
      <w:b/>
      <w:bCs/>
      <w:sz w:val="44"/>
      <w:szCs w:val="32"/>
    </w:rPr>
  </w:style>
  <w:style w:type="paragraph" w:styleId="928">
    <w:name w:val="正文首行缩进 2"/>
    <w:basedOn w:val="919"/>
    <w:next w:val="928"/>
    <w:link w:val="911"/>
    <w:qFormat/>
    <w:pPr>
      <w:ind w:firstLine="200"/>
      <w:spacing w:line="360" w:lineRule="auto"/>
    </w:pPr>
    <w:rPr>
      <w:rFonts w:ascii="宋体" w:eastAsia="宋体"/>
      <w:sz w:val="21"/>
      <w:szCs w:val="20"/>
    </w:rPr>
  </w:style>
  <w:style w:type="table" w:styleId="929">
    <w:name w:val="网格型"/>
    <w:basedOn w:val="914"/>
    <w:next w:val="929"/>
    <w:link w:val="911"/>
    <w:pPr>
      <w:jc w:val="both"/>
      <w:widowControl w:val="off"/>
    </w:pPr>
    <w:tblPr/>
  </w:style>
  <w:style w:type="character" w:styleId="930">
    <w:name w:val="要点"/>
    <w:basedOn w:val="913"/>
    <w:next w:val="930"/>
    <w:link w:val="911"/>
    <w:qFormat/>
    <w:rPr>
      <w:rFonts w:ascii="ActionIcon ! important" w:hAnsi="ActionIcon ! important" w:eastAsia="ActionIcon ! important" w:cs="ActionIcon ! important"/>
      <w:b/>
      <w:bCs/>
      <w:i w:val="0"/>
      <w:iCs w:val="0"/>
      <w:color w:val="3d4b62"/>
      <w:sz w:val="24"/>
      <w:szCs w:val="24"/>
    </w:rPr>
  </w:style>
  <w:style w:type="character" w:styleId="931">
    <w:name w:val="页码"/>
    <w:next w:val="931"/>
    <w:link w:val="911"/>
    <w:qFormat/>
  </w:style>
  <w:style w:type="character" w:styleId="932">
    <w:name w:val="已访问的超链接"/>
    <w:basedOn w:val="913"/>
    <w:next w:val="932"/>
    <w:link w:val="911"/>
    <w:rPr>
      <w:color w:val="800080"/>
      <w:u w:val="none"/>
    </w:rPr>
  </w:style>
  <w:style w:type="character" w:styleId="933">
    <w:name w:val="强调"/>
    <w:basedOn w:val="913"/>
    <w:next w:val="933"/>
    <w:link w:val="911"/>
    <w:qFormat/>
    <w:rPr>
      <w:b/>
      <w:bCs/>
      <w:i w:val="0"/>
      <w:iCs w:val="0"/>
    </w:rPr>
  </w:style>
  <w:style w:type="character" w:styleId="934">
    <w:name w:val="HTML 定义"/>
    <w:basedOn w:val="913"/>
    <w:next w:val="934"/>
    <w:link w:val="911"/>
    <w:rPr>
      <w:i w:val="0"/>
      <w:iCs w:val="0"/>
    </w:rPr>
  </w:style>
  <w:style w:type="character" w:styleId="935">
    <w:name w:val="HTML 打字机"/>
    <w:basedOn w:val="913"/>
    <w:next w:val="935"/>
    <w:link w:val="911"/>
    <w:rPr>
      <w:rFonts w:ascii="monospace" w:hAnsi="monospace" w:eastAsia="monospace" w:cs="monospace"/>
      <w:sz w:val="20"/>
    </w:rPr>
  </w:style>
  <w:style w:type="character" w:styleId="936">
    <w:name w:val="HTML 缩写"/>
    <w:basedOn w:val="913"/>
    <w:next w:val="936"/>
    <w:link w:val="911"/>
  </w:style>
  <w:style w:type="character" w:styleId="937">
    <w:name w:val="HTML 变量"/>
    <w:basedOn w:val="913"/>
    <w:next w:val="937"/>
    <w:link w:val="911"/>
    <w:rPr>
      <w:i w:val="0"/>
      <w:iCs w:val="0"/>
    </w:rPr>
  </w:style>
  <w:style w:type="character" w:styleId="938">
    <w:name w:val="超链接"/>
    <w:basedOn w:val="913"/>
    <w:next w:val="938"/>
    <w:link w:val="911"/>
    <w:uiPriority w:val="99"/>
    <w:qFormat/>
    <w:rPr>
      <w:color w:val="0000ff"/>
      <w:u w:val="none"/>
    </w:rPr>
  </w:style>
  <w:style w:type="character" w:styleId="939">
    <w:name w:val="HTML 代码"/>
    <w:basedOn w:val="913"/>
    <w:next w:val="939"/>
    <w:link w:val="911"/>
    <w:rPr>
      <w:rFonts w:ascii="monospace" w:hAnsi="monospace" w:eastAsia="monospace" w:cs="monospace"/>
      <w:i w:val="0"/>
      <w:iCs w:val="0"/>
      <w:sz w:val="20"/>
    </w:rPr>
  </w:style>
  <w:style w:type="character" w:styleId="940">
    <w:name w:val="HTML 引文"/>
    <w:basedOn w:val="913"/>
    <w:next w:val="940"/>
    <w:link w:val="911"/>
    <w:rPr>
      <w:i w:val="0"/>
      <w:iCs w:val="0"/>
    </w:rPr>
  </w:style>
  <w:style w:type="character" w:styleId="941">
    <w:name w:val="HTML 键盘"/>
    <w:basedOn w:val="913"/>
    <w:next w:val="941"/>
    <w:link w:val="911"/>
    <w:rPr>
      <w:rFonts w:ascii="monospace" w:hAnsi="monospace" w:eastAsia="monospace" w:cs="monospace"/>
      <w:sz w:val="20"/>
    </w:rPr>
  </w:style>
  <w:style w:type="character" w:styleId="942">
    <w:name w:val="HTML 样本"/>
    <w:basedOn w:val="913"/>
    <w:next w:val="942"/>
    <w:link w:val="911"/>
    <w:rPr>
      <w:rFonts w:ascii="monospace" w:hAnsi="monospace" w:eastAsia="monospace" w:cs="monospace"/>
    </w:rPr>
  </w:style>
  <w:style w:type="paragraph" w:styleId="943">
    <w:name w:val="段"/>
    <w:next w:val="944"/>
    <w:link w:val="911"/>
    <w:qFormat/>
    <w:pPr>
      <w:ind w:firstLine="200"/>
      <w:jc w:val="both"/>
    </w:pPr>
    <w:rPr>
      <w:rFonts w:ascii="宋体" w:hAnsi="Calibri" w:eastAsia="宋体" w:cs="Times New Roman"/>
      <w:sz w:val="21"/>
      <w:szCs w:val="22"/>
      <w:lang w:val="en-US" w:eastAsia="zh-CN" w:bidi="ar-SA"/>
    </w:rPr>
  </w:style>
  <w:style w:type="paragraph" w:styleId="944">
    <w:name w:val="正文 A"/>
    <w:next w:val="943"/>
    <w:link w:val="911"/>
    <w:qFormat/>
    <w:pPr>
      <w:jc w:val="both"/>
      <w:widowControl w:val="off"/>
      <w:framePr w:wrap="around" w:vAnchor="margin" w:hAnchor="text" w:yAlign="top"/>
    </w:pPr>
    <w:rPr>
      <w:rFonts w:ascii="Calibri" w:hAnsi="Arial Unicode MS" w:eastAsia="Arial Unicode MS" w:cs="Arial Unicode MS"/>
      <w:color w:val="000000"/>
      <w:sz w:val="21"/>
      <w:szCs w:val="21"/>
      <w:lang w:val="en-US" w:eastAsia="zh-CN" w:bidi="ar-SA"/>
    </w:rPr>
  </w:style>
  <w:style w:type="paragraph" w:styleId="945">
    <w:name w:val="正文1"/>
    <w:next w:val="911"/>
    <w:link w:val="911"/>
    <w:qFormat/>
    <w:pPr>
      <w:jc w:val="both"/>
    </w:pPr>
    <w:rPr>
      <w:rFonts w:ascii="Calibri" w:hAnsi="Calibri" w:eastAsia="宋体" w:cs="宋体"/>
      <w:sz w:val="21"/>
      <w:szCs w:val="21"/>
      <w:lang w:val="en-US" w:eastAsia="zh-CN" w:bidi="ar-SA"/>
    </w:rPr>
  </w:style>
  <w:style w:type="paragraph" w:styleId="946">
    <w:name w:val="普通正文"/>
    <w:basedOn w:val="911"/>
    <w:next w:val="946"/>
    <w:link w:val="911"/>
    <w:qFormat/>
    <w:pPr>
      <w:ind w:firstLine="480"/>
      <w:jc w:val="left"/>
      <w:spacing w:before="120" w:after="120" w:line="360" w:lineRule="auto"/>
    </w:pPr>
    <w:rPr>
      <w:rFonts w:ascii="Arial" w:hAnsi="Arial"/>
      <w:sz w:val="24"/>
    </w:rPr>
  </w:style>
  <w:style w:type="paragraph" w:styleId="947">
    <w:name w:val="Normal_16"/>
    <w:next w:val="947"/>
    <w:link w:val="911"/>
    <w:qFormat/>
    <w:rPr>
      <w:rFonts w:ascii="Times New Roman" w:hAnsi="Times New Roman" w:eastAsia="Times New Roman" w:cs="Times New Roman"/>
      <w:sz w:val="24"/>
      <w:szCs w:val="24"/>
    </w:rPr>
  </w:style>
  <w:style w:type="paragraph" w:styleId="948">
    <w:name w:val="Normal_17"/>
    <w:next w:val="948"/>
    <w:link w:val="911"/>
    <w:qFormat/>
    <w:rPr>
      <w:rFonts w:ascii="Times New Roman" w:hAnsi="Times New Roman" w:eastAsia="Times New Roman" w:cs="Times New Roman"/>
      <w:sz w:val="24"/>
      <w:szCs w:val="24"/>
    </w:rPr>
  </w:style>
  <w:style w:type="paragraph" w:styleId="949">
    <w:name w:val="Normal_4"/>
    <w:next w:val="949"/>
    <w:link w:val="911"/>
    <w:qFormat/>
    <w:rPr>
      <w:rFonts w:ascii="Times New Roman" w:hAnsi="Times New Roman" w:eastAsia="Times New Roman" w:cs="Times New Roman"/>
      <w:sz w:val="24"/>
      <w:szCs w:val="24"/>
    </w:rPr>
  </w:style>
  <w:style w:type="paragraph" w:styleId="950">
    <w:name w:val="List Paragraph"/>
    <w:basedOn w:val="911"/>
    <w:next w:val="950"/>
    <w:link w:val="911"/>
    <w:uiPriority w:val="34"/>
    <w:qFormat/>
    <w:pPr>
      <w:contextualSpacing/>
      <w:ind w:left="720"/>
      <w:jc w:val="left"/>
      <w:widowControl/>
    </w:pPr>
    <w:rPr>
      <w:rFonts w:ascii="Calibri" w:hAnsi="Calibri" w:cs="宋体"/>
      <w:sz w:val="24"/>
      <w:lang w:eastAsia="en-US"/>
    </w:rPr>
  </w:style>
  <w:style w:type="character" w:styleId="951">
    <w:name w:val="标题 4 Char"/>
    <w:next w:val="951"/>
    <w:link w:val="911"/>
    <w:qFormat/>
    <w:rPr>
      <w:rFonts w:ascii="Cambria" w:hAnsi="Cambria" w:eastAsia="宋体" w:cs="Times New Roman"/>
      <w:b/>
      <w:bCs/>
      <w:sz w:val="28"/>
      <w:szCs w:val="28"/>
    </w:rPr>
  </w:style>
  <w:style w:type="paragraph" w:styleId="952">
    <w:name w:val="Normal_3"/>
    <w:next w:val="952"/>
    <w:link w:val="911"/>
    <w:qFormat/>
    <w:rPr>
      <w:rFonts w:ascii="Times New Roman" w:hAnsi="Times New Roman" w:eastAsia="Times New Roman" w:cs="Times New Roman"/>
      <w:sz w:val="24"/>
      <w:szCs w:val="24"/>
    </w:rPr>
  </w:style>
  <w:style w:type="paragraph" w:styleId="953">
    <w:name w:val="Normal_15"/>
    <w:next w:val="953"/>
    <w:link w:val="911"/>
    <w:qFormat/>
    <w:rPr>
      <w:rFonts w:ascii="Times New Roman" w:hAnsi="Times New Roman" w:eastAsia="Times New Roman" w:cs="Times New Roman"/>
      <w:sz w:val="24"/>
      <w:szCs w:val="24"/>
    </w:rPr>
  </w:style>
  <w:style w:type="paragraph" w:styleId="954">
    <w:name w:val="p0"/>
    <w:basedOn w:val="911"/>
    <w:next w:val="954"/>
    <w:link w:val="911"/>
    <w:uiPriority w:val="99"/>
    <w:qFormat/>
    <w:pPr>
      <w:widowControl/>
    </w:pPr>
    <w:rPr>
      <w:rFonts w:ascii="Calibri" w:hAnsi="Calibri" w:cs="宋体"/>
      <w:szCs w:val="21"/>
    </w:rPr>
  </w:style>
  <w:style w:type="paragraph" w:styleId="955">
    <w:name w:val="Normal_5"/>
    <w:next w:val="955"/>
    <w:link w:val="911"/>
    <w:qFormat/>
    <w:rPr>
      <w:rFonts w:ascii="Times New Roman" w:hAnsi="Times New Roman" w:eastAsia="Times New Roman" w:cs="Times New Roman"/>
      <w:sz w:val="24"/>
      <w:szCs w:val="24"/>
    </w:rPr>
  </w:style>
  <w:style w:type="paragraph" w:styleId="956">
    <w:name w:val="Normal_6"/>
    <w:next w:val="956"/>
    <w:link w:val="911"/>
    <w:qFormat/>
    <w:rPr>
      <w:rFonts w:ascii="Times New Roman" w:hAnsi="Times New Roman" w:eastAsia="Times New Roman" w:cs="Times New Roman"/>
      <w:sz w:val="24"/>
      <w:szCs w:val="24"/>
    </w:rPr>
  </w:style>
  <w:style w:type="paragraph" w:styleId="957">
    <w:name w:val="Normal_7"/>
    <w:next w:val="957"/>
    <w:link w:val="911"/>
    <w:qFormat/>
    <w:rPr>
      <w:rFonts w:ascii="Times New Roman" w:hAnsi="Times New Roman" w:eastAsia="Times New Roman" w:cs="Times New Roman"/>
      <w:sz w:val="24"/>
      <w:szCs w:val="24"/>
    </w:rPr>
  </w:style>
  <w:style w:type="paragraph" w:styleId="958">
    <w:name w:val="Normal_8"/>
    <w:next w:val="958"/>
    <w:link w:val="911"/>
    <w:qFormat/>
    <w:rPr>
      <w:rFonts w:ascii="Times New Roman" w:hAnsi="Times New Roman" w:eastAsia="Times New Roman" w:cs="Times New Roman"/>
      <w:sz w:val="24"/>
      <w:szCs w:val="24"/>
    </w:rPr>
  </w:style>
  <w:style w:type="paragraph" w:styleId="959">
    <w:name w:val="Normal_9"/>
    <w:next w:val="959"/>
    <w:link w:val="911"/>
    <w:qFormat/>
    <w:rPr>
      <w:rFonts w:ascii="Times New Roman" w:hAnsi="Times New Roman" w:eastAsia="Times New Roman" w:cs="Times New Roman"/>
      <w:sz w:val="24"/>
      <w:szCs w:val="24"/>
    </w:rPr>
  </w:style>
  <w:style w:type="paragraph" w:styleId="960">
    <w:name w:val="Normal_10"/>
    <w:next w:val="960"/>
    <w:link w:val="911"/>
    <w:qFormat/>
    <w:rPr>
      <w:rFonts w:ascii="Times New Roman" w:hAnsi="Times New Roman" w:eastAsia="Times New Roman" w:cs="Times New Roman"/>
      <w:sz w:val="24"/>
      <w:szCs w:val="24"/>
    </w:rPr>
  </w:style>
  <w:style w:type="paragraph" w:styleId="961">
    <w:name w:val="Normal_11"/>
    <w:next w:val="961"/>
    <w:link w:val="911"/>
    <w:qFormat/>
    <w:rPr>
      <w:rFonts w:ascii="Times New Roman" w:hAnsi="Times New Roman" w:eastAsia="Times New Roman" w:cs="Times New Roman"/>
      <w:sz w:val="24"/>
      <w:szCs w:val="24"/>
    </w:rPr>
  </w:style>
  <w:style w:type="paragraph" w:styleId="962">
    <w:name w:val="Normal_12"/>
    <w:next w:val="962"/>
    <w:link w:val="911"/>
    <w:qFormat/>
    <w:rPr>
      <w:rFonts w:ascii="Times New Roman" w:hAnsi="Times New Roman" w:eastAsia="Times New Roman" w:cs="Times New Roman"/>
      <w:sz w:val="24"/>
      <w:szCs w:val="24"/>
    </w:rPr>
  </w:style>
  <w:style w:type="paragraph" w:styleId="963">
    <w:name w:val="Normal_18"/>
    <w:next w:val="963"/>
    <w:link w:val="911"/>
    <w:qFormat/>
    <w:rPr>
      <w:rFonts w:ascii="Times New Roman" w:hAnsi="Times New Roman" w:eastAsia="Times New Roman" w:cs="Times New Roman"/>
      <w:sz w:val="24"/>
      <w:szCs w:val="24"/>
    </w:rPr>
  </w:style>
  <w:style w:type="paragraph" w:styleId="964">
    <w:name w:val="Normal_0_0"/>
    <w:next w:val="964"/>
    <w:link w:val="911"/>
    <w:qFormat/>
    <w:rPr>
      <w:rFonts w:ascii="Times New Roman" w:hAnsi="Times New Roman" w:eastAsia="Times New Roman" w:cs="Times New Roman"/>
      <w:sz w:val="24"/>
      <w:szCs w:val="24"/>
    </w:rPr>
  </w:style>
  <w:style w:type="paragraph" w:styleId="965">
    <w:name w:val="Normal_1_0"/>
    <w:next w:val="965"/>
    <w:link w:val="911"/>
    <w:qFormat/>
    <w:rPr>
      <w:rFonts w:ascii="Times New Roman" w:hAnsi="Times New Roman" w:eastAsia="Times New Roman" w:cs="Times New Roman"/>
      <w:sz w:val="24"/>
      <w:szCs w:val="24"/>
    </w:rPr>
  </w:style>
  <w:style w:type="paragraph" w:styleId="966">
    <w:name w:val="Normal_13"/>
    <w:next w:val="966"/>
    <w:link w:val="911"/>
    <w:qFormat/>
    <w:rPr>
      <w:rFonts w:ascii="Times New Roman" w:hAnsi="Times New Roman" w:eastAsia="Times New Roman" w:cs="Times New Roman"/>
      <w:sz w:val="24"/>
      <w:szCs w:val="24"/>
    </w:rPr>
  </w:style>
  <w:style w:type="paragraph" w:styleId="967">
    <w:name w:val="Normal_2"/>
    <w:next w:val="968"/>
    <w:link w:val="911"/>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968">
    <w:name w:val="首行缩进_0"/>
    <w:basedOn w:val="967"/>
    <w:next w:val="968"/>
    <w:link w:val="911"/>
    <w:qFormat/>
    <w:pPr>
      <w:ind w:firstLine="480"/>
      <w:jc w:val="left"/>
      <w:spacing w:line="360" w:lineRule="auto"/>
    </w:pPr>
    <w:rPr>
      <w:rFonts w:ascii="宋体" w:hAnsi="宋体"/>
      <w:sz w:val="24"/>
    </w:rPr>
  </w:style>
  <w:style w:type="paragraph" w:styleId="969">
    <w:name w:val="p0_0"/>
    <w:basedOn w:val="970"/>
    <w:next w:val="969"/>
    <w:link w:val="911"/>
    <w:qFormat/>
    <w:pPr>
      <w:widowControl/>
    </w:pPr>
    <w:rPr>
      <w:szCs w:val="21"/>
    </w:rPr>
  </w:style>
  <w:style w:type="paragraph" w:styleId="970">
    <w:name w:val="Normal_0"/>
    <w:next w:val="968"/>
    <w:link w:val="911"/>
    <w:qFormat/>
    <w:pPr>
      <w:ind w:firstLine="200"/>
      <w:jc w:val="both"/>
      <w:spacing w:line="440" w:lineRule="exact"/>
      <w:widowControl w:val="off"/>
    </w:pPr>
    <w:rPr>
      <w:rFonts w:ascii="Times New Roman" w:hAnsi="Times New Roman" w:eastAsia="宋体" w:cs="Times New Roman"/>
      <w:sz w:val="21"/>
      <w:szCs w:val="24"/>
    </w:rPr>
  </w:style>
  <w:style w:type="paragraph" w:styleId="971">
    <w:name w:val="首行缩进_0_0"/>
    <w:basedOn w:val="970"/>
    <w:next w:val="971"/>
    <w:link w:val="911"/>
    <w:qFormat/>
    <w:pPr>
      <w:ind w:firstLine="480"/>
      <w:jc w:val="left"/>
      <w:spacing w:line="360" w:lineRule="auto"/>
    </w:pPr>
    <w:rPr>
      <w:rFonts w:ascii="宋体" w:hAnsi="宋体"/>
      <w:sz w:val="24"/>
    </w:rPr>
  </w:style>
  <w:style w:type="paragraph" w:styleId="972">
    <w:name w:val="p0_1"/>
    <w:basedOn w:val="967"/>
    <w:next w:val="972"/>
    <w:link w:val="911"/>
    <w:qFormat/>
    <w:pPr>
      <w:widowControl/>
    </w:pPr>
    <w:rPr>
      <w:szCs w:val="21"/>
    </w:rPr>
  </w:style>
  <w:style w:type="paragraph" w:styleId="973">
    <w:name w:val="Normal_1"/>
    <w:next w:val="974"/>
    <w:link w:val="911"/>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974">
    <w:name w:val="首行缩进_0_1"/>
    <w:basedOn w:val="973"/>
    <w:next w:val="974"/>
    <w:link w:val="911"/>
    <w:qFormat/>
    <w:pPr>
      <w:ind w:firstLine="480"/>
      <w:jc w:val="left"/>
      <w:spacing w:line="360" w:lineRule="auto"/>
    </w:pPr>
    <w:rPr>
      <w:rFonts w:ascii="宋体" w:hAnsi="宋体"/>
      <w:sz w:val="24"/>
    </w:rPr>
  </w:style>
  <w:style w:type="paragraph" w:styleId="975">
    <w:name w:val="Normal_0_1"/>
    <w:next w:val="975"/>
    <w:link w:val="911"/>
    <w:qFormat/>
    <w:rPr>
      <w:rFonts w:ascii="Times New Roman" w:hAnsi="Times New Roman" w:eastAsia="Times New Roman" w:cs="Times New Roman"/>
      <w:sz w:val="24"/>
      <w:szCs w:val="24"/>
    </w:rPr>
  </w:style>
  <w:style w:type="paragraph" w:styleId="976">
    <w:name w:val="Normal_0_0_0"/>
    <w:next w:val="976"/>
    <w:link w:val="911"/>
    <w:qFormat/>
    <w:rPr>
      <w:rFonts w:ascii="Times New Roman" w:hAnsi="Times New Roman" w:eastAsia="Times New Roman" w:cs="Times New Roman"/>
      <w:sz w:val="24"/>
      <w:szCs w:val="24"/>
    </w:rPr>
  </w:style>
  <w:style w:type="paragraph" w:styleId="977">
    <w:name w:val="Normal_1_1"/>
    <w:next w:val="977"/>
    <w:link w:val="911"/>
    <w:qFormat/>
    <w:rPr>
      <w:rFonts w:ascii="Times New Roman" w:hAnsi="Times New Roman" w:eastAsia="Times New Roman" w:cs="Times New Roman"/>
      <w:sz w:val="24"/>
      <w:szCs w:val="24"/>
    </w:rPr>
  </w:style>
  <w:style w:type="paragraph" w:styleId="978">
    <w:name w:val="Normal_2_0"/>
    <w:next w:val="978"/>
    <w:link w:val="911"/>
    <w:qFormat/>
    <w:rPr>
      <w:rFonts w:ascii="Times New Roman" w:hAnsi="Times New Roman" w:eastAsia="Times New Roman" w:cs="Times New Roman"/>
      <w:sz w:val="24"/>
      <w:szCs w:val="24"/>
    </w:rPr>
  </w:style>
  <w:style w:type="paragraph" w:styleId="979">
    <w:name w:val="Normal_4_0"/>
    <w:next w:val="979"/>
    <w:link w:val="911"/>
    <w:qFormat/>
    <w:rPr>
      <w:rFonts w:ascii="Times New Roman" w:hAnsi="Times New Roman" w:eastAsia="Times New Roman" w:cs="Times New Roman"/>
      <w:sz w:val="24"/>
      <w:szCs w:val="24"/>
    </w:rPr>
  </w:style>
  <w:style w:type="paragraph" w:styleId="980">
    <w:name w:val="Normal_5_0"/>
    <w:next w:val="980"/>
    <w:link w:val="911"/>
    <w:qFormat/>
    <w:rPr>
      <w:rFonts w:ascii="Times New Roman" w:hAnsi="Times New Roman" w:eastAsia="Times New Roman" w:cs="Times New Roman"/>
      <w:sz w:val="24"/>
      <w:szCs w:val="24"/>
    </w:rPr>
  </w:style>
  <w:style w:type="paragraph" w:styleId="981">
    <w:name w:val="首行缩进"/>
    <w:basedOn w:val="911"/>
    <w:next w:val="911"/>
    <w:link w:val="911"/>
    <w:qFormat/>
    <w:pPr>
      <w:ind w:firstLine="480"/>
      <w:jc w:val="left"/>
      <w:spacing w:line="360" w:lineRule="auto"/>
    </w:pPr>
    <w:rPr>
      <w:rFonts w:ascii="宋体" w:hAnsi="宋体"/>
      <w:sz w:val="24"/>
    </w:rPr>
  </w:style>
  <w:style w:type="paragraph" w:styleId="982">
    <w:name w:val="Normal_0_2"/>
    <w:next w:val="982"/>
    <w:link w:val="911"/>
    <w:qFormat/>
    <w:rPr>
      <w:rFonts w:ascii="Times New Roman" w:hAnsi="Times New Roman" w:eastAsia="Times New Roman" w:cs="Times New Roman"/>
      <w:sz w:val="24"/>
      <w:szCs w:val="24"/>
    </w:rPr>
  </w:style>
  <w:style w:type="paragraph" w:styleId="983">
    <w:name w:val="Normal_0_3"/>
    <w:next w:val="983"/>
    <w:link w:val="911"/>
    <w:qFormat/>
    <w:rPr>
      <w:rFonts w:ascii="Times New Roman" w:hAnsi="Times New Roman" w:eastAsia="Times New Roman" w:cs="Times New Roman"/>
      <w:sz w:val="24"/>
      <w:szCs w:val="24"/>
    </w:rPr>
  </w:style>
  <w:style w:type="paragraph" w:styleId="984">
    <w:name w:val="Normal_19"/>
    <w:next w:val="984"/>
    <w:link w:val="911"/>
    <w:qFormat/>
    <w:rPr>
      <w:rFonts w:ascii="Times New Roman" w:hAnsi="Times New Roman" w:eastAsia="Times New Roman" w:cs="Times New Roman"/>
      <w:sz w:val="24"/>
      <w:szCs w:val="24"/>
    </w:rPr>
  </w:style>
  <w:style w:type="paragraph" w:styleId="985">
    <w:name w:val="Heading 4"/>
    <w:basedOn w:val="984"/>
    <w:next w:val="984"/>
    <w:link w:val="911"/>
    <w:qFormat/>
    <w:pPr>
      <w:keepNext/>
      <w:spacing w:before="240" w:after="60"/>
      <w:outlineLvl w:val="3"/>
    </w:pPr>
    <w:rPr>
      <w:b/>
      <w:bCs/>
      <w:sz w:val="28"/>
      <w:szCs w:val="28"/>
    </w:rPr>
  </w:style>
  <w:style w:type="paragraph" w:styleId="986">
    <w:name w:val="Normal_14"/>
    <w:next w:val="986"/>
    <w:link w:val="911"/>
    <w:qFormat/>
    <w:rPr>
      <w:rFonts w:ascii="Times New Roman" w:hAnsi="Times New Roman" w:eastAsia="Times New Roman" w:cs="Times New Roman"/>
      <w:sz w:val="24"/>
      <w:szCs w:val="24"/>
    </w:rPr>
  </w:style>
  <w:style w:type="paragraph" w:styleId="987">
    <w:name w:val="Normal_20"/>
    <w:next w:val="987"/>
    <w:link w:val="911"/>
    <w:qFormat/>
    <w:rPr>
      <w:rFonts w:ascii="Times New Roman" w:hAnsi="Times New Roman" w:eastAsia="Times New Roman" w:cs="Times New Roman"/>
      <w:sz w:val="24"/>
      <w:szCs w:val="24"/>
    </w:rPr>
  </w:style>
  <w:style w:type="paragraph" w:styleId="988">
    <w:name w:val="Normal_0_4"/>
    <w:next w:val="988"/>
    <w:link w:val="911"/>
    <w:qFormat/>
    <w:rPr>
      <w:rFonts w:ascii="Times New Roman" w:hAnsi="Times New Roman" w:eastAsia="Times New Roman" w:cs="Times New Roman"/>
      <w:sz w:val="24"/>
      <w:szCs w:val="24"/>
    </w:rPr>
  </w:style>
  <w:style w:type="paragraph" w:styleId="989">
    <w:name w:val="Normal_1_2"/>
    <w:next w:val="989"/>
    <w:link w:val="911"/>
    <w:qFormat/>
    <w:rPr>
      <w:rFonts w:ascii="Times New Roman" w:hAnsi="Times New Roman" w:eastAsia="Times New Roman" w:cs="Times New Roman"/>
      <w:sz w:val="24"/>
      <w:szCs w:val="24"/>
    </w:rPr>
  </w:style>
  <w:style w:type="paragraph" w:styleId="990">
    <w:name w:val="Normal_2_1"/>
    <w:next w:val="990"/>
    <w:link w:val="911"/>
    <w:qFormat/>
    <w:rPr>
      <w:rFonts w:ascii="Times New Roman" w:hAnsi="Times New Roman" w:eastAsia="Times New Roman" w:cs="Times New Roman"/>
      <w:sz w:val="24"/>
      <w:szCs w:val="24"/>
    </w:rPr>
  </w:style>
  <w:style w:type="paragraph" w:styleId="991">
    <w:name w:val="Normal_3_0"/>
    <w:next w:val="991"/>
    <w:link w:val="911"/>
    <w:qFormat/>
    <w:rPr>
      <w:rFonts w:ascii="Times New Roman" w:hAnsi="Times New Roman" w:eastAsia="Times New Roman" w:cs="Times New Roman"/>
      <w:sz w:val="24"/>
      <w:szCs w:val="24"/>
    </w:rPr>
  </w:style>
  <w:style w:type="paragraph" w:styleId="992">
    <w:name w:val="Normal_4_1"/>
    <w:next w:val="992"/>
    <w:link w:val="911"/>
    <w:qFormat/>
    <w:rPr>
      <w:rFonts w:ascii="Times New Roman" w:hAnsi="Times New Roman" w:eastAsia="Times New Roman" w:cs="Times New Roman"/>
      <w:sz w:val="24"/>
      <w:szCs w:val="24"/>
    </w:rPr>
  </w:style>
  <w:style w:type="paragraph" w:styleId="993">
    <w:name w:val="Normal_5_1"/>
    <w:next w:val="993"/>
    <w:link w:val="911"/>
    <w:qFormat/>
    <w:rPr>
      <w:rFonts w:ascii="Times New Roman" w:hAnsi="Times New Roman" w:eastAsia="Times New Roman" w:cs="Times New Roman"/>
      <w:sz w:val="24"/>
      <w:szCs w:val="24"/>
    </w:rPr>
  </w:style>
  <w:style w:type="paragraph" w:styleId="994">
    <w:name w:val="Normal_6_0"/>
    <w:next w:val="994"/>
    <w:link w:val="911"/>
    <w:qFormat/>
    <w:rPr>
      <w:rFonts w:ascii="Times New Roman" w:hAnsi="Times New Roman" w:eastAsia="Times New Roman" w:cs="Times New Roman"/>
      <w:sz w:val="24"/>
      <w:szCs w:val="24"/>
    </w:rPr>
  </w:style>
  <w:style w:type="paragraph" w:styleId="995">
    <w:name w:val="Normal_7_0"/>
    <w:next w:val="995"/>
    <w:link w:val="911"/>
    <w:qFormat/>
    <w:rPr>
      <w:rFonts w:ascii="Times New Roman" w:hAnsi="Times New Roman" w:eastAsia="Times New Roman" w:cs="Times New Roman"/>
      <w:sz w:val="24"/>
      <w:szCs w:val="24"/>
    </w:rPr>
  </w:style>
  <w:style w:type="paragraph" w:styleId="996">
    <w:name w:val="Normal_8_0"/>
    <w:next w:val="996"/>
    <w:link w:val="911"/>
    <w:qFormat/>
    <w:rPr>
      <w:rFonts w:ascii="Times New Roman" w:hAnsi="Times New Roman" w:eastAsia="Times New Roman" w:cs="Times New Roman"/>
      <w:sz w:val="24"/>
      <w:szCs w:val="24"/>
    </w:rPr>
  </w:style>
  <w:style w:type="paragraph" w:styleId="997">
    <w:name w:val="Normal_9_0"/>
    <w:next w:val="997"/>
    <w:link w:val="911"/>
    <w:qFormat/>
    <w:rPr>
      <w:rFonts w:ascii="Times New Roman" w:hAnsi="Times New Roman" w:eastAsia="Times New Roman" w:cs="Times New Roman"/>
      <w:sz w:val="24"/>
      <w:szCs w:val="24"/>
    </w:rPr>
  </w:style>
  <w:style w:type="paragraph" w:styleId="998">
    <w:name w:val="Normal_10_0"/>
    <w:next w:val="998"/>
    <w:link w:val="911"/>
    <w:qFormat/>
    <w:rPr>
      <w:rFonts w:ascii="Times New Roman" w:hAnsi="Times New Roman" w:eastAsia="Times New Roman" w:cs="Times New Roman"/>
      <w:sz w:val="24"/>
      <w:szCs w:val="24"/>
    </w:rPr>
  </w:style>
  <w:style w:type="paragraph" w:styleId="999">
    <w:name w:val="Normal_11_0"/>
    <w:next w:val="999"/>
    <w:link w:val="911"/>
    <w:qFormat/>
    <w:rPr>
      <w:rFonts w:ascii="Times New Roman" w:hAnsi="Times New Roman" w:eastAsia="Times New Roman" w:cs="Times New Roman"/>
      <w:sz w:val="24"/>
      <w:szCs w:val="24"/>
    </w:rPr>
  </w:style>
  <w:style w:type="paragraph" w:styleId="1000">
    <w:name w:val="Normal_12_0"/>
    <w:next w:val="1000"/>
    <w:link w:val="911"/>
    <w:qFormat/>
    <w:rPr>
      <w:rFonts w:ascii="Times New Roman" w:hAnsi="Times New Roman" w:eastAsia="Times New Roman" w:cs="Times New Roman"/>
      <w:sz w:val="24"/>
      <w:szCs w:val="24"/>
    </w:rPr>
  </w:style>
  <w:style w:type="paragraph" w:styleId="1001">
    <w:name w:val="正文_0"/>
    <w:next w:val="1001"/>
    <w:link w:val="911"/>
    <w:qFormat/>
    <w:pPr>
      <w:jc w:val="both"/>
      <w:widowControl w:val="off"/>
    </w:pPr>
    <w:rPr>
      <w:rFonts w:ascii="Calibri" w:hAnsi="Calibri" w:eastAsia="宋体" w:cs="Times New Roman"/>
      <w:sz w:val="21"/>
      <w:szCs w:val="22"/>
      <w:lang w:val="en-US" w:eastAsia="zh-CN" w:bidi="ar-SA"/>
    </w:rPr>
  </w:style>
  <w:style w:type="paragraph" w:styleId="1002">
    <w:name w:val="Normal_13_0"/>
    <w:next w:val="1002"/>
    <w:link w:val="911"/>
    <w:qFormat/>
    <w:rPr>
      <w:rFonts w:ascii="Times New Roman" w:hAnsi="Times New Roman" w:eastAsia="Times New Roman" w:cs="Times New Roman"/>
      <w:sz w:val="24"/>
      <w:szCs w:val="24"/>
    </w:rPr>
  </w:style>
  <w:style w:type="paragraph" w:styleId="1003">
    <w:name w:val="Normal_14_0"/>
    <w:next w:val="1003"/>
    <w:link w:val="911"/>
    <w:qFormat/>
    <w:rPr>
      <w:rFonts w:ascii="Times New Roman" w:hAnsi="Times New Roman" w:eastAsia="Times New Roman" w:cs="Times New Roman"/>
      <w:sz w:val="24"/>
      <w:szCs w:val="24"/>
    </w:rPr>
  </w:style>
  <w:style w:type="paragraph" w:styleId="1004">
    <w:name w:val="Normal_15_0"/>
    <w:next w:val="1004"/>
    <w:link w:val="911"/>
    <w:qFormat/>
    <w:rPr>
      <w:rFonts w:ascii="Times New Roman" w:hAnsi="Times New Roman" w:eastAsia="Times New Roman" w:cs="Times New Roman"/>
      <w:sz w:val="24"/>
      <w:szCs w:val="24"/>
    </w:rPr>
  </w:style>
  <w:style w:type="paragraph" w:styleId="1005">
    <w:name w:val="Normal_16_0"/>
    <w:next w:val="1005"/>
    <w:link w:val="911"/>
    <w:qFormat/>
    <w:rPr>
      <w:rFonts w:ascii="Times New Roman" w:hAnsi="Times New Roman" w:eastAsia="Times New Roman" w:cs="Times New Roman"/>
      <w:sz w:val="24"/>
      <w:szCs w:val="24"/>
    </w:rPr>
  </w:style>
  <w:style w:type="paragraph" w:styleId="1006">
    <w:name w:val="Normal_17_0"/>
    <w:next w:val="1006"/>
    <w:link w:val="911"/>
    <w:qFormat/>
    <w:rPr>
      <w:rFonts w:ascii="Times New Roman" w:hAnsi="Times New Roman" w:eastAsia="Times New Roman" w:cs="Times New Roman"/>
      <w:sz w:val="24"/>
      <w:szCs w:val="24"/>
    </w:rPr>
  </w:style>
  <w:style w:type="paragraph" w:styleId="1007">
    <w:name w:val="Normal_18_0"/>
    <w:next w:val="1007"/>
    <w:link w:val="911"/>
    <w:qFormat/>
    <w:rPr>
      <w:rFonts w:ascii="Times New Roman" w:hAnsi="Times New Roman" w:eastAsia="Times New Roman" w:cs="Times New Roman"/>
      <w:sz w:val="24"/>
      <w:szCs w:val="24"/>
    </w:rPr>
  </w:style>
  <w:style w:type="paragraph" w:styleId="1008">
    <w:name w:val="Normal_19_0"/>
    <w:next w:val="1008"/>
    <w:link w:val="911"/>
    <w:qFormat/>
    <w:rPr>
      <w:rFonts w:ascii="Times New Roman" w:hAnsi="Times New Roman" w:eastAsia="Times New Roman" w:cs="Times New Roman"/>
      <w:sz w:val="24"/>
      <w:szCs w:val="24"/>
    </w:rPr>
  </w:style>
  <w:style w:type="paragraph" w:styleId="1009">
    <w:name w:val="Normal_20_0"/>
    <w:next w:val="1009"/>
    <w:link w:val="911"/>
    <w:qFormat/>
    <w:rPr>
      <w:rFonts w:ascii="Times New Roman" w:hAnsi="Times New Roman" w:eastAsia="Times New Roman" w:cs="Times New Roman"/>
      <w:sz w:val="24"/>
      <w:szCs w:val="24"/>
    </w:rPr>
  </w:style>
  <w:style w:type="paragraph" w:styleId="1010">
    <w:name w:val="Normal_21"/>
    <w:next w:val="1010"/>
    <w:link w:val="911"/>
    <w:qFormat/>
    <w:rPr>
      <w:rFonts w:ascii="Times New Roman" w:hAnsi="Times New Roman" w:eastAsia="Times New Roman" w:cs="Times New Roman"/>
      <w:sz w:val="24"/>
      <w:szCs w:val="24"/>
    </w:rPr>
  </w:style>
  <w:style w:type="paragraph" w:styleId="1011">
    <w:name w:val="Normal_22"/>
    <w:next w:val="1011"/>
    <w:link w:val="911"/>
    <w:qFormat/>
    <w:rPr>
      <w:rFonts w:ascii="Times New Roman" w:hAnsi="Times New Roman" w:eastAsia="Times New Roman" w:cs="Times New Roman"/>
      <w:sz w:val="24"/>
      <w:szCs w:val="24"/>
    </w:rPr>
  </w:style>
  <w:style w:type="paragraph" w:styleId="1012">
    <w:name w:val="Normal_23"/>
    <w:next w:val="1012"/>
    <w:link w:val="911"/>
    <w:qFormat/>
    <w:rPr>
      <w:rFonts w:ascii="Times New Roman" w:hAnsi="Times New Roman" w:eastAsia="Times New Roman" w:cs="Times New Roman"/>
      <w:sz w:val="24"/>
      <w:szCs w:val="24"/>
    </w:rPr>
  </w:style>
  <w:style w:type="paragraph" w:styleId="1013">
    <w:name w:val="Normal_24"/>
    <w:next w:val="1013"/>
    <w:link w:val="911"/>
    <w:qFormat/>
    <w:rPr>
      <w:rFonts w:ascii="Times New Roman" w:hAnsi="Times New Roman" w:eastAsia="Times New Roman" w:cs="Times New Roman"/>
      <w:sz w:val="24"/>
      <w:szCs w:val="24"/>
    </w:rPr>
  </w:style>
  <w:style w:type="paragraph" w:styleId="1014">
    <w:name w:val="Normal_25"/>
    <w:next w:val="1014"/>
    <w:link w:val="911"/>
    <w:qFormat/>
    <w:rPr>
      <w:rFonts w:ascii="Times New Roman" w:hAnsi="Times New Roman" w:eastAsia="Times New Roman" w:cs="Times New Roman"/>
      <w:sz w:val="24"/>
      <w:szCs w:val="24"/>
    </w:rPr>
  </w:style>
  <w:style w:type="paragraph" w:styleId="1015">
    <w:name w:val="Normal_26"/>
    <w:next w:val="1015"/>
    <w:link w:val="911"/>
    <w:qFormat/>
    <w:rPr>
      <w:rFonts w:ascii="Times New Roman" w:hAnsi="Times New Roman" w:eastAsia="Times New Roman" w:cs="Times New Roman"/>
      <w:sz w:val="24"/>
      <w:szCs w:val="24"/>
    </w:rPr>
  </w:style>
  <w:style w:type="paragraph" w:styleId="1016">
    <w:name w:val="Normal_27"/>
    <w:next w:val="1016"/>
    <w:link w:val="911"/>
    <w:qFormat/>
    <w:rPr>
      <w:rFonts w:ascii="Times New Roman" w:hAnsi="Times New Roman" w:eastAsia="Times New Roman" w:cs="Times New Roman"/>
      <w:sz w:val="24"/>
      <w:szCs w:val="24"/>
    </w:rPr>
  </w:style>
  <w:style w:type="paragraph" w:styleId="1017">
    <w:name w:val="Normal_28"/>
    <w:next w:val="1017"/>
    <w:link w:val="911"/>
    <w:qFormat/>
    <w:rPr>
      <w:rFonts w:ascii="Times New Roman" w:hAnsi="Times New Roman" w:eastAsia="Times New Roman" w:cs="Times New Roman"/>
      <w:sz w:val="24"/>
      <w:szCs w:val="24"/>
    </w:rPr>
  </w:style>
  <w:style w:type="paragraph" w:styleId="1018">
    <w:name w:val="Normal_29"/>
    <w:next w:val="1018"/>
    <w:link w:val="911"/>
    <w:qFormat/>
    <w:rPr>
      <w:rFonts w:ascii="Times New Roman" w:hAnsi="Times New Roman" w:eastAsia="Times New Roman" w:cs="Times New Roman"/>
      <w:sz w:val="24"/>
      <w:szCs w:val="24"/>
    </w:rPr>
  </w:style>
  <w:style w:type="paragraph" w:styleId="1019">
    <w:name w:val="Normal_30"/>
    <w:next w:val="1019"/>
    <w:link w:val="911"/>
    <w:qFormat/>
    <w:rPr>
      <w:rFonts w:ascii="Times New Roman" w:hAnsi="Times New Roman" w:eastAsia="Times New Roman" w:cs="Times New Roman"/>
      <w:sz w:val="24"/>
      <w:szCs w:val="24"/>
    </w:rPr>
  </w:style>
  <w:style w:type="paragraph" w:styleId="1020">
    <w:name w:val="正文_0_0"/>
    <w:next w:val="1021"/>
    <w:link w:val="911"/>
    <w:qFormat/>
    <w:pPr>
      <w:jc w:val="both"/>
      <w:widowControl w:val="off"/>
    </w:pPr>
    <w:rPr>
      <w:rFonts w:ascii="Times New Roman" w:hAnsi="Times New Roman" w:eastAsia="宋体" w:cs="Times New Roman"/>
      <w:sz w:val="21"/>
      <w:lang w:val="en-US" w:eastAsia="zh-CN" w:bidi="ar-SA"/>
    </w:rPr>
  </w:style>
  <w:style w:type="paragraph" w:styleId="1021">
    <w:name w:val="正文文本_0"/>
    <w:basedOn w:val="1020"/>
    <w:next w:val="1021"/>
    <w:link w:val="911"/>
    <w:pPr>
      <w:spacing w:line="400" w:lineRule="exact"/>
    </w:pPr>
    <w:rPr>
      <w:sz w:val="24"/>
    </w:rPr>
  </w:style>
  <w:style w:type="paragraph" w:styleId="1022">
    <w:name w:val="Normal_31"/>
    <w:next w:val="1022"/>
    <w:link w:val="911"/>
    <w:qFormat/>
    <w:rPr>
      <w:rFonts w:ascii="Times New Roman" w:hAnsi="Times New Roman" w:eastAsia="Times New Roman" w:cs="Times New Roman"/>
      <w:sz w:val="24"/>
      <w:szCs w:val="24"/>
    </w:rPr>
  </w:style>
  <w:style w:type="paragraph" w:styleId="1023">
    <w:name w:val="Normal_32"/>
    <w:next w:val="1023"/>
    <w:link w:val="911"/>
    <w:qFormat/>
    <w:rPr>
      <w:rFonts w:ascii="Times New Roman" w:hAnsi="Times New Roman" w:eastAsia="Times New Roman" w:cs="Times New Roman"/>
      <w:sz w:val="24"/>
      <w:szCs w:val="24"/>
    </w:rPr>
  </w:style>
  <w:style w:type="paragraph" w:styleId="1024">
    <w:name w:val="正文_1"/>
    <w:next w:val="1025"/>
    <w:link w:val="911"/>
    <w:qFormat/>
    <w:pPr>
      <w:jc w:val="both"/>
      <w:widowControl w:val="off"/>
    </w:pPr>
    <w:rPr>
      <w:rFonts w:ascii="Times New Roman" w:hAnsi="Times New Roman" w:eastAsia="宋体" w:cs="Times New Roman"/>
      <w:sz w:val="21"/>
      <w:lang w:val="en-US" w:eastAsia="zh-CN" w:bidi="ar-SA"/>
    </w:rPr>
  </w:style>
  <w:style w:type="paragraph" w:styleId="1025">
    <w:name w:val="正文文本_0_0"/>
    <w:basedOn w:val="1024"/>
    <w:next w:val="1025"/>
    <w:link w:val="911"/>
    <w:pPr>
      <w:spacing w:line="400" w:lineRule="exact"/>
    </w:pPr>
    <w:rPr>
      <w:sz w:val="24"/>
    </w:rPr>
  </w:style>
  <w:style w:type="paragraph" w:styleId="1026">
    <w:name w:val="Normal_33"/>
    <w:next w:val="1026"/>
    <w:link w:val="911"/>
    <w:qFormat/>
    <w:rPr>
      <w:rFonts w:ascii="Times New Roman" w:hAnsi="Times New Roman" w:eastAsia="Times New Roman" w:cs="Times New Roman"/>
      <w:sz w:val="24"/>
      <w:szCs w:val="24"/>
    </w:rPr>
  </w:style>
  <w:style w:type="paragraph" w:styleId="1027">
    <w:name w:val="Normal_34"/>
    <w:next w:val="1027"/>
    <w:link w:val="911"/>
    <w:qFormat/>
    <w:rPr>
      <w:rFonts w:ascii="Times New Roman" w:hAnsi="Times New Roman" w:eastAsia="Times New Roman" w:cs="Times New Roman"/>
      <w:sz w:val="24"/>
      <w:szCs w:val="24"/>
    </w:rPr>
  </w:style>
  <w:style w:type="paragraph" w:styleId="1028">
    <w:name w:val="Normal_35"/>
    <w:next w:val="1028"/>
    <w:link w:val="911"/>
    <w:qFormat/>
    <w:rPr>
      <w:rFonts w:ascii="Times New Roman" w:hAnsi="Times New Roman" w:eastAsia="Times New Roman" w:cs="Times New Roman"/>
      <w:sz w:val="24"/>
      <w:szCs w:val="24"/>
    </w:rPr>
  </w:style>
  <w:style w:type="paragraph" w:styleId="1029">
    <w:name w:val="Normal_36"/>
    <w:next w:val="1029"/>
    <w:link w:val="911"/>
    <w:qFormat/>
    <w:rPr>
      <w:rFonts w:ascii="Times New Roman" w:hAnsi="Times New Roman" w:eastAsia="Times New Roman" w:cs="Times New Roman"/>
      <w:sz w:val="24"/>
      <w:szCs w:val="24"/>
    </w:rPr>
  </w:style>
  <w:style w:type="paragraph" w:styleId="1030">
    <w:name w:val="Normal_37"/>
    <w:next w:val="1030"/>
    <w:link w:val="911"/>
    <w:qFormat/>
    <w:rPr>
      <w:rFonts w:ascii="Times New Roman" w:hAnsi="Times New Roman" w:eastAsia="Times New Roman" w:cs="Times New Roman"/>
      <w:sz w:val="24"/>
      <w:szCs w:val="24"/>
    </w:rPr>
  </w:style>
  <w:style w:type="paragraph" w:styleId="1031">
    <w:name w:val="Normal_38"/>
    <w:next w:val="1031"/>
    <w:link w:val="911"/>
    <w:qFormat/>
    <w:rPr>
      <w:rFonts w:ascii="Times New Roman" w:hAnsi="Times New Roman" w:eastAsia="Times New Roman" w:cs="Times New Roman"/>
      <w:sz w:val="24"/>
      <w:szCs w:val="24"/>
    </w:rPr>
  </w:style>
  <w:style w:type="paragraph" w:styleId="1032">
    <w:name w:val="Normal_39"/>
    <w:next w:val="1032"/>
    <w:link w:val="911"/>
    <w:qFormat/>
    <w:rPr>
      <w:rFonts w:ascii="Times New Roman" w:hAnsi="Times New Roman" w:eastAsia="Times New Roman" w:cs="Times New Roman"/>
      <w:sz w:val="24"/>
      <w:szCs w:val="24"/>
    </w:rPr>
  </w:style>
  <w:style w:type="paragraph" w:styleId="1033">
    <w:name w:val="Normal_40"/>
    <w:next w:val="1033"/>
    <w:link w:val="911"/>
    <w:qFormat/>
    <w:rPr>
      <w:rFonts w:ascii="Times New Roman" w:hAnsi="Times New Roman" w:eastAsia="Times New Roman" w:cs="Times New Roman"/>
      <w:sz w:val="24"/>
      <w:szCs w:val="24"/>
    </w:rPr>
  </w:style>
  <w:style w:type="paragraph" w:styleId="1034">
    <w:name w:val="Normal_41"/>
    <w:next w:val="1034"/>
    <w:link w:val="911"/>
    <w:qFormat/>
    <w:rPr>
      <w:rFonts w:ascii="Times New Roman" w:hAnsi="Times New Roman" w:eastAsia="Times New Roman" w:cs="Times New Roman"/>
      <w:sz w:val="24"/>
      <w:szCs w:val="24"/>
    </w:rPr>
  </w:style>
  <w:style w:type="paragraph" w:styleId="1035">
    <w:name w:val="Normal_42"/>
    <w:next w:val="1035"/>
    <w:link w:val="911"/>
    <w:qFormat/>
    <w:rPr>
      <w:rFonts w:ascii="Times New Roman" w:hAnsi="Times New Roman" w:eastAsia="Times New Roman" w:cs="Times New Roman"/>
      <w:sz w:val="24"/>
      <w:szCs w:val="24"/>
    </w:rPr>
  </w:style>
  <w:style w:type="paragraph" w:styleId="1036">
    <w:name w:val="Normal_43"/>
    <w:next w:val="1036"/>
    <w:link w:val="911"/>
    <w:qFormat/>
    <w:rPr>
      <w:rFonts w:ascii="Times New Roman" w:hAnsi="Times New Roman" w:eastAsia="Times New Roman" w:cs="Times New Roman"/>
      <w:sz w:val="24"/>
      <w:szCs w:val="24"/>
    </w:rPr>
  </w:style>
  <w:style w:type="paragraph" w:styleId="1037">
    <w:name w:val="正文_2"/>
    <w:next w:val="1038"/>
    <w:link w:val="911"/>
    <w:qFormat/>
    <w:pPr>
      <w:jc w:val="both"/>
      <w:widowControl w:val="off"/>
    </w:pPr>
    <w:rPr>
      <w:rFonts w:ascii="Times New Roman" w:hAnsi="Times New Roman" w:eastAsia="宋体" w:cs="Times New Roman"/>
      <w:sz w:val="21"/>
      <w:lang w:val="en-US" w:eastAsia="zh-CN" w:bidi="ar-SA"/>
    </w:rPr>
  </w:style>
  <w:style w:type="paragraph" w:styleId="1038">
    <w:name w:val="正文文本_1"/>
    <w:basedOn w:val="1037"/>
    <w:next w:val="1038"/>
    <w:link w:val="911"/>
    <w:pPr>
      <w:spacing w:line="400" w:lineRule="exact"/>
    </w:pPr>
    <w:rPr>
      <w:sz w:val="24"/>
    </w:rPr>
  </w:style>
  <w:style w:type="character" w:styleId="1039">
    <w:name w:val="标题 4 Char_0"/>
    <w:next w:val="1039"/>
    <w:link w:val="911"/>
    <w:qFormat/>
    <w:rPr>
      <w:rFonts w:ascii="Cambria" w:hAnsi="Cambria" w:eastAsia="宋体" w:cs="Times New Roman"/>
      <w:b/>
      <w:bCs/>
      <w:sz w:val="28"/>
      <w:szCs w:val="28"/>
    </w:rPr>
  </w:style>
  <w:style w:type="paragraph" w:styleId="1040">
    <w:name w:val="Normal_44"/>
    <w:next w:val="1040"/>
    <w:link w:val="911"/>
    <w:qFormat/>
    <w:rPr>
      <w:rFonts w:ascii="Times New Roman" w:hAnsi="Times New Roman" w:eastAsia="Times New Roman" w:cs="Times New Roman"/>
      <w:sz w:val="24"/>
      <w:szCs w:val="24"/>
    </w:rPr>
  </w:style>
  <w:style w:type="paragraph" w:styleId="1041">
    <w:name w:val="Normal_45"/>
    <w:next w:val="1041"/>
    <w:link w:val="911"/>
    <w:qFormat/>
    <w:rPr>
      <w:rFonts w:ascii="Times New Roman" w:hAnsi="Times New Roman" w:eastAsia="Times New Roman" w:cs="Times New Roman"/>
      <w:sz w:val="24"/>
      <w:szCs w:val="24"/>
    </w:rPr>
  </w:style>
  <w:style w:type="paragraph" w:styleId="1042">
    <w:name w:val="Normal_46"/>
    <w:next w:val="1042"/>
    <w:link w:val="911"/>
    <w:qFormat/>
    <w:rPr>
      <w:rFonts w:ascii="Times New Roman" w:hAnsi="Times New Roman" w:eastAsia="Times New Roman" w:cs="Times New Roman"/>
      <w:sz w:val="24"/>
      <w:szCs w:val="24"/>
    </w:rPr>
  </w:style>
  <w:style w:type="paragraph" w:styleId="1043">
    <w:name w:val="Normal_47"/>
    <w:next w:val="1043"/>
    <w:link w:val="911"/>
    <w:qFormat/>
    <w:rPr>
      <w:rFonts w:ascii="Times New Roman" w:hAnsi="Times New Roman" w:eastAsia="Times New Roman" w:cs="Times New Roman"/>
      <w:sz w:val="24"/>
      <w:szCs w:val="24"/>
    </w:rPr>
  </w:style>
  <w:style w:type="paragraph" w:styleId="1044">
    <w:name w:val="Normal_48"/>
    <w:next w:val="1044"/>
    <w:link w:val="911"/>
    <w:qFormat/>
    <w:rPr>
      <w:rFonts w:ascii="Times New Roman" w:hAnsi="Times New Roman" w:eastAsia="Times New Roman" w:cs="Times New Roman"/>
      <w:sz w:val="24"/>
      <w:szCs w:val="24"/>
    </w:rPr>
  </w:style>
  <w:style w:type="paragraph" w:styleId="1045">
    <w:name w:val="Normal_49"/>
    <w:next w:val="1045"/>
    <w:link w:val="911"/>
    <w:qFormat/>
    <w:rPr>
      <w:rFonts w:ascii="Times New Roman" w:hAnsi="Times New Roman" w:eastAsia="Times New Roman" w:cs="Times New Roman"/>
      <w:sz w:val="24"/>
      <w:szCs w:val="24"/>
    </w:rPr>
  </w:style>
  <w:style w:type="paragraph" w:styleId="1046">
    <w:name w:val="Normal_50"/>
    <w:next w:val="1046"/>
    <w:link w:val="911"/>
    <w:qFormat/>
    <w:rPr>
      <w:rFonts w:ascii="Times New Roman" w:hAnsi="Times New Roman" w:eastAsia="Times New Roman" w:cs="Times New Roman"/>
      <w:sz w:val="24"/>
      <w:szCs w:val="24"/>
    </w:rPr>
  </w:style>
  <w:style w:type="paragraph" w:styleId="1047">
    <w:name w:val="Normal_51"/>
    <w:next w:val="1047"/>
    <w:link w:val="911"/>
    <w:qFormat/>
    <w:rPr>
      <w:rFonts w:ascii="Times New Roman" w:hAnsi="Times New Roman" w:eastAsia="Times New Roman" w:cs="Times New Roman"/>
      <w:sz w:val="24"/>
      <w:szCs w:val="24"/>
    </w:rPr>
  </w:style>
  <w:style w:type="paragraph" w:styleId="1048">
    <w:name w:val="Normal_52"/>
    <w:next w:val="1048"/>
    <w:link w:val="911"/>
    <w:qFormat/>
    <w:rPr>
      <w:rFonts w:ascii="Times New Roman" w:hAnsi="Times New Roman" w:eastAsia="Times New Roman" w:cs="Times New Roman"/>
      <w:sz w:val="24"/>
      <w:szCs w:val="24"/>
    </w:rPr>
  </w:style>
  <w:style w:type="paragraph" w:styleId="1049">
    <w:name w:val="正文_3"/>
    <w:next w:val="1050"/>
    <w:link w:val="911"/>
    <w:qFormat/>
    <w:pPr>
      <w:jc w:val="both"/>
      <w:widowControl w:val="off"/>
    </w:pPr>
    <w:rPr>
      <w:rFonts w:ascii="Times New Roman" w:hAnsi="Times New Roman" w:eastAsia="宋体" w:cs="Times New Roman"/>
      <w:sz w:val="21"/>
      <w:lang w:val="en-US" w:eastAsia="zh-CN" w:bidi="ar-SA"/>
    </w:rPr>
  </w:style>
  <w:style w:type="paragraph" w:styleId="1050">
    <w:name w:val="正文文本_2"/>
    <w:basedOn w:val="1049"/>
    <w:next w:val="1050"/>
    <w:link w:val="911"/>
    <w:pPr>
      <w:spacing w:line="400" w:lineRule="exact"/>
    </w:pPr>
    <w:rPr>
      <w:sz w:val="24"/>
    </w:rPr>
  </w:style>
  <w:style w:type="paragraph" w:styleId="1051">
    <w:name w:val="Normal_53"/>
    <w:next w:val="1051"/>
    <w:link w:val="911"/>
    <w:qFormat/>
    <w:rPr>
      <w:rFonts w:ascii="Times New Roman" w:hAnsi="Times New Roman" w:eastAsia="Times New Roman" w:cs="Times New Roman"/>
      <w:sz w:val="24"/>
      <w:szCs w:val="24"/>
    </w:rPr>
  </w:style>
  <w:style w:type="character" w:styleId="1052">
    <w:name w:val="hover"/>
    <w:basedOn w:val="913"/>
    <w:next w:val="1052"/>
    <w:link w:val="911"/>
    <w:rPr>
      <w:color w:val="2590eb"/>
    </w:rPr>
  </w:style>
  <w:style w:type="character" w:styleId="1053">
    <w:name w:val="hover1"/>
    <w:basedOn w:val="913"/>
    <w:next w:val="1053"/>
    <w:link w:val="911"/>
  </w:style>
  <w:style w:type="character" w:styleId="1054">
    <w:name w:val="hover2"/>
    <w:basedOn w:val="913"/>
    <w:next w:val="1054"/>
    <w:link w:val="911"/>
    <w:rPr>
      <w:color w:val="2590eb"/>
    </w:rPr>
  </w:style>
  <w:style w:type="character" w:styleId="1055">
    <w:name w:val="layui-layer-tabnow"/>
    <w:basedOn w:val="913"/>
    <w:next w:val="1055"/>
    <w:link w:val="911"/>
    <w:rPr>
      <w:shd w:val="clear" w:color="auto" w:fill="ffffff"/>
    </w:rPr>
  </w:style>
  <w:style w:type="character" w:styleId="1056">
    <w:name w:val="first-child"/>
    <w:basedOn w:val="913"/>
    <w:next w:val="1056"/>
    <w:link w:val="911"/>
  </w:style>
  <w:style w:type="character" w:styleId="1057" w:default="1">
    <w:name w:val="Default Paragraph Font"/>
    <w:uiPriority w:val="1"/>
    <w:semiHidden/>
    <w:unhideWhenUsed/>
  </w:style>
  <w:style w:type="numbering" w:styleId="1058" w:default="1">
    <w:name w:val="No List"/>
    <w:uiPriority w:val="99"/>
    <w:semiHidden/>
    <w:unhideWhenUsed/>
  </w:style>
  <w:style w:type="table" w:styleId="10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周莉</cp:lastModifiedBy>
  <cp:revision>2</cp:revision>
  <dcterms:created xsi:type="dcterms:W3CDTF">2022-03-03T02:44:00Z</dcterms:created>
  <dcterms:modified xsi:type="dcterms:W3CDTF">2024-06-27T03:07:39Z</dcterms:modified>
</cp:coreProperties>
</file>