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4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48"/>
        <w:ind w:left="2564" w:hanging="1606"/>
        <w:jc w:val="left"/>
        <w:spacing w:before="120" w:after="120" w:line="360" w:lineRule="auto"/>
        <w:rPr>
          <w:rFonts w:ascii="Arial" w:hAnsi="Arial" w:eastAsia="宋体"/>
          <w:b/>
          <w:bCs/>
          <w:color w:val="000000"/>
          <w:sz w:val="32"/>
          <w:szCs w:val="24"/>
          <w:lang w:val="en-US" w:eastAsia="zh-CN"/>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u w:val="none"/>
          <w:lang w:val="en-US" w:eastAsia="zh-CN"/>
        </w:rPr>
        <w:t xml:space="preserve">南通市第一人民医院临床技能模拟训练中心信息化采购项目（重新采购）</w:t>
      </w:r>
      <w:r>
        <w:rPr>
          <w:rFonts w:ascii="Arial" w:hAnsi="Arial" w:eastAsia="宋体"/>
          <w:b/>
          <w:bCs/>
          <w:color w:val="000000"/>
          <w:sz w:val="32"/>
          <w:szCs w:val="24"/>
          <w:lang w:val="en-US" w:eastAsia="zh-CN"/>
        </w:rPr>
      </w:r>
      <w:r/>
    </w:p>
    <w:p>
      <w:pPr>
        <w:pStyle w:val="748"/>
        <w:ind w:firstLine="964"/>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项目编号：JSZC-320600-JZCG-G2024-0122</w:t>
      </w:r>
      <w:r/>
    </w:p>
    <w:p>
      <w:pPr>
        <w:pStyle w:val="748"/>
        <w:ind w:left="2100" w:hanging="2100"/>
        <w:rPr>
          <w:rFonts w:hint="eastAsia" w:ascii="Times New Roman" w:hAnsi="Times New Roman"/>
          <w:b/>
          <w:color w:val="ff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ff0000"/>
          <w:sz w:val="30"/>
          <w:szCs w:val="30"/>
        </w:rPr>
        <w:t xml:space="preserve">  </w:t>
      </w:r>
      <w:r>
        <w:rPr>
          <w:rFonts w:hint="eastAsia" w:ascii="Times New Roman" w:hAnsi="Times New Roman"/>
          <w:b/>
          <w:color w:val="ff0000"/>
          <w:sz w:val="30"/>
          <w:szCs w:val="30"/>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ind w:firstLine="1920"/>
        <w:spacing w:line="360" w:lineRule="auto"/>
        <w:rPr>
          <w:rFonts w:hint="eastAsia" w:ascii="宋体" w:hAnsi="宋体"/>
          <w:color w:val="000000"/>
          <w:sz w:val="32"/>
          <w:szCs w:val="20"/>
        </w:rPr>
      </w:pPr>
      <w:r>
        <w:rPr>
          <w:rFonts w:hint="eastAsia" w:ascii="Arial" w:hAnsi="Arial"/>
          <w:color w:val="000000"/>
          <w:sz w:val="24"/>
          <w:szCs w:val="24"/>
        </w:rPr>
        <w:t xml:space="preserve">     </w:t>
      </w: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748"/>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74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2024</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74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pStyle w:val="74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8"/>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2816"/>
      <w:r/>
      <w:bookmarkStart w:id="1" w:name="_Toc20396"/>
      <w:r/>
      <w:bookmarkStart w:id="2" w:name="_Toc32411"/>
      <w:r/>
      <w:bookmarkStart w:id="3" w:name="_Toc27688"/>
      <w:r/>
      <w:bookmarkStart w:id="4" w:name="_Toc120614210"/>
      <w:r/>
      <w:bookmarkStart w:id="5" w:name="_Toc513029200"/>
      <w:r/>
      <w:bookmarkStart w:id="6" w:name="_Toc20823272"/>
      <w:r/>
      <w:bookmarkStart w:id="7" w:name="_Toc16938516"/>
      <w:r/>
      <w:bookmarkStart w:id="8" w:name="_Toc523127445"/>
      <w:r/>
      <w:bookmarkStart w:id="9" w:name="_Toc479757206"/>
      <w:r>
        <w:rPr>
          <w:rFonts w:hint="eastAsia" w:ascii="黑体" w:hAnsi="Arial" w:eastAsia="黑体"/>
          <w:b/>
          <w:color w:val="000000"/>
          <w:sz w:val="44"/>
          <w:szCs w:val="21"/>
        </w:rPr>
        <w:t xml:space="preserve">总  目  录</w:t>
      </w:r>
      <w:bookmarkEnd w:id="0"/>
      <w:r/>
      <w:bookmarkEnd w:id="1"/>
      <w:r/>
      <w:bookmarkEnd w:id="2"/>
      <w:r/>
      <w:bookmarkEnd w:id="3"/>
      <w:r>
        <w:rPr>
          <w:rFonts w:hint="eastAsia" w:ascii="黑体" w:hAnsi="Arial" w:eastAsia="黑体"/>
          <w:b/>
          <w:color w:val="000000"/>
          <w:sz w:val="44"/>
          <w:szCs w:val="21"/>
        </w:rPr>
      </w:r>
      <w:r/>
    </w:p>
    <w:p>
      <w:pPr>
        <w:pStyle w:val="801"/>
        <w:ind w:firstLine="281"/>
        <w:tabs>
          <w:tab w:val="right" w:pos="8953" w:leader="dot"/>
        </w:tabs>
        <w:rPr>
          <w:rFonts w:hint="eastAsia" w:ascii="宋体" w:hAnsi="宋体" w:eastAsia="宋体" w:cs="宋体"/>
          <w:b/>
          <w:bCs/>
          <w:sz w:val="28"/>
          <w:szCs w:val="28"/>
        </w:rPr>
      </w:pPr>
      <w:r>
        <w:rPr>
          <w:rFonts w:hint="eastAsia" w:ascii="仿宋_GB2312" w:hAnsi="Arial" w:eastAsia="仿宋_GB2312"/>
          <w:b/>
          <w:color w:val="000000"/>
          <w:sz w:val="28"/>
          <w:szCs w:val="21"/>
        </w:rPr>
        <w:fldChar w:fldCharType="begin"/>
      </w:r>
      <w:r>
        <w:rPr>
          <w:rFonts w:hint="eastAsia" w:ascii="仿宋_GB2312" w:hAnsi="Arial" w:eastAsia="仿宋_GB2312"/>
          <w:b/>
          <w:color w:val="000000"/>
          <w:sz w:val="28"/>
          <w:szCs w:val="21"/>
        </w:rPr>
        <w:instrText xml:space="preserve">TOC \o "1-3" \h \u </w:instrText>
      </w:r>
      <w:r>
        <w:rPr>
          <w:rFonts w:hint="eastAsia" w:ascii="仿宋_GB2312" w:hAnsi="Arial" w:eastAsia="仿宋_GB2312"/>
          <w:b/>
          <w:color w:val="000000"/>
          <w:sz w:val="28"/>
          <w:szCs w:val="21"/>
        </w:rPr>
        <w:fldChar w:fldCharType="separate"/>
      </w:r>
      <w:r>
        <w:rPr>
          <w:rFonts w:hint="eastAsia" w:ascii="宋体" w:hAnsi="宋体" w:eastAsia="宋体" w:cs="宋体"/>
          <w:b/>
          <w:bCs/>
          <w:sz w:val="28"/>
          <w:szCs w:val="28"/>
        </w:rPr>
      </w:r>
      <w:r/>
    </w:p>
    <w:p>
      <w:pPr>
        <w:pStyle w:val="808"/>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_Toc21745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_Toc21745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２</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808"/>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_Toc803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投标人须知</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6</w:t>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808"/>
        <w:tabs>
          <w:tab w:val="right" w:pos="8953" w:leader="dot"/>
        </w:tabs>
        <w:rPr>
          <w:rFonts w:hint="eastAsia"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_Toc21447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合同文本</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1</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9</w:t>
      </w:r>
      <w:r>
        <w:rPr>
          <w:rFonts w:hint="eastAsia" w:ascii="宋体" w:hAnsi="宋体" w:eastAsia="宋体" w:cs="宋体"/>
          <w:b/>
          <w:bCs/>
          <w:sz w:val="28"/>
          <w:szCs w:val="28"/>
          <w:lang w:val="en-US" w:eastAsia="zh-CN"/>
        </w:rPr>
      </w:r>
      <w:r/>
    </w:p>
    <w:p>
      <w:pPr>
        <w:pStyle w:val="808"/>
        <w:tabs>
          <w:tab w:val="right" w:pos="8953" w:leader="dot"/>
        </w:tabs>
        <w:rPr>
          <w:rFonts w:hint="eastAsia"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_Toc23209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采购需求</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2</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8</w:t>
      </w:r>
      <w:r>
        <w:rPr>
          <w:rFonts w:hint="eastAsia" w:ascii="宋体" w:hAnsi="宋体" w:eastAsia="宋体" w:cs="宋体"/>
          <w:b/>
          <w:bCs/>
          <w:sz w:val="28"/>
          <w:szCs w:val="28"/>
          <w:lang w:val="en-US" w:eastAsia="zh-CN"/>
        </w:rPr>
      </w:r>
      <w:r/>
    </w:p>
    <w:p>
      <w:pPr>
        <w:pStyle w:val="808"/>
        <w:tabs>
          <w:tab w:val="right" w:pos="8953" w:leader="dot"/>
        </w:tabs>
        <w:rPr>
          <w:rFonts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_Toc16219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评标方法与评标标准</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1</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31</w:t>
      </w:r>
      <w:r>
        <w:rPr>
          <w:rFonts w:ascii="宋体" w:hAnsi="宋体" w:eastAsia="宋体" w:cs="宋体"/>
          <w:b/>
          <w:bCs/>
          <w:sz w:val="28"/>
          <w:szCs w:val="28"/>
          <w:lang w:val="en-US" w:eastAsia="zh-CN"/>
        </w:rPr>
      </w:r>
      <w:r/>
    </w:p>
    <w:p>
      <w:pPr>
        <w:pStyle w:val="808"/>
        <w:tabs>
          <w:tab w:val="right" w:pos="8953" w:leader="dot"/>
        </w:tabs>
        <w:rPr>
          <w:rFonts w:ascii="宋体" w:hAnsi="宋体" w:eastAsia="宋体" w:cs="宋体"/>
          <w:b/>
          <w:bCs/>
          <w:sz w:val="13"/>
          <w:szCs w:val="13"/>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_Toc21150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投标文件格式</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1</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38</w:t>
      </w:r>
      <w:r>
        <w:rPr>
          <w:rFonts w:ascii="宋体" w:hAnsi="宋体" w:eastAsia="宋体" w:cs="宋体"/>
          <w:b/>
          <w:bCs/>
          <w:sz w:val="13"/>
          <w:szCs w:val="13"/>
          <w:lang w:val="en-US" w:eastAsia="zh-CN"/>
        </w:rPr>
      </w:r>
      <w:r/>
    </w:p>
    <w:p>
      <w:pPr>
        <w:pStyle w:val="801"/>
        <w:tabs>
          <w:tab w:val="right" w:pos="8953" w:leader="dot"/>
        </w:tabs>
      </w:pPr>
      <w:r/>
      <w:r/>
    </w:p>
    <w:p>
      <w:pPr>
        <w:pStyle w:val="748"/>
        <w:spacing w:line="480" w:lineRule="auto"/>
        <w:rPr>
          <w:rFonts w:hint="eastAsia" w:ascii="仿宋_GB2312" w:hAnsi="Arial" w:eastAsia="仿宋_GB2312"/>
          <w:b/>
          <w:color w:val="000000"/>
          <w:sz w:val="28"/>
          <w:szCs w:val="21"/>
        </w:rPr>
        <w:outlineLvl w:val="0"/>
      </w:pPr>
      <w:r>
        <w:rPr>
          <w:rFonts w:hint="eastAsia" w:ascii="仿宋_GB2312" w:hAnsi="Arial" w:eastAsia="仿宋_GB2312"/>
          <w:color w:val="000000"/>
          <w:szCs w:val="21"/>
        </w:rPr>
        <w:fldChar w:fldCharType="end"/>
      </w:r>
      <w:r>
        <w:rPr>
          <w:rFonts w:hint="eastAsia" w:ascii="仿宋_GB2312" w:hAnsi="Arial" w:eastAsia="仿宋_GB2312"/>
          <w:b/>
          <w:color w:val="000000"/>
          <w:sz w:val="28"/>
          <w:szCs w:val="21"/>
        </w:rPr>
      </w:r>
      <w:r/>
    </w:p>
    <w:p>
      <w:pPr>
        <w:pStyle w:val="748"/>
        <w:rPr>
          <w:rFonts w:hint="eastAsia" w:ascii="Times New Roman" w:hAnsi="Times New Roman"/>
          <w:color w:val="000000"/>
          <w:szCs w:val="21"/>
        </w:rPr>
        <w:outlineLvl w:val="0"/>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50"/>
        <w:numPr>
          <w:ilvl w:val="0"/>
          <w:numId w:val="0"/>
        </w:numPr>
        <w:jc w:val="center"/>
        <w:keepLines/>
        <w:keepNext/>
        <w:pageBreakBefore/>
        <w:spacing w:line="416" w:lineRule="auto"/>
        <w:widowControl w:val="off"/>
        <w:rPr>
          <w:rFonts w:hint="eastAsia"/>
        </w:rPr>
        <w:outlineLvl w:val="0"/>
      </w:pPr>
      <w:r/>
      <w:bookmarkStart w:id="10" w:name="_Toc18169"/>
      <w:r/>
      <w:bookmarkStart w:id="11" w:name="_Toc24286"/>
      <w:r/>
      <w:bookmarkStart w:id="12" w:name="_Toc21745"/>
      <w:r/>
      <w:bookmarkStart w:id="13" w:name="_Toc27546"/>
      <w:r>
        <w:rPr>
          <w:rFonts w:hint="eastAsia"/>
        </w:rPr>
        <w:t xml:space="preserve">第一章  </w:t>
      </w:r>
      <w:bookmarkEnd w:id="4"/>
      <w:r>
        <w:rPr>
          <w:rFonts w:hint="eastAsia"/>
        </w:rPr>
        <w:t xml:space="preserve">投标邀请</w:t>
      </w:r>
      <w:bookmarkEnd w:id="10"/>
      <w:r/>
      <w:bookmarkEnd w:id="11"/>
      <w:r/>
      <w:bookmarkEnd w:id="12"/>
      <w:r/>
      <w:bookmarkEnd w:id="13"/>
      <w:r>
        <w:rPr>
          <w:rFonts w:hint="eastAsia"/>
        </w:rPr>
      </w:r>
      <w:r/>
    </w:p>
    <w:p>
      <w:pPr>
        <w:pStyle w:val="748"/>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受[</w:t>
      </w:r>
      <w:r>
        <w:rPr>
          <w:rFonts w:hint="eastAsia" w:ascii="仿宋" w:hAnsi="仿宋" w:eastAsia="仿宋" w:cs="Times New Roman"/>
          <w:color w:val="000000"/>
          <w:sz w:val="28"/>
          <w:szCs w:val="28"/>
          <w:lang w:val="en-US" w:eastAsia="zh-CN"/>
        </w:rPr>
        <w:t xml:space="preserve">南通市第一人民医院</w:t>
      </w:r>
      <w:r>
        <w:rPr>
          <w:rFonts w:hint="eastAsia" w:ascii="仿宋" w:hAnsi="仿宋" w:eastAsia="仿宋" w:cs="Times New Roman"/>
          <w:color w:val="000000"/>
          <w:sz w:val="28"/>
          <w:szCs w:val="28"/>
        </w:rPr>
        <w:t xml:space="preserve">]的委托，南通市政府采购中心就[</w:t>
      </w:r>
      <w:r>
        <w:rPr>
          <w:rFonts w:hint="eastAsia" w:ascii="仿宋" w:hAnsi="仿宋" w:eastAsia="仿宋" w:cs="Times New Roman"/>
          <w:color w:val="000000"/>
          <w:sz w:val="28"/>
          <w:szCs w:val="28"/>
          <w:lang w:val="en-US" w:eastAsia="zh-CN"/>
        </w:rPr>
        <w:t xml:space="preserve">南通市第一人民医院临床技能模拟训练中心信息化采购项目</w:t>
      </w:r>
      <w:r>
        <w:rPr>
          <w:rFonts w:hint="eastAsia" w:ascii="仿宋" w:hAnsi="仿宋" w:eastAsia="仿宋" w:cs="Times New Roman"/>
          <w:color w:val="000000"/>
          <w:sz w:val="28"/>
          <w:szCs w:val="28"/>
        </w:rPr>
        <w:t xml:space="preserve">]([JSZC-320600-JZCG-G2024-0122])项目进行公开招标采购，欢迎符合条件的供应商投标。</w:t>
      </w:r>
      <w:r>
        <w:rPr>
          <w:rFonts w:hint="eastAsia" w:ascii="仿宋" w:hAnsi="仿宋" w:eastAsia="仿宋" w:cs="Times New Roman"/>
          <w:color w:val="000000"/>
          <w:sz w:val="28"/>
          <w:szCs w:val="28"/>
        </w:rPr>
      </w:r>
      <w:r/>
    </w:p>
    <w:p>
      <w:pPr>
        <w:pStyle w:val="748"/>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Times New Roman"/>
          <w:color w:val="000000"/>
          <w:sz w:val="28"/>
          <w:szCs w:val="28"/>
          <w:u w:val="single"/>
          <w:lang w:val="en-US" w:eastAsia="zh-CN"/>
        </w:rPr>
        <w:t xml:space="preserve">南通市第一人民医院临床技能模拟训练中心信息化采购项目</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招标项目的潜在投标人可在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u w:val="single"/>
          <w:lang w:val="en-US" w:eastAsia="zh-CN"/>
        </w:rPr>
        <w:t xml:space="preserve">2024</w:t>
      </w:r>
      <w:r>
        <w:rPr>
          <w:rFonts w:hint="eastAsia" w:ascii="仿宋" w:hAnsi="仿宋" w:eastAsia="仿宋"/>
          <w:bCs/>
          <w:color w:val="000000"/>
          <w:sz w:val="28"/>
          <w:szCs w:val="28"/>
          <w:u w:val="single"/>
        </w:rPr>
        <w:t xml:space="preserve">年9</w:t>
      </w:r>
      <w:r>
        <w:rPr>
          <w:rFonts w:hint="eastAsia" w:ascii="仿宋" w:hAnsi="仿宋" w:eastAsia="仿宋"/>
          <w:bCs/>
          <w:color w:val="000000"/>
          <w:sz w:val="28"/>
          <w:szCs w:val="28"/>
          <w:u w:val="single"/>
        </w:rPr>
        <w:t xml:space="preserve">月10</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4</w:t>
      </w:r>
      <w:r>
        <w:rPr>
          <w:rFonts w:hint="eastAsia" w:ascii="仿宋" w:hAnsi="仿宋" w:eastAsia="仿宋"/>
          <w:bCs/>
          <w:color w:val="000000"/>
          <w:sz w:val="28"/>
          <w:szCs w:val="28"/>
          <w:u w:val="single"/>
        </w:rPr>
        <w:t xml:space="preserve">点</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分（</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48"/>
        <w:ind w:firstLine="436"/>
        <w:keepLines/>
        <w:keepNext/>
        <w:spacing w:before="145" w:after="145" w:line="480" w:lineRule="exact"/>
        <w:rPr>
          <w:rFonts w:ascii="仿宋" w:hAnsi="仿宋" w:eastAsia="仿宋"/>
          <w:b/>
          <w:bCs/>
          <w:color w:val="000000"/>
          <w:sz w:val="28"/>
          <w:szCs w:val="28"/>
        </w:rPr>
        <w:outlineLvl w:val="2"/>
      </w:pPr>
      <w:r/>
      <w:bookmarkStart w:id="14" w:name="_Toc38985263"/>
      <w:r/>
      <w:bookmarkStart w:id="15" w:name="_Toc28359079"/>
      <w:r/>
      <w:bookmarkStart w:id="16" w:name="_Toc35393621"/>
      <w:r/>
      <w:bookmarkStart w:id="17" w:name="_Toc28359002"/>
      <w:r/>
      <w:bookmarkStart w:id="18" w:name="_Toc14878"/>
      <w:r/>
      <w:bookmarkStart w:id="19" w:name="_Toc35393790"/>
      <w:r/>
      <w:bookmarkStart w:id="20" w:name="_Hlk24379207"/>
      <w:r>
        <w:rPr>
          <w:rFonts w:hint="eastAsia" w:ascii="仿宋" w:hAnsi="仿宋" w:eastAsia="仿宋"/>
          <w:b/>
          <w:bCs/>
          <w:color w:val="000000"/>
          <w:sz w:val="28"/>
          <w:szCs w:val="28"/>
        </w:rPr>
        <w:t xml:space="preserve">一、项目基本情况</w:t>
      </w:r>
      <w:bookmarkEnd w:id="14"/>
      <w:r/>
      <w:bookmarkEnd w:id="15"/>
      <w:r/>
      <w:bookmarkEnd w:id="16"/>
      <w:r/>
      <w:bookmarkEnd w:id="17"/>
      <w:r/>
      <w:bookmarkEnd w:id="18"/>
      <w:r/>
      <w:bookmarkEnd w:id="19"/>
      <w:r>
        <w:rPr>
          <w:rFonts w:ascii="仿宋" w:hAnsi="仿宋" w:eastAsia="仿宋"/>
          <w:b/>
          <w:bCs/>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1.项目编号</w:t>
      </w:r>
      <w:r>
        <w:rPr>
          <w:rFonts w:hint="eastAsia" w:ascii="仿宋" w:hAnsi="仿宋" w:eastAsia="仿宋" w:cs="Times New Roman"/>
          <w:color w:val="000000"/>
          <w:sz w:val="28"/>
          <w:szCs w:val="28"/>
        </w:rPr>
        <w:t xml:space="preserve">：JSZC-320600-JZCG-G2024-0122</w:t>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2.项目名称</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南通市第一人民医院临床技能模拟训练中心信息化采购项目（重新采购）</w:t>
      </w: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lang w:val="en-US" w:eastAsia="zh-CN"/>
        </w:rPr>
      </w:pPr>
      <w:r/>
      <w:bookmarkEnd w:id="20"/>
      <w:r>
        <w:rPr>
          <w:rFonts w:hint="eastAsia" w:ascii="仿宋" w:hAnsi="仿宋" w:eastAsia="仿宋"/>
          <w:color w:val="000000"/>
          <w:sz w:val="28"/>
          <w:szCs w:val="28"/>
        </w:rPr>
        <w:t xml:space="preserve">3.预算金额：</w:t>
      </w:r>
      <w:r>
        <w:rPr>
          <w:rFonts w:hint="eastAsia" w:ascii="仿宋" w:hAnsi="仿宋" w:eastAsia="仿宋"/>
          <w:color w:val="000000"/>
          <w:sz w:val="28"/>
          <w:szCs w:val="28"/>
          <w:lang w:val="en-US" w:eastAsia="zh-CN"/>
        </w:rPr>
        <w:t xml:space="preserve">192万元</w:t>
      </w:r>
      <w:r>
        <w:rPr>
          <w:rFonts w:ascii="仿宋" w:hAnsi="仿宋" w:eastAsia="仿宋"/>
          <w:color w:val="000000"/>
          <w:sz w:val="28"/>
          <w:szCs w:val="28"/>
          <w:lang w:val="en-US" w:eastAsia="zh-CN"/>
        </w:rPr>
      </w:r>
      <w:r/>
    </w:p>
    <w:p>
      <w:pPr>
        <w:pStyle w:val="748"/>
        <w:ind w:firstLine="560"/>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4.最高限价：</w:t>
      </w:r>
      <w:r>
        <w:rPr>
          <w:rFonts w:hint="eastAsia" w:ascii="仿宋" w:hAnsi="仿宋" w:eastAsia="仿宋"/>
          <w:color w:val="000000"/>
          <w:sz w:val="28"/>
          <w:szCs w:val="28"/>
          <w:lang w:val="en-US" w:eastAsia="zh-CN"/>
        </w:rPr>
        <w:t xml:space="preserve">170万元</w:t>
      </w:r>
      <w:r>
        <w:rPr>
          <w:rFonts w:ascii="仿宋" w:hAnsi="仿宋" w:eastAsia="仿宋"/>
          <w:color w:val="000000"/>
          <w:sz w:val="28"/>
          <w:szCs w:val="28"/>
          <w:lang w:val="en-US" w:eastAsia="zh-CN"/>
        </w:rPr>
      </w:r>
      <w:r/>
    </w:p>
    <w:p>
      <w:pPr>
        <w:pStyle w:val="748"/>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5.采购需求：</w:t>
      </w:r>
      <w:r>
        <w:rPr>
          <w:rFonts w:hint="eastAsia" w:ascii="仿宋" w:hAnsi="仿宋" w:eastAsia="仿宋" w:cs="宋体"/>
          <w:color w:val="000000"/>
          <w:sz w:val="28"/>
          <w:szCs w:val="28"/>
        </w:rPr>
        <w:t xml:space="preserve">详细内容见本招标文件第四章</w:t>
      </w:r>
      <w:r>
        <w:rPr>
          <w:rFonts w:ascii="仿宋" w:hAnsi="仿宋" w:eastAsia="仿宋"/>
          <w:color w:val="000000"/>
          <w:sz w:val="28"/>
          <w:szCs w:val="28"/>
          <w:u w:val="single"/>
        </w:rPr>
      </w:r>
      <w:r/>
    </w:p>
    <w:p>
      <w:pPr>
        <w:pStyle w:val="748"/>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6.合同履行期限：</w:t>
      </w:r>
      <w:r>
        <w:rPr>
          <w:rFonts w:hint="eastAsia" w:ascii="仿宋" w:hAnsi="仿宋" w:eastAsia="仿宋" w:cs="宋体"/>
          <w:color w:val="000000"/>
          <w:sz w:val="28"/>
          <w:szCs w:val="28"/>
        </w:rPr>
        <w:t xml:space="preserve">自合同签订之日起6个月内完成设备供货、安装及调试。</w:t>
      </w:r>
      <w:r>
        <w:rPr>
          <w:rFonts w:ascii="仿宋" w:hAnsi="仿宋" w:eastAsia="仿宋"/>
          <w:color w:val="000000"/>
          <w:sz w:val="28"/>
          <w:szCs w:val="28"/>
          <w:u w:val="single"/>
        </w:rPr>
      </w:r>
      <w:r/>
    </w:p>
    <w:p>
      <w:pPr>
        <w:pStyle w:val="748"/>
        <w:ind w:firstLine="436"/>
        <w:keepLines/>
        <w:keepNext/>
        <w:spacing w:before="145" w:after="145" w:line="480" w:lineRule="exact"/>
        <w:rPr>
          <w:rFonts w:ascii="仿宋" w:hAnsi="仿宋" w:eastAsia="仿宋"/>
          <w:b/>
          <w:bCs/>
          <w:color w:val="000000"/>
          <w:sz w:val="28"/>
          <w:szCs w:val="28"/>
        </w:rPr>
        <w:outlineLvl w:val="2"/>
      </w:pPr>
      <w:r/>
      <w:bookmarkStart w:id="21" w:name="_Toc35393622"/>
      <w:r/>
      <w:bookmarkStart w:id="22" w:name="_Toc35393791"/>
      <w:r/>
      <w:bookmarkStart w:id="23" w:name="_Toc28359003"/>
      <w:r/>
      <w:bookmarkStart w:id="24" w:name="_Toc38985264"/>
      <w:r/>
      <w:bookmarkStart w:id="25" w:name="_Toc32172"/>
      <w:r/>
      <w:bookmarkStart w:id="26" w:name="_Toc28359080"/>
      <w:r>
        <w:rPr>
          <w:rFonts w:hint="eastAsia" w:ascii="仿宋" w:hAnsi="仿宋" w:eastAsia="仿宋"/>
          <w:b/>
          <w:bCs/>
          <w:color w:val="000000"/>
          <w:sz w:val="28"/>
          <w:szCs w:val="28"/>
        </w:rPr>
        <w:t xml:space="preserve">二、申请人的资格要求：</w:t>
      </w:r>
      <w:bookmarkEnd w:id="21"/>
      <w:r/>
      <w:bookmarkEnd w:id="22"/>
      <w:r/>
      <w:bookmarkEnd w:id="23"/>
      <w:r/>
      <w:bookmarkEnd w:id="24"/>
      <w:r/>
      <w:bookmarkEnd w:id="25"/>
      <w:r/>
      <w:bookmarkEnd w:id="26"/>
      <w:r>
        <w:rPr>
          <w:rFonts w:ascii="仿宋" w:hAnsi="仿宋" w:eastAsia="仿宋"/>
          <w:b/>
          <w:bCs/>
          <w:color w:val="000000"/>
          <w:sz w:val="28"/>
          <w:szCs w:val="28"/>
        </w:rPr>
      </w:r>
      <w:r/>
    </w:p>
    <w:p>
      <w:pPr>
        <w:pStyle w:val="748"/>
        <w:ind w:firstLine="560"/>
        <w:spacing w:line="480" w:lineRule="exact"/>
        <w:rPr>
          <w:rFonts w:hint="eastAsia" w:ascii="仿宋" w:hAnsi="仿宋" w:eastAsia="仿宋"/>
          <w:color w:val="000000"/>
          <w:sz w:val="28"/>
          <w:szCs w:val="28"/>
        </w:rPr>
      </w:pPr>
      <w:r/>
      <w:bookmarkStart w:id="27" w:name="_Toc35393623"/>
      <w:r/>
      <w:bookmarkStart w:id="28" w:name="_Toc28359081"/>
      <w:r/>
      <w:bookmarkStart w:id="29" w:name="_Toc38985265"/>
      <w:r/>
      <w:bookmarkStart w:id="30" w:name="_Toc28359004"/>
      <w:r/>
      <w:bookmarkStart w:id="31" w:name="_Toc35393792"/>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rPr>
          <w:rFonts w:hint="eastAsia"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color w:val="000000"/>
          <w:sz w:val="28"/>
          <w:szCs w:val="28"/>
          <w:highlight w:val="none"/>
        </w:rPr>
        <w:t xml:space="preserve">无</w:t>
      </w:r>
      <w:r>
        <w:rPr>
          <w:rFonts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lang w:val="en-US" w:eastAsia="zh-CN"/>
        </w:rPr>
        <w:t xml:space="preserve">本项目不接受</w:t>
      </w:r>
      <w:r>
        <w:rPr>
          <w:rFonts w:hint="eastAsia" w:ascii="仿宋" w:hAnsi="仿宋" w:eastAsia="仿宋"/>
          <w:color w:val="000000"/>
          <w:sz w:val="28"/>
          <w:szCs w:val="28"/>
        </w:rPr>
        <w:t xml:space="preserve">联合体投标。</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 本项目不接受分包。</w:t>
      </w:r>
      <w:r>
        <w:rPr>
          <w:rFonts w:hint="eastAsia" w:ascii="仿宋" w:hAnsi="仿宋" w:eastAsia="仿宋" w:cs="Times New Roman"/>
          <w:color w:val="000000"/>
          <w:sz w:val="28"/>
          <w:szCs w:val="28"/>
          <w:lang w:val="en-US" w:eastAsia="zh-CN"/>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（二）本项目的特定资格要求</w:t>
      </w:r>
      <w:r>
        <w:rPr>
          <w:rFonts w:hint="eastAsia" w:ascii="仿宋" w:hAnsi="仿宋" w:eastAsia="仿宋"/>
          <w:color w:val="000000"/>
          <w:sz w:val="28"/>
          <w:szCs w:val="28"/>
        </w:rPr>
      </w:r>
      <w:r/>
    </w:p>
    <w:p>
      <w:pPr>
        <w:pStyle w:val="748"/>
        <w:ind w:firstLine="560"/>
        <w:spacing w:line="480" w:lineRule="exact"/>
        <w:rPr>
          <w:rFonts w:ascii="仿宋" w:hAnsi="仿宋" w:eastAsia="仿宋" w:cs="宋体"/>
          <w:color w:val="000000"/>
          <w:sz w:val="28"/>
          <w:szCs w:val="28"/>
        </w:rPr>
      </w:pPr>
      <w:r>
        <w:rPr>
          <w:rFonts w:hint="eastAsia" w:ascii="仿宋" w:hAnsi="仿宋" w:eastAsia="仿宋"/>
          <w:color w:val="000000"/>
          <w:sz w:val="28"/>
          <w:szCs w:val="28"/>
        </w:rPr>
        <w:t xml:space="preserve">无</w:t>
      </w:r>
      <w:r>
        <w:rPr>
          <w:rFonts w:ascii="仿宋" w:hAnsi="仿宋" w:eastAsia="仿宋" w:cs="宋体"/>
          <w:color w:val="000000"/>
          <w:sz w:val="28"/>
          <w:szCs w:val="28"/>
        </w:rPr>
      </w:r>
      <w:r/>
    </w:p>
    <w:p>
      <w:pPr>
        <w:pStyle w:val="748"/>
        <w:ind w:firstLine="436"/>
        <w:keepLines/>
        <w:keepNext/>
        <w:spacing w:before="145" w:after="145" w:line="480" w:lineRule="exact"/>
        <w:rPr>
          <w:rFonts w:ascii="仿宋" w:hAnsi="仿宋" w:eastAsia="仿宋"/>
          <w:b/>
          <w:bCs/>
          <w:color w:val="000000"/>
          <w:sz w:val="28"/>
          <w:szCs w:val="28"/>
        </w:rPr>
        <w:outlineLvl w:val="2"/>
      </w:pPr>
      <w:r/>
      <w:bookmarkStart w:id="32" w:name="_Toc9393"/>
      <w:r>
        <w:rPr>
          <w:rFonts w:hint="eastAsia" w:ascii="仿宋" w:hAnsi="仿宋" w:eastAsia="仿宋"/>
          <w:b/>
          <w:bCs/>
          <w:color w:val="000000"/>
          <w:sz w:val="28"/>
          <w:szCs w:val="28"/>
        </w:rPr>
        <w:t xml:space="preserve">三、获取招标文件</w:t>
      </w:r>
      <w:bookmarkEnd w:id="27"/>
      <w:r/>
      <w:bookmarkEnd w:id="28"/>
      <w:r/>
      <w:bookmarkEnd w:id="29"/>
      <w:r/>
      <w:bookmarkEnd w:id="30"/>
      <w:r/>
      <w:bookmarkEnd w:id="31"/>
      <w:r/>
      <w:bookmarkEnd w:id="32"/>
      <w:r>
        <w:rPr>
          <w:rFonts w:ascii="仿宋" w:hAnsi="仿宋" w:eastAsia="仿宋"/>
          <w:b/>
          <w:bCs/>
          <w:color w:val="000000"/>
          <w:sz w:val="28"/>
          <w:szCs w:val="28"/>
        </w:rPr>
      </w:r>
      <w:r/>
    </w:p>
    <w:p>
      <w:pPr>
        <w:pStyle w:val="748"/>
        <w:ind w:firstLine="540"/>
        <w:spacing w:line="480" w:lineRule="exact"/>
        <w:rPr>
          <w:rFonts w:ascii="仿宋" w:hAnsi="仿宋" w:eastAsia="仿宋" w:cs="宋体"/>
          <w:color w:val="000000"/>
          <w:sz w:val="28"/>
          <w:szCs w:val="28"/>
        </w:rPr>
      </w:pPr>
      <w:r/>
      <w:bookmarkStart w:id="33" w:name="_Toc35393624"/>
      <w:r/>
      <w:bookmarkStart w:id="34" w:name="_Toc28359082"/>
      <w:r/>
      <w:bookmarkStart w:id="35" w:name="_Toc28359005"/>
      <w:r/>
      <w:bookmarkStart w:id="36" w:name="_Toc35393793"/>
      <w:r/>
      <w:bookmarkStart w:id="37" w:name="_Toc38985266"/>
      <w:r>
        <w:rPr>
          <w:rFonts w:hint="eastAsia" w:ascii="仿宋" w:hAnsi="仿宋" w:eastAsia="仿宋" w:cs="宋体"/>
          <w:color w:val="000000"/>
          <w:sz w:val="28"/>
          <w:szCs w:val="28"/>
        </w:rPr>
        <w:t xml:space="preserve">1.时间：自招标文件公告发布之日起5个工作日。</w:t>
      </w:r>
      <w:r>
        <w:rPr>
          <w:rFonts w:ascii="仿宋" w:hAnsi="仿宋" w:eastAsia="仿宋" w:cs="宋体"/>
          <w:color w:val="000000"/>
          <w:sz w:val="28"/>
          <w:szCs w:val="28"/>
        </w:rPr>
      </w:r>
      <w:r/>
    </w:p>
    <w:p>
      <w:pPr>
        <w:pStyle w:val="748"/>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2.方式：在“江苏政府采购网”自行免费下载招标文件。</w:t>
      </w:r>
      <w:r>
        <w:rPr>
          <w:rFonts w:ascii="仿宋" w:hAnsi="仿宋" w:eastAsia="仿宋" w:cs="宋体"/>
          <w:color w:val="000000"/>
          <w:sz w:val="28"/>
          <w:szCs w:val="28"/>
          <w:u w:val="single"/>
        </w:rPr>
      </w:r>
      <w:r/>
    </w:p>
    <w:p>
      <w:pPr>
        <w:pStyle w:val="748"/>
        <w:ind w:firstLine="436"/>
        <w:keepLines/>
        <w:keepNext/>
        <w:spacing w:before="145" w:after="145" w:line="480" w:lineRule="exact"/>
        <w:rPr>
          <w:rFonts w:ascii="仿宋" w:hAnsi="仿宋" w:eastAsia="仿宋"/>
          <w:b/>
          <w:bCs/>
          <w:color w:val="000000"/>
          <w:sz w:val="28"/>
          <w:szCs w:val="28"/>
        </w:rPr>
        <w:outlineLvl w:val="2"/>
      </w:pPr>
      <w:r/>
      <w:bookmarkStart w:id="38" w:name="_Toc14791"/>
      <w:r>
        <w:rPr>
          <w:rFonts w:hint="eastAsia" w:ascii="仿宋" w:hAnsi="仿宋" w:eastAsia="仿宋"/>
          <w:b/>
          <w:bCs/>
          <w:color w:val="000000"/>
          <w:sz w:val="28"/>
          <w:szCs w:val="28"/>
        </w:rPr>
        <w:t xml:space="preserve">四、提交投标文件</w:t>
      </w:r>
      <w:bookmarkEnd w:id="34"/>
      <w:r/>
      <w:bookmarkEnd w:id="35"/>
      <w:r>
        <w:rPr>
          <w:rFonts w:hint="eastAsia" w:ascii="仿宋" w:hAnsi="仿宋" w:eastAsia="仿宋"/>
          <w:b/>
          <w:bCs/>
          <w:color w:val="000000"/>
          <w:sz w:val="28"/>
          <w:szCs w:val="28"/>
        </w:rPr>
        <w:t xml:space="preserve">截止时间、开标时间和地点</w:t>
      </w:r>
      <w:bookmarkEnd w:id="33"/>
      <w:r/>
      <w:bookmarkEnd w:id="36"/>
      <w:r/>
      <w:bookmarkEnd w:id="37"/>
      <w:r/>
      <w:bookmarkEnd w:id="38"/>
      <w:r>
        <w:rPr>
          <w:rFonts w:ascii="仿宋" w:hAnsi="仿宋" w:eastAsia="仿宋"/>
          <w:b/>
          <w:bCs/>
          <w:color w:val="000000"/>
          <w:sz w:val="28"/>
          <w:szCs w:val="28"/>
        </w:rPr>
      </w:r>
      <w:r/>
    </w:p>
    <w:p>
      <w:pPr>
        <w:pStyle w:val="748"/>
        <w:ind w:firstLine="560"/>
        <w:spacing w:line="480" w:lineRule="exact"/>
        <w:rPr>
          <w:rFonts w:hint="eastAsia" w:ascii="仿宋" w:hAnsi="仿宋" w:eastAsia="仿宋" w:cs="宋体"/>
          <w:i/>
          <w:color w:val="000000"/>
          <w:sz w:val="28"/>
          <w:szCs w:val="28"/>
        </w:rPr>
      </w:pPr>
      <w:r>
        <w:rPr>
          <w:rFonts w:hint="eastAsia" w:ascii="仿宋" w:hAnsi="仿宋" w:eastAsia="仿宋"/>
          <w:bCs/>
          <w:color w:val="000000"/>
          <w:sz w:val="28"/>
          <w:szCs w:val="28"/>
          <w:u w:val="single"/>
        </w:rPr>
        <w:t xml:space="preserve">1.</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lang w:val="en-US" w:eastAsia="zh-CN"/>
        </w:rPr>
        <w:t xml:space="preserve">024</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9</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10</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4</w:t>
      </w:r>
      <w:r>
        <w:rPr>
          <w:rFonts w:hint="eastAsia" w:ascii="仿宋" w:hAnsi="仿宋" w:eastAsia="仿宋"/>
          <w:bCs/>
          <w:color w:val="000000"/>
          <w:sz w:val="28"/>
          <w:szCs w:val="28"/>
          <w:u w:val="single"/>
        </w:rPr>
        <w:t xml:space="preserve">点</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分</w:t>
      </w:r>
      <w:r>
        <w:rPr>
          <w:rFonts w:hint="eastAsia" w:ascii="仿宋" w:hAnsi="仿宋" w:eastAsia="仿宋"/>
          <w:bCs/>
          <w:color w:val="000000"/>
          <w:sz w:val="28"/>
          <w:szCs w:val="28"/>
        </w:rPr>
        <w:t xml:space="preserve">（北京时间）。</w:t>
      </w:r>
      <w:r>
        <w:rPr>
          <w:rFonts w:hint="eastAsia" w:ascii="仿宋" w:hAnsi="仿宋" w:eastAsia="仿宋" w:cs="宋体"/>
          <w:i/>
          <w:color w:val="000000"/>
          <w:sz w:val="28"/>
          <w:szCs w:val="28"/>
        </w:rPr>
      </w:r>
      <w:r/>
    </w:p>
    <w:p>
      <w:pPr>
        <w:pStyle w:val="748"/>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rPr>
          <w:rFonts w:hint="eastAsia" w:ascii="仿宋" w:hAnsi="仿宋" w:eastAsia="仿宋"/>
          <w:bCs/>
          <w:sz w:val="28"/>
          <w:szCs w:val="28"/>
          <w:u w:val="single"/>
        </w:rPr>
      </w:r>
      <w:r/>
    </w:p>
    <w:p>
      <w:pPr>
        <w:pStyle w:val="748"/>
        <w:ind w:firstLine="436"/>
        <w:keepLines/>
        <w:keepNext/>
        <w:spacing w:before="145" w:after="145" w:line="480" w:lineRule="exact"/>
        <w:rPr>
          <w:rFonts w:ascii="仿宋" w:hAnsi="仿宋" w:eastAsia="仿宋"/>
          <w:b/>
          <w:bCs/>
          <w:color w:val="000000"/>
          <w:sz w:val="28"/>
          <w:szCs w:val="28"/>
        </w:rPr>
        <w:outlineLvl w:val="2"/>
      </w:pPr>
      <w:r/>
      <w:bookmarkStart w:id="39" w:name="_Toc32387"/>
      <w:r/>
      <w:bookmarkStart w:id="40" w:name="_Toc38985267"/>
      <w:r/>
      <w:bookmarkStart w:id="41" w:name="_Toc35393794"/>
      <w:r/>
      <w:bookmarkStart w:id="42" w:name="_Toc28359007"/>
      <w:r/>
      <w:bookmarkStart w:id="43" w:name="_Toc28359084"/>
      <w:r/>
      <w:bookmarkStart w:id="44" w:name="_Toc35393625"/>
      <w:r>
        <w:rPr>
          <w:rFonts w:hint="eastAsia" w:ascii="仿宋" w:hAnsi="仿宋" w:eastAsia="仿宋"/>
          <w:b/>
          <w:bCs/>
          <w:color w:val="000000"/>
          <w:sz w:val="28"/>
          <w:szCs w:val="28"/>
        </w:rPr>
        <w:t xml:space="preserve">五、公告期限</w:t>
      </w:r>
      <w:bookmarkEnd w:id="39"/>
      <w:r/>
      <w:bookmarkEnd w:id="40"/>
      <w:r/>
      <w:bookmarkEnd w:id="41"/>
      <w:r/>
      <w:bookmarkEnd w:id="42"/>
      <w:r/>
      <w:bookmarkEnd w:id="43"/>
      <w:r/>
      <w:bookmarkEnd w:id="44"/>
      <w:r>
        <w:rPr>
          <w:rFonts w:ascii="仿宋" w:hAnsi="仿宋" w:eastAsia="仿宋"/>
          <w:b/>
          <w:bCs/>
          <w:color w:val="000000"/>
          <w:sz w:val="28"/>
          <w:szCs w:val="28"/>
        </w:rPr>
      </w:r>
      <w:r/>
    </w:p>
    <w:p>
      <w:pPr>
        <w:pStyle w:val="748"/>
        <w:ind w:firstLine="560"/>
        <w:spacing w:line="480" w:lineRule="exact"/>
        <w:rPr>
          <w:rFonts w:ascii="仿宋" w:hAnsi="仿宋" w:eastAsia="仿宋" w:cs="宋体"/>
          <w:color w:val="000000"/>
          <w:sz w:val="28"/>
          <w:szCs w:val="28"/>
        </w:rPr>
      </w:pPr>
      <w:r/>
      <w:bookmarkStart w:id="45" w:name="_Toc38985268"/>
      <w:r/>
      <w:bookmarkStart w:id="46" w:name="_Toc35393626"/>
      <w:r/>
      <w:bookmarkStart w:id="47" w:name="_Toc35393795"/>
      <w:r>
        <w:rPr>
          <w:rFonts w:hint="eastAsia" w:ascii="仿宋" w:hAnsi="仿宋" w:eastAsia="仿宋" w:cs="宋体"/>
          <w:sz w:val="28"/>
          <w:szCs w:val="28"/>
        </w:rPr>
        <w:t xml:space="preserve">招标公告及招标文件公告期限为自本公告发布之日起5个工作日。</w:t>
      </w:r>
      <w:r>
        <w:rPr>
          <w:rFonts w:ascii="仿宋" w:hAnsi="仿宋" w:eastAsia="仿宋" w:cs="宋体"/>
          <w:color w:val="000000"/>
          <w:sz w:val="28"/>
          <w:szCs w:val="28"/>
        </w:rPr>
      </w:r>
      <w:r/>
    </w:p>
    <w:p>
      <w:pPr>
        <w:pStyle w:val="748"/>
        <w:ind w:firstLine="436"/>
        <w:keepLines/>
        <w:keepNext/>
        <w:spacing w:before="145" w:after="145" w:line="480" w:lineRule="exact"/>
        <w:rPr>
          <w:rFonts w:ascii="仿宋" w:hAnsi="仿宋" w:eastAsia="仿宋"/>
          <w:b/>
          <w:bCs/>
          <w:color w:val="000000"/>
          <w:sz w:val="28"/>
          <w:szCs w:val="28"/>
        </w:rPr>
        <w:outlineLvl w:val="2"/>
      </w:pPr>
      <w:r/>
      <w:bookmarkStart w:id="48" w:name="_Toc32004"/>
      <w:r>
        <w:rPr>
          <w:rFonts w:hint="eastAsia" w:ascii="仿宋" w:hAnsi="仿宋" w:eastAsia="仿宋"/>
          <w:b/>
          <w:bCs/>
          <w:color w:val="000000"/>
          <w:sz w:val="28"/>
          <w:szCs w:val="28"/>
        </w:rPr>
        <w:t xml:space="preserve">六、其他补充事宜</w:t>
      </w:r>
      <w:bookmarkEnd w:id="45"/>
      <w:r/>
      <w:bookmarkEnd w:id="46"/>
      <w:r/>
      <w:bookmarkEnd w:id="47"/>
      <w:r/>
      <w:bookmarkEnd w:id="48"/>
      <w:r>
        <w:rPr>
          <w:rFonts w:ascii="仿宋" w:hAnsi="仿宋" w:eastAsia="仿宋"/>
          <w:b/>
          <w:bCs/>
          <w:color w:val="000000"/>
          <w:sz w:val="28"/>
          <w:szCs w:val="28"/>
        </w:rPr>
      </w:r>
      <w:r/>
    </w:p>
    <w:p>
      <w:pPr>
        <w:pStyle w:val="748"/>
        <w:ind w:firstLine="560"/>
        <w:spacing w:line="480" w:lineRule="exact"/>
        <w:rPr>
          <w:rFonts w:hint="eastAsia" w:ascii="仿宋" w:hAnsi="仿宋" w:eastAsia="仿宋"/>
          <w:sz w:val="28"/>
          <w:szCs w:val="28"/>
        </w:rPr>
      </w:pPr>
      <w:r>
        <w:rPr>
          <w:rFonts w:hint="eastAsia" w:ascii="仿宋" w:hAnsi="仿宋" w:eastAsia="仿宋" w:cs="宋体"/>
          <w:color w:val="000000"/>
          <w:sz w:val="28"/>
          <w:szCs w:val="28"/>
        </w:rPr>
        <w:t xml:space="preserve">1.</w:t>
      </w:r>
      <w:r>
        <w:rPr>
          <w:rFonts w:ascii="仿宋" w:hAnsi="仿宋" w:eastAsia="仿宋"/>
          <w:sz w:val="28"/>
          <w:szCs w:val="28"/>
        </w:rPr>
        <w:t xml:space="preserve"> 投标保证金：免收</w:t>
      </w:r>
      <w:r>
        <w:rPr>
          <w:rFonts w:hint="eastAsia" w:ascii="仿宋" w:hAnsi="仿宋" w:eastAsia="仿宋"/>
          <w:sz w:val="28"/>
          <w:szCs w:val="28"/>
        </w:rPr>
      </w:r>
      <w:r/>
    </w:p>
    <w:p>
      <w:pPr>
        <w:pStyle w:val="748"/>
        <w:ind w:firstLine="560"/>
        <w:spacing w:line="480" w:lineRule="exact"/>
        <w:rPr>
          <w:rFonts w:ascii="仿宋" w:hAnsi="仿宋" w:eastAsia="仿宋"/>
          <w:sz w:val="28"/>
          <w:szCs w:val="28"/>
          <w:highlight w:val="green"/>
          <w:lang w:val="en-US" w:eastAsia="zh-CN"/>
        </w:rPr>
      </w:pPr>
      <w:r>
        <w:rPr>
          <w:rFonts w:hint="eastAsia" w:ascii="仿宋" w:hAnsi="仿宋" w:eastAsia="仿宋"/>
          <w:sz w:val="28"/>
          <w:szCs w:val="28"/>
        </w:rPr>
        <w:t xml:space="preserve">2.</w:t>
      </w:r>
      <w:r>
        <w:rPr>
          <w:rFonts w:ascii="仿宋" w:hAnsi="仿宋" w:eastAsia="仿宋"/>
          <w:sz w:val="28"/>
          <w:szCs w:val="28"/>
          <w:highlight w:val="none"/>
        </w:rPr>
        <w:t xml:space="preserve"> 项目演示、样品、答辩等：</w:t>
      </w:r>
      <w:r>
        <w:rPr>
          <w:rFonts w:hint="eastAsia" w:ascii="仿宋" w:hAnsi="仿宋" w:eastAsia="仿宋"/>
          <w:sz w:val="28"/>
          <w:szCs w:val="28"/>
          <w:highlight w:val="none"/>
          <w:lang w:val="en-US" w:eastAsia="zh-CN"/>
        </w:rPr>
        <w:t xml:space="preserve">无。</w:t>
      </w:r>
      <w:r>
        <w:rPr>
          <w:rFonts w:ascii="仿宋" w:hAnsi="仿宋" w:eastAsia="仿宋"/>
          <w:sz w:val="28"/>
          <w:szCs w:val="28"/>
          <w:highlight w:val="green"/>
          <w:lang w:val="en-US" w:eastAsia="zh-CN"/>
        </w:rPr>
      </w:r>
      <w:r/>
    </w:p>
    <w:p>
      <w:pPr>
        <w:pStyle w:val="748"/>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宋体"/>
          <w:color w:val="000000"/>
          <w:sz w:val="28"/>
          <w:szCs w:val="28"/>
          <w:highlight w:val="none"/>
        </w:rPr>
        <w:t xml:space="preserve">3.</w:t>
      </w:r>
      <w:r>
        <w:rPr>
          <w:rFonts w:ascii="仿宋" w:hAnsi="仿宋" w:eastAsia="仿宋"/>
          <w:sz w:val="28"/>
          <w:szCs w:val="28"/>
          <w:highlight w:val="none"/>
        </w:rPr>
        <w:t xml:space="preserve"> </w:t>
      </w:r>
      <w:r>
        <w:rPr>
          <w:rFonts w:hint="eastAsia" w:ascii="仿宋" w:hAnsi="仿宋" w:eastAsia="仿宋" w:cs="仿宋"/>
          <w:color w:val="000000"/>
          <w:sz w:val="28"/>
          <w:szCs w:val="28"/>
          <w:highlight w:val="none"/>
        </w:rPr>
        <w:t xml:space="preserve">供应</w:t>
      </w:r>
      <w:r>
        <w:rPr>
          <w:rFonts w:hint="eastAsia" w:ascii="仿宋" w:hAnsi="仿宋" w:eastAsia="仿宋" w:cs="仿宋"/>
          <w:color w:val="000000"/>
          <w:sz w:val="28"/>
          <w:szCs w:val="28"/>
          <w:highlight w:val="none"/>
        </w:rPr>
        <w:t xml:space="preserve">商（含潜在供应商）对</w:t>
      </w:r>
      <w:r>
        <w:rPr>
          <w:rFonts w:hint="eastAsia" w:ascii="仿宋" w:hAnsi="仿宋" w:eastAsia="仿宋" w:cs="仿宋"/>
          <w:color w:val="000000"/>
          <w:sz w:val="28"/>
          <w:szCs w:val="28"/>
          <w:highlight w:val="none"/>
        </w:rPr>
        <w:t xml:space="preserve">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8"/>
          <w:szCs w:val="28"/>
          <w:highlight w:val="none"/>
        </w:rPr>
      </w:r>
      <w:r/>
    </w:p>
    <w:p>
      <w:pPr>
        <w:pStyle w:val="748"/>
        <w:ind w:firstLine="560"/>
        <w:spacing w:line="480" w:lineRule="exact"/>
        <w:rPr>
          <w:rFonts w:hint="eastAsia" w:ascii="仿宋" w:hAnsi="仿宋" w:eastAsia="仿宋" w:cs="仿宋"/>
          <w:sz w:val="28"/>
          <w:szCs w:val="28"/>
          <w:highlight w:val="red"/>
          <w:lang w:val="en-US" w:eastAsia="zh-CN"/>
        </w:rPr>
      </w:pPr>
      <w:r>
        <w:rPr>
          <w:rFonts w:hint="eastAsia" w:ascii="仿宋" w:hAnsi="仿宋" w:eastAsia="仿宋" w:cs="仿宋"/>
          <w:sz w:val="28"/>
          <w:szCs w:val="28"/>
        </w:rPr>
        <w:t xml:space="preserve">系统操作过程中如遇问题，请致电“苏采云”客服0519-86722801。</w:t>
      </w:r>
      <w:r>
        <w:rPr>
          <w:rFonts w:hint="eastAsia" w:ascii="仿宋" w:hAnsi="仿宋" w:eastAsia="仿宋" w:cs="仿宋"/>
          <w:sz w:val="28"/>
          <w:szCs w:val="28"/>
          <w:highlight w:val="red"/>
          <w:lang w:val="en-US" w:eastAsia="zh-CN"/>
        </w:rPr>
      </w:r>
      <w:r/>
    </w:p>
    <w:p>
      <w:pPr>
        <w:pStyle w:val="748"/>
        <w:numPr>
          <w:ilvl w:val="0"/>
          <w:numId w:val="5"/>
        </w:num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有关本次招标的事项若存在变动或修改，</w:t>
      </w:r>
      <w:r>
        <w:rPr>
          <w:rFonts w:hint="eastAsia" w:ascii="仿宋" w:hAnsi="仿宋" w:eastAsia="仿宋"/>
          <w:sz w:val="28"/>
          <w:szCs w:val="28"/>
        </w:rPr>
        <w:t xml:space="preserve">均以江苏政府采购网发布的更正或补充通知为准，</w:t>
      </w:r>
      <w:r>
        <w:rPr>
          <w:rFonts w:hint="eastAsia" w:ascii="仿宋" w:hAnsi="仿宋" w:eastAsia="仿宋"/>
          <w:bCs/>
          <w:sz w:val="28"/>
          <w:szCs w:val="28"/>
        </w:rPr>
        <w:t xml:space="preserve">敬请及时关注。</w:t>
      </w:r>
      <w:r>
        <w:rPr>
          <w:rFonts w:hint="eastAsia" w:ascii="仿宋" w:hAnsi="仿宋" w:eastAsia="仿宋"/>
          <w:bCs/>
          <w:sz w:val="28"/>
          <w:szCs w:val="28"/>
        </w:rPr>
      </w:r>
      <w:r/>
    </w:p>
    <w:p>
      <w:pPr>
        <w:pStyle w:val="748"/>
        <w:numPr>
          <w:ilvl w:val="0"/>
          <w:numId w:val="5"/>
        </w:numPr>
        <w:ind w:firstLine="560"/>
        <w:spacing w:line="480" w:lineRule="exact"/>
        <w:rPr>
          <w:rFonts w:hint="eastAsia" w:ascii="仿宋" w:hAnsi="仿宋" w:eastAsia="仿宋"/>
          <w:bCs/>
          <w:sz w:val="28"/>
          <w:szCs w:val="28"/>
          <w:highlight w:val="none"/>
        </w:rPr>
      </w:pPr>
      <w:r>
        <w:rPr>
          <w:rFonts w:hint="eastAsia" w:eastAsia="方正仿宋_GBK"/>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8"/>
          <w:szCs w:val="28"/>
          <w:highlight w:val="none"/>
        </w:rPr>
      </w:r>
      <w:r/>
    </w:p>
    <w:p>
      <w:pPr>
        <w:pStyle w:val="748"/>
        <w:ind w:firstLine="56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“苏采云”系统使用相关提醒</w:t>
      </w:r>
      <w:r>
        <w:rPr>
          <w:rFonts w:hint="eastAsia" w:ascii="仿宋" w:hAnsi="仿宋" w:eastAsia="仿宋"/>
          <w:sz w:val="28"/>
          <w:szCs w:val="28"/>
        </w:rPr>
      </w:r>
      <w:r/>
    </w:p>
    <w:p>
      <w:pPr>
        <w:pStyle w:val="748"/>
        <w:ind w:firstLine="560"/>
        <w:spacing w:line="480" w:lineRule="exact"/>
        <w:tabs>
          <w:tab w:val="left" w:pos="900" w:leader="none"/>
        </w:tabs>
        <w:rPr>
          <w:rFonts w:hint="eastAsia" w:ascii="仿宋" w:hAnsi="仿宋" w:eastAsia="仿宋"/>
          <w:bCs/>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bCs/>
          <w:sz w:val="28"/>
          <w:szCs w:val="28"/>
        </w:rPr>
        <w:t xml:space="preserve">根据省财政厅《关于更换全省政府采购交易系统C A数字证书和电子签章的通知》（苏财购〔2023〕101号），</w:t>
      </w:r>
      <w:r>
        <w:rPr>
          <w:rFonts w:hint="eastAsia" w:ascii="仿宋" w:hAnsi="仿宋" w:eastAsia="仿宋"/>
          <w:sz w:val="28"/>
          <w:szCs w:val="28"/>
        </w:rPr>
        <w:t xml:space="preserve">“苏采云”政府采购交易系统（以下简称苏采云系统）</w:t>
      </w:r>
      <w:r>
        <w:rPr>
          <w:rFonts w:hint="eastAsia" w:ascii="仿宋" w:hAnsi="仿宋" w:eastAsia="仿宋"/>
          <w:bCs/>
          <w:sz w:val="28"/>
          <w:szCs w:val="28"/>
        </w:rPr>
        <w:t xml:space="preserve">的CA数字证书、电子签章已更换为江苏省电子政务证书认证中心C A和方正国际软件（北京）有限公司电子签章。如果投标人通过</w:t>
      </w:r>
      <w:r>
        <w:rPr>
          <w:rFonts w:hint="eastAsia" w:ascii="仿宋" w:hAnsi="仿宋" w:eastAsia="仿宋"/>
          <w:sz w:val="28"/>
          <w:szCs w:val="28"/>
        </w:rPr>
        <w:t xml:space="preserve">苏采云系统</w:t>
      </w:r>
      <w:r>
        <w:rPr>
          <w:rFonts w:hint="eastAsia" w:ascii="仿宋" w:hAnsi="仿宋" w:eastAsia="仿宋"/>
          <w:bCs/>
          <w:sz w:val="28"/>
          <w:szCs w:val="28"/>
        </w:rPr>
        <w:t xml:space="preserve">参与政府采购项目，需要更换CA数字证书和电子签章。</w:t>
      </w:r>
      <w:r>
        <w:rPr>
          <w:rFonts w:hint="eastAsia" w:ascii="仿宋" w:hAnsi="仿宋" w:eastAsia="仿宋"/>
          <w:b/>
          <w:bCs/>
          <w:sz w:val="28"/>
          <w:szCs w:val="28"/>
        </w:rPr>
        <w:t xml:space="preserve">具体办理指南和操作手册见链接：http://www.ccgp-jiangsu.gov.cn/jiangsu/zlxz/ee/ee3a4bc5a3454aa2b0d9312230633ce9.html。</w:t>
      </w:r>
      <w:r>
        <w:rPr>
          <w:rFonts w:hint="eastAsia" w:ascii="仿宋" w:hAnsi="仿宋" w:eastAsia="仿宋"/>
          <w:bCs/>
          <w:sz w:val="28"/>
          <w:szCs w:val="28"/>
        </w:rPr>
      </w:r>
      <w:r/>
    </w:p>
    <w:p>
      <w:pPr>
        <w:pStyle w:val="748"/>
        <w:ind w:firstLine="560"/>
        <w:spacing w:after="120" w:line="480" w:lineRule="exact"/>
        <w:rPr>
          <w:rFonts w:hint="eastAsia" w:ascii="仿宋" w:hAnsi="仿宋" w:eastAsia="仿宋"/>
          <w:sz w:val="28"/>
          <w:szCs w:val="28"/>
        </w:rPr>
      </w:pPr>
      <w:r>
        <w:rPr>
          <w:rFonts w:hint="eastAsia" w:ascii="仿宋" w:hAnsi="仿宋" w:eastAsia="仿宋"/>
          <w:bCs/>
          <w:sz w:val="28"/>
          <w:szCs w:val="28"/>
          <w:lang w:val="en-US" w:eastAsia="zh-CN"/>
        </w:rPr>
        <w:t xml:space="preserve">6</w:t>
      </w:r>
      <w:r>
        <w:rPr>
          <w:rFonts w:hint="eastAsia" w:ascii="仿宋" w:hAnsi="仿宋" w:eastAsia="仿宋"/>
          <w:bCs/>
          <w:sz w:val="28"/>
          <w:szCs w:val="28"/>
        </w:rPr>
        <w:t xml:space="preserve">.2领取CA和办理电子签章请至南通市政务服务中心裙楼四楼（南通市公共资源交中心）CA办理窗口办理，详见《</w:t>
      </w:r>
      <w:r>
        <w:rPr>
          <w:rFonts w:ascii="仿宋" w:hAnsi="仿宋" w:eastAsia="仿宋"/>
          <w:bCs/>
          <w:sz w:val="28"/>
          <w:szCs w:val="28"/>
        </w:rPr>
        <w:t xml:space="preserve">江苏省政府采购数字证书(供应商)</w:t>
      </w:r>
      <w:r>
        <w:rPr>
          <w:rFonts w:ascii="宋体" w:hAnsi="宋体" w:eastAsia="仿宋"/>
          <w:bCs/>
          <w:sz w:val="28"/>
          <w:szCs w:val="28"/>
        </w:rPr>
        <w:t xml:space="preserve"> </w:t>
      </w:r>
      <w:r>
        <w:rPr>
          <w:rFonts w:ascii="仿宋" w:hAnsi="仿宋" w:eastAsia="仿宋"/>
          <w:bCs/>
          <w:sz w:val="28"/>
          <w:szCs w:val="28"/>
        </w:rPr>
        <w:t xml:space="preserve">CA及电子签章办理指南</w:t>
      </w:r>
      <w:r>
        <w:rPr>
          <w:rFonts w:hint="eastAsia" w:ascii="仿宋" w:hAnsi="仿宋" w:eastAsia="仿宋"/>
          <w:bCs/>
          <w:sz w:val="28"/>
          <w:szCs w:val="28"/>
        </w:rPr>
        <w:t xml:space="preserve">》），请及时进行注册并按要求制作、上传电子投标文件。</w:t>
      </w:r>
      <w:r>
        <w:rPr>
          <w:rFonts w:hint="eastAsia" w:ascii="仿宋" w:hAnsi="仿宋" w:eastAsia="仿宋"/>
          <w:sz w:val="28"/>
          <w:szCs w:val="28"/>
        </w:rPr>
      </w:r>
      <w:r/>
    </w:p>
    <w:p>
      <w:pPr>
        <w:pStyle w:val="748"/>
        <w:ind w:right="120" w:firstLine="562"/>
        <w:spacing w:after="120" w:line="480" w:lineRule="exact"/>
        <w:rPr>
          <w:rFonts w:hint="eastAsia" w:ascii="仿宋" w:hAnsi="仿宋" w:eastAsia="仿宋" w:cs="宋体"/>
          <w:b/>
          <w:sz w:val="28"/>
          <w:szCs w:val="28"/>
        </w:rPr>
      </w:pP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.3</w:t>
      </w:r>
      <w:r>
        <w:rPr>
          <w:rFonts w:hint="eastAsia" w:ascii="仿宋" w:hAnsi="仿宋" w:eastAsia="仿宋" w:cs="宋体"/>
          <w:sz w:val="28"/>
          <w:szCs w:val="28"/>
        </w:rPr>
        <w:t xml:space="preserve">开标当天投标供应商应及时登录</w:t>
      </w:r>
      <w:r>
        <w:rPr>
          <w:rFonts w:hint="eastAsia" w:ascii="仿宋" w:hAnsi="仿宋" w:eastAsia="仿宋"/>
          <w:sz w:val="28"/>
          <w:szCs w:val="28"/>
        </w:rPr>
        <w:t xml:space="preserve">“苏采云”</w:t>
      </w:r>
      <w:r>
        <w:rPr>
          <w:rFonts w:hint="eastAsia" w:ascii="仿宋" w:hAnsi="仿宋" w:eastAsia="仿宋" w:cs="宋体"/>
          <w:sz w:val="28"/>
          <w:szCs w:val="28"/>
        </w:rPr>
        <w:t xml:space="preserve">不见面开标大厅，并在规定时间内自行实施远程解密。</w:t>
      </w:r>
      <w:r>
        <w:rPr>
          <w:rFonts w:ascii="仿宋" w:hAnsi="仿宋" w:eastAsia="仿宋"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w:t>
      </w:r>
      <w:r>
        <w:rPr>
          <w:rFonts w:hint="eastAsia" w:ascii="仿宋" w:hAnsi="仿宋" w:eastAsia="仿宋" w:cs="宋体"/>
          <w:b/>
          <w:sz w:val="28"/>
          <w:szCs w:val="28"/>
        </w:rPr>
        <w:t xml:space="preserve">风险</w:t>
      </w:r>
      <w:r>
        <w:rPr>
          <w:rFonts w:ascii="仿宋" w:hAnsi="仿宋" w:eastAsia="仿宋" w:cs="宋体"/>
          <w:b/>
          <w:sz w:val="28"/>
          <w:szCs w:val="28"/>
        </w:rPr>
        <w:t xml:space="preserve">由供应商自行承担；</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仿宋" w:hAnsi="仿宋" w:eastAsia="仿宋" w:cs="宋体"/>
          <w:b/>
          <w:sz w:val="28"/>
          <w:szCs w:val="28"/>
        </w:rPr>
      </w:r>
      <w:r/>
    </w:p>
    <w:p>
      <w:pPr>
        <w:pStyle w:val="748"/>
        <w:ind w:firstLine="436"/>
        <w:keepLines/>
        <w:keepNext/>
        <w:spacing w:before="145" w:after="145" w:line="480" w:lineRule="exact"/>
        <w:rPr>
          <w:rFonts w:ascii="仿宋" w:hAnsi="仿宋" w:eastAsia="仿宋"/>
          <w:b/>
          <w:bCs/>
          <w:color w:val="000000"/>
          <w:sz w:val="28"/>
          <w:szCs w:val="28"/>
        </w:rPr>
        <w:outlineLvl w:val="2"/>
      </w:pPr>
      <w:r/>
      <w:bookmarkStart w:id="49" w:name="_Toc38985269"/>
      <w:r/>
      <w:bookmarkStart w:id="50" w:name="_Toc28359008"/>
      <w:r/>
      <w:bookmarkStart w:id="51" w:name="_Toc35393627"/>
      <w:r/>
      <w:bookmarkStart w:id="52" w:name="_Toc20818"/>
      <w:r/>
      <w:bookmarkStart w:id="53" w:name="_Toc28359085"/>
      <w:r/>
      <w:bookmarkStart w:id="54" w:name="_Toc35393796"/>
      <w:r>
        <w:rPr>
          <w:rFonts w:hint="eastAsia" w:ascii="仿宋" w:hAnsi="仿宋" w:eastAsia="仿宋"/>
          <w:b/>
          <w:bCs/>
          <w:color w:val="000000"/>
          <w:sz w:val="28"/>
          <w:szCs w:val="28"/>
        </w:rPr>
        <w:t xml:space="preserve">七、本次招标联系方式</w:t>
      </w:r>
      <w:bookmarkEnd w:id="49"/>
      <w:r/>
      <w:bookmarkEnd w:id="50"/>
      <w:r/>
      <w:bookmarkEnd w:id="51"/>
      <w:r/>
      <w:bookmarkEnd w:id="52"/>
      <w:r/>
      <w:bookmarkEnd w:id="53"/>
      <w:r/>
      <w:bookmarkEnd w:id="54"/>
      <w:r>
        <w:rPr>
          <w:rFonts w:ascii="仿宋" w:hAnsi="仿宋" w:eastAsia="仿宋"/>
          <w:b/>
          <w:bCs/>
          <w:color w:val="000000"/>
          <w:sz w:val="28"/>
          <w:szCs w:val="28"/>
        </w:rPr>
      </w:r>
      <w:r/>
    </w:p>
    <w:p>
      <w:pPr>
        <w:pStyle w:val="748"/>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rPr>
          <w:rFonts w:ascii="仿宋" w:hAnsi="仿宋" w:eastAsia="仿宋"/>
          <w:color w:val="000000"/>
          <w:sz w:val="28"/>
          <w:szCs w:val="28"/>
        </w:rPr>
      </w:r>
      <w:r/>
    </w:p>
    <w:p>
      <w:pPr>
        <w:pStyle w:val="748"/>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名 称：</w:t>
      </w:r>
      <w:r>
        <w:rPr>
          <w:rFonts w:hint="eastAsia" w:ascii="仿宋" w:hAnsi="仿宋" w:eastAsia="仿宋"/>
          <w:color w:val="000000"/>
          <w:sz w:val="28"/>
          <w:szCs w:val="28"/>
          <w:u w:val="single"/>
        </w:rPr>
        <w:t xml:space="preserve">　　南通市第一人民医院　　　　</w:t>
      </w:r>
      <w:r>
        <w:rPr>
          <w:rFonts w:ascii="仿宋" w:hAnsi="仿宋" w:eastAsia="仿宋"/>
          <w:color w:val="000000"/>
          <w:sz w:val="28"/>
          <w:szCs w:val="28"/>
        </w:rPr>
      </w:r>
      <w:r/>
    </w:p>
    <w:p>
      <w:pPr>
        <w:pStyle w:val="748"/>
        <w:ind w:left="1129" w:hanging="350"/>
        <w:jc w:val="left"/>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南通市崇川区胜利路666号</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lang w:val="en-US" w:eastAsia="zh-CN"/>
        </w:rPr>
      </w:r>
      <w:r/>
    </w:p>
    <w:p>
      <w:pPr>
        <w:pStyle w:val="748"/>
        <w:ind w:left="1129" w:hanging="350"/>
        <w:jc w:val="left"/>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缪璟榕</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lang w:val="en-US" w:eastAsia="zh-CN"/>
        </w:rPr>
      </w:r>
      <w:r/>
    </w:p>
    <w:p>
      <w:pPr>
        <w:pStyle w:val="748"/>
        <w:ind w:left="1129" w:hanging="350"/>
        <w:jc w:val="left"/>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0513-8111107</w:t>
      </w:r>
      <w:r>
        <w:rPr>
          <w:rFonts w:hint="eastAsia" w:ascii="仿宋" w:hAnsi="仿宋" w:eastAsia="仿宋"/>
          <w:color w:val="000000"/>
          <w:sz w:val="28"/>
          <w:szCs w:val="28"/>
          <w:u w:val="single"/>
          <w:lang w:val="en-US" w:eastAsia="zh-CN"/>
        </w:rPr>
        <w:t xml:space="preserve">5</w:t>
      </w:r>
      <w:r>
        <w:rPr>
          <w:rFonts w:hint="eastAsia" w:ascii="仿宋" w:hAnsi="仿宋" w:eastAsia="仿宋"/>
          <w:color w:val="000000"/>
          <w:sz w:val="28"/>
          <w:szCs w:val="28"/>
          <w:u w:val="single"/>
        </w:rPr>
        <w:t xml:space="preserve">　　　　　　</w:t>
      </w:r>
      <w:bookmarkStart w:id="55" w:name="_Toc28359086"/>
      <w:r/>
      <w:bookmarkStart w:id="56" w:name="_Toc28359009"/>
      <w:r>
        <w:rPr>
          <w:rFonts w:ascii="仿宋" w:hAnsi="仿宋" w:eastAsia="仿宋"/>
          <w:color w:val="000000"/>
          <w:sz w:val="28"/>
          <w:szCs w:val="28"/>
          <w:u w:val="single"/>
        </w:rPr>
      </w:r>
      <w:r/>
    </w:p>
    <w:p>
      <w:pPr>
        <w:pStyle w:val="748"/>
        <w:ind w:left="1129" w:hanging="35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rPr>
        <w:t xml:space="preserve">2.南通市政府采购中心信息</w:t>
      </w:r>
      <w:bookmarkEnd w:id="55"/>
      <w:r/>
      <w:bookmarkEnd w:id="56"/>
      <w:r>
        <w:rPr>
          <w:rFonts w:ascii="仿宋" w:hAnsi="仿宋" w:eastAsia="仿宋"/>
          <w:color w:val="000000"/>
          <w:sz w:val="28"/>
          <w:szCs w:val="28"/>
        </w:rPr>
      </w:r>
      <w:r/>
    </w:p>
    <w:p>
      <w:pPr>
        <w:pStyle w:val="748"/>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u w:val="single"/>
        </w:rPr>
        <w:t xml:space="preserve">南通市工农南路150号</w:t>
      </w:r>
      <w:r>
        <w:rPr>
          <w:rFonts w:ascii="仿宋" w:hAnsi="仿宋" w:eastAsia="仿宋"/>
          <w:color w:val="000000"/>
          <w:sz w:val="28"/>
          <w:szCs w:val="28"/>
        </w:rPr>
      </w:r>
      <w:r/>
    </w:p>
    <w:p>
      <w:pPr>
        <w:pStyle w:val="748"/>
        <w:ind w:firstLine="840"/>
        <w:spacing w:line="480" w:lineRule="exact"/>
        <w:rPr>
          <w:rFonts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lang w:val="en-US" w:eastAsia="zh-CN"/>
        </w:rPr>
        <w:t xml:space="preserve">  沈女士           </w:t>
      </w:r>
      <w:r>
        <w:rPr>
          <w:rFonts w:ascii="仿宋" w:hAnsi="仿宋" w:eastAsia="仿宋"/>
          <w:color w:val="000000"/>
          <w:sz w:val="28"/>
          <w:szCs w:val="28"/>
          <w:u w:val="single"/>
          <w:lang w:val="en-US" w:eastAsia="zh-CN"/>
        </w:rPr>
      </w:r>
      <w:r/>
    </w:p>
    <w:p>
      <w:pPr>
        <w:pStyle w:val="748"/>
        <w:ind w:firstLine="840"/>
        <w:spacing w:line="480" w:lineRule="exact"/>
        <w:rPr>
          <w:rFonts w:hint="eastAsia"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联系方式：</w:t>
      </w:r>
      <w:bookmarkStart w:id="57" w:name="_Toc28359010"/>
      <w:r/>
      <w:bookmarkStart w:id="58" w:name="_Toc28359087"/>
      <w:r>
        <w:rPr>
          <w:rFonts w:hint="eastAsia" w:ascii="仿宋" w:hAnsi="仿宋" w:eastAsia="仿宋"/>
          <w:color w:val="000000"/>
          <w:sz w:val="28"/>
          <w:szCs w:val="28"/>
          <w:u w:val="single"/>
          <w:lang w:val="en-US" w:eastAsia="zh-CN"/>
        </w:rPr>
        <w:t xml:space="preserve">  0513-59001963   </w:t>
      </w:r>
      <w:r>
        <w:rPr>
          <w:rFonts w:hint="eastAsia" w:ascii="仿宋" w:hAnsi="仿宋" w:eastAsia="仿宋"/>
          <w:color w:val="000000"/>
          <w:sz w:val="28"/>
          <w:szCs w:val="28"/>
          <w:u w:val="single"/>
          <w:lang w:val="en-US" w:eastAsia="zh-CN"/>
        </w:rPr>
      </w:r>
      <w:r/>
    </w:p>
    <w:p>
      <w:pPr>
        <w:pStyle w:val="816"/>
        <w:rPr>
          <w:lang w:val="en-US" w:eastAsia="zh-CN"/>
        </w:rPr>
      </w:pPr>
      <w:r>
        <w:rPr>
          <w:lang w:val="en-US" w:eastAsia="zh-CN"/>
        </w:rPr>
      </w:r>
      <w:r/>
    </w:p>
    <w:p>
      <w:pPr>
        <w:pStyle w:val="748"/>
        <w:ind w:firstLine="560"/>
        <w:spacing w:line="480" w:lineRule="exact"/>
        <w:rPr>
          <w:rFonts w:ascii="仿宋" w:hAnsi="仿宋" w:eastAsia="仿宋"/>
          <w:b/>
          <w:bCs/>
          <w:color w:val="000000"/>
          <w:sz w:val="32"/>
          <w:szCs w:val="32"/>
        </w:rPr>
      </w:pPr>
      <w:r>
        <w:rPr>
          <w:rFonts w:hint="eastAsia" w:ascii="宋体" w:hAnsi="宋体" w:eastAsia="仿宋"/>
          <w:sz w:val="28"/>
          <w:szCs w:val="28"/>
        </w:rPr>
        <w:t xml:space="preserve"> </w:t>
      </w:r>
      <w:r>
        <w:rPr>
          <w:rFonts w:hint="eastAsia" w:ascii="仿宋" w:hAnsi="仿宋" w:eastAsia="仿宋"/>
          <w:b/>
          <w:bCs/>
          <w:sz w:val="32"/>
          <w:szCs w:val="32"/>
        </w:rPr>
        <w:t xml:space="preserve">3.软件技术支持：0519-86722801</w:t>
      </w:r>
      <w:r>
        <w:rPr>
          <w:rFonts w:hint="eastAsia" w:ascii="仿宋" w:hAnsi="仿宋" w:eastAsia="仿宋"/>
          <w:b/>
          <w:bCs/>
          <w:sz w:val="32"/>
          <w:szCs w:val="32"/>
          <w:lang w:eastAsia="zh-CN"/>
        </w:rPr>
        <w:t xml:space="preserve">、</w:t>
      </w:r>
      <w:r>
        <w:rPr>
          <w:rFonts w:hint="eastAsia" w:ascii="仿宋" w:hAnsi="仿宋" w:eastAsia="仿宋"/>
          <w:b/>
          <w:bCs/>
          <w:sz w:val="32"/>
          <w:szCs w:val="32"/>
        </w:rPr>
        <w:t xml:space="preserve">那</w:t>
      </w:r>
      <w:r>
        <w:rPr>
          <w:rFonts w:hint="eastAsia" w:ascii="仿宋" w:hAnsi="仿宋" w:eastAsia="仿宋"/>
          <w:b/>
          <w:bCs/>
          <w:sz w:val="32"/>
          <w:szCs w:val="32"/>
          <w:lang w:val="en-US" w:eastAsia="zh-CN"/>
        </w:rPr>
        <w:t xml:space="preserve">工：0513-59001950</w:t>
      </w:r>
      <w:r>
        <w:rPr>
          <w:rFonts w:ascii="仿宋" w:hAnsi="仿宋" w:eastAsia="仿宋"/>
          <w:b/>
          <w:bCs/>
          <w:color w:val="000000"/>
          <w:sz w:val="32"/>
          <w:szCs w:val="32"/>
        </w:rPr>
      </w:r>
      <w:r/>
    </w:p>
    <w:p>
      <w:pPr>
        <w:pStyle w:val="748"/>
        <w:ind w:firstLine="840"/>
        <w:spacing w:line="480" w:lineRule="exact"/>
        <w:rPr>
          <w:rFonts w:ascii="仿宋" w:hAnsi="仿宋" w:eastAsia="仿宋"/>
          <w:color w:val="000000"/>
          <w:sz w:val="28"/>
          <w:szCs w:val="28"/>
        </w:rPr>
      </w:pPr>
      <w:r>
        <w:rPr>
          <w:rFonts w:ascii="仿宋" w:hAnsi="仿宋" w:eastAsia="仿宋"/>
          <w:color w:val="000000"/>
          <w:sz w:val="28"/>
          <w:szCs w:val="28"/>
        </w:rPr>
      </w:r>
      <w:r/>
    </w:p>
    <w:p>
      <w:pPr>
        <w:pStyle w:val="748"/>
        <w:ind w:firstLine="480"/>
        <w:spacing w:line="560" w:lineRule="exact"/>
        <w:tabs>
          <w:tab w:val="left" w:pos="900" w:leader="none"/>
        </w:tabs>
        <w:rPr>
          <w:rFonts w:hint="eastAsia" w:ascii="宋体" w:hAnsi="宋体"/>
          <w:bCs/>
          <w:sz w:val="24"/>
          <w:szCs w:val="24"/>
        </w:rPr>
      </w:pPr>
      <w:r/>
      <w:bookmarkEnd w:id="57"/>
      <w:r/>
      <w:bookmarkEnd w:id="58"/>
      <w:r>
        <w:rPr>
          <w:rFonts w:hint="eastAsia" w:ascii="宋体" w:hAnsi="宋体"/>
          <w:bCs/>
          <w:sz w:val="24"/>
          <w:szCs w:val="24"/>
        </w:rPr>
      </w:r>
      <w:r/>
    </w:p>
    <w:p>
      <w:pPr>
        <w:pStyle w:val="748"/>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48"/>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50"/>
        <w:rPr>
          <w:rFonts w:hint="eastAsia" w:ascii="黑体" w:hAnsi="Arial" w:eastAsia="黑体" w:cs="Arial"/>
          <w:color w:val="000000"/>
          <w:sz w:val="44"/>
          <w:szCs w:val="44"/>
        </w:rPr>
        <w:outlineLvl w:val="0"/>
      </w:pPr>
      <w:r>
        <w:rPr>
          <w:rFonts w:ascii="宋体" w:hAnsi="宋体"/>
          <w:color w:val="000000"/>
          <w:sz w:val="24"/>
          <w:szCs w:val="24"/>
        </w:rPr>
        <w:br w:type="page" w:clear="all"/>
      </w:r>
      <w:bookmarkStart w:id="59" w:name="_Toc120614211"/>
      <w:r/>
      <w:bookmarkStart w:id="60" w:name="_Toc803"/>
      <w:r/>
      <w:bookmarkStart w:id="61" w:name="_Toc3003"/>
      <w:r/>
      <w:bookmarkStart w:id="62" w:name="_Toc2099"/>
      <w:r/>
      <w:bookmarkStart w:id="63" w:name="_Toc22117"/>
      <w:r>
        <w:rPr>
          <w:rFonts w:hint="eastAsia" w:ascii="黑体" w:hAnsi="Arial" w:eastAsia="黑体" w:cs="Arial"/>
          <w:b w:val="0"/>
          <w:bCs w:val="0"/>
          <w:color w:val="000000"/>
          <w:sz w:val="44"/>
          <w:szCs w:val="44"/>
        </w:rPr>
        <w:t xml:space="preserve">第二章  </w:t>
      </w:r>
      <w:bookmarkEnd w:id="5"/>
      <w:r/>
      <w:bookmarkEnd w:id="6"/>
      <w:r/>
      <w:bookmarkEnd w:id="7"/>
      <w:r/>
      <w:bookmarkEnd w:id="8"/>
      <w:r/>
      <w:bookmarkEnd w:id="9"/>
      <w:r/>
      <w:bookmarkEnd w:id="59"/>
      <w:r/>
      <w:bookmarkStart w:id="64" w:name="_Toc120614213"/>
      <w:r/>
      <w:bookmarkStart w:id="65" w:name="_Toc513029202"/>
      <w:r/>
      <w:bookmarkStart w:id="66" w:name="_Toc20823274"/>
      <w:r/>
      <w:bookmarkStart w:id="67" w:name="_Toc16938518"/>
      <w:r>
        <w:rPr>
          <w:rFonts w:hint="eastAsia" w:ascii="黑体" w:hAnsi="Arial" w:eastAsia="黑体" w:cs="Arial"/>
          <w:b w:val="0"/>
          <w:bCs w:val="0"/>
          <w:color w:val="000000"/>
          <w:sz w:val="44"/>
          <w:szCs w:val="44"/>
        </w:rPr>
        <w:t xml:space="preserve">投标人须知</w:t>
      </w:r>
      <w:bookmarkEnd w:id="60"/>
      <w:r/>
      <w:bookmarkEnd w:id="61"/>
      <w:r/>
      <w:bookmarkEnd w:id="62"/>
      <w:r/>
      <w:bookmarkEnd w:id="63"/>
      <w:r/>
      <w:bookmarkEnd w:id="64"/>
      <w:r/>
      <w:bookmarkEnd w:id="65"/>
      <w:r/>
      <w:bookmarkEnd w:id="66"/>
      <w:r/>
      <w:bookmarkEnd w:id="67"/>
      <w:r>
        <w:rPr>
          <w:rFonts w:hint="eastAsia" w:ascii="黑体" w:hAnsi="Arial" w:eastAsia="黑体" w:cs="Arial"/>
          <w:color w:val="000000"/>
          <w:sz w:val="44"/>
          <w:szCs w:val="44"/>
        </w:rPr>
      </w:r>
      <w:r/>
    </w:p>
    <w:p>
      <w:pPr>
        <w:pStyle w:val="748"/>
        <w:keepLines/>
        <w:keepNext/>
        <w:spacing w:line="480" w:lineRule="exact"/>
        <w:rPr>
          <w:rFonts w:ascii="仿宋" w:hAnsi="仿宋" w:eastAsia="仿宋"/>
          <w:b/>
          <w:bCs/>
          <w:sz w:val="28"/>
          <w:szCs w:val="28"/>
        </w:rPr>
        <w:outlineLvl w:val="2"/>
      </w:pPr>
      <w:r/>
      <w:bookmarkStart w:id="68" w:name="_Toc20823275"/>
      <w:r/>
      <w:bookmarkStart w:id="69" w:name="_Toc513029203"/>
      <w:r/>
      <w:bookmarkStart w:id="70" w:name="_Toc16938519"/>
      <w:r/>
      <w:bookmarkStart w:id="71" w:name="_Toc120614214"/>
      <w:r/>
      <w:bookmarkStart w:id="72" w:name="_Toc18160"/>
      <w:r>
        <w:rPr>
          <w:rFonts w:ascii="仿宋" w:hAnsi="仿宋" w:eastAsia="仿宋"/>
          <w:b/>
          <w:bCs/>
          <w:sz w:val="28"/>
          <w:szCs w:val="28"/>
        </w:rPr>
        <w:t xml:space="preserve">（一）总则</w:t>
      </w:r>
      <w:bookmarkEnd w:id="68"/>
      <w:r/>
      <w:bookmarkEnd w:id="69"/>
      <w:r/>
      <w:bookmarkEnd w:id="70"/>
      <w:r/>
      <w:bookmarkEnd w:id="71"/>
      <w:r/>
      <w:bookmarkEnd w:id="72"/>
      <w:r>
        <w:rPr>
          <w:rFonts w:ascii="仿宋" w:hAnsi="仿宋" w:eastAsia="仿宋"/>
          <w:b/>
          <w:bCs/>
          <w:sz w:val="28"/>
          <w:szCs w:val="28"/>
        </w:rPr>
      </w:r>
      <w:r/>
    </w:p>
    <w:p>
      <w:pPr>
        <w:pStyle w:val="748"/>
        <w:keepNext/>
        <w:spacing w:line="480" w:lineRule="exact"/>
        <w:rPr>
          <w:rFonts w:ascii="仿宋" w:hAnsi="仿宋" w:eastAsia="仿宋"/>
          <w:b/>
          <w:bCs/>
          <w:sz w:val="28"/>
          <w:szCs w:val="28"/>
        </w:rPr>
        <w:outlineLvl w:val="3"/>
      </w:pPr>
      <w:r/>
      <w:bookmarkStart w:id="73" w:name="_Hlt16619475"/>
      <w:r/>
      <w:bookmarkEnd w:id="73"/>
      <w:r/>
      <w:bookmarkStart w:id="74" w:name="_Toc458694821"/>
      <w:r/>
      <w:bookmarkStart w:id="75" w:name="_Toc20823276"/>
      <w:r/>
      <w:bookmarkStart w:id="76" w:name="_Toc513029204"/>
      <w:r/>
      <w:bookmarkStart w:id="77" w:name="_Toc16938520"/>
      <w:r>
        <w:rPr>
          <w:rFonts w:ascii="仿宋" w:hAnsi="仿宋" w:eastAsia="仿宋"/>
          <w:sz w:val="28"/>
          <w:szCs w:val="28"/>
        </w:rPr>
        <w:t xml:space="preserve">1</w:t>
      </w:r>
      <w:bookmarkEnd w:id="74"/>
      <w:r>
        <w:rPr>
          <w:rFonts w:ascii="仿宋" w:hAnsi="仿宋" w:eastAsia="仿宋"/>
          <w:sz w:val="28"/>
          <w:szCs w:val="28"/>
        </w:rPr>
        <w:t xml:space="preserve">.招标方式</w:t>
      </w:r>
      <w:bookmarkEnd w:id="75"/>
      <w:r/>
      <w:bookmarkEnd w:id="76"/>
      <w:r/>
      <w:bookmarkEnd w:id="77"/>
      <w:r>
        <w:rPr>
          <w:rFonts w:ascii="仿宋" w:hAnsi="仿宋" w:eastAsia="仿宋"/>
          <w:b/>
          <w:bCs/>
          <w:sz w:val="28"/>
          <w:szCs w:val="28"/>
        </w:rPr>
      </w:r>
      <w:r/>
    </w:p>
    <w:p>
      <w:pPr>
        <w:pStyle w:val="748"/>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748"/>
        <w:keepNext/>
        <w:spacing w:line="480" w:lineRule="exact"/>
        <w:rPr>
          <w:rFonts w:ascii="仿宋" w:hAnsi="仿宋" w:eastAsia="仿宋"/>
          <w:b/>
          <w:bCs/>
          <w:sz w:val="28"/>
          <w:szCs w:val="28"/>
        </w:rPr>
        <w:outlineLvl w:val="3"/>
      </w:pPr>
      <w:r/>
      <w:bookmarkStart w:id="78" w:name="_Toc20823277"/>
      <w:r/>
      <w:bookmarkStart w:id="79" w:name="_Toc513029205"/>
      <w:r/>
      <w:bookmarkStart w:id="80" w:name="_Toc16938521"/>
      <w:r>
        <w:rPr>
          <w:rFonts w:ascii="仿宋" w:hAnsi="仿宋" w:eastAsia="仿宋"/>
          <w:sz w:val="28"/>
          <w:szCs w:val="28"/>
        </w:rPr>
        <w:t xml:space="preserve">2.合格的投标人</w:t>
      </w:r>
      <w:bookmarkEnd w:id="78"/>
      <w:r/>
      <w:bookmarkEnd w:id="79"/>
      <w:r/>
      <w:bookmarkEnd w:id="80"/>
      <w:r>
        <w:rPr>
          <w:rFonts w:ascii="仿宋" w:hAnsi="仿宋" w:eastAsia="仿宋"/>
          <w:b/>
          <w:bCs/>
          <w:sz w:val="28"/>
          <w:szCs w:val="28"/>
        </w:rPr>
      </w:r>
      <w:r/>
    </w:p>
    <w:p>
      <w:pPr>
        <w:pStyle w:val="748"/>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748"/>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748"/>
        <w:keepNext/>
        <w:spacing w:line="480" w:lineRule="exact"/>
        <w:rPr>
          <w:rFonts w:ascii="仿宋" w:hAnsi="仿宋" w:eastAsia="仿宋"/>
          <w:b/>
          <w:bCs/>
          <w:sz w:val="28"/>
          <w:szCs w:val="28"/>
        </w:rPr>
        <w:outlineLvl w:val="3"/>
      </w:pPr>
      <w:r/>
      <w:bookmarkStart w:id="81" w:name="_Toc20823278"/>
      <w:r/>
      <w:bookmarkStart w:id="82" w:name="_Toc513029206"/>
      <w:r/>
      <w:bookmarkStart w:id="83" w:name="_Toc16938522"/>
      <w:r>
        <w:rPr>
          <w:rFonts w:ascii="仿宋" w:hAnsi="仿宋" w:eastAsia="仿宋"/>
          <w:sz w:val="28"/>
          <w:szCs w:val="28"/>
        </w:rPr>
        <w:t xml:space="preserve">3.适用法律</w:t>
      </w:r>
      <w:bookmarkEnd w:id="81"/>
      <w:r/>
      <w:bookmarkEnd w:id="82"/>
      <w:r/>
      <w:bookmarkEnd w:id="83"/>
      <w:r>
        <w:rPr>
          <w:rFonts w:ascii="仿宋" w:hAnsi="仿宋" w:eastAsia="仿宋"/>
          <w:b/>
          <w:bCs/>
          <w:sz w:val="28"/>
          <w:szCs w:val="28"/>
        </w:rPr>
      </w:r>
      <w:r/>
    </w:p>
    <w:p>
      <w:pPr>
        <w:pStyle w:val="748"/>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748"/>
        <w:keepNext/>
        <w:spacing w:line="480" w:lineRule="exact"/>
        <w:rPr>
          <w:rFonts w:ascii="仿宋" w:hAnsi="仿宋" w:eastAsia="仿宋"/>
          <w:b/>
          <w:bCs/>
          <w:sz w:val="28"/>
          <w:szCs w:val="28"/>
        </w:rPr>
        <w:outlineLvl w:val="3"/>
      </w:pPr>
      <w:r/>
      <w:bookmarkStart w:id="84" w:name="_Toc20823279"/>
      <w:r/>
      <w:bookmarkStart w:id="85" w:name="_Toc513029207"/>
      <w:r/>
      <w:bookmarkStart w:id="86" w:name="_Toc462564067"/>
      <w:r/>
      <w:bookmarkStart w:id="87" w:name="_Toc16938523"/>
      <w:r>
        <w:rPr>
          <w:rFonts w:ascii="仿宋" w:hAnsi="仿宋" w:eastAsia="仿宋"/>
          <w:sz w:val="28"/>
          <w:szCs w:val="28"/>
        </w:rPr>
        <w:t xml:space="preserve">4.投标费用</w:t>
      </w:r>
      <w:bookmarkEnd w:id="84"/>
      <w:r/>
      <w:bookmarkEnd w:id="85"/>
      <w:r/>
      <w:bookmarkEnd w:id="86"/>
      <w:r/>
      <w:bookmarkEnd w:id="87"/>
      <w:r>
        <w:rPr>
          <w:rFonts w:ascii="仿宋" w:hAnsi="仿宋" w:eastAsia="仿宋"/>
          <w:b/>
          <w:bCs/>
          <w:sz w:val="28"/>
          <w:szCs w:val="28"/>
        </w:rPr>
      </w:r>
      <w:r/>
    </w:p>
    <w:p>
      <w:pPr>
        <w:pStyle w:val="748"/>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投标人应自行承担所有与参加投标有关的费用，无论投标过程中的做法和结果如何，南通市政府采购中心（以下简称采购中心）在任何情况下均无义务和责任承担这些费用。</w:t>
      </w:r>
      <w:r>
        <w:rPr>
          <w:rFonts w:ascii="仿宋" w:hAnsi="仿宋" w:eastAsia="仿宋"/>
          <w:sz w:val="28"/>
          <w:szCs w:val="28"/>
        </w:rPr>
      </w:r>
      <w:r/>
    </w:p>
    <w:p>
      <w:pPr>
        <w:pStyle w:val="748"/>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rPr>
          <w:rFonts w:ascii="仿宋" w:hAnsi="仿宋" w:eastAsia="仿宋"/>
          <w:sz w:val="28"/>
          <w:szCs w:val="28"/>
        </w:rPr>
      </w:r>
      <w:r/>
    </w:p>
    <w:p>
      <w:pPr>
        <w:pStyle w:val="748"/>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rPr>
          <w:rFonts w:ascii="仿宋" w:hAnsi="仿宋" w:eastAsia="仿宋"/>
          <w:b/>
          <w:bCs/>
          <w:sz w:val="28"/>
          <w:szCs w:val="28"/>
        </w:rPr>
      </w:r>
      <w:r/>
    </w:p>
    <w:p>
      <w:pPr>
        <w:pStyle w:val="748"/>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748"/>
        <w:ind w:firstLine="281"/>
        <w:keepLines/>
        <w:keepNext/>
        <w:spacing w:before="145" w:after="145" w:line="480" w:lineRule="exact"/>
        <w:rPr>
          <w:rFonts w:hint="eastAsia" w:ascii="仿宋" w:hAnsi="仿宋" w:eastAsia="仿宋"/>
          <w:b/>
          <w:bCs/>
          <w:color w:val="000000"/>
          <w:sz w:val="28"/>
          <w:szCs w:val="28"/>
        </w:rPr>
        <w:outlineLvl w:val="2"/>
      </w:pPr>
      <w:r/>
      <w:bookmarkStart w:id="88" w:name="_Toc32633"/>
      <w:r/>
      <w:bookmarkStart w:id="89" w:name="_Toc20823281"/>
      <w:r/>
      <w:bookmarkStart w:id="90" w:name="_Toc513029209"/>
      <w:r/>
      <w:bookmarkStart w:id="91" w:name="_Toc120614215"/>
      <w:r/>
      <w:bookmarkStart w:id="92" w:name="_Toc16938525"/>
      <w:r>
        <w:rPr>
          <w:rFonts w:hint="eastAsia" w:ascii="仿宋" w:hAnsi="仿宋" w:eastAsia="仿宋"/>
          <w:b/>
          <w:bCs/>
          <w:color w:val="000000"/>
          <w:sz w:val="28"/>
          <w:szCs w:val="28"/>
        </w:rPr>
        <w:t xml:space="preserve">二、招标文件</w:t>
      </w:r>
      <w:bookmarkEnd w:id="88"/>
      <w:r/>
      <w:bookmarkEnd w:id="89"/>
      <w:r/>
      <w:bookmarkEnd w:id="90"/>
      <w:r/>
      <w:bookmarkEnd w:id="91"/>
      <w:r/>
      <w:bookmarkEnd w:id="92"/>
      <w:r>
        <w:rPr>
          <w:rFonts w:hint="eastAsia" w:ascii="仿宋" w:hAnsi="仿宋" w:eastAsia="仿宋"/>
          <w:b/>
          <w:bCs/>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93" w:name="_Toc513029210"/>
      <w:r/>
      <w:bookmarkStart w:id="94" w:name="_Toc16938526"/>
      <w:r/>
      <w:bookmarkStart w:id="95" w:name="_Toc20823282"/>
      <w:r>
        <w:rPr>
          <w:rFonts w:hint="eastAsia" w:ascii="仿宋" w:hAnsi="仿宋" w:eastAsia="仿宋" w:cs="Arial"/>
          <w:color w:val="000000"/>
          <w:sz w:val="28"/>
          <w:szCs w:val="28"/>
        </w:rPr>
        <w:t xml:space="preserve">6、招标文件构成</w:t>
      </w:r>
      <w:bookmarkEnd w:id="93"/>
      <w:r/>
      <w:bookmarkEnd w:id="94"/>
      <w:r/>
      <w:bookmarkEnd w:id="95"/>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748"/>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748"/>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748"/>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748"/>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748"/>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748"/>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请仔细检查招标文件是否齐全，如有缺漏请立即与采购中心联系解决。</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748"/>
        <w:ind w:firstLine="560"/>
        <w:keepLines/>
        <w:keepNext/>
        <w:spacing w:line="480" w:lineRule="exact"/>
        <w:rPr>
          <w:rFonts w:hint="eastAsia" w:ascii="仿宋" w:hAnsi="仿宋" w:eastAsia="仿宋" w:cs="Arial"/>
          <w:color w:val="000000"/>
          <w:sz w:val="28"/>
          <w:szCs w:val="28"/>
        </w:rPr>
        <w:outlineLvl w:val="3"/>
      </w:pPr>
      <w:r/>
      <w:bookmarkStart w:id="96" w:name="_Toc20823283"/>
      <w:r/>
      <w:bookmarkStart w:id="97" w:name="_Toc16938527"/>
      <w:r/>
      <w:bookmarkStart w:id="98" w:name="_Toc513029211"/>
      <w:r/>
      <w:bookmarkStart w:id="99" w:name="_Toc462564070"/>
      <w:r>
        <w:rPr>
          <w:rFonts w:hint="eastAsia" w:ascii="仿宋" w:hAnsi="仿宋" w:eastAsia="仿宋" w:cs="Arial"/>
          <w:color w:val="000000"/>
          <w:sz w:val="28"/>
          <w:szCs w:val="28"/>
        </w:rPr>
        <w:t xml:space="preserve">7、招标文件的澄清</w:t>
      </w:r>
      <w:bookmarkEnd w:id="96"/>
      <w:r/>
      <w:bookmarkEnd w:id="97"/>
      <w:r/>
      <w:bookmarkEnd w:id="98"/>
      <w:r/>
      <w:bookmarkEnd w:id="99"/>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前按招标公告中的通讯地址，以书面形式通知采购中心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748"/>
        <w:ind w:firstLine="560"/>
        <w:keepLines/>
        <w:keepNext/>
        <w:spacing w:line="480" w:lineRule="exact"/>
        <w:rPr>
          <w:rFonts w:hint="eastAsia" w:ascii="仿宋" w:hAnsi="仿宋" w:eastAsia="仿宋" w:cs="Arial"/>
          <w:color w:val="000000"/>
          <w:sz w:val="28"/>
          <w:szCs w:val="28"/>
        </w:rPr>
        <w:outlineLvl w:val="3"/>
      </w:pPr>
      <w:r/>
      <w:bookmarkStart w:id="100" w:name="_Toc20823284"/>
      <w:r/>
      <w:bookmarkStart w:id="101" w:name="_Toc16938528"/>
      <w:r/>
      <w:bookmarkStart w:id="102" w:name="_Toc513029212"/>
      <w:r/>
      <w:bookmarkStart w:id="103" w:name="_Toc462564071"/>
      <w:r>
        <w:rPr>
          <w:rFonts w:hint="eastAsia" w:ascii="仿宋" w:hAnsi="仿宋" w:eastAsia="仿宋" w:cs="Arial"/>
          <w:color w:val="000000"/>
          <w:sz w:val="28"/>
          <w:szCs w:val="28"/>
        </w:rPr>
        <w:t xml:space="preserve">8、招标文件的修改</w:t>
      </w:r>
      <w:bookmarkEnd w:id="100"/>
      <w:r/>
      <w:bookmarkEnd w:id="101"/>
      <w:r/>
      <w:bookmarkEnd w:id="102"/>
      <w:r/>
      <w:bookmarkEnd w:id="103"/>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在投标截止时间前，采购中心可以对招标文件进行修改。</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采购中心有权按照法定的要求推迟投标截止日期和开标日期。</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748"/>
        <w:ind w:firstLine="422"/>
        <w:keepLines/>
        <w:keepNext/>
        <w:spacing w:before="145" w:after="145" w:line="480" w:lineRule="exact"/>
        <w:rPr>
          <w:rFonts w:hint="eastAsia" w:ascii="仿宋" w:hAnsi="仿宋" w:eastAsia="仿宋"/>
          <w:b/>
          <w:bCs/>
          <w:color w:val="000000"/>
          <w:sz w:val="28"/>
          <w:szCs w:val="28"/>
        </w:rPr>
        <w:outlineLvl w:val="2"/>
      </w:pPr>
      <w:r/>
      <w:bookmarkStart w:id="104" w:name="_Toc513029213"/>
      <w:r/>
      <w:bookmarkStart w:id="105" w:name="_Toc20823285"/>
      <w:r/>
      <w:bookmarkStart w:id="106" w:name="_Toc120614216"/>
      <w:r/>
      <w:bookmarkStart w:id="107" w:name="_Toc462564072"/>
      <w:r/>
      <w:bookmarkStart w:id="108" w:name="_Toc23296"/>
      <w:r/>
      <w:bookmarkStart w:id="109" w:name="_Toc16938529"/>
      <w:r>
        <w:rPr>
          <w:rFonts w:hint="eastAsia" w:ascii="仿宋" w:hAnsi="仿宋" w:eastAsia="仿宋"/>
          <w:b/>
          <w:bCs/>
          <w:color w:val="000000"/>
          <w:sz w:val="28"/>
          <w:szCs w:val="28"/>
        </w:rPr>
        <w:t xml:space="preserve">三、投标文件的编制</w:t>
      </w:r>
      <w:bookmarkEnd w:id="104"/>
      <w:r/>
      <w:bookmarkEnd w:id="105"/>
      <w:r/>
      <w:bookmarkEnd w:id="106"/>
      <w:r/>
      <w:bookmarkEnd w:id="107"/>
      <w:r/>
      <w:bookmarkEnd w:id="108"/>
      <w:r/>
      <w:bookmarkEnd w:id="109"/>
      <w:r>
        <w:rPr>
          <w:rFonts w:hint="eastAsia" w:ascii="仿宋" w:hAnsi="仿宋" w:eastAsia="仿宋"/>
          <w:b/>
          <w:bCs/>
          <w:color w:val="000000"/>
          <w:sz w:val="28"/>
          <w:szCs w:val="28"/>
        </w:rPr>
      </w:r>
      <w:r/>
    </w:p>
    <w:p>
      <w:pPr>
        <w:pStyle w:val="748"/>
        <w:ind w:firstLine="560"/>
        <w:keepLines/>
        <w:keepNext/>
        <w:spacing w:line="480" w:lineRule="exact"/>
        <w:rPr>
          <w:rFonts w:hint="eastAsia" w:ascii="仿宋" w:hAnsi="仿宋" w:eastAsia="仿宋" w:cs="Arial"/>
          <w:b/>
          <w:color w:val="000000"/>
          <w:sz w:val="28"/>
          <w:szCs w:val="28"/>
        </w:rPr>
        <w:outlineLvl w:val="3"/>
      </w:pPr>
      <w:r/>
      <w:bookmarkStart w:id="110" w:name="_Toc513029214"/>
      <w:r/>
      <w:bookmarkStart w:id="111" w:name="_Toc462564073"/>
      <w:r/>
      <w:bookmarkStart w:id="112" w:name="_Toc20823286"/>
      <w:r/>
      <w:bookmarkStart w:id="113" w:name="_Toc16938530"/>
      <w:r>
        <w:rPr>
          <w:rFonts w:hint="eastAsia" w:ascii="仿宋" w:hAnsi="仿宋" w:eastAsia="仿宋" w:cs="Arial"/>
          <w:color w:val="000000"/>
          <w:sz w:val="28"/>
          <w:szCs w:val="28"/>
        </w:rPr>
        <w:t xml:space="preserve">9、投标文件的语言及度量衡单位</w:t>
      </w:r>
      <w:bookmarkEnd w:id="110"/>
      <w:r/>
      <w:bookmarkEnd w:id="111"/>
      <w:r/>
      <w:bookmarkEnd w:id="112"/>
      <w:r/>
      <w:bookmarkEnd w:id="113"/>
      <w:r>
        <w:rPr>
          <w:rFonts w:hint="eastAsia" w:ascii="仿宋" w:hAnsi="仿宋" w:eastAsia="仿宋" w:cs="Arial"/>
          <w:b/>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投标人提交的投标文件以及投标人与采购中心就有关投标的所有来往通知、函件和文件均应使用简体中文。</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114" w:name="_Toc16938531"/>
      <w:r/>
      <w:bookmarkStart w:id="115" w:name="_Toc513029215"/>
      <w:r/>
      <w:bookmarkStart w:id="116" w:name="_Toc462564074"/>
      <w:r/>
      <w:bookmarkStart w:id="117" w:name="_Toc20823287"/>
      <w:r>
        <w:rPr>
          <w:rFonts w:hint="eastAsia" w:ascii="仿宋" w:hAnsi="仿宋" w:eastAsia="仿宋" w:cs="Arial"/>
          <w:color w:val="000000"/>
          <w:sz w:val="28"/>
          <w:szCs w:val="28"/>
        </w:rPr>
        <w:t xml:space="preserve">10、投标文件构成</w:t>
      </w:r>
      <w:bookmarkEnd w:id="114"/>
      <w:r/>
      <w:bookmarkEnd w:id="115"/>
      <w:r/>
      <w:bookmarkEnd w:id="116"/>
      <w:r/>
      <w:bookmarkEnd w:id="117"/>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w:t>
      </w:r>
      <w:r>
        <w:rPr>
          <w:rFonts w:hint="eastAsia" w:ascii="仿宋" w:hAnsi="仿宋" w:eastAsia="仿宋"/>
          <w:color w:val="000000"/>
          <w:sz w:val="28"/>
          <w:szCs w:val="28"/>
        </w:rPr>
        <w:t xml:space="preserve">证明文件、实质性要求响应及偏离表、投标分项报价表、技术要求响应及偏离表、商务要求响应及偏离表、其他证明文件、投标函、开标一览表等部分。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118" w:name="_Hlt26670360"/>
      <w:r/>
      <w:bookmarkEnd w:id="118"/>
      <w:r/>
      <w:bookmarkStart w:id="119" w:name="_Hlt26668975"/>
      <w:r/>
      <w:bookmarkEnd w:id="119"/>
      <w:r/>
      <w:bookmarkStart w:id="120" w:name="_Hlt26954838"/>
      <w:r/>
      <w:bookmarkEnd w:id="120"/>
      <w:r/>
      <w:bookmarkStart w:id="121" w:name="_Toc49090509"/>
      <w:r/>
      <w:bookmarkStart w:id="122" w:name="_Toc513029219"/>
      <w:r/>
      <w:bookmarkStart w:id="123" w:name="_Toc14577357"/>
      <w:r/>
      <w:bookmarkStart w:id="124" w:name="_Toc49090507"/>
      <w:r/>
      <w:bookmarkStart w:id="125" w:name="_Toc513029216"/>
      <w:r/>
      <w:bookmarkStart w:id="126" w:name="_Toc14577354"/>
      <w:r/>
      <w:bookmarkStart w:id="127" w:name="_Toc14577355"/>
      <w:r/>
      <w:bookmarkStart w:id="128" w:name="_Toc49090508"/>
      <w:r>
        <w:rPr>
          <w:rFonts w:hint="eastAsia" w:ascii="仿宋" w:hAnsi="仿宋" w:eastAsia="仿宋" w:cs="Arial"/>
          <w:color w:val="000000"/>
          <w:sz w:val="28"/>
          <w:szCs w:val="28"/>
        </w:rPr>
        <w:t xml:space="preserve">11、证明投标人及投标标的符合招标文件规定的文件</w:t>
      </w:r>
      <w:bookmarkEnd w:id="121"/>
      <w:r/>
      <w:bookmarkEnd w:id="122"/>
      <w:r/>
      <w:bookmarkEnd w:id="123"/>
      <w:r>
        <w:rPr>
          <w:rFonts w:hint="eastAsia" w:ascii="仿宋" w:hAnsi="仿宋" w:eastAsia="仿宋" w:cs="Arial"/>
          <w:color w:val="000000"/>
          <w:sz w:val="28"/>
          <w:szCs w:val="28"/>
        </w:rPr>
      </w:r>
      <w:r/>
    </w:p>
    <w:p>
      <w:pPr>
        <w:pStyle w:val="748"/>
        <w:spacing w:line="480" w:lineRule="exact"/>
        <w:rPr>
          <w:rFonts w:hint="eastAsia" w:ascii="仿宋" w:hAnsi="仿宋" w:eastAsia="仿宋"/>
          <w:color w:val="000000"/>
          <w:sz w:val="28"/>
          <w:szCs w:val="28"/>
        </w:rPr>
      </w:pPr>
      <w:r/>
      <w:bookmarkEnd w:id="124"/>
      <w:r/>
      <w:bookmarkEnd w:id="125"/>
      <w:r/>
      <w:bookmarkEnd w:id="126"/>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End w:id="127"/>
      <w:r/>
      <w:bookmarkEnd w:id="128"/>
      <w:r>
        <w:rPr>
          <w:rFonts w:hint="eastAsia" w:ascii="仿宋" w:hAnsi="仿宋" w:eastAsia="仿宋" w:cs="Arial"/>
          <w:color w:val="000000"/>
          <w:sz w:val="28"/>
          <w:szCs w:val="28"/>
        </w:rPr>
        <w:t xml:space="preserve">12、投标分项报价表</w:t>
      </w:r>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bCs/>
          <w:color w:val="ff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w:t>
      </w:r>
      <w:r>
        <w:rPr>
          <w:rFonts w:hint="eastAsia" w:ascii="仿宋" w:hAnsi="仿宋" w:eastAsia="仿宋"/>
          <w:color w:val="000000"/>
          <w:sz w:val="28"/>
          <w:szCs w:val="28"/>
          <w:lang w:val="en-US" w:eastAsia="zh-CN"/>
        </w:rPr>
        <w:t xml:space="preserve">招标</w:t>
      </w:r>
      <w:r>
        <w:rPr>
          <w:rFonts w:hint="eastAsia" w:ascii="仿宋" w:hAnsi="仿宋" w:eastAsia="仿宋"/>
          <w:color w:val="000000"/>
          <w:sz w:val="28"/>
          <w:szCs w:val="28"/>
        </w:rPr>
        <w:t xml:space="preserve">文件规定格式填报投标分项报价表。</w:t>
      </w:r>
      <w:r>
        <w:rPr>
          <w:rFonts w:hint="eastAsia" w:ascii="仿宋" w:hAnsi="仿宋" w:eastAsia="仿宋"/>
          <w:bCs/>
          <w:color w:val="ff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129" w:name="_Hlt26954846"/>
      <w:r/>
      <w:bookmarkEnd w:id="129"/>
      <w:r/>
      <w:bookmarkStart w:id="130" w:name="_Hlt26670486"/>
      <w:r/>
      <w:bookmarkEnd w:id="130"/>
      <w:r/>
      <w:bookmarkStart w:id="131" w:name="_Hlt26954848"/>
      <w:r/>
      <w:bookmarkEnd w:id="131"/>
      <w:r/>
      <w:bookmarkStart w:id="132" w:name="_Hlt26670482"/>
      <w:r/>
      <w:bookmarkEnd w:id="132"/>
      <w:r/>
      <w:bookmarkStart w:id="133" w:name="_Hlt26954731"/>
      <w:r/>
      <w:bookmarkEnd w:id="133"/>
      <w:r>
        <w:rPr>
          <w:rFonts w:hint="eastAsia" w:ascii="仿宋" w:hAnsi="仿宋" w:eastAsia="仿宋" w:cs="Arial"/>
          <w:color w:val="000000"/>
          <w:sz w:val="28"/>
          <w:szCs w:val="28"/>
        </w:rPr>
        <w:t xml:space="preserve">13、技术要求响应及偏离表、商务要求响应及偏离表</w:t>
      </w:r>
      <w:r>
        <w:rPr>
          <w:rFonts w:hint="eastAsia" w:ascii="仿宋" w:hAnsi="仿宋" w:eastAsia="仿宋" w:cs="Arial"/>
          <w:color w:val="000000"/>
          <w:sz w:val="28"/>
          <w:szCs w:val="28"/>
        </w:rPr>
      </w:r>
      <w:r/>
    </w:p>
    <w:p>
      <w:pPr>
        <w:pStyle w:val="748"/>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748"/>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w:t>
      </w:r>
      <w:r>
        <w:rPr>
          <w:rFonts w:hint="eastAsia" w:ascii="仿宋" w:hAnsi="仿宋" w:eastAsia="仿宋" w:cs="宋体"/>
          <w:color w:val="000000"/>
          <w:sz w:val="28"/>
          <w:szCs w:val="28"/>
          <w:lang w:val="zh-CN"/>
        </w:rPr>
        <w:t xml:space="preserve">2投标人需按照</w:t>
      </w:r>
      <w:r>
        <w:rPr>
          <w:rFonts w:hint="eastAsia" w:ascii="仿宋" w:hAnsi="仿宋" w:eastAsia="仿宋" w:cs="宋体"/>
          <w:color w:val="000000"/>
          <w:sz w:val="28"/>
          <w:szCs w:val="28"/>
          <w:lang w:val="en-US" w:eastAsia="zh-CN"/>
        </w:rPr>
        <w:t xml:space="preserve">招标</w:t>
      </w:r>
      <w:r>
        <w:rPr>
          <w:rFonts w:hint="eastAsia" w:ascii="仿宋" w:hAnsi="仿宋" w:eastAsia="仿宋" w:cs="宋体"/>
          <w:color w:val="000000"/>
          <w:sz w:val="28"/>
          <w:szCs w:val="28"/>
          <w:lang w:val="zh-CN"/>
        </w:rPr>
        <w:t xml:space="preserve">文件要求，在投标文件中提供与技术要求和商务要求相关的证明材料。</w:t>
      </w:r>
      <w:r>
        <w:rPr>
          <w:rFonts w:hint="eastAsia" w:ascii="仿宋" w:hAnsi="仿宋" w:eastAsia="仿宋" w:cs="宋体"/>
          <w:color w:val="000000"/>
          <w:sz w:val="28"/>
          <w:szCs w:val="28"/>
          <w:lang w:val="zh-CN"/>
        </w:rPr>
      </w:r>
      <w:r/>
    </w:p>
    <w:p>
      <w:pPr>
        <w:pStyle w:val="748"/>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14、服务承诺、培训计划、人员安排及其他</w:t>
      </w:r>
      <w:r>
        <w:rPr>
          <w:rFonts w:hint="eastAsia" w:ascii="仿宋" w:hAnsi="仿宋" w:eastAsia="仿宋" w:cs="Arial"/>
          <w:b/>
          <w:bCs/>
          <w:color w:val="000000"/>
          <w:sz w:val="28"/>
          <w:szCs w:val="28"/>
          <w:lang w:eastAsia="zh-CN"/>
        </w:rPr>
        <w:t xml:space="preserve">（</w:t>
      </w:r>
      <w:r>
        <w:rPr>
          <w:rFonts w:hint="eastAsia" w:ascii="仿宋" w:hAnsi="仿宋" w:eastAsia="仿宋" w:cs="Arial"/>
          <w:b/>
          <w:bCs/>
          <w:color w:val="000000"/>
          <w:sz w:val="28"/>
          <w:szCs w:val="28"/>
          <w:lang w:val="en-US" w:eastAsia="zh-CN"/>
        </w:rPr>
        <w:t xml:space="preserve">根据项目需求的实际要求进行填写</w:t>
      </w:r>
      <w:r>
        <w:rPr>
          <w:rFonts w:hint="eastAsia" w:ascii="仿宋" w:hAnsi="仿宋" w:eastAsia="仿宋" w:cs="Arial"/>
          <w:b/>
          <w:bCs/>
          <w:color w:val="000000"/>
          <w:sz w:val="28"/>
          <w:szCs w:val="28"/>
          <w:lang w:eastAsia="zh-CN"/>
        </w:rPr>
        <w:t xml:space="preserve">）</w:t>
      </w:r>
      <w:r>
        <w:rPr>
          <w:rFonts w:hint="eastAsia" w:ascii="仿宋" w:hAnsi="仿宋" w:eastAsia="仿宋" w:cs="Arial"/>
          <w:color w:val="000000"/>
          <w:sz w:val="28"/>
          <w:szCs w:val="28"/>
        </w:rPr>
      </w:r>
      <w:r/>
    </w:p>
    <w:p>
      <w:pPr>
        <w:pStyle w:val="748"/>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748"/>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748"/>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134" w:name="_Toc49090510"/>
      <w:r/>
      <w:bookmarkStart w:id="135" w:name="_Toc14577359"/>
      <w:r>
        <w:rPr>
          <w:rFonts w:hint="eastAsia" w:ascii="仿宋" w:hAnsi="仿宋" w:eastAsia="仿宋" w:cs="Arial"/>
          <w:color w:val="000000"/>
          <w:sz w:val="28"/>
          <w:szCs w:val="28"/>
        </w:rPr>
        <w:t xml:space="preserve">15、投标函和开标一览表</w:t>
      </w:r>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End w:id="134"/>
      <w:r/>
      <w:bookmarkEnd w:id="135"/>
      <w:r/>
      <w:bookmarkStart w:id="136" w:name="_Toc14577360"/>
      <w:r/>
      <w:bookmarkStart w:id="137" w:name="_Toc49090511"/>
      <w:r>
        <w:rPr>
          <w:rFonts w:hint="eastAsia" w:ascii="仿宋" w:hAnsi="仿宋" w:eastAsia="仿宋" w:cs="Arial"/>
          <w:color w:val="000000"/>
          <w:sz w:val="28"/>
          <w:szCs w:val="28"/>
        </w:rPr>
        <w:t xml:space="preserve">16、投标有效期</w:t>
      </w:r>
      <w:bookmarkEnd w:id="136"/>
      <w:r/>
      <w:bookmarkEnd w:id="137"/>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16.1投标有效期为采购中心规定的开标之日后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rPr>
        <w:t xml:space="preserve">。投标有效期比规定短的将被视为未实质性响应招标文件而予以拒绝。</w:t>
      </w:r>
      <w:r>
        <w:rPr>
          <w:rFonts w:hint="eastAsia" w:ascii="仿宋" w:hAnsi="仿宋" w:eastAsia="仿宋"/>
          <w:bCs/>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、投标有效期的延长</w:t>
      </w:r>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748"/>
        <w:keepLines/>
        <w:keepNext/>
        <w:spacing w:before="145" w:after="145" w:line="480" w:lineRule="exact"/>
        <w:rPr>
          <w:rFonts w:hint="eastAsia" w:ascii="仿宋" w:hAnsi="仿宋" w:eastAsia="仿宋"/>
          <w:b/>
          <w:bCs/>
          <w:color w:val="000000"/>
          <w:sz w:val="28"/>
          <w:szCs w:val="28"/>
        </w:rPr>
        <w:outlineLvl w:val="2"/>
      </w:pPr>
      <w:r/>
      <w:bookmarkStart w:id="138" w:name="_Hlt26954852"/>
      <w:r/>
      <w:bookmarkEnd w:id="138"/>
      <w:r/>
      <w:bookmarkStart w:id="139" w:name="_Hlt26954739"/>
      <w:r/>
      <w:bookmarkEnd w:id="139"/>
      <w:r/>
      <w:bookmarkStart w:id="140" w:name="_Toc120614217"/>
      <w:r/>
      <w:bookmarkStart w:id="141" w:name="_Toc17975"/>
      <w:r/>
      <w:bookmarkStart w:id="142" w:name="_Toc16938540"/>
      <w:r/>
      <w:bookmarkStart w:id="143" w:name="_Toc513029224"/>
      <w:r/>
      <w:bookmarkStart w:id="144" w:name="_Toc20823296"/>
      <w:r>
        <w:rPr>
          <w:rFonts w:hint="eastAsia" w:ascii="仿宋" w:hAnsi="仿宋" w:eastAsia="仿宋"/>
          <w:b/>
          <w:bCs/>
          <w:color w:val="000000"/>
          <w:sz w:val="28"/>
          <w:szCs w:val="28"/>
        </w:rPr>
        <w:t xml:space="preserve">四、投标文件的递交</w:t>
      </w:r>
      <w:bookmarkEnd w:id="140"/>
      <w:r/>
      <w:bookmarkEnd w:id="141"/>
      <w:r/>
      <w:bookmarkEnd w:id="142"/>
      <w:r/>
      <w:bookmarkEnd w:id="143"/>
      <w:r/>
      <w:bookmarkEnd w:id="144"/>
      <w:r>
        <w:rPr>
          <w:rFonts w:hint="eastAsia" w:ascii="仿宋" w:hAnsi="仿宋" w:eastAsia="仿宋"/>
          <w:b/>
          <w:bCs/>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145" w:name="_Toc513029225"/>
      <w:r/>
      <w:bookmarkStart w:id="146" w:name="_Toc16938541"/>
      <w:r/>
      <w:bookmarkStart w:id="147" w:name="_Toc20823297"/>
      <w:r/>
      <w:bookmarkStart w:id="148" w:name="_Toc462564084"/>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8</w:t>
      </w:r>
      <w:r>
        <w:rPr>
          <w:rFonts w:hint="eastAsia" w:ascii="仿宋" w:hAnsi="仿宋" w:eastAsia="仿宋" w:cs="Arial"/>
          <w:color w:val="000000"/>
          <w:sz w:val="28"/>
          <w:szCs w:val="28"/>
        </w:rPr>
        <w:t xml:space="preserve">、电子投标文件</w:t>
      </w:r>
      <w:bookmarkEnd w:id="145"/>
      <w:r/>
      <w:bookmarkEnd w:id="146"/>
      <w:r/>
      <w:bookmarkEnd w:id="147"/>
      <w:r/>
      <w:bookmarkEnd w:id="148"/>
      <w:r>
        <w:rPr>
          <w:rFonts w:hint="eastAsia" w:ascii="仿宋" w:hAnsi="仿宋" w:eastAsia="仿宋" w:cs="Arial"/>
          <w:color w:val="000000"/>
          <w:sz w:val="28"/>
          <w:szCs w:val="28"/>
        </w:rPr>
        <w:t xml:space="preserve">的递交</w:t>
      </w:r>
      <w:r>
        <w:rPr>
          <w:rFonts w:hint="eastAsia" w:ascii="仿宋" w:hAnsi="仿宋" w:eastAsia="仿宋" w:cs="Arial"/>
          <w:color w:val="000000"/>
          <w:sz w:val="28"/>
          <w:szCs w:val="28"/>
        </w:rPr>
      </w:r>
      <w:r/>
    </w:p>
    <w:p>
      <w:pPr>
        <w:pStyle w:val="748"/>
        <w:ind w:left="525"/>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18.1投标人应当按照《操作手册》规定，在投标截止时间前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49" w:name="_Toc513029226"/>
      <w:r/>
      <w:bookmarkStart w:id="150" w:name="_Toc20823298"/>
      <w:r/>
      <w:bookmarkStart w:id="151" w:name="_Toc16938542"/>
      <w:r>
        <w:rPr>
          <w:rFonts w:ascii="仿宋" w:hAnsi="仿宋" w:eastAsia="仿宋"/>
          <w:bCs/>
          <w:color w:val="000000"/>
          <w:sz w:val="28"/>
          <w:szCs w:val="28"/>
        </w:rPr>
      </w:r>
      <w:r/>
    </w:p>
    <w:p>
      <w:pPr>
        <w:pStyle w:val="748"/>
        <w:ind w:firstLine="420"/>
        <w:keepLines/>
        <w:keepNext/>
        <w:spacing w:line="480" w:lineRule="exact"/>
        <w:rPr>
          <w:rFonts w:hint="eastAsia" w:ascii="仿宋" w:hAnsi="仿宋" w:eastAsia="仿宋" w:cs="Arial"/>
          <w:bCs/>
          <w:color w:val="000000"/>
          <w:sz w:val="28"/>
          <w:szCs w:val="28"/>
        </w:rPr>
        <w:outlineLvl w:val="3"/>
      </w:pPr>
      <w:r>
        <w:rPr>
          <w:rFonts w:ascii="仿宋" w:hAnsi="仿宋" w:eastAsia="仿宋" w:cs="Arial"/>
          <w:bCs/>
          <w:color w:val="000000"/>
          <w:sz w:val="28"/>
          <w:szCs w:val="28"/>
        </w:rPr>
        <w:t xml:space="preserve">19</w:t>
      </w:r>
      <w:r>
        <w:rPr>
          <w:rFonts w:hint="eastAsia" w:ascii="仿宋" w:hAnsi="仿宋" w:eastAsia="仿宋" w:cs="Arial"/>
          <w:color w:val="000000"/>
          <w:sz w:val="28"/>
          <w:szCs w:val="28"/>
        </w:rPr>
        <w:t xml:space="preserve">、</w:t>
      </w:r>
      <w:bookmarkEnd w:id="149"/>
      <w:r/>
      <w:bookmarkEnd w:id="150"/>
      <w:r/>
      <w:bookmarkEnd w:id="151"/>
      <w:r>
        <w:rPr>
          <w:rFonts w:hint="eastAsia" w:ascii="仿宋" w:hAnsi="仿宋" w:eastAsia="仿宋" w:cs="Arial"/>
          <w:color w:val="000000"/>
          <w:sz w:val="28"/>
          <w:szCs w:val="28"/>
        </w:rPr>
        <w:t xml:space="preserve">提交响应文件截止时间</w:t>
      </w:r>
      <w:r>
        <w:rPr>
          <w:rFonts w:hint="eastAsia" w:ascii="仿宋" w:hAnsi="仿宋" w:eastAsia="仿宋" w:cs="Arial"/>
          <w:bCs/>
          <w:color w:val="000000"/>
          <w:sz w:val="28"/>
          <w:szCs w:val="28"/>
        </w:rPr>
      </w:r>
      <w:r/>
    </w:p>
    <w:p>
      <w:pPr>
        <w:pStyle w:val="748"/>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w:t>
      </w:r>
      <w:r>
        <w:rPr>
          <w:rFonts w:hint="eastAsia" w:ascii="仿宋" w:hAnsi="仿宋" w:eastAsia="仿宋"/>
          <w:b/>
          <w:bCs/>
          <w:color w:val="000000"/>
          <w:sz w:val="28"/>
          <w:szCs w:val="28"/>
          <w:u w:val="single"/>
          <w:lang w:val="en-US" w:eastAsia="zh-CN"/>
        </w:rPr>
        <w:t xml:space="preserve">招标</w:t>
      </w:r>
      <w:r>
        <w:rPr>
          <w:rFonts w:hint="eastAsia" w:ascii="仿宋" w:hAnsi="仿宋" w:eastAsia="仿宋"/>
          <w:b/>
          <w:bCs/>
          <w:color w:val="000000"/>
          <w:sz w:val="28"/>
          <w:szCs w:val="28"/>
          <w:u w:val="single"/>
        </w:rPr>
        <w:t xml:space="preserve">公告中规定的投标截止时间。</w:t>
      </w:r>
      <w:r>
        <w:rPr>
          <w:rFonts w:hint="eastAsia" w:ascii="仿宋" w:hAnsi="仿宋" w:eastAsia="仿宋"/>
          <w:b/>
          <w:bCs/>
          <w:color w:val="000000"/>
          <w:sz w:val="28"/>
          <w:szCs w:val="28"/>
          <w:u w:val="single"/>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采购中心可以按照规定，通过修改招标文件酌情延长投标截止日期，在此情况下，投标人的所有权利和义务以及投标人受制的截止日期均应以延长后新的截止日期为准。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152" w:name="_Toc20823299"/>
      <w:r/>
      <w:bookmarkStart w:id="153" w:name="_Toc513029227"/>
      <w:r/>
      <w:bookmarkStart w:id="154" w:name="_Toc16938543"/>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0</w:t>
      </w:r>
      <w:r>
        <w:rPr>
          <w:rFonts w:hint="eastAsia" w:ascii="仿宋" w:hAnsi="仿宋" w:eastAsia="仿宋" w:cs="Arial"/>
          <w:color w:val="000000"/>
          <w:sz w:val="28"/>
          <w:szCs w:val="28"/>
        </w:rPr>
        <w:t xml:space="preserve">、投标文件</w:t>
      </w:r>
      <w:bookmarkEnd w:id="152"/>
      <w:r/>
      <w:bookmarkEnd w:id="153"/>
      <w:r/>
      <w:bookmarkEnd w:id="154"/>
      <w:r>
        <w:rPr>
          <w:rFonts w:hint="eastAsia" w:ascii="仿宋" w:hAnsi="仿宋" w:eastAsia="仿宋" w:cs="Arial"/>
          <w:color w:val="000000"/>
          <w:sz w:val="28"/>
          <w:szCs w:val="28"/>
        </w:rPr>
        <w:t xml:space="preserve">的拒收</w:t>
      </w:r>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采购中心拒绝接收在其规定的投标截止时间后上传的任何投标文件。</w:t>
      </w:r>
      <w:r>
        <w:rPr>
          <w:rFonts w:hint="eastAsia" w:ascii="仿宋" w:hAnsi="仿宋" w:eastAsia="仿宋"/>
          <w:bCs/>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155" w:name="_Toc20823300"/>
      <w:r/>
      <w:bookmarkStart w:id="156" w:name="_Toc513029228"/>
      <w:r/>
      <w:bookmarkStart w:id="157" w:name="_Toc16938544"/>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1</w:t>
      </w:r>
      <w:r>
        <w:rPr>
          <w:rFonts w:hint="eastAsia" w:ascii="仿宋" w:hAnsi="仿宋" w:eastAsia="仿宋" w:cs="Arial"/>
          <w:color w:val="000000"/>
          <w:sz w:val="28"/>
          <w:szCs w:val="28"/>
        </w:rPr>
        <w:t xml:space="preserve">、投标文件的撤回和修改</w:t>
      </w:r>
      <w:bookmarkEnd w:id="155"/>
      <w:r/>
      <w:bookmarkEnd w:id="156"/>
      <w:r/>
      <w:bookmarkEnd w:id="157"/>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w:t>
      </w:r>
      <w:r>
        <w:rPr>
          <w:rFonts w:hint="eastAsia" w:ascii="仿宋" w:hAnsi="仿宋" w:eastAsia="仿宋"/>
          <w:bCs/>
          <w:color w:val="000000"/>
          <w:sz w:val="28"/>
          <w:szCs w:val="28"/>
          <w:lang w:val="en-US" w:eastAsia="zh-CN"/>
        </w:rPr>
        <w:t xml:space="preserve">磋商</w:t>
      </w:r>
      <w:r>
        <w:rPr>
          <w:rFonts w:hint="eastAsia" w:ascii="仿宋" w:hAnsi="仿宋" w:eastAsia="仿宋"/>
          <w:bCs/>
          <w:color w:val="000000"/>
          <w:sz w:val="28"/>
          <w:szCs w:val="28"/>
        </w:rPr>
        <w:t xml:space="preserve">文件中规定的投标有效期满之间的这段时间内，投标人不得撤回</w:t>
      </w:r>
      <w:r>
        <w:rPr>
          <w:rFonts w:hint="eastAsia" w:ascii="仿宋" w:hAnsi="仿宋" w:eastAsia="仿宋" w:cs="Times New Roman"/>
          <w:bCs/>
          <w:color w:val="000000"/>
          <w:sz w:val="28"/>
          <w:szCs w:val="28"/>
        </w:rPr>
        <w:t xml:space="preserve">其响应文件</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748"/>
        <w:ind w:firstLine="560"/>
        <w:keepLines/>
        <w:keepNext/>
        <w:spacing w:line="480" w:lineRule="exact"/>
        <w:rPr>
          <w:rFonts w:hint="eastAsia" w:ascii="仿宋" w:hAnsi="仿宋" w:eastAsia="仿宋"/>
          <w:bCs/>
          <w:color w:val="000000"/>
          <w:sz w:val="28"/>
          <w:szCs w:val="28"/>
        </w:rPr>
        <w:outlineLvl w:val="0"/>
      </w:pPr>
      <w:r/>
      <w:bookmarkStart w:id="158" w:name="_Toc9120"/>
      <w:r/>
      <w:bookmarkStart w:id="159" w:name="_Toc20823301"/>
      <w:r/>
      <w:bookmarkStart w:id="160" w:name="_Toc513029229"/>
      <w:r/>
      <w:bookmarkStart w:id="161" w:name="_Toc16938545"/>
      <w:r/>
      <w:bookmarkStart w:id="162" w:name="_Toc120614218"/>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、中标通知书</w:t>
      </w:r>
      <w:bookmarkEnd w:id="158"/>
      <w:r>
        <w:rPr>
          <w:rFonts w:hint="eastAsia" w:ascii="仿宋" w:hAnsi="仿宋" w:eastAsia="仿宋"/>
          <w:bCs/>
          <w:color w:val="000000"/>
          <w:sz w:val="28"/>
          <w:szCs w:val="28"/>
        </w:rPr>
      </w:r>
      <w:r/>
    </w:p>
    <w:p>
      <w:pPr>
        <w:pStyle w:val="748"/>
        <w:ind w:firstLine="700"/>
        <w:spacing w:line="480" w:lineRule="exact"/>
        <w:rPr>
          <w:rFonts w:hint="eastAsia" w:ascii="仿宋" w:hAnsi="仿宋" w:eastAsia="仿宋"/>
          <w:color w:val="000000"/>
          <w:sz w:val="28"/>
          <w:szCs w:val="28"/>
        </w:rPr>
        <w:outlineLvl w:val="0"/>
      </w:pPr>
      <w:r/>
      <w:bookmarkStart w:id="163" w:name="_Toc9449"/>
      <w:r>
        <w:rPr>
          <w:rFonts w:ascii="仿宋" w:hAnsi="仿宋" w:eastAsia="仿宋"/>
          <w:color w:val="000000"/>
          <w:sz w:val="28"/>
          <w:szCs w:val="28"/>
        </w:rPr>
        <w:t xml:space="preserve">30</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中标结果确定后，采购中心将向中标人发出中标通知书。请中标人在中标结果公告届满之</w:t>
      </w:r>
      <w:r>
        <w:rPr>
          <w:rFonts w:hint="eastAsia" w:ascii="仿宋" w:hAnsi="仿宋" w:eastAsia="仿宋"/>
          <w:color w:val="000000"/>
          <w:sz w:val="28"/>
          <w:szCs w:val="28"/>
        </w:rPr>
        <w:t xml:space="preserve">日起30日内,使用CA数字证书登录苏采云系统及时下载中标通知书。因系统存储空间有限，自中标结果公告届满之日起30日后，苏采云系统不</w:t>
      </w:r>
      <w:r>
        <w:rPr>
          <w:rFonts w:hint="eastAsia" w:ascii="仿宋" w:hAnsi="仿宋" w:eastAsia="仿宋"/>
          <w:color w:val="000000"/>
          <w:sz w:val="28"/>
          <w:szCs w:val="28"/>
        </w:rPr>
        <w:t xml:space="preserve">再保证提供下载中标通知书服务,因未及时下载而造成的不利后果由中标人自行承担。</w:t>
      </w:r>
      <w:bookmarkEnd w:id="163"/>
      <w:r>
        <w:rPr>
          <w:rFonts w:hint="eastAsia" w:ascii="仿宋" w:hAnsi="仿宋" w:eastAsia="仿宋"/>
          <w:color w:val="000000"/>
          <w:sz w:val="28"/>
          <w:szCs w:val="28"/>
        </w:rPr>
      </w:r>
      <w:r/>
    </w:p>
    <w:p>
      <w:pPr>
        <w:pStyle w:val="748"/>
        <w:ind w:firstLine="700"/>
        <w:spacing w:line="480" w:lineRule="exact"/>
        <w:rPr>
          <w:rFonts w:hint="eastAsia" w:ascii="仿宋" w:hAnsi="仿宋" w:eastAsia="仿宋"/>
          <w:color w:val="000000"/>
          <w:sz w:val="28"/>
          <w:szCs w:val="28"/>
        </w:rPr>
        <w:outlineLvl w:val="0"/>
      </w:pPr>
      <w:r/>
      <w:bookmarkStart w:id="164" w:name="_Toc12396"/>
      <w:r>
        <w:rPr>
          <w:rFonts w:hint="eastAsia" w:ascii="仿宋" w:hAnsi="仿宋" w:eastAsia="仿宋"/>
          <w:color w:val="000000"/>
          <w:sz w:val="28"/>
          <w:szCs w:val="28"/>
        </w:rPr>
        <w:t xml:space="preserve">3</w:t>
      </w:r>
      <w:r>
        <w:rPr>
          <w:rFonts w:ascii="仿宋" w:hAnsi="仿宋" w:eastAsia="仿宋"/>
          <w:color w:val="000000"/>
          <w:sz w:val="28"/>
          <w:szCs w:val="28"/>
        </w:rPr>
        <w:t xml:space="preserve">0</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bookmarkEnd w:id="164"/>
      <w:r>
        <w:rPr>
          <w:rFonts w:hint="eastAsia" w:ascii="仿宋" w:hAnsi="仿宋" w:eastAsia="仿宋"/>
          <w:color w:val="000000"/>
          <w:sz w:val="28"/>
          <w:szCs w:val="28"/>
        </w:rPr>
      </w:r>
      <w:r/>
    </w:p>
    <w:p>
      <w:pPr>
        <w:pStyle w:val="748"/>
        <w:ind w:firstLine="422"/>
        <w:keepLines/>
        <w:keepNext/>
        <w:spacing w:before="145" w:after="145" w:line="480" w:lineRule="exact"/>
        <w:rPr>
          <w:rFonts w:hint="eastAsia" w:ascii="仿宋" w:hAnsi="仿宋" w:eastAsia="仿宋"/>
          <w:b/>
          <w:bCs/>
          <w:color w:val="000000"/>
          <w:sz w:val="28"/>
          <w:szCs w:val="28"/>
        </w:rPr>
        <w:outlineLvl w:val="2"/>
      </w:pPr>
      <w:r/>
      <w:bookmarkStart w:id="165" w:name="_Toc3067"/>
      <w:r>
        <w:rPr>
          <w:rFonts w:hint="eastAsia" w:ascii="仿宋" w:hAnsi="仿宋" w:eastAsia="仿宋"/>
          <w:b/>
          <w:bCs/>
          <w:color w:val="000000"/>
          <w:sz w:val="28"/>
          <w:szCs w:val="28"/>
        </w:rPr>
        <w:t xml:space="preserve">五、开标与评标</w:t>
      </w:r>
      <w:bookmarkEnd w:id="159"/>
      <w:r/>
      <w:bookmarkEnd w:id="160"/>
      <w:r/>
      <w:bookmarkEnd w:id="161"/>
      <w:r/>
      <w:bookmarkEnd w:id="162"/>
      <w:r/>
      <w:bookmarkEnd w:id="165"/>
      <w:r>
        <w:rPr>
          <w:rFonts w:hint="eastAsia" w:ascii="仿宋" w:hAnsi="仿宋" w:eastAsia="仿宋"/>
          <w:b/>
          <w:bCs/>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166" w:name="_Toc16938546"/>
      <w:r/>
      <w:bookmarkStart w:id="167" w:name="_Toc20823302"/>
      <w:r/>
      <w:bookmarkStart w:id="168" w:name="_Toc513029230"/>
      <w:r>
        <w:rPr>
          <w:rFonts w:hint="eastAsia" w:ascii="仿宋" w:hAnsi="仿宋" w:eastAsia="仿宋" w:cs="Arial"/>
          <w:color w:val="000000"/>
          <w:sz w:val="28"/>
          <w:szCs w:val="28"/>
        </w:rPr>
        <w:t xml:space="preserve">22、开标</w:t>
      </w:r>
      <w:bookmarkEnd w:id="166"/>
      <w:r/>
      <w:bookmarkEnd w:id="167"/>
      <w:r/>
      <w:bookmarkEnd w:id="168"/>
      <w:r>
        <w:rPr>
          <w:rFonts w:hint="eastAsia" w:ascii="仿宋" w:hAnsi="仿宋" w:eastAsia="仿宋" w:cs="Arial"/>
          <w:color w:val="000000"/>
          <w:sz w:val="28"/>
          <w:szCs w:val="28"/>
        </w:rPr>
      </w:r>
      <w:r/>
    </w:p>
    <w:p>
      <w:pPr>
        <w:pStyle w:val="748"/>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748"/>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748"/>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748"/>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169" w:name="_Toc20823303"/>
      <w:r/>
      <w:bookmarkStart w:id="170" w:name="_Toc16938547"/>
      <w:r/>
      <w:bookmarkStart w:id="171" w:name="_Toc513029231"/>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3</w:t>
      </w:r>
      <w:r>
        <w:rPr>
          <w:rFonts w:hint="eastAsia" w:ascii="仿宋" w:hAnsi="仿宋" w:eastAsia="仿宋" w:cs="Arial"/>
          <w:color w:val="000000"/>
          <w:sz w:val="28"/>
          <w:szCs w:val="28"/>
        </w:rPr>
        <w:t xml:space="preserve">、评标委员会</w:t>
      </w:r>
      <w:r>
        <w:rPr>
          <w:rFonts w:hint="eastAsia" w:ascii="仿宋" w:hAnsi="仿宋" w:eastAsia="仿宋" w:cs="Arial"/>
          <w:color w:val="000000"/>
          <w:sz w:val="28"/>
          <w:szCs w:val="28"/>
        </w:rPr>
      </w:r>
      <w:r/>
    </w:p>
    <w:p>
      <w:pPr>
        <w:pStyle w:val="748"/>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开标后，采购中心将立即组织评标委员会（以下简称评委会）进行评标。</w:t>
      </w:r>
      <w:r>
        <w:rPr>
          <w:rFonts w:hint="eastAsia" w:ascii="仿宋" w:hAnsi="仿宋" w:eastAsia="仿宋"/>
          <w:b/>
          <w:color w:val="000000"/>
          <w:sz w:val="28"/>
          <w:szCs w:val="28"/>
        </w:rPr>
      </w:r>
      <w:r/>
    </w:p>
    <w:p>
      <w:pPr>
        <w:pStyle w:val="748"/>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748"/>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.3评委会独立工作，负责评审所有投标文件并确定中标侯选人。</w:t>
      </w:r>
      <w:r>
        <w:rPr>
          <w:rFonts w:hint="eastAsia" w:ascii="仿宋" w:hAnsi="仿宋" w:eastAsia="仿宋"/>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4</w:t>
      </w:r>
      <w:r>
        <w:rPr>
          <w:rFonts w:hint="eastAsia" w:ascii="仿宋" w:hAnsi="仿宋" w:eastAsia="仿宋" w:cs="Arial"/>
          <w:color w:val="000000"/>
          <w:sz w:val="28"/>
          <w:szCs w:val="28"/>
        </w:rPr>
        <w:t xml:space="preserve">．评标过程的保密与公正</w:t>
      </w:r>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bCs/>
          <w:color w:val="000000"/>
          <w:sz w:val="28"/>
          <w:szCs w:val="28"/>
        </w:rPr>
      </w:pPr>
      <w:r/>
      <w:bookmarkEnd w:id="169"/>
      <w:r/>
      <w:bookmarkEnd w:id="170"/>
      <w:r/>
      <w:bookmarkEnd w:id="171"/>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凡是与审查、澄清、评价和比较投标的有关资料以及授标建议等，采购人、评委、采购中心均不得向投标人或与评标无关的其他人员透露。</w:t>
      </w:r>
      <w:r>
        <w:rPr>
          <w:rFonts w:hint="eastAsia" w:ascii="仿宋" w:hAnsi="仿宋" w:eastAsia="仿宋"/>
          <w:bCs/>
          <w:color w:val="000000"/>
          <w:sz w:val="28"/>
          <w:szCs w:val="28"/>
        </w:rPr>
      </w:r>
      <w:r/>
    </w:p>
    <w:p>
      <w:pPr>
        <w:pStyle w:val="748"/>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748"/>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采购中心和评标委员会不向未中标的投标人解释未中标原因，也不公布评标过程中的相关细节。</w:t>
      </w:r>
      <w:r>
        <w:rPr>
          <w:rFonts w:hint="eastAsia" w:ascii="仿宋" w:hAnsi="仿宋" w:eastAsia="仿宋"/>
          <w:b/>
          <w:color w:val="000000"/>
          <w:sz w:val="28"/>
          <w:szCs w:val="28"/>
        </w:rPr>
      </w:r>
      <w:r/>
    </w:p>
    <w:p>
      <w:pPr>
        <w:pStyle w:val="748"/>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bookmarkStart w:id="172" w:name="_Toc16938548"/>
      <w:r/>
      <w:bookmarkStart w:id="173" w:name="_Toc20823304"/>
      <w:r/>
      <w:bookmarkStart w:id="174" w:name="_Toc513029232"/>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5</w:t>
      </w:r>
      <w:r>
        <w:rPr>
          <w:rFonts w:hint="eastAsia" w:ascii="仿宋" w:hAnsi="仿宋" w:eastAsia="仿宋" w:cs="Arial"/>
          <w:color w:val="000000"/>
          <w:sz w:val="28"/>
          <w:szCs w:val="28"/>
        </w:rPr>
        <w:t xml:space="preserve">．投标文件的澄清</w:t>
      </w:r>
      <w:bookmarkEnd w:id="172"/>
      <w:r/>
      <w:bookmarkEnd w:id="173"/>
      <w:r/>
      <w:bookmarkEnd w:id="174"/>
      <w:r>
        <w:rPr>
          <w:rFonts w:hint="eastAsia" w:ascii="仿宋" w:hAnsi="仿宋" w:eastAsia="仿宋" w:cs="Arial"/>
          <w:color w:val="000000"/>
          <w:sz w:val="28"/>
          <w:szCs w:val="28"/>
        </w:rPr>
      </w:r>
      <w:r/>
    </w:p>
    <w:p>
      <w:pPr>
        <w:pStyle w:val="748"/>
        <w:ind w:firstLine="560"/>
        <w:spacing w:line="480" w:lineRule="exact"/>
        <w:rPr>
          <w:rFonts w:ascii="仿宋" w:hAnsi="仿宋" w:eastAsia="仿宋"/>
          <w:color w:val="000000"/>
          <w:sz w:val="28"/>
          <w:szCs w:val="28"/>
        </w:rPr>
      </w:pPr>
      <w:r/>
      <w:bookmarkStart w:id="175" w:name="_Toc513029233"/>
      <w:r/>
      <w:bookmarkStart w:id="176" w:name="_Toc20823305"/>
      <w:r/>
      <w:bookmarkStart w:id="177" w:name="_Toc16938549"/>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8"/>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748"/>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6</w:t>
      </w:r>
      <w:r>
        <w:rPr>
          <w:rFonts w:hint="eastAsia" w:ascii="仿宋" w:hAnsi="仿宋" w:eastAsia="仿宋" w:cs="Arial"/>
          <w:color w:val="000000"/>
          <w:sz w:val="28"/>
          <w:szCs w:val="28"/>
        </w:rPr>
        <w:t xml:space="preserve">、对投标文件的初审</w:t>
      </w:r>
      <w:bookmarkEnd w:id="175"/>
      <w:r/>
      <w:bookmarkEnd w:id="176"/>
      <w:r/>
      <w:bookmarkEnd w:id="177"/>
      <w:r>
        <w:rPr>
          <w:rFonts w:hint="eastAsia" w:ascii="仿宋" w:hAnsi="仿宋" w:eastAsia="仿宋" w:cs="Arial"/>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748"/>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748"/>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748"/>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rPr>
          <w:rFonts w:hint="eastAsia" w:ascii="仿宋" w:hAnsi="仿宋" w:eastAsia="仿宋"/>
          <w:b/>
          <w:bCs/>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748"/>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748"/>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748"/>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748"/>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748"/>
        <w:ind w:firstLine="560"/>
        <w:spacing w:line="480" w:lineRule="exact"/>
        <w:rPr>
          <w:rFonts w:ascii="仿宋" w:hAnsi="仿宋" w:eastAsia="仿宋"/>
          <w:color w:val="000000"/>
          <w:sz w:val="28"/>
          <w:szCs w:val="28"/>
        </w:rPr>
      </w:pPr>
      <w:r/>
      <w:bookmarkStart w:id="178" w:name="_Toc513029234"/>
      <w:r/>
      <w:bookmarkStart w:id="179" w:name="_Toc20823306"/>
      <w:r/>
      <w:bookmarkStart w:id="180" w:name="_Toc16938550"/>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748"/>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748"/>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748"/>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w:t>
      </w:r>
      <w:bookmarkEnd w:id="178"/>
      <w:r/>
      <w:bookmarkEnd w:id="179"/>
      <w:r/>
      <w:bookmarkEnd w:id="180"/>
      <w:r>
        <w:rPr>
          <w:rFonts w:hint="eastAsia" w:ascii="仿宋" w:hAnsi="仿宋" w:eastAsia="仿宋" w:cs="Arial"/>
          <w:color w:val="000000"/>
          <w:sz w:val="28"/>
          <w:szCs w:val="28"/>
        </w:rPr>
        <w:t xml:space="preserve">无效投标条款和废标条款</w:t>
      </w:r>
      <w:r>
        <w:rPr>
          <w:rFonts w:hint="eastAsia" w:ascii="仿宋" w:hAnsi="仿宋" w:eastAsia="仿宋" w:cs="Arial"/>
          <w:color w:val="000000"/>
          <w:sz w:val="28"/>
          <w:szCs w:val="28"/>
        </w:rPr>
      </w:r>
      <w:r/>
    </w:p>
    <w:p>
      <w:pPr>
        <w:pStyle w:val="748"/>
        <w:ind w:left="479"/>
        <w:spacing w:line="480" w:lineRule="exact"/>
        <w:rPr>
          <w:rFonts w:hint="eastAsia" w:ascii="仿宋" w:hAnsi="仿宋" w:eastAsia="仿宋"/>
          <w:bCs/>
          <w:color w:val="000000"/>
          <w:sz w:val="28"/>
          <w:szCs w:val="28"/>
        </w:rPr>
      </w:pPr>
      <w:r/>
      <w:bookmarkStart w:id="181" w:name="_Toc513029235"/>
      <w:r/>
      <w:bookmarkStart w:id="182" w:name="_Toc16938551"/>
      <w:r/>
      <w:bookmarkStart w:id="183" w:name="_Toc20823307"/>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 投标人</w:t>
      </w:r>
      <w:r>
        <w:rPr>
          <w:rFonts w:hint="eastAsia" w:ascii="仿宋" w:hAnsi="仿宋" w:eastAsia="仿宋"/>
          <w:bCs/>
          <w:color w:val="000000"/>
          <w:sz w:val="28"/>
          <w:szCs w:val="28"/>
        </w:rPr>
        <w:t xml:space="preserve">在</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规定的时间内未成功解密电子投标文件的。</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投标人未按照招标文件要求上传电子投标文件的。</w:t>
      </w:r>
      <w:r>
        <w:rPr>
          <w:rFonts w:hint="eastAsia" w:ascii="仿宋" w:hAnsi="仿宋" w:eastAsia="仿宋"/>
          <w:bCs/>
          <w:color w:val="000000"/>
          <w:sz w:val="28"/>
          <w:szCs w:val="28"/>
        </w:rPr>
      </w:r>
      <w:r/>
    </w:p>
    <w:p>
      <w:pPr>
        <w:pStyle w:val="748"/>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投标人同一</w:t>
      </w:r>
      <w:r>
        <w:rPr>
          <w:rFonts w:ascii="仿宋" w:hAnsi="仿宋" w:eastAsia="仿宋"/>
          <w:bCs/>
          <w:color w:val="000000"/>
          <w:sz w:val="28"/>
          <w:szCs w:val="28"/>
        </w:rPr>
        <w:t xml:space="preserve">分包</w:t>
      </w:r>
      <w:r>
        <w:rPr>
          <w:rFonts w:hint="eastAsia" w:ascii="仿宋" w:hAnsi="仿宋" w:eastAsia="仿宋"/>
          <w:bCs/>
          <w:color w:val="000000"/>
          <w:sz w:val="28"/>
          <w:szCs w:val="28"/>
        </w:rPr>
        <w:t xml:space="preserve">提交两个</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含</w:t>
      </w:r>
      <w:r>
        <w:rPr>
          <w:rFonts w:ascii="仿宋" w:hAnsi="仿宋" w:eastAsia="仿宋"/>
          <w:bCs/>
          <w:color w:val="000000"/>
          <w:sz w:val="28"/>
          <w:szCs w:val="28"/>
        </w:rPr>
        <w:t xml:space="preserve">两个）</w:t>
      </w:r>
      <w:r>
        <w:rPr>
          <w:rFonts w:hint="eastAsia" w:ascii="仿宋" w:hAnsi="仿宋" w:eastAsia="仿宋"/>
          <w:bCs/>
          <w:color w:val="000000"/>
          <w:sz w:val="28"/>
          <w:szCs w:val="28"/>
        </w:rPr>
        <w:t xml:space="preserve">以上不同的</w:t>
      </w:r>
      <w:r>
        <w:rPr>
          <w:rFonts w:ascii="仿宋" w:hAnsi="仿宋" w:eastAsia="仿宋"/>
          <w:bCs/>
          <w:color w:val="000000"/>
          <w:sz w:val="28"/>
          <w:szCs w:val="28"/>
        </w:rPr>
        <w:t xml:space="preserve">投标报价的。</w:t>
      </w:r>
      <w:r>
        <w:rPr>
          <w:rFonts w:hint="eastAsia" w:ascii="仿宋" w:hAnsi="仿宋" w:eastAsia="仿宋"/>
          <w:bCs/>
          <w:color w:val="000000"/>
          <w:sz w:val="28"/>
          <w:szCs w:val="28"/>
        </w:rPr>
      </w:r>
      <w:r/>
    </w:p>
    <w:p>
      <w:pPr>
        <w:pStyle w:val="748"/>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投标人不具备招标文件中规定资格要求的。</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投标人的报价超过了采购预算或最高限价的。</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i/>
          <w:color w:val="000000"/>
          <w:sz w:val="28"/>
          <w:szCs w:val="28"/>
          <w:u w:val="single"/>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未通过符合性审查的。</w:t>
      </w:r>
      <w:r>
        <w:rPr>
          <w:rFonts w:hint="eastAsia" w:ascii="仿宋" w:hAnsi="仿宋" w:eastAsia="仿宋"/>
          <w:bCs/>
          <w:i/>
          <w:color w:val="000000"/>
          <w:sz w:val="28"/>
          <w:szCs w:val="28"/>
          <w:u w:val="single"/>
        </w:rPr>
      </w:r>
      <w:r/>
    </w:p>
    <w:p>
      <w:pPr>
        <w:pStyle w:val="748"/>
        <w:ind w:firstLine="420"/>
        <w:spacing w:line="480" w:lineRule="exact"/>
        <w:rPr>
          <w:rFonts w:hint="eastAsia" w:ascii="仿宋" w:hAnsi="仿宋" w:eastAsia="仿宋"/>
          <w:b/>
          <w:bCs/>
          <w:sz w:val="28"/>
          <w:szCs w:val="28"/>
          <w:highlight w:val="none"/>
          <w:u w:val="single"/>
        </w:rPr>
      </w:pPr>
      <w:r>
        <w:rPr>
          <w:rFonts w:hint="eastAsia" w:ascii="仿宋" w:hAnsi="仿宋" w:eastAsia="仿宋"/>
          <w:bCs/>
          <w:color w:val="000000"/>
          <w:sz w:val="28"/>
          <w:szCs w:val="28"/>
        </w:rPr>
        <w:t xml:space="preserve"> 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不符合招标文件中规定的实质性要求的</w:t>
      </w:r>
      <w:r>
        <w:rPr>
          <w:rFonts w:hint="eastAsia" w:ascii="仿宋" w:hAnsi="仿宋" w:eastAsia="仿宋"/>
          <w:b/>
          <w:bCs/>
          <w:color w:val="000000"/>
          <w:sz w:val="28"/>
          <w:szCs w:val="28"/>
          <w:highlight w:val="none"/>
        </w:rPr>
        <w:t xml:space="preserve">（</w:t>
      </w:r>
      <w:r>
        <w:rPr>
          <w:rFonts w:hint="eastAsia" w:ascii="仿宋" w:hAnsi="仿宋" w:eastAsia="仿宋"/>
          <w:b/>
          <w:bCs/>
          <w:sz w:val="28"/>
          <w:szCs w:val="28"/>
          <w:highlight w:val="none"/>
        </w:rPr>
        <w:t xml:space="preserve">详见</w:t>
      </w:r>
      <w:r>
        <w:rPr>
          <w:rFonts w:hint="eastAsia" w:ascii="仿宋" w:hAnsi="仿宋" w:eastAsia="仿宋"/>
          <w:b/>
          <w:bCs/>
          <w:sz w:val="28"/>
          <w:szCs w:val="28"/>
          <w:highlight w:val="none"/>
          <w:u w:val="single"/>
        </w:rPr>
        <w:t xml:space="preserve">本招标文件第四章采购需求中</w:t>
      </w:r>
      <w:r>
        <w:rPr>
          <w:rFonts w:hint="eastAsia" w:ascii="仿宋" w:hAnsi="仿宋" w:eastAsia="仿宋"/>
          <w:b/>
          <w:color w:val="000000"/>
          <w:sz w:val="28"/>
          <w:szCs w:val="28"/>
          <w:highlight w:val="none"/>
          <w:u w:val="single"/>
        </w:rPr>
        <w:t xml:space="preserve">斜体且有</w:t>
      </w:r>
      <w:r>
        <w:rPr>
          <w:rFonts w:ascii="仿宋" w:hAnsi="仿宋" w:eastAsia="仿宋"/>
          <w:b/>
          <w:color w:val="000000"/>
          <w:sz w:val="28"/>
          <w:szCs w:val="28"/>
          <w:highlight w:val="none"/>
          <w:u w:val="single"/>
        </w:rPr>
        <w:t xml:space="preserve">下划线</w:t>
      </w:r>
      <w:r>
        <w:rPr>
          <w:rFonts w:hint="eastAsia" w:ascii="仿宋" w:hAnsi="仿宋" w:eastAsia="仿宋"/>
          <w:b/>
          <w:color w:val="000000"/>
          <w:sz w:val="28"/>
          <w:szCs w:val="28"/>
          <w:highlight w:val="none"/>
          <w:u w:val="single"/>
        </w:rPr>
        <w:t xml:space="preserve">部分</w:t>
      </w:r>
      <w:r>
        <w:rPr>
          <w:rFonts w:hint="eastAsia" w:ascii="仿宋" w:hAnsi="仿宋" w:eastAsia="仿宋"/>
          <w:b/>
          <w:bCs/>
          <w:sz w:val="28"/>
          <w:szCs w:val="28"/>
          <w:highlight w:val="none"/>
          <w:u w:val="single"/>
        </w:rPr>
        <w:t xml:space="preserve">）。</w:t>
      </w:r>
      <w:r>
        <w:rPr>
          <w:rFonts w:hint="eastAsia" w:ascii="仿宋" w:hAnsi="仿宋" w:eastAsia="仿宋"/>
          <w:b/>
          <w:bCs/>
          <w:sz w:val="28"/>
          <w:szCs w:val="28"/>
          <w:highlight w:val="none"/>
          <w:u w:val="single"/>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w:t>
      </w:r>
      <w:r>
        <w:rPr>
          <w:rFonts w:hint="eastAsia" w:ascii="仿宋" w:hAnsi="仿宋" w:eastAsia="仿宋"/>
          <w:bCs/>
          <w:color w:val="000000"/>
          <w:sz w:val="28"/>
          <w:szCs w:val="28"/>
        </w:rPr>
        <w:t xml:space="preserve">件的。</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w:t>
      </w:r>
      <w:r>
        <w:rPr>
          <w:rFonts w:hint="eastAsia" w:ascii="仿宋" w:hAnsi="仿宋" w:eastAsia="仿宋"/>
          <w:bCs/>
          <w:color w:val="000000"/>
          <w:sz w:val="28"/>
          <w:szCs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rPr>
        <w:t xml:space="preserve">2</w:t>
      </w:r>
      <w:r>
        <w:rPr>
          <w:rFonts w:ascii="仿宋" w:hAnsi="仿宋" w:eastAsia="仿宋"/>
          <w:bCs/>
          <w:color w:val="000000"/>
          <w:sz w:val="28"/>
          <w:szCs w:val="28"/>
          <w:highlight w:val="none"/>
        </w:rPr>
        <w:t xml:space="preserve">7</w:t>
      </w:r>
      <w:r>
        <w:rPr>
          <w:rFonts w:hint="eastAsia" w:ascii="仿宋" w:hAnsi="仿宋" w:eastAsia="仿宋"/>
          <w:bCs/>
          <w:color w:val="000000"/>
          <w:sz w:val="28"/>
          <w:szCs w:val="28"/>
          <w:highlight w:val="none"/>
        </w:rPr>
        <w:t xml:space="preserve">.1.1</w:t>
      </w:r>
      <w:r>
        <w:rPr>
          <w:rFonts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rPr>
        <w:t xml:space="preserve">其他法律、法规及本招标文件规定的属无效投标的情形。</w:t>
      </w:r>
      <w:r>
        <w:rPr>
          <w:rFonts w:hint="eastAsia" w:ascii="仿宋" w:hAnsi="仿宋" w:eastAsia="仿宋"/>
          <w:bCs/>
          <w:color w:val="000000"/>
          <w:sz w:val="28"/>
          <w:szCs w:val="28"/>
          <w:highlight w:val="none"/>
          <w:lang w:val="en-US" w:eastAsia="zh-CN"/>
        </w:rPr>
      </w:r>
      <w:r/>
    </w:p>
    <w:p>
      <w:pPr>
        <w:pStyle w:val="748"/>
        <w:ind w:firstLine="560"/>
        <w:spacing w:line="480" w:lineRule="exact"/>
        <w:rPr>
          <w:rFonts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27.1.14</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rPr>
          <w:rFonts w:ascii="仿宋" w:hAnsi="仿宋" w:eastAsia="仿宋"/>
          <w:bCs/>
          <w:color w:val="000000"/>
          <w:sz w:val="28"/>
          <w:szCs w:val="28"/>
          <w:highlight w:val="none"/>
          <w:lang w:val="en-US" w:eastAsia="zh-CN"/>
        </w:rPr>
      </w:r>
      <w:r/>
    </w:p>
    <w:p>
      <w:pPr>
        <w:pStyle w:val="748"/>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748"/>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748"/>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748"/>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748"/>
        <w:ind w:left="479"/>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748"/>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w:t>
      </w:r>
      <w:r>
        <w:rPr>
          <w:rFonts w:ascii="仿宋" w:hAnsi="仿宋" w:eastAsia="仿宋"/>
          <w:bCs/>
          <w:color w:val="000000"/>
          <w:sz w:val="28"/>
          <w:szCs w:val="28"/>
        </w:rPr>
        <w:t xml:space="preserve">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748"/>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748"/>
        <w:ind w:firstLine="422"/>
        <w:keepLines/>
        <w:keepNext/>
        <w:spacing w:before="145" w:after="145" w:line="480" w:lineRule="exact"/>
        <w:rPr>
          <w:rFonts w:hint="eastAsia" w:ascii="仿宋" w:hAnsi="仿宋" w:eastAsia="仿宋"/>
          <w:b/>
          <w:bCs/>
          <w:color w:val="000000"/>
          <w:sz w:val="28"/>
          <w:szCs w:val="28"/>
        </w:rPr>
        <w:outlineLvl w:val="2"/>
      </w:pPr>
      <w:r/>
      <w:bookmarkStart w:id="184" w:name="_Toc31038"/>
      <w:r/>
      <w:bookmarkStart w:id="185" w:name="_Toc120614219"/>
      <w:r>
        <w:rPr>
          <w:rFonts w:hint="eastAsia" w:ascii="仿宋" w:hAnsi="仿宋" w:eastAsia="仿宋"/>
          <w:b/>
          <w:bCs/>
          <w:color w:val="000000"/>
          <w:sz w:val="28"/>
          <w:szCs w:val="28"/>
        </w:rPr>
        <w:t xml:space="preserve">六、</w:t>
      </w:r>
      <w:bookmarkEnd w:id="181"/>
      <w:r/>
      <w:bookmarkEnd w:id="182"/>
      <w:r/>
      <w:bookmarkEnd w:id="183"/>
      <w:r>
        <w:rPr>
          <w:rFonts w:hint="eastAsia" w:ascii="仿宋" w:hAnsi="仿宋" w:eastAsia="仿宋"/>
          <w:b/>
          <w:bCs/>
          <w:color w:val="000000"/>
          <w:sz w:val="28"/>
          <w:szCs w:val="28"/>
        </w:rPr>
        <w:t xml:space="preserve">定标</w:t>
      </w:r>
      <w:bookmarkEnd w:id="184"/>
      <w:r/>
      <w:bookmarkEnd w:id="185"/>
      <w:r>
        <w:rPr>
          <w:rFonts w:hint="eastAsia" w:ascii="仿宋" w:hAnsi="仿宋" w:eastAsia="仿宋"/>
          <w:b/>
          <w:bCs/>
          <w:color w:val="000000"/>
          <w:sz w:val="28"/>
          <w:szCs w:val="28"/>
        </w:rPr>
      </w:r>
      <w:r/>
    </w:p>
    <w:p>
      <w:pPr>
        <w:pStyle w:val="748"/>
        <w:ind w:firstLine="560"/>
        <w:keepLines/>
        <w:keepNext/>
        <w:spacing w:line="480" w:lineRule="exact"/>
        <w:rPr>
          <w:rFonts w:hint="eastAsia" w:ascii="仿宋" w:hAnsi="仿宋" w:eastAsia="仿宋"/>
          <w:bCs/>
          <w:color w:val="000000"/>
          <w:sz w:val="28"/>
          <w:szCs w:val="28"/>
        </w:rPr>
        <w:outlineLvl w:val="3"/>
      </w:pPr>
      <w:r/>
      <w:bookmarkStart w:id="186" w:name="_Toc513029238"/>
      <w:r/>
      <w:bookmarkStart w:id="187" w:name="_Toc20823310"/>
      <w:r/>
      <w:bookmarkStart w:id="188" w:name="_Toc16938554"/>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w:t>
      </w:r>
      <w:bookmarkEnd w:id="186"/>
      <w:r>
        <w:rPr>
          <w:rFonts w:hint="eastAsia" w:ascii="仿宋" w:hAnsi="仿宋" w:eastAsia="仿宋"/>
          <w:bCs/>
          <w:color w:val="000000"/>
          <w:sz w:val="28"/>
          <w:szCs w:val="28"/>
        </w:rPr>
        <w:t xml:space="preserve">确定</w:t>
      </w:r>
      <w:bookmarkEnd w:id="187"/>
      <w:r/>
      <w:bookmarkEnd w:id="188"/>
      <w:r>
        <w:rPr>
          <w:rFonts w:hint="eastAsia" w:ascii="仿宋" w:hAnsi="仿宋" w:eastAsia="仿宋"/>
          <w:bCs/>
          <w:color w:val="000000"/>
          <w:sz w:val="28"/>
          <w:szCs w:val="28"/>
        </w:rPr>
        <w:t xml:space="preserve">中标单位</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.3 </w:t>
      </w:r>
      <w:r>
        <w:rPr>
          <w:rFonts w:hint="eastAsia" w:ascii="仿宋" w:hAnsi="仿宋" w:eastAsia="仿宋"/>
          <w:color w:val="000000"/>
          <w:sz w:val="28"/>
          <w:szCs w:val="28"/>
        </w:rPr>
        <w:t xml:space="preserve">采购中心将在“江苏政府采购网”发布中标公告，公告期限为1个工作日。</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.4.2向采购人、采购中心行贿或者提供其他不正当利益的。</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bookmarkStart w:id="189" w:name="_Toc200451960"/>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748"/>
        <w:ind w:firstLine="560"/>
        <w:keepLines/>
        <w:keepNext/>
        <w:spacing w:line="480" w:lineRule="exact"/>
        <w:rPr>
          <w:rFonts w:hint="eastAsia" w:ascii="仿宋" w:hAnsi="仿宋" w:eastAsia="仿宋"/>
          <w:bCs/>
          <w:color w:val="000000"/>
          <w:sz w:val="28"/>
          <w:szCs w:val="28"/>
        </w:rPr>
        <w:outlineLvl w:val="3"/>
      </w:pPr>
      <w:r>
        <w:rPr>
          <w:rFonts w:ascii="仿宋" w:hAnsi="仿宋" w:eastAsia="仿宋"/>
          <w:bCs/>
          <w:color w:val="000000"/>
          <w:sz w:val="28"/>
          <w:szCs w:val="28"/>
        </w:rPr>
        <w:t xml:space="preserve">29</w:t>
      </w:r>
      <w:r>
        <w:rPr>
          <w:rFonts w:hint="eastAsia" w:ascii="仿宋" w:hAnsi="仿宋" w:eastAsia="仿宋"/>
          <w:bCs/>
          <w:color w:val="000000"/>
          <w:sz w:val="28"/>
          <w:szCs w:val="28"/>
        </w:rPr>
        <w:t xml:space="preserve">、质疑处理</w:t>
      </w:r>
      <w:bookmarkEnd w:id="189"/>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s="宋体"/>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748"/>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供应商应当在法定质疑期内一次性提出针对同一采购程序环节的质疑。供应商如在法定期限内对同一采购程序环节提出多次质疑的，采购中心、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b/>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w:t>
      </w:r>
      <w:r>
        <w:rPr>
          <w:rFonts w:ascii="仿宋" w:hAnsi="仿宋" w:eastAsia="仿宋"/>
          <w:color w:val="000000"/>
          <w:sz w:val="28"/>
          <w:szCs w:val="28"/>
        </w:rPr>
        <w:t xml:space="preserve">采购方式、</w:t>
      </w:r>
      <w:r>
        <w:rPr>
          <w:rFonts w:hint="eastAsia" w:ascii="仿宋" w:hAnsi="仿宋" w:eastAsia="仿宋"/>
          <w:color w:val="000000"/>
          <w:sz w:val="28"/>
          <w:szCs w:val="28"/>
        </w:rPr>
        <w:t xml:space="preserve">招标文件中采购</w:t>
      </w:r>
      <w:r>
        <w:rPr>
          <w:rFonts w:ascii="仿宋" w:hAnsi="仿宋" w:eastAsia="仿宋"/>
          <w:color w:val="000000"/>
          <w:sz w:val="28"/>
          <w:szCs w:val="28"/>
        </w:rPr>
        <w:t xml:space="preserve">需求、</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资格条件、</w:t>
      </w:r>
      <w:r>
        <w:rPr>
          <w:rFonts w:hint="eastAsia" w:ascii="仿宋" w:hAnsi="仿宋" w:eastAsia="仿宋"/>
          <w:color w:val="000000"/>
          <w:sz w:val="28"/>
          <w:szCs w:val="28"/>
        </w:rPr>
        <w:t xml:space="preserve">评标方法</w:t>
      </w:r>
      <w:r>
        <w:rPr>
          <w:rFonts w:ascii="仿宋" w:hAnsi="仿宋" w:eastAsia="仿宋"/>
          <w:color w:val="000000"/>
          <w:sz w:val="28"/>
          <w:szCs w:val="28"/>
        </w:rPr>
        <w:t xml:space="preserve">和评标标准、合同文本</w:t>
      </w:r>
      <w:r>
        <w:rPr>
          <w:rFonts w:hint="eastAsia" w:ascii="仿宋" w:hAnsi="仿宋" w:eastAsia="仿宋"/>
          <w:color w:val="000000"/>
          <w:sz w:val="28"/>
          <w:szCs w:val="28"/>
        </w:rPr>
        <w:t xml:space="preserve">及</w:t>
      </w:r>
      <w:r>
        <w:rPr>
          <w:rFonts w:ascii="仿宋" w:hAnsi="仿宋" w:eastAsia="仿宋"/>
          <w:color w:val="000000"/>
          <w:sz w:val="28"/>
          <w:szCs w:val="28"/>
        </w:rPr>
        <w:t xml:space="preserve">资格</w:t>
      </w:r>
      <w:r>
        <w:rPr>
          <w:rFonts w:hint="eastAsia" w:ascii="仿宋" w:hAnsi="仿宋" w:eastAsia="仿宋"/>
          <w:color w:val="000000"/>
          <w:sz w:val="28"/>
          <w:szCs w:val="28"/>
        </w:rPr>
        <w:t xml:space="preserve">审查结果的</w:t>
      </w:r>
      <w:r>
        <w:rPr>
          <w:rFonts w:ascii="仿宋" w:hAnsi="仿宋" w:eastAsia="仿宋"/>
          <w:color w:val="000000"/>
          <w:sz w:val="28"/>
          <w:szCs w:val="28"/>
        </w:rPr>
        <w:t xml:space="preserve">询问</w:t>
      </w:r>
      <w:r>
        <w:rPr>
          <w:rFonts w:hint="eastAsia" w:ascii="仿宋" w:hAnsi="仿宋" w:eastAsia="仿宋"/>
          <w:color w:val="000000"/>
          <w:sz w:val="28"/>
          <w:szCs w:val="28"/>
        </w:rPr>
        <w:t xml:space="preserve">、质疑</w:t>
      </w:r>
      <w:r>
        <w:rPr>
          <w:rFonts w:ascii="仿宋" w:hAnsi="仿宋" w:eastAsia="仿宋"/>
          <w:color w:val="000000"/>
          <w:sz w:val="28"/>
          <w:szCs w:val="28"/>
        </w:rPr>
        <w:t xml:space="preserve">请向采购人提出，由采购人负责答复。</w:t>
      </w:r>
      <w:r>
        <w:rPr>
          <w:rFonts w:hint="eastAsia" w:ascii="仿宋" w:hAnsi="仿宋" w:eastAsia="仿宋"/>
          <w:color w:val="000000"/>
          <w:sz w:val="28"/>
          <w:szCs w:val="28"/>
        </w:rPr>
        <w:t xml:space="preserve">供应商对</w:t>
      </w:r>
      <w:r>
        <w:rPr>
          <w:rFonts w:ascii="仿宋" w:hAnsi="仿宋" w:eastAsia="仿宋"/>
          <w:color w:val="000000"/>
          <w:sz w:val="28"/>
          <w:szCs w:val="28"/>
        </w:rPr>
        <w:t xml:space="preserve">其他事项</w:t>
      </w:r>
      <w:r>
        <w:rPr>
          <w:rFonts w:hint="eastAsia" w:ascii="仿宋" w:hAnsi="仿宋" w:eastAsia="仿宋"/>
          <w:color w:val="000000"/>
          <w:sz w:val="28"/>
          <w:szCs w:val="28"/>
        </w:rPr>
        <w:t xml:space="preserve">的询问</w:t>
      </w:r>
      <w:r>
        <w:rPr>
          <w:rFonts w:ascii="仿宋" w:hAnsi="仿宋" w:eastAsia="仿宋"/>
          <w:color w:val="000000"/>
          <w:sz w:val="28"/>
          <w:szCs w:val="28"/>
        </w:rPr>
        <w:t xml:space="preserve">、质疑请向采购中心提出，由采购中心</w:t>
      </w:r>
      <w:r>
        <w:rPr>
          <w:rFonts w:hint="eastAsia" w:ascii="仿宋" w:hAnsi="仿宋" w:eastAsia="仿宋"/>
          <w:color w:val="000000"/>
          <w:sz w:val="28"/>
          <w:szCs w:val="28"/>
        </w:rPr>
        <w:t xml:space="preserve">负责</w:t>
      </w:r>
      <w:r>
        <w:rPr>
          <w:rFonts w:ascii="仿宋" w:hAnsi="仿宋" w:eastAsia="仿宋"/>
          <w:color w:val="000000"/>
          <w:sz w:val="28"/>
          <w:szCs w:val="28"/>
        </w:rPr>
        <w:t xml:space="preserve">答复。</w:t>
      </w:r>
      <w:r>
        <w:rPr>
          <w:rFonts w:hint="eastAsia" w:ascii="仿宋" w:hAnsi="仿宋" w:eastAsia="仿宋"/>
          <w:b/>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采购人及采购中心只接收以纸质原件形式送达的质疑,建议供应商尽量通过邮寄方式提交质疑（采购人和采购中心不接受无快递运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748"/>
        <w:ind w:firstLine="546"/>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748"/>
        <w:keepLines/>
        <w:keepNext/>
        <w:spacing w:before="145" w:after="145" w:line="480" w:lineRule="exact"/>
        <w:rPr>
          <w:rFonts w:hint="eastAsia" w:ascii="仿宋" w:hAnsi="仿宋" w:eastAsia="仿宋"/>
          <w:b/>
          <w:bCs/>
          <w:color w:val="000000"/>
          <w:sz w:val="28"/>
          <w:szCs w:val="28"/>
        </w:rPr>
        <w:outlineLvl w:val="2"/>
      </w:pPr>
      <w:r/>
      <w:bookmarkStart w:id="190" w:name="_Toc120614220"/>
      <w:r/>
      <w:bookmarkStart w:id="191" w:name="_Toc29994"/>
      <w:r/>
      <w:bookmarkStart w:id="192" w:name="_Toc20823308"/>
      <w:r/>
      <w:bookmarkStart w:id="193" w:name="_Toc16938552"/>
      <w:r/>
      <w:bookmarkStart w:id="194" w:name="_Toc513029236"/>
      <w:r>
        <w:rPr>
          <w:rFonts w:hint="eastAsia" w:ascii="仿宋" w:hAnsi="仿宋" w:eastAsia="仿宋"/>
          <w:b/>
          <w:bCs/>
          <w:color w:val="000000"/>
          <w:sz w:val="28"/>
          <w:szCs w:val="28"/>
        </w:rPr>
        <w:t xml:space="preserve">七、授予合同</w:t>
      </w:r>
      <w:bookmarkEnd w:id="190"/>
      <w:r/>
      <w:bookmarkEnd w:id="191"/>
      <w:r>
        <w:rPr>
          <w:rFonts w:hint="eastAsia" w:ascii="仿宋" w:hAnsi="仿宋" w:eastAsia="仿宋"/>
          <w:b/>
          <w:bCs/>
          <w:color w:val="000000"/>
          <w:sz w:val="28"/>
          <w:szCs w:val="28"/>
        </w:rPr>
      </w:r>
      <w:r/>
    </w:p>
    <w:p>
      <w:pPr>
        <w:pStyle w:val="748"/>
        <w:ind w:firstLine="560"/>
        <w:keepLines/>
        <w:keepNext/>
        <w:spacing w:line="480" w:lineRule="exact"/>
        <w:rPr>
          <w:rFonts w:hint="eastAsia" w:ascii="仿宋" w:hAnsi="仿宋" w:eastAsia="仿宋"/>
          <w:bCs/>
          <w:color w:val="000000"/>
          <w:sz w:val="28"/>
          <w:szCs w:val="28"/>
        </w:rPr>
        <w:outlineLvl w:val="3"/>
      </w:pPr>
      <w:r/>
      <w:bookmarkEnd w:id="192"/>
      <w:r/>
      <w:bookmarkEnd w:id="193"/>
      <w:r/>
      <w:bookmarkEnd w:id="194"/>
      <w:r/>
      <w:bookmarkStart w:id="195" w:name="_Toc16938553"/>
      <w:r/>
      <w:bookmarkStart w:id="196" w:name="_Toc513029237"/>
      <w:r/>
      <w:bookmarkStart w:id="197" w:name="_Toc20823309"/>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签订合同</w:t>
      </w:r>
      <w:r>
        <w:rPr>
          <w:rFonts w:hint="eastAsia" w:ascii="仿宋" w:hAnsi="仿宋" w:eastAsia="仿宋"/>
          <w:bCs/>
          <w:color w:val="000000"/>
          <w:sz w:val="28"/>
          <w:szCs w:val="28"/>
        </w:rPr>
      </w:r>
      <w:r/>
    </w:p>
    <w:p>
      <w:pPr>
        <w:pStyle w:val="748"/>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748"/>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748"/>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31.3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748"/>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、货物（包含与货物相关的服务）的追加</w:t>
      </w:r>
      <w:r>
        <w:rPr>
          <w:rFonts w:hint="eastAsia" w:ascii="仿宋" w:hAnsi="仿宋" w:eastAsia="仿宋"/>
          <w:bCs/>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748"/>
        <w:ind w:firstLine="560"/>
        <w:keepLines/>
        <w:keepNext/>
        <w:spacing w:line="480" w:lineRule="exact"/>
        <w:rPr>
          <w:rFonts w:ascii="仿宋" w:hAnsi="仿宋" w:eastAsia="仿宋"/>
          <w:bCs/>
          <w:color w:val="000000"/>
          <w:sz w:val="28"/>
          <w:szCs w:val="28"/>
        </w:rPr>
        <w:outlineLvl w:val="3"/>
      </w:pPr>
      <w:r/>
      <w:bookmarkEnd w:id="195"/>
      <w:r/>
      <w:bookmarkEnd w:id="196"/>
      <w:r/>
      <w:bookmarkEnd w:id="197"/>
      <w:r/>
      <w:bookmarkStart w:id="198" w:name="_Toc513029242"/>
      <w:r/>
      <w:bookmarkStart w:id="199" w:name="_Toc120614221"/>
      <w:r/>
      <w:bookmarkStart w:id="200" w:name="_Toc16938558"/>
      <w:r/>
      <w:bookmarkStart w:id="201" w:name="_Toc479757207"/>
      <w:r/>
      <w:bookmarkStart w:id="202" w:name="_Toc20823314"/>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、政府采购履约资金扶持政策</w:t>
      </w:r>
      <w:r>
        <w:rPr>
          <w:rFonts w:ascii="仿宋" w:hAnsi="仿宋" w:eastAsia="仿宋"/>
          <w:bCs/>
          <w:color w:val="000000"/>
          <w:sz w:val="28"/>
          <w:szCs w:val="28"/>
        </w:rPr>
      </w:r>
      <w:r/>
    </w:p>
    <w:p>
      <w:pPr>
        <w:pStyle w:val="748"/>
        <w:ind w:firstLine="420"/>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lang w:eastAsia="zh-CN"/>
        </w:rPr>
      </w:r>
      <w:r/>
    </w:p>
    <w:p>
      <w:pPr>
        <w:pStyle w:val="748"/>
        <w:ind w:firstLine="420"/>
        <w:rPr>
          <w:rFonts w:hint="eastAsia" w:ascii="仿宋" w:hAnsi="仿宋" w:eastAsia="仿宋" w:cs="Times New Roman"/>
          <w:bCs/>
          <w:color w:val="000000"/>
          <w:sz w:val="28"/>
          <w:szCs w:val="28"/>
          <w:lang w:eastAsia="zh-CN"/>
        </w:rPr>
      </w:pPr>
      <w:r>
        <w:rPr>
          <w:rFonts w:hint="eastAsia" w:ascii="仿宋" w:hAnsi="仿宋" w:eastAsia="仿宋" w:cs="Times New Roman"/>
          <w:bCs/>
          <w:color w:val="000000"/>
          <w:sz w:val="28"/>
          <w:szCs w:val="28"/>
          <w:lang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Times New Roman"/>
          <w:bCs/>
          <w:color w:val="000000"/>
          <w:sz w:val="28"/>
          <w:szCs w:val="28"/>
          <w:lang w:eastAsia="zh-CN"/>
        </w:rPr>
      </w:r>
      <w:r/>
    </w:p>
    <w:p>
      <w:pPr>
        <w:pStyle w:val="748"/>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48"/>
        <w:spacing w:line="500" w:lineRule="exact"/>
        <w:rPr>
          <w:rFonts w:ascii="宋体" w:hAnsi="宋体"/>
          <w:bCs/>
          <w:color w:val="000000"/>
          <w:sz w:val="24"/>
          <w:szCs w:val="24"/>
        </w:rPr>
      </w:pPr>
      <w:r>
        <w:rPr>
          <w:rFonts w:ascii="宋体" w:hAnsi="宋体"/>
          <w:bCs/>
          <w:color w:val="000000"/>
          <w:sz w:val="24"/>
          <w:szCs w:val="24"/>
        </w:rPr>
      </w:r>
      <w:r/>
    </w:p>
    <w:p>
      <w:pPr>
        <w:pStyle w:val="748"/>
        <w:spacing w:line="500" w:lineRule="exact"/>
        <w:rPr>
          <w:rFonts w:ascii="宋体" w:hAnsi="宋体"/>
          <w:bCs/>
          <w:color w:val="000000"/>
          <w:sz w:val="24"/>
          <w:szCs w:val="24"/>
        </w:rPr>
      </w:pPr>
      <w:r>
        <w:rPr>
          <w:rFonts w:ascii="宋体" w:hAnsi="宋体"/>
          <w:bCs/>
          <w:color w:val="000000"/>
          <w:sz w:val="24"/>
          <w:szCs w:val="24"/>
        </w:rPr>
      </w:r>
      <w:r/>
    </w:p>
    <w:p>
      <w:pPr>
        <w:pStyle w:val="748"/>
        <w:spacing w:line="500" w:lineRule="exact"/>
        <w:rPr>
          <w:rFonts w:ascii="宋体" w:hAnsi="宋体"/>
          <w:bCs/>
          <w:color w:val="000000"/>
          <w:sz w:val="24"/>
          <w:szCs w:val="24"/>
        </w:rPr>
      </w:pPr>
      <w:r>
        <w:rPr>
          <w:rFonts w:ascii="宋体" w:hAnsi="宋体"/>
          <w:bCs/>
          <w:color w:val="000000"/>
          <w:sz w:val="24"/>
          <w:szCs w:val="24"/>
        </w:rPr>
      </w:r>
      <w:r/>
    </w:p>
    <w:p>
      <w:pPr>
        <w:pStyle w:val="750"/>
        <w:jc w:val="both"/>
        <w:rPr>
          <w:rFonts w:hint="eastAsia"/>
        </w:rPr>
        <w:outlineLvl w:val="0"/>
      </w:pPr>
      <w:r/>
      <w:bookmarkStart w:id="203" w:name="_Toc21447"/>
      <w:r/>
      <w:bookmarkStart w:id="204" w:name="_Toc14966"/>
      <w:r/>
      <w:bookmarkStart w:id="205" w:name="_Toc270"/>
      <w:r/>
      <w:bookmarkStart w:id="206" w:name="_Toc30994"/>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50"/>
        <w:jc w:val="both"/>
        <w:rPr>
          <w:rFonts w:hint="eastAsia"/>
        </w:rPr>
        <w:outlineLvl w:val="0"/>
      </w:pPr>
      <w:r>
        <w:rPr>
          <w:rFonts w:hint="eastAsia"/>
        </w:rPr>
      </w:r>
      <w:r/>
    </w:p>
    <w:p>
      <w:pPr>
        <w:pStyle w:val="764"/>
        <w:rPr>
          <w:rFonts w:hint="eastAsia"/>
        </w:rPr>
      </w:pPr>
      <w:r>
        <w:rPr>
          <w:rFonts w:hint="eastAsia"/>
        </w:rPr>
      </w:r>
      <w:r/>
    </w:p>
    <w:p>
      <w:pPr>
        <w:pStyle w:val="750"/>
        <w:jc w:val="center"/>
        <w:rPr>
          <w:rFonts w:hint="eastAsia"/>
          <w:color w:val="000000"/>
          <w:highlight w:val="none"/>
        </w:rPr>
        <w:outlineLvl w:val="0"/>
      </w:pPr>
      <w:r>
        <w:rPr>
          <w:rFonts w:hint="eastAsia"/>
          <w:color w:val="000000"/>
          <w:highlight w:val="none"/>
        </w:rPr>
      </w:r>
      <w:r/>
    </w:p>
    <w:p>
      <w:pPr>
        <w:pStyle w:val="750"/>
        <w:jc w:val="center"/>
        <w:rPr>
          <w:rFonts w:hint="eastAsia"/>
          <w:color w:val="000000"/>
          <w:highlight w:val="none"/>
        </w:rPr>
        <w:outlineLvl w:val="0"/>
      </w:pPr>
      <w:r>
        <w:rPr>
          <w:rFonts w:hint="eastAsia"/>
          <w:color w:val="000000"/>
          <w:highlight w:val="none"/>
        </w:rPr>
        <w:t xml:space="preserve">第三章  合同</w:t>
      </w:r>
      <w:bookmarkEnd w:id="198"/>
      <w:r/>
      <w:bookmarkEnd w:id="199"/>
      <w:r/>
      <w:bookmarkEnd w:id="200"/>
      <w:r/>
      <w:bookmarkEnd w:id="201"/>
      <w:r/>
      <w:bookmarkEnd w:id="202"/>
      <w:r>
        <w:rPr>
          <w:rFonts w:hint="eastAsia"/>
          <w:color w:val="000000"/>
          <w:highlight w:val="none"/>
        </w:rPr>
        <w:t xml:space="preserve">文本</w:t>
      </w:r>
      <w:bookmarkEnd w:id="203"/>
      <w:r/>
      <w:bookmarkEnd w:id="204"/>
      <w:r/>
      <w:bookmarkEnd w:id="205"/>
      <w:r/>
      <w:bookmarkEnd w:id="206"/>
      <w:r>
        <w:rPr>
          <w:rFonts w:hint="eastAsia"/>
          <w:color w:val="000000"/>
          <w:highlight w:val="none"/>
        </w:rPr>
      </w:r>
      <w:r/>
    </w:p>
    <w:p>
      <w:pPr>
        <w:pStyle w:val="748"/>
        <w:ind w:firstLine="560"/>
        <w:spacing w:line="480" w:lineRule="exact"/>
        <w:rPr>
          <w:rFonts w:hint="eastAsia" w:ascii="仿宋" w:hAnsi="仿宋" w:eastAsia="仿宋"/>
          <w:bCs/>
          <w:color w:val="000000"/>
          <w:sz w:val="28"/>
          <w:szCs w:val="28"/>
          <w:highlight w:val="none"/>
        </w:rPr>
      </w:pPr>
      <w:r/>
      <w:bookmarkStart w:id="207" w:name="_Toc16938559"/>
      <w:r/>
      <w:bookmarkStart w:id="208" w:name="_Toc513029243"/>
      <w:r/>
      <w:bookmarkStart w:id="209" w:name="_Toc20823315"/>
      <w:r>
        <w:rPr>
          <w:rFonts w:hint="eastAsia" w:ascii="仿宋" w:hAnsi="仿宋" w:eastAsia="仿宋"/>
          <w:bCs/>
          <w:color w:val="000000"/>
          <w:sz w:val="28"/>
          <w:szCs w:val="28"/>
          <w:highlight w:val="none"/>
        </w:rPr>
        <w:t xml:space="preserve">以下为中标后签定本项目合同的通用条款，中标人不得提出实质性的修改。</w:t>
      </w:r>
      <w:r>
        <w:rPr>
          <w:rFonts w:hint="eastAsia" w:ascii="仿宋" w:hAnsi="仿宋" w:eastAsia="仿宋"/>
          <w:bCs/>
          <w:color w:val="000000"/>
          <w:sz w:val="28"/>
          <w:szCs w:val="28"/>
          <w:highlight w:val="none"/>
        </w:rPr>
      </w:r>
      <w:r/>
    </w:p>
    <w:p>
      <w:pPr>
        <w:pStyle w:val="748"/>
        <w:jc w:val="center"/>
        <w:spacing w:before="145" w:after="145" w:line="480" w:lineRule="exact"/>
        <w:rPr>
          <w:rFonts w:ascii="仿宋" w:hAnsi="仿宋" w:eastAsia="仿宋"/>
          <w:b/>
          <w:bCs/>
          <w:color w:val="000000"/>
          <w:sz w:val="28"/>
          <w:szCs w:val="28"/>
          <w:highlight w:val="none"/>
        </w:rPr>
      </w:pPr>
      <w:r/>
      <w:bookmarkEnd w:id="207"/>
      <w:r/>
      <w:bookmarkEnd w:id="208"/>
      <w:r/>
      <w:bookmarkEnd w:id="209"/>
      <w:r/>
      <w:bookmarkStart w:id="210" w:name="_Toc16938590"/>
      <w:r/>
      <w:bookmarkStart w:id="211" w:name="_Hlt16619350"/>
      <w:r/>
      <w:bookmarkStart w:id="212" w:name="_Toc20823346"/>
      <w:r/>
      <w:bookmarkStart w:id="213" w:name="_Toc23209"/>
      <w:r/>
      <w:bookmarkStart w:id="214" w:name="_Toc120614244"/>
      <w:r/>
      <w:bookmarkStart w:id="215" w:name="_Toc462564139"/>
      <w:r/>
      <w:bookmarkStart w:id="216" w:name="_Toc479757211"/>
      <w:r>
        <w:rPr>
          <w:rFonts w:hint="eastAsia" w:ascii="仿宋" w:hAnsi="仿宋" w:eastAsia="仿宋"/>
          <w:b/>
          <w:color w:val="000000"/>
          <w:sz w:val="28"/>
          <w:szCs w:val="28"/>
          <w:highlight w:val="none"/>
        </w:rPr>
        <w:t xml:space="preserve">江苏省政府采购合同（货物）（合同编号）</w:t>
      </w:r>
      <w:r>
        <w:rPr>
          <w:rFonts w:ascii="仿宋" w:hAnsi="仿宋" w:eastAsia="仿宋"/>
          <w:b/>
          <w:bCs/>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项目名称：                                       项目编号：</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甲方：（买方）_________</w:t>
      </w:r>
      <w:r>
        <w:rPr>
          <w:rFonts w:ascii="仿宋" w:hAnsi="仿宋" w:eastAsia="仿宋" w:cs="Courier New"/>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乙方：（卖方）_________</w:t>
      </w:r>
      <w:r>
        <w:rPr>
          <w:rFonts w:hint="eastAsia"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   </w:t>
      </w:r>
      <w:r>
        <w:rPr>
          <w:rFonts w:ascii="仿宋" w:hAnsi="仿宋" w:eastAsia="仿宋" w:cs="Courier New"/>
          <w:color w:val="000000"/>
          <w:sz w:val="28"/>
          <w:szCs w:val="28"/>
          <w:highlight w:val="none"/>
        </w:rPr>
        <w:t xml:space="preserve">甲、乙双方根据</w:t>
      </w:r>
      <w:r>
        <w:rPr>
          <w:rFonts w:hint="eastAsia" w:ascii="仿宋" w:hAnsi="仿宋" w:eastAsia="仿宋"/>
          <w:color w:val="000000"/>
          <w:sz w:val="28"/>
          <w:szCs w:val="28"/>
          <w:highlight w:val="none"/>
        </w:rPr>
        <w:t xml:space="preserve">南通市政府采购中心</w:t>
      </w:r>
      <w:r>
        <w:rPr>
          <w:rFonts w:hint="eastAsia" w:ascii="仿宋" w:hAnsi="仿宋" w:eastAsia="仿宋" w:cs="Courier New"/>
          <w:color w:val="000000"/>
          <w:sz w:val="28"/>
          <w:szCs w:val="28"/>
          <w:highlight w:val="none"/>
          <w:u w:val="single"/>
        </w:rPr>
        <w:t xml:space="preserve">         </w:t>
      </w:r>
      <w:r>
        <w:rPr>
          <w:rFonts w:ascii="仿宋" w:hAnsi="仿宋" w:eastAsia="仿宋" w:cs="Courier New"/>
          <w:color w:val="000000"/>
          <w:sz w:val="28"/>
          <w:szCs w:val="28"/>
          <w:highlight w:val="none"/>
        </w:rPr>
        <w:t xml:space="preserve">项目</w:t>
      </w:r>
      <w:r>
        <w:rPr>
          <w:rFonts w:hint="eastAsia" w:ascii="仿宋" w:hAnsi="仿宋" w:eastAsia="仿宋" w:cs="Courier New"/>
          <w:color w:val="000000"/>
          <w:sz w:val="28"/>
          <w:szCs w:val="28"/>
          <w:highlight w:val="none"/>
        </w:rPr>
        <w:t xml:space="preserve">（项目编号：JSZC-320000-***）</w:t>
      </w:r>
      <w:r>
        <w:rPr>
          <w:rFonts w:ascii="仿宋" w:hAnsi="仿宋" w:eastAsia="仿宋" w:cs="Courier New"/>
          <w:color w:val="000000"/>
          <w:sz w:val="28"/>
          <w:szCs w:val="28"/>
          <w:highlight w:val="none"/>
        </w:rPr>
        <w:t xml:space="preserve">公开招标的结果，签署本合同。</w:t>
      </w:r>
      <w:r>
        <w:rPr>
          <w:rFonts w:ascii="仿宋" w:hAnsi="仿宋" w:eastAsia="仿宋" w:cs="Courier New"/>
          <w:b/>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一、</w:t>
      </w:r>
      <w:r>
        <w:rPr>
          <w:rFonts w:hint="eastAsia" w:ascii="仿宋" w:hAnsi="仿宋" w:eastAsia="仿宋" w:cs="Courier New"/>
          <w:b/>
          <w:color w:val="000000"/>
          <w:sz w:val="28"/>
          <w:szCs w:val="28"/>
          <w:highlight w:val="none"/>
        </w:rPr>
        <w:t xml:space="preserve">合同</w:t>
      </w:r>
      <w:r>
        <w:rPr>
          <w:rFonts w:ascii="仿宋" w:hAnsi="仿宋" w:eastAsia="仿宋" w:cs="Courier New"/>
          <w:b/>
          <w:color w:val="000000"/>
          <w:sz w:val="28"/>
          <w:szCs w:val="28"/>
          <w:highlight w:val="none"/>
        </w:rPr>
        <w:t xml:space="preserve">内容</w:t>
      </w:r>
      <w:r>
        <w:rPr>
          <w:rFonts w:ascii="仿宋" w:hAnsi="仿宋" w:eastAsia="仿宋" w:cs="Courier New"/>
          <w:b/>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1.1 </w:t>
      </w:r>
      <w:r>
        <w:rPr>
          <w:rFonts w:hint="eastAsia" w:ascii="仿宋" w:hAnsi="仿宋" w:eastAsia="仿宋" w:cs="Courier New"/>
          <w:color w:val="000000"/>
          <w:sz w:val="28"/>
          <w:szCs w:val="28"/>
          <w:highlight w:val="none"/>
        </w:rPr>
        <w:t xml:space="preserve">标的名称：</w:t>
      </w:r>
      <w:r>
        <w:rPr>
          <w:rFonts w:hint="eastAsia" w:ascii="仿宋" w:hAnsi="仿宋" w:eastAsia="仿宋"/>
          <w:color w:val="000000"/>
          <w:sz w:val="28"/>
          <w:szCs w:val="28"/>
          <w:highlight w:val="none"/>
        </w:rPr>
        <w:t xml:space="preserve">临床技能模拟训练中心信息化</w:t>
      </w:r>
      <w:r>
        <w:rPr>
          <w:rFonts w:ascii="仿宋" w:hAnsi="仿宋" w:eastAsia="仿宋" w:cs="Courier New"/>
          <w:color w:val="000000"/>
          <w:sz w:val="28"/>
          <w:szCs w:val="28"/>
          <w:highlight w:val="none"/>
        </w:rPr>
      </w:r>
      <w:r/>
    </w:p>
    <w:p>
      <w:pPr>
        <w:pStyle w:val="836"/>
        <w:ind w:firstLine="0"/>
        <w:rPr>
          <w:rFonts w:hint="eastAsia"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1.2</w:t>
      </w:r>
      <w:r>
        <w:rPr>
          <w:rFonts w:hint="eastAsia" w:ascii="仿宋" w:hAnsi="仿宋" w:eastAsia="仿宋" w:cs="Courier New"/>
          <w:color w:val="000000"/>
          <w:sz w:val="28"/>
          <w:szCs w:val="28"/>
          <w:highlight w:val="none"/>
        </w:rPr>
        <w:t xml:space="preserve"> 标的质量：</w:t>
      </w:r>
      <w:r>
        <w:rPr>
          <w:rFonts w:hint="eastAsia" w:ascii="仿宋" w:hAnsi="仿宋" w:eastAsia="仿宋" w:cs="Courier New"/>
          <w:color w:val="000000"/>
          <w:sz w:val="28"/>
          <w:szCs w:val="28"/>
          <w:highlight w:val="none"/>
        </w:rPr>
      </w:r>
      <w:r/>
    </w:p>
    <w:p>
      <w:pPr>
        <w:pStyle w:val="836"/>
        <w:ind w:firstLine="280"/>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1.2.1乙方必须有针对本项目的质量保证体系和组织，并制订质量保证计划，列出项目开工过程中质量监督和保证执行的措施，要记录质量保证活动，并保存和维护这些记录。</w:t>
      </w:r>
      <w:r>
        <w:rPr>
          <w:rFonts w:hint="eastAsia" w:ascii="仿宋" w:hAnsi="仿宋" w:eastAsia="仿宋" w:cs="Courier New"/>
          <w:color w:val="000000"/>
          <w:sz w:val="28"/>
          <w:szCs w:val="28"/>
          <w:highlight w:val="none"/>
        </w:rPr>
      </w:r>
      <w:r/>
    </w:p>
    <w:p>
      <w:pPr>
        <w:pStyle w:val="836"/>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1.2.2乙方提供的货物必须达到或优于招标文件“采购清单”技术需求中各项指标参数。</w:t>
      </w:r>
      <w:r>
        <w:rPr>
          <w:rFonts w:hint="eastAsia" w:ascii="仿宋" w:hAnsi="仿宋" w:eastAsia="仿宋" w:cs="Courier New"/>
          <w:color w:val="000000"/>
          <w:sz w:val="28"/>
          <w:szCs w:val="28"/>
          <w:highlight w:val="none"/>
        </w:rPr>
      </w:r>
      <w:r/>
    </w:p>
    <w:p>
      <w:pPr>
        <w:pStyle w:val="836"/>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1.2.3乙方保证本合同中所供应的产品质量标准按照国家标准、行业标准或制造厂家企业标准确定，上述标准不一致的，以高等级的标准为准。没有国家标准、行业标准和企业标准的，按照通常标准、合同目的的特定标准或者甲方提供的标准。</w:t>
      </w:r>
      <w:r>
        <w:rPr>
          <w:rFonts w:hint="eastAsia" w:ascii="仿宋" w:hAnsi="仿宋" w:eastAsia="仿宋" w:cs="Courier New"/>
          <w:color w:val="000000"/>
          <w:sz w:val="28"/>
          <w:szCs w:val="28"/>
          <w:highlight w:val="none"/>
        </w:rPr>
      </w:r>
      <w:r/>
    </w:p>
    <w:p>
      <w:pPr>
        <w:pStyle w:val="836"/>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1.2.4乙方提供的货物必须是正规渠道生产的全新正品原装(包括零部件)，完全符合国家技术标准和国家质量检测标准，符合国家有关安全、环保节能规定，具有中国商检部门合格证明，所有货物必须标识清晰，相关质保、合格证书齐全。</w:t>
      </w:r>
      <w:r>
        <w:rPr>
          <w:rFonts w:hint="eastAsia" w:ascii="仿宋" w:hAnsi="仿宋" w:eastAsia="仿宋" w:cs="Courier New"/>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1.3 标的数量（规模）：1套</w:t>
      </w:r>
      <w:r>
        <w:rPr>
          <w:rFonts w:hint="eastAsia" w:ascii="仿宋" w:hAnsi="仿宋" w:eastAsia="仿宋" w:cs="Courier New"/>
          <w:color w:val="000000"/>
          <w:sz w:val="28"/>
          <w:szCs w:val="28"/>
          <w:highlight w:val="none"/>
        </w:rPr>
      </w:r>
      <w:r/>
    </w:p>
    <w:p>
      <w:pPr>
        <w:pStyle w:val="864"/>
        <w:rPr>
          <w:rFonts w:hint="eastAsia" w:ascii="仿宋" w:hAnsi="仿宋" w:eastAsia="仿宋"/>
          <w:color w:val="000000"/>
          <w:sz w:val="28"/>
          <w:szCs w:val="28"/>
          <w:highlight w:val="none"/>
        </w:rPr>
      </w:pPr>
      <w:r>
        <w:rPr>
          <w:rFonts w:hint="eastAsia" w:ascii="仿宋" w:hAnsi="仿宋" w:eastAsia="仿宋" w:cs="Courier New"/>
          <w:color w:val="000000"/>
          <w:sz w:val="28"/>
          <w:szCs w:val="28"/>
          <w:highlight w:val="none"/>
        </w:rPr>
        <w:t xml:space="preserve">1.4 履行时间（期限）：</w:t>
      </w:r>
      <w:r>
        <w:rPr>
          <w:rFonts w:hint="eastAsia" w:ascii="仿宋" w:hAnsi="仿宋" w:eastAsia="仿宋" w:cs="宋体"/>
          <w:color w:val="000000"/>
          <w:sz w:val="28"/>
          <w:szCs w:val="28"/>
          <w:highlight w:val="none"/>
        </w:rPr>
        <w:t xml:space="preserve">自合同签订之日起6个月内完成设备供货、安装及调试。</w:t>
      </w:r>
      <w:r>
        <w:rPr>
          <w:rFonts w:hint="eastAsia" w:ascii="仿宋" w:hAnsi="仿宋" w:eastAsia="仿宋"/>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1.5 履行地点：崇川区胜利路666号，具体按甲方指定地点送货。</w:t>
      </w:r>
      <w:r>
        <w:rPr>
          <w:rFonts w:hint="eastAsia" w:ascii="仿宋" w:hAnsi="仿宋" w:eastAsia="仿宋" w:cs="Courier New"/>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1.6包装方式：</w:t>
      </w:r>
      <w:r>
        <w:rPr>
          <w:rFonts w:hint="eastAsia"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商品包装和快递包装要求执行财办库【2020】123号，具体如下：</w:t>
      </w:r>
      <w:r>
        <w:rPr>
          <w:rFonts w:ascii="仿宋" w:hAnsi="仿宋" w:eastAsia="仿宋" w:cs="Courier New"/>
          <w:color w:val="000000"/>
          <w:sz w:val="28"/>
          <w:szCs w:val="28"/>
          <w:highlight w:val="none"/>
        </w:rPr>
      </w:r>
      <w:r/>
    </w:p>
    <w:p>
      <w:pPr>
        <w:pStyle w:val="748"/>
        <w:ind w:firstLine="480"/>
        <w:spacing w:line="360" w:lineRule="auto"/>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1.6.1商品包装环保要求</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1.6.1.1.商品包装层数不得超过 3 层，空隙率不大于 40%；</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1.6.1.2.商品包装尽可能使用单一材质的包装材料，如因功能需求必需使用不同材质，不同材质间应便于分离；</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1.6.1.3商品包装中铅、汞、镉、六价铬的总含量应不大于100mg/kg；</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1.6.4商品包装印刷使用的油墨中挥发性有机化合物(VOCs)含量应不大于 5%（以重量计）；</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1.6.1.5塑料材质商品包装上呈现的印刷颜色不得超过 6 色；</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1.6.1.6纸质商品包装应使用 75%以上的可再生纤维原料生产；</w:t>
      </w:r>
      <w:r>
        <w:rPr>
          <w:rFonts w:ascii="仿宋" w:hAnsi="仿宋" w:eastAsia="仿宋" w:cs="Courier New"/>
          <w:color w:val="000000"/>
          <w:sz w:val="28"/>
          <w:szCs w:val="28"/>
          <w:highlight w:val="none"/>
        </w:rPr>
      </w:r>
      <w:r/>
    </w:p>
    <w:p>
      <w:pPr>
        <w:pStyle w:val="748"/>
        <w:ind w:firstLine="480"/>
        <w:spacing w:line="360" w:lineRule="auto"/>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1.6.1.7木质商品包装的原料应来源于可持续性森林。</w:t>
      </w:r>
      <w:r>
        <w:rPr>
          <w:rFonts w:ascii="仿宋" w:hAnsi="仿宋" w:eastAsia="仿宋" w:cs="Courier New"/>
          <w:color w:val="000000"/>
          <w:sz w:val="28"/>
          <w:szCs w:val="28"/>
          <w:highlight w:val="none"/>
        </w:rPr>
      </w:r>
      <w:r/>
    </w:p>
    <w:p>
      <w:pPr>
        <w:pStyle w:val="748"/>
        <w:ind w:firstLine="480"/>
        <w:spacing w:line="360" w:lineRule="auto"/>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1.6.2快递包装环保要求</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1.6.2.1.快递包装中重金属（铅、汞、镉、六价铬）总量应不大于 100mg/kg；</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1.6.2.2快递包装印刷使用的油墨中不应添加邻苯二甲酸酯，其挥发性有机化合物(VOCs)含量应不大于5%（以重量计）；</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1.6.2.3快递包装中使用纸基材的包装材料，纸基材中的有机氯的含量应不大于 150 mg/kg；</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1.6.2.4快递包装中使用塑料基材的包装材料不得使用邻苯二甲酸二异壬酯、邻苯二甲酸二正辛酯、邻苯二甲酸二(2-乙基)己酯、邻苯二甲酸二异癸酯、邻苯二甲酸丁基苄基酯、邻苯二甲酸二丁酯等作为增塑剂；</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1.6.2.5快递中使用的塑料包装袋不得使用聚氯乙烯作为原料，且原料应为单一材质制成，生物分解率大于60%；</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1.6.2.6快递中使用的充气类填充物不得使用聚氯乙烯作为 原料，且原料为单一材质制成，生物分解率大于60%；</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1.6.2.7快递中使用的集装袋应为单一材质制成，其重复使用次数应不小于 80 次；</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1.6.2.8快递中应使用幅宽不大于45mm 的生物降解胶带；</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1.6.2.9快递包装中不得使用溶剂型胶粘剂；</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1.6.2.10快递应使用电子面单；</w:t>
      </w:r>
      <w:r>
        <w:rPr>
          <w:rFonts w:ascii="仿宋" w:hAnsi="仿宋" w:eastAsia="仿宋" w:cs="Courier New"/>
          <w:color w:val="000000"/>
          <w:sz w:val="28"/>
          <w:szCs w:val="28"/>
          <w:highlight w:val="none"/>
        </w:rPr>
      </w:r>
      <w:r/>
    </w:p>
    <w:p>
      <w:pPr>
        <w:pStyle w:val="748"/>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1.6.2.11直接使用商品包装作为快递包装的商品，其商品包装满足《商品包装政府采购需求标准（试行）》即可；</w:t>
      </w:r>
      <w:r>
        <w:rPr>
          <w:rFonts w:ascii="仿宋" w:hAnsi="仿宋" w:eastAsia="仿宋" w:cs="Courier New"/>
          <w:color w:val="000000"/>
          <w:sz w:val="28"/>
          <w:szCs w:val="28"/>
          <w:highlight w:val="none"/>
        </w:rPr>
      </w:r>
      <w:r/>
    </w:p>
    <w:p>
      <w:pPr>
        <w:pStyle w:val="748"/>
        <w:ind w:firstLine="480"/>
        <w:spacing w:line="360" w:lineRule="auto"/>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1.6.2.12快递包装产品质量和封装方式应符合相关国家或行业标准技术指标要求。</w:t>
      </w:r>
      <w:r>
        <w:rPr>
          <w:rFonts w:ascii="仿宋" w:hAnsi="仿宋" w:eastAsia="仿宋" w:cs="Courier New"/>
          <w:color w:val="000000"/>
          <w:sz w:val="28"/>
          <w:szCs w:val="28"/>
          <w:highlight w:val="none"/>
        </w:rPr>
      </w:r>
      <w:r/>
    </w:p>
    <w:p>
      <w:pPr>
        <w:pStyle w:val="748"/>
        <w:ind w:firstLine="480"/>
        <w:spacing w:line="42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1.6.2.13考虑对环境的保护，如甲方提出要求，乙方应负责包装物的回收。</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二、合同金额</w:t>
      </w:r>
      <w:r>
        <w:rPr>
          <w:rFonts w:ascii="仿宋" w:hAnsi="仿宋" w:eastAsia="仿宋" w:cs="Courier New"/>
          <w:b/>
          <w:color w:val="000000"/>
          <w:sz w:val="28"/>
          <w:szCs w:val="28"/>
          <w:highlight w:val="none"/>
        </w:rPr>
      </w:r>
      <w:r/>
    </w:p>
    <w:p>
      <w:pPr>
        <w:pStyle w:val="864"/>
        <w:rPr>
          <w:rFonts w:hint="eastAsia"/>
          <w:color w:val="000000"/>
          <w:highlight w:val="none"/>
        </w:rPr>
      </w:pPr>
      <w:r>
        <w:rPr>
          <w:rFonts w:ascii="仿宋" w:hAnsi="仿宋" w:eastAsia="仿宋" w:cs="Courier New"/>
          <w:color w:val="000000"/>
          <w:sz w:val="28"/>
          <w:szCs w:val="28"/>
          <w:highlight w:val="none"/>
        </w:rPr>
        <w:t xml:space="preserve">2.1 本合同金额为（大写）：_______</w:t>
      </w:r>
      <w:r>
        <w:rPr>
          <w:rFonts w:hint="eastAsia" w:ascii="仿宋" w:hAnsi="仿宋" w:eastAsia="仿宋" w:cs="Courier New"/>
          <w:color w:val="000000"/>
          <w:sz w:val="28"/>
          <w:szCs w:val="28"/>
          <w:highlight w:val="none"/>
        </w:rPr>
        <w:t xml:space="preserve">圆</w:t>
      </w:r>
      <w:r>
        <w:rPr>
          <w:rFonts w:ascii="仿宋" w:hAnsi="仿宋" w:eastAsia="仿宋" w:cs="Courier New"/>
          <w:color w:val="000000"/>
          <w:sz w:val="28"/>
          <w:szCs w:val="28"/>
          <w:highlight w:val="none"/>
        </w:rPr>
        <w:t xml:space="preserve">（___元）人民币。</w:t>
      </w:r>
      <w:r>
        <w:rPr>
          <w:rFonts w:hint="eastAsia"/>
          <w:color w:val="000000"/>
          <w:highlight w:val="none"/>
        </w:rPr>
      </w:r>
      <w:r/>
    </w:p>
    <w:p>
      <w:pPr>
        <w:pStyle w:val="864"/>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2.2本项目为固定总价合同，合同价包括</w:t>
      </w:r>
      <w:r>
        <w:rPr>
          <w:rFonts w:hint="eastAsia" w:ascii="仿宋" w:hAnsi="仿宋" w:eastAsia="仿宋" w:cs="Courier New"/>
          <w:color w:val="000000"/>
          <w:sz w:val="28"/>
          <w:szCs w:val="28"/>
          <w:highlight w:val="none"/>
        </w:rPr>
        <w:t xml:space="preserve">不限于</w:t>
      </w:r>
      <w:r>
        <w:rPr>
          <w:rFonts w:ascii="仿宋" w:hAnsi="仿宋" w:eastAsia="仿宋" w:cs="Courier New"/>
          <w:color w:val="000000"/>
          <w:sz w:val="28"/>
          <w:szCs w:val="28"/>
          <w:highlight w:val="none"/>
        </w:rPr>
        <w:t xml:space="preserve">项目设备购置费、保管费、工程施工费、辅助材料费、安装调试费、设备接入费、老院可二次利用的硬件设备的拆除、搬迁及安装费、保修费、使用培训费、售后服务费、不可预见费、税金等及为完成本项目需求而超出招标文件清单所列清单的全部一切费用。清单中未列项目价格乙方应在报价时一并考虑，后续不再另行增加任何费用。</w:t>
      </w:r>
      <w:r>
        <w:rPr>
          <w:rFonts w:ascii="仿宋" w:hAnsi="仿宋" w:eastAsia="仿宋" w:cs="Courier New"/>
          <w:color w:val="000000"/>
          <w:sz w:val="28"/>
          <w:szCs w:val="28"/>
          <w:highlight w:val="none"/>
        </w:rPr>
      </w:r>
      <w:r/>
    </w:p>
    <w:p>
      <w:pPr>
        <w:pStyle w:val="864"/>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2.3由于乙方的原因所造成的额外费用，由乙方自行承担。如果甲方要求删除或增加功能，乙方应适当调整，但是投标文件中的各项优惠条件保持不变。乙方如果有其他优惠条件，必须作专门说明。</w:t>
      </w:r>
      <w:r>
        <w:rPr>
          <w:rFonts w:ascii="仿宋" w:hAnsi="仿宋" w:eastAsia="仿宋" w:cs="Courier New"/>
          <w:color w:val="000000"/>
          <w:sz w:val="28"/>
          <w:szCs w:val="28"/>
          <w:highlight w:val="none"/>
        </w:rPr>
      </w:r>
      <w:r/>
    </w:p>
    <w:p>
      <w:pPr>
        <w:pStyle w:val="864"/>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2.4乙方在签订本合同前对本项目的全部技术要求及说明、质量标准、招标文件、合同条件、现场条件及周围环境、交通道路、现场管理要求等已详细研究并完全明确，在合同价款中已予以充分考虑。</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三、技术资料</w:t>
      </w:r>
      <w:r>
        <w:rPr>
          <w:rFonts w:ascii="仿宋" w:hAnsi="仿宋" w:eastAsia="仿宋" w:cs="Courier New"/>
          <w:b/>
          <w:color w:val="000000"/>
          <w:sz w:val="28"/>
          <w:szCs w:val="28"/>
          <w:highlight w:val="none"/>
        </w:rPr>
      </w:r>
      <w:r/>
    </w:p>
    <w:p>
      <w:pPr>
        <w:pStyle w:val="748"/>
        <w:ind w:left="479" w:hanging="478"/>
        <w:spacing w:before="120" w:after="120" w:line="480" w:lineRule="exact"/>
        <w:rPr>
          <w:rFonts w:hint="eastAsia"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3.1乙方应按招标文件规定的时间向甲方提供使用货物</w:t>
      </w:r>
      <w:r>
        <w:rPr>
          <w:rFonts w:hint="eastAsia" w:ascii="仿宋" w:hAnsi="仿宋" w:eastAsia="仿宋" w:cs="Courier New"/>
          <w:color w:val="000000"/>
          <w:sz w:val="28"/>
          <w:szCs w:val="28"/>
          <w:highlight w:val="none"/>
        </w:rPr>
        <w:t xml:space="preserve">(包含与货物相关的服务)</w:t>
      </w:r>
      <w:r>
        <w:rPr>
          <w:rFonts w:ascii="仿宋" w:hAnsi="仿宋" w:eastAsia="仿宋" w:cs="Courier New"/>
          <w:color w:val="000000"/>
          <w:sz w:val="28"/>
          <w:szCs w:val="28"/>
          <w:highlight w:val="none"/>
        </w:rPr>
        <w:t xml:space="preserve">的有关技术资料。</w:t>
      </w:r>
      <w:r>
        <w:rPr>
          <w:rFonts w:hint="eastAsia" w:ascii="仿宋" w:hAnsi="仿宋" w:eastAsia="仿宋" w:cs="Courier New"/>
          <w:color w:val="000000"/>
          <w:sz w:val="28"/>
          <w:szCs w:val="28"/>
          <w:highlight w:val="none"/>
        </w:rPr>
      </w:r>
      <w:r/>
    </w:p>
    <w:p>
      <w:pPr>
        <w:pStyle w:val="748"/>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仿宋" w:hAnsi="仿宋" w:eastAsia="仿宋" w:cs="Courier New"/>
          <w:color w:val="000000"/>
          <w:sz w:val="28"/>
          <w:szCs w:val="28"/>
          <w:highlight w:val="none"/>
        </w:rPr>
      </w:r>
      <w:r/>
    </w:p>
    <w:p>
      <w:pPr>
        <w:pStyle w:val="748"/>
        <w:ind w:left="481" w:hanging="481"/>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四、知识产权</w:t>
      </w:r>
      <w:r>
        <w:rPr>
          <w:rFonts w:ascii="仿宋" w:hAnsi="仿宋" w:eastAsia="仿宋" w:cs="Courier New"/>
          <w:b/>
          <w:color w:val="000000"/>
          <w:sz w:val="28"/>
          <w:szCs w:val="28"/>
          <w:highlight w:val="none"/>
        </w:rPr>
      </w:r>
      <w:r/>
    </w:p>
    <w:p>
      <w:pPr>
        <w:pStyle w:val="748"/>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4.1乙方应保证所提供的产品或其任何一部分均不会侵犯任何第三方的知识产权，否则由乙方承担由此对甲方造成的所有损失。包括但不限于甲方因第三方权利主张产生的差旅费用、鉴定费用、诉讼费用、律师费用及赔偿金。</w:t>
      </w:r>
      <w:r>
        <w:rPr>
          <w:rFonts w:ascii="仿宋" w:hAnsi="仿宋" w:eastAsia="仿宋" w:cs="Courier New"/>
          <w:color w:val="000000"/>
          <w:sz w:val="28"/>
          <w:szCs w:val="28"/>
          <w:highlight w:val="none"/>
        </w:rPr>
      </w:r>
      <w:r/>
    </w:p>
    <w:p>
      <w:pPr>
        <w:pStyle w:val="748"/>
        <w:ind w:left="481" w:hanging="481"/>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b/>
          <w:bCs/>
          <w:color w:val="000000"/>
          <w:sz w:val="28"/>
          <w:szCs w:val="28"/>
          <w:highlight w:val="none"/>
        </w:rPr>
        <w:t xml:space="preserve">五、产权担保</w:t>
      </w:r>
      <w:r>
        <w:rPr>
          <w:rFonts w:hint="eastAsia" w:ascii="仿宋" w:hAnsi="仿宋" w:eastAsia="仿宋" w:cs="Courier New"/>
          <w:color w:val="000000"/>
          <w:sz w:val="28"/>
          <w:szCs w:val="28"/>
          <w:highlight w:val="none"/>
        </w:rPr>
      </w:r>
      <w:r/>
    </w:p>
    <w:p>
      <w:pPr>
        <w:pStyle w:val="748"/>
        <w:ind w:left="479" w:hanging="47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5.1</w:t>
      </w:r>
      <w:r>
        <w:rPr>
          <w:rFonts w:ascii="仿宋" w:hAnsi="仿宋" w:eastAsia="仿宋" w:cs="Courier New"/>
          <w:color w:val="000000"/>
          <w:sz w:val="28"/>
          <w:szCs w:val="28"/>
          <w:highlight w:val="none"/>
        </w:rPr>
        <w:t xml:space="preserve">乙方保证所交付的产品的所有权完全属于乙方且无任何抵押、查封等产权瑕疵，否则由乙方承担由此对甲方造成的所有损失。</w:t>
      </w:r>
      <w:r>
        <w:rPr>
          <w:rFonts w:hint="eastAsia" w:ascii="仿宋" w:hAnsi="仿宋" w:eastAsia="仿宋" w:cs="Courier New"/>
          <w:color w:val="000000"/>
          <w:sz w:val="28"/>
          <w:szCs w:val="28"/>
          <w:highlight w:val="none"/>
        </w:rPr>
      </w:r>
      <w:r/>
    </w:p>
    <w:p>
      <w:pPr>
        <w:pStyle w:val="748"/>
        <w:ind w:left="478" w:hanging="47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六、履约保证金</w:t>
      </w:r>
      <w:r>
        <w:rPr>
          <w:rFonts w:ascii="仿宋" w:hAnsi="仿宋" w:eastAsia="仿宋" w:cs="Courier New"/>
          <w:b/>
          <w:color w:val="000000"/>
          <w:sz w:val="28"/>
          <w:szCs w:val="28"/>
          <w:highlight w:val="none"/>
        </w:rPr>
      </w:r>
      <w:r/>
    </w:p>
    <w:p>
      <w:pPr>
        <w:pStyle w:val="865"/>
        <w:jc w:val="both"/>
        <w:spacing w:before="78" w:beforeAutospacing="0" w:after="78" w:afterAutospacing="0"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6.1履约保证金为合同价款的10%，即      元，乙方的履约保证金须在中标通知书发出之日起至合同签订前汇入甲方账户（应当以支票、汇票或者金融机构、担保机构出具的保函等非现金形式提交），乙方凭中标通知书与甲方签订合同。超期或未有协商，则视为自动放弃成交资格；</w:t>
      </w:r>
      <w:r>
        <w:rPr>
          <w:rFonts w:hint="eastAsia" w:ascii="仿宋" w:hAnsi="仿宋" w:eastAsia="仿宋" w:cs="Courier New"/>
          <w:color w:val="000000"/>
          <w:sz w:val="28"/>
          <w:szCs w:val="28"/>
          <w:highlight w:val="none"/>
        </w:rPr>
      </w:r>
      <w:r/>
    </w:p>
    <w:p>
      <w:pPr>
        <w:pStyle w:val="865"/>
        <w:jc w:val="both"/>
        <w:spacing w:before="78" w:beforeAutospacing="0" w:after="78" w:afterAutospacing="0"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6.2经甲方验收合格无质量、进度等问题的，履约保证金将在安装调试验收合格后20个工作日内全额（无息）退回或撤销履约保函；</w:t>
      </w:r>
      <w:r>
        <w:rPr>
          <w:rFonts w:hint="eastAsia" w:ascii="仿宋" w:hAnsi="仿宋" w:eastAsia="仿宋" w:cs="Courier New"/>
          <w:color w:val="000000"/>
          <w:sz w:val="28"/>
          <w:szCs w:val="28"/>
          <w:highlight w:val="none"/>
        </w:rPr>
      </w:r>
      <w:r/>
    </w:p>
    <w:p>
      <w:pPr>
        <w:pStyle w:val="865"/>
        <w:jc w:val="both"/>
        <w:spacing w:before="78" w:beforeAutospacing="0" w:after="78" w:afterAutospacing="0"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6.3发生以下情况的，履约保证金不予退还或部分退还：a.签订合同后，乙方不履行合同义务的，甲方有权全额扣除履约保证金，全额不予退还，同时甲方亦有权终止合同，乙方还须承担相应的法律赔偿责任。b. 乙方在履约过程中发生违约行为，给甲方造成损失的，甲方有权在中标供应商缴纳的履约保证金中</w:t>
      </w:r>
      <w:r>
        <w:rPr>
          <w:rFonts w:hint="eastAsia" w:ascii="仿宋" w:hAnsi="仿宋" w:eastAsia="仿宋" w:cs="Courier New"/>
          <w:color w:val="000000"/>
          <w:sz w:val="28"/>
          <w:szCs w:val="28"/>
          <w:highlight w:val="none"/>
        </w:rPr>
        <w:t xml:space="preserve">予以扣除，以弥补甲方经济损失，不足的部分乙方另外补齐。                                                                                                                                                                                                                                     </w:t>
      </w:r>
      <w:r>
        <w:rPr>
          <w:rFonts w:hint="eastAsia" w:ascii="仿宋" w:hAnsi="仿宋" w:eastAsia="仿宋" w:cs="Courier New"/>
          <w:color w:val="000000"/>
          <w:sz w:val="28"/>
          <w:szCs w:val="28"/>
          <w:highlight w:val="none"/>
        </w:rPr>
      </w:r>
      <w:r/>
    </w:p>
    <w:p>
      <w:pPr>
        <w:pStyle w:val="748"/>
        <w:spacing w:before="145" w:after="145" w:line="48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七、合同转包或分包</w:t>
      </w:r>
      <w:r>
        <w:rPr>
          <w:rFonts w:ascii="仿宋" w:hAnsi="仿宋" w:eastAsia="仿宋"/>
          <w:b/>
          <w:color w:val="000000"/>
          <w:sz w:val="28"/>
          <w:szCs w:val="28"/>
          <w:highlight w:val="none"/>
        </w:rPr>
      </w:r>
      <w:r/>
    </w:p>
    <w:p>
      <w:pPr>
        <w:pStyle w:val="748"/>
        <w:spacing w:before="145" w:after="145"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7.1乙方不得将合同标的转包给他人履行。</w:t>
      </w:r>
      <w:r>
        <w:rPr>
          <w:rFonts w:hint="eastAsia" w:ascii="仿宋" w:hAnsi="仿宋" w:eastAsia="仿宋"/>
          <w:color w:val="000000"/>
          <w:sz w:val="28"/>
          <w:szCs w:val="28"/>
          <w:highlight w:val="none"/>
        </w:rPr>
      </w:r>
      <w:r/>
    </w:p>
    <w:p>
      <w:pPr>
        <w:pStyle w:val="748"/>
        <w:spacing w:before="145" w:after="145"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7.2乙方不得将合同标的分包给他人履行。</w:t>
      </w:r>
      <w:r>
        <w:rPr>
          <w:rFonts w:hint="eastAsia" w:ascii="仿宋" w:hAnsi="仿宋" w:eastAsia="仿宋"/>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hint="eastAsia" w:ascii="仿宋" w:hAnsi="仿宋" w:eastAsia="仿宋" w:cs="Courier New"/>
          <w:b/>
          <w:color w:val="000000"/>
          <w:sz w:val="28"/>
          <w:szCs w:val="28"/>
          <w:highlight w:val="none"/>
        </w:rPr>
        <w:t xml:space="preserve">八</w:t>
      </w:r>
      <w:r>
        <w:rPr>
          <w:rFonts w:ascii="仿宋" w:hAnsi="仿宋" w:eastAsia="仿宋" w:cs="Courier New"/>
          <w:b/>
          <w:color w:val="000000"/>
          <w:sz w:val="28"/>
          <w:szCs w:val="28"/>
          <w:highlight w:val="none"/>
        </w:rPr>
        <w:t xml:space="preserve">、</w:t>
      </w:r>
      <w:r>
        <w:rPr>
          <w:rFonts w:hint="eastAsia" w:ascii="仿宋" w:hAnsi="仿宋" w:eastAsia="仿宋" w:cs="Courier New"/>
          <w:b/>
          <w:color w:val="000000"/>
          <w:sz w:val="28"/>
          <w:szCs w:val="28"/>
          <w:highlight w:val="none"/>
        </w:rPr>
        <w:t xml:space="preserve">合同款项</w:t>
      </w:r>
      <w:r>
        <w:rPr>
          <w:rFonts w:ascii="仿宋" w:hAnsi="仿宋" w:eastAsia="仿宋" w:cs="Courier New"/>
          <w:b/>
          <w:color w:val="000000"/>
          <w:sz w:val="28"/>
          <w:szCs w:val="28"/>
          <w:highlight w:val="none"/>
        </w:rPr>
        <w:t xml:space="preserve">支付</w:t>
      </w:r>
      <w:r>
        <w:rPr>
          <w:rFonts w:ascii="仿宋" w:hAnsi="仿宋" w:eastAsia="仿宋" w:cs="Courier New"/>
          <w:b/>
          <w:color w:val="000000"/>
          <w:sz w:val="28"/>
          <w:szCs w:val="28"/>
          <w:highlight w:val="none"/>
        </w:rPr>
      </w:r>
      <w:r/>
    </w:p>
    <w:p>
      <w:pPr>
        <w:pStyle w:val="864"/>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8.1合同签订后甲方预付合同总价的30%作预付款；验收合格后3个月内甲方支付至合同总价的90%；免费服务期满后一次性不计息付清余款。</w:t>
      </w:r>
      <w:r>
        <w:rPr>
          <w:rFonts w:hint="eastAsia" w:ascii="仿宋" w:hAnsi="仿宋" w:eastAsia="仿宋"/>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u w:val="single"/>
        </w:rPr>
      </w:pPr>
      <w:r>
        <w:rPr>
          <w:rFonts w:hint="eastAsia" w:ascii="仿宋" w:hAnsi="仿宋" w:eastAsia="仿宋"/>
          <w:color w:val="000000"/>
          <w:sz w:val="28"/>
          <w:szCs w:val="28"/>
          <w:highlight w:val="none"/>
        </w:rPr>
        <w:t xml:space="preserve">8.2因乙方发票错误、迟延等问题而导致甲方无法付款的，甲方不承担责任。</w:t>
      </w:r>
      <w:r>
        <w:rPr>
          <w:rFonts w:hint="eastAsia" w:ascii="仿宋" w:hAnsi="仿宋" w:eastAsia="仿宋" w:cs="Courier New"/>
          <w:color w:val="000000"/>
          <w:sz w:val="28"/>
          <w:szCs w:val="28"/>
          <w:highlight w:val="none"/>
          <w:u w:val="single"/>
        </w:rPr>
      </w:r>
      <w:r/>
    </w:p>
    <w:p>
      <w:pPr>
        <w:pStyle w:val="748"/>
        <w:ind w:left="481" w:hanging="481"/>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b/>
          <w:color w:val="000000"/>
          <w:sz w:val="28"/>
          <w:szCs w:val="28"/>
          <w:highlight w:val="none"/>
        </w:rPr>
        <w:t xml:space="preserve">九</w:t>
      </w:r>
      <w:r>
        <w:rPr>
          <w:rFonts w:ascii="仿宋" w:hAnsi="仿宋" w:eastAsia="仿宋" w:cs="Courier New"/>
          <w:b/>
          <w:color w:val="000000"/>
          <w:sz w:val="28"/>
          <w:szCs w:val="28"/>
          <w:highlight w:val="none"/>
        </w:rPr>
        <w:t xml:space="preserve">、质量</w:t>
      </w:r>
      <w:r>
        <w:rPr>
          <w:rFonts w:hint="eastAsia" w:ascii="仿宋" w:hAnsi="仿宋" w:eastAsia="仿宋" w:cs="Courier New"/>
          <w:b/>
          <w:color w:val="000000"/>
          <w:sz w:val="28"/>
          <w:szCs w:val="28"/>
          <w:highlight w:val="none"/>
        </w:rPr>
        <w:t xml:space="preserve">保修范围和保修期</w:t>
      </w:r>
      <w:r>
        <w:rPr>
          <w:rFonts w:ascii="仿宋" w:hAnsi="仿宋" w:eastAsia="仿宋" w:cs="Courier New"/>
          <w:b/>
          <w:color w:val="000000"/>
          <w:sz w:val="28"/>
          <w:szCs w:val="28"/>
          <w:highlight w:val="none"/>
        </w:rPr>
        <w:t xml:space="preserve">及售后服务</w:t>
      </w:r>
      <w:r>
        <w:rPr>
          <w:rFonts w:ascii="仿宋" w:hAnsi="仿宋" w:eastAsia="仿宋" w:cs="Courier New"/>
          <w:color w:val="000000"/>
          <w:sz w:val="28"/>
          <w:szCs w:val="28"/>
          <w:highlight w:val="none"/>
        </w:rPr>
      </w:r>
      <w:r/>
    </w:p>
    <w:p>
      <w:pPr>
        <w:pStyle w:val="748"/>
        <w:ind w:left="479" w:hanging="478"/>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9</w:t>
      </w:r>
      <w:r>
        <w:rPr>
          <w:rFonts w:ascii="仿宋" w:hAnsi="仿宋" w:eastAsia="仿宋" w:cs="Courier New"/>
          <w:color w:val="000000"/>
          <w:sz w:val="28"/>
          <w:szCs w:val="28"/>
          <w:highlight w:val="none"/>
        </w:rPr>
        <w:t xml:space="preserve">.1 乙方应按招标文件规定的货物性能、技术要求、质量标准向甲方提供未经使用的全新产品。</w:t>
      </w:r>
      <w:r>
        <w:rPr>
          <w:rFonts w:ascii="仿宋" w:hAnsi="仿宋" w:eastAsia="仿宋" w:cs="Courier New"/>
          <w:color w:val="000000"/>
          <w:sz w:val="28"/>
          <w:szCs w:val="28"/>
          <w:highlight w:val="none"/>
        </w:rPr>
      </w:r>
      <w:r/>
    </w:p>
    <w:p>
      <w:pPr>
        <w:pStyle w:val="748"/>
        <w:ind w:left="560" w:hanging="560"/>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9</w:t>
      </w:r>
      <w:r>
        <w:rPr>
          <w:rFonts w:ascii="仿宋" w:hAnsi="仿宋" w:eastAsia="仿宋" w:cs="Courier New"/>
          <w:color w:val="000000"/>
          <w:sz w:val="28"/>
          <w:szCs w:val="28"/>
          <w:highlight w:val="none"/>
        </w:rPr>
        <w:t xml:space="preserve">.2 乙方提供的货物在质量期内因货物本身的质量问题发生故障，乙方应负责免费更换。对达不到技术要求者，根据实际情况，经双方协商，可按以下办法处理：</w:t>
      </w:r>
      <w:r>
        <w:rPr>
          <w:rFonts w:ascii="仿宋" w:hAnsi="仿宋" w:eastAsia="仿宋" w:cs="Courier New"/>
          <w:color w:val="000000"/>
          <w:sz w:val="28"/>
          <w:szCs w:val="28"/>
          <w:highlight w:val="none"/>
        </w:rPr>
      </w:r>
      <w:r/>
    </w:p>
    <w:p>
      <w:pPr>
        <w:pStyle w:val="748"/>
        <w:ind w:firstLine="42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⑴更换：由乙方承担所发生的全部费用。</w:t>
      </w:r>
      <w:r>
        <w:rPr>
          <w:rFonts w:ascii="仿宋" w:hAnsi="仿宋" w:eastAsia="仿宋" w:cs="Courier New"/>
          <w:color w:val="000000"/>
          <w:sz w:val="28"/>
          <w:szCs w:val="28"/>
          <w:highlight w:val="none"/>
        </w:rPr>
      </w:r>
      <w:r/>
    </w:p>
    <w:p>
      <w:pPr>
        <w:pStyle w:val="748"/>
        <w:ind w:firstLine="42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⑵贬值处理：由甲乙双方合议定价。</w:t>
      </w:r>
      <w:r>
        <w:rPr>
          <w:rFonts w:ascii="仿宋" w:hAnsi="仿宋" w:eastAsia="仿宋" w:cs="Courier New"/>
          <w:color w:val="000000"/>
          <w:sz w:val="28"/>
          <w:szCs w:val="28"/>
          <w:highlight w:val="none"/>
        </w:rPr>
      </w:r>
      <w:r/>
    </w:p>
    <w:p>
      <w:pPr>
        <w:pStyle w:val="748"/>
        <w:ind w:left="42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⑶退货处理：乙方应退还甲方支付的合同款，同时应承担该货物的直接费用（运输、保险、检验、货款利息及银行手续费等）。</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9</w:t>
      </w:r>
      <w:r>
        <w:rPr>
          <w:rFonts w:ascii="仿宋" w:hAnsi="仿宋" w:eastAsia="仿宋" w:cs="Courier New"/>
          <w:color w:val="000000"/>
          <w:sz w:val="28"/>
          <w:szCs w:val="28"/>
          <w:highlight w:val="none"/>
        </w:rPr>
        <w:t xml:space="preserve">.3 如在使用过程中发生质量问题，乙方在接到甲方通知后在</w:t>
      </w:r>
      <w:r>
        <w:rPr>
          <w:rFonts w:hint="eastAsia" w:ascii="仿宋" w:hAnsi="仿宋" w:eastAsia="仿宋" w:cs="Courier New"/>
          <w:color w:val="000000"/>
          <w:sz w:val="28"/>
          <w:szCs w:val="28"/>
          <w:highlight w:val="none"/>
          <w:u w:val="single"/>
        </w:rPr>
        <w:t xml:space="preserve">  </w:t>
      </w:r>
      <w:r>
        <w:rPr>
          <w:rFonts w:ascii="仿宋" w:hAnsi="仿宋" w:eastAsia="仿宋" w:cs="Courier New"/>
          <w:color w:val="000000"/>
          <w:sz w:val="28"/>
          <w:szCs w:val="28"/>
          <w:highlight w:val="none"/>
        </w:rPr>
        <w:t xml:space="preserve">小时内到达甲方现场。</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9</w:t>
      </w:r>
      <w:r>
        <w:rPr>
          <w:rFonts w:ascii="仿宋" w:hAnsi="仿宋" w:eastAsia="仿宋" w:cs="Courier New"/>
          <w:color w:val="000000"/>
          <w:sz w:val="28"/>
          <w:szCs w:val="28"/>
          <w:highlight w:val="none"/>
        </w:rPr>
        <w:t xml:space="preserve">.4 在质保期内，乙方应对货物出现的质量及安全问题负责处理解决并承担一切费用。</w:t>
      </w:r>
      <w:r>
        <w:rPr>
          <w:rFonts w:ascii="仿宋" w:hAnsi="仿宋" w:eastAsia="仿宋" w:cs="Courier New"/>
          <w:color w:val="000000"/>
          <w:sz w:val="28"/>
          <w:szCs w:val="28"/>
          <w:highlight w:val="none"/>
        </w:rPr>
      </w:r>
      <w:r/>
    </w:p>
    <w:p>
      <w:pPr>
        <w:pStyle w:val="748"/>
        <w:ind w:left="560" w:hanging="560"/>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9</w:t>
      </w:r>
      <w:r>
        <w:rPr>
          <w:rFonts w:ascii="仿宋" w:hAnsi="仿宋" w:eastAsia="仿宋" w:cs="Courier New"/>
          <w:color w:val="000000"/>
          <w:sz w:val="28"/>
          <w:szCs w:val="28"/>
          <w:highlight w:val="none"/>
        </w:rPr>
        <w:t xml:space="preserve">.5上述的货物免费保修期为</w:t>
      </w:r>
      <w:r>
        <w:rPr>
          <w:rFonts w:ascii="仿宋" w:hAnsi="仿宋" w:eastAsia="仿宋" w:cs="Courier New"/>
          <w:color w:val="000000"/>
          <w:sz w:val="28"/>
          <w:szCs w:val="28"/>
          <w:highlight w:val="none"/>
          <w:u w:val="single"/>
        </w:rPr>
        <w:t xml:space="preserve">  </w:t>
      </w:r>
      <w:r>
        <w:rPr>
          <w:rFonts w:ascii="仿宋" w:hAnsi="仿宋" w:eastAsia="仿宋" w:cs="Courier New"/>
          <w:color w:val="000000"/>
          <w:sz w:val="28"/>
          <w:szCs w:val="28"/>
          <w:highlight w:val="none"/>
        </w:rPr>
        <w:t xml:space="preserve">年（自交货验收合格之日起计），因人为因素出现的故障不在免费保修范围内。超过保修期的机器设备，终生维修，维修时只收部件成本费。</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项目</w:t>
      </w:r>
      <w:r>
        <w:rPr>
          <w:rFonts w:ascii="仿宋" w:hAnsi="仿宋" w:eastAsia="仿宋" w:cs="Courier New"/>
          <w:b/>
          <w:color w:val="000000"/>
          <w:sz w:val="28"/>
          <w:szCs w:val="28"/>
          <w:highlight w:val="none"/>
        </w:rPr>
        <w:t xml:space="preserve">验收</w:t>
      </w:r>
      <w:r>
        <w:rPr>
          <w:rFonts w:ascii="仿宋" w:hAnsi="仿宋" w:eastAsia="仿宋" w:cs="Courier New"/>
          <w:b/>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10.1 甲方依法组织履约验收工作。</w:t>
      </w:r>
      <w:r>
        <w:rPr>
          <w:rFonts w:hint="eastAsia" w:ascii="仿宋" w:hAnsi="仿宋" w:eastAsia="仿宋" w:cs="Courier New"/>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10.2采购方组织现场验收，采购方根据招标文件及项目合同的要求，对中标单位交付的软硬件产品逐项确认，验收合格后签署验收报告。</w:t>
      </w:r>
      <w:r>
        <w:rPr>
          <w:rFonts w:hint="eastAsia" w:ascii="仿宋" w:hAnsi="仿宋" w:eastAsia="仿宋" w:cs="Courier New"/>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10.3 对于实际使用人和甲方分离的项目，甲方邀请实际使用人参与验收。</w:t>
      </w:r>
      <w:r>
        <w:rPr>
          <w:rFonts w:hint="eastAsia" w:ascii="仿宋" w:hAnsi="仿宋" w:eastAsia="仿宋" w:cs="Courier New"/>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10.4 如有必要，甲方邀请参加本项目的其他供应商或第三方专业机构及专家参与验收，相关意见将作为验收书的参考资料。</w:t>
      </w:r>
      <w:r>
        <w:rPr>
          <w:rFonts w:hint="eastAsia" w:ascii="仿宋" w:hAnsi="仿宋" w:eastAsia="仿宋" w:cs="Courier New"/>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Courier New"/>
          <w:color w:val="000000"/>
          <w:sz w:val="28"/>
          <w:szCs w:val="28"/>
          <w:highlight w:val="none"/>
        </w:rPr>
      </w:r>
      <w:r/>
    </w:p>
    <w:p>
      <w:pPr>
        <w:pStyle w:val="74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一</w:t>
      </w:r>
      <w:r>
        <w:rPr>
          <w:rFonts w:ascii="仿宋" w:hAnsi="仿宋" w:eastAsia="仿宋" w:cs="Courier New"/>
          <w:b/>
          <w:color w:val="000000"/>
          <w:sz w:val="28"/>
          <w:szCs w:val="28"/>
          <w:highlight w:val="none"/>
        </w:rPr>
        <w:t xml:space="preserve">、货物</w:t>
      </w:r>
      <w:r>
        <w:rPr>
          <w:rFonts w:hint="eastAsia" w:ascii="仿宋" w:hAnsi="仿宋" w:eastAsia="仿宋" w:cs="Courier New"/>
          <w:b/>
          <w:color w:val="000000"/>
          <w:sz w:val="28"/>
          <w:szCs w:val="28"/>
          <w:highlight w:val="none"/>
        </w:rPr>
        <w:t xml:space="preserve">的</w:t>
      </w:r>
      <w:r>
        <w:rPr>
          <w:rFonts w:ascii="仿宋" w:hAnsi="仿宋" w:eastAsia="仿宋" w:cs="Courier New"/>
          <w:b/>
          <w:color w:val="000000"/>
          <w:sz w:val="28"/>
          <w:szCs w:val="28"/>
          <w:highlight w:val="none"/>
        </w:rPr>
        <w:t xml:space="preserve">包装、发运及运输</w:t>
      </w:r>
      <w:r>
        <w:rPr>
          <w:rFonts w:ascii="仿宋" w:hAnsi="仿宋" w:eastAsia="仿宋" w:cs="Courier New"/>
          <w:b/>
          <w:color w:val="000000"/>
          <w:sz w:val="28"/>
          <w:szCs w:val="28"/>
          <w:highlight w:val="none"/>
        </w:rPr>
      </w:r>
      <w:r/>
    </w:p>
    <w:p>
      <w:pPr>
        <w:pStyle w:val="748"/>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1</w:t>
      </w:r>
      <w:r>
        <w:rPr>
          <w:rFonts w:ascii="仿宋" w:hAnsi="仿宋" w:eastAsia="仿宋" w:cs="Courier New"/>
          <w:color w:val="000000"/>
          <w:sz w:val="28"/>
          <w:szCs w:val="28"/>
          <w:highlight w:val="none"/>
        </w:rPr>
        <w:t xml:space="preserve">.1 乙方应在货物发运前对其进行满足运输距离、防潮、防震、防锈和防破损装卸等要求包装，以保证货物安全运达甲方指定地点。</w:t>
      </w:r>
      <w:r>
        <w:rPr>
          <w:rFonts w:hint="eastAsia" w:ascii="仿宋" w:hAnsi="仿宋" w:eastAsia="仿宋"/>
          <w:color w:val="000000"/>
          <w:sz w:val="28"/>
          <w:szCs w:val="28"/>
          <w:highlight w:val="none"/>
        </w:rPr>
        <w:t xml:space="preserve">乙方对货物的包装应符合《商品包装政府采购需求标准（试行）》、《快递包装政府采购需求标准（试行）》的规定。</w:t>
      </w:r>
      <w:r>
        <w:rPr>
          <w:rFonts w:ascii="仿宋" w:hAnsi="仿宋" w:eastAsia="仿宋" w:cs="Courier New"/>
          <w:color w:val="000000"/>
          <w:sz w:val="28"/>
          <w:szCs w:val="28"/>
          <w:highlight w:val="none"/>
        </w:rPr>
      </w:r>
      <w:r/>
    </w:p>
    <w:p>
      <w:pPr>
        <w:pStyle w:val="748"/>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1</w:t>
      </w:r>
      <w:r>
        <w:rPr>
          <w:rFonts w:ascii="仿宋" w:hAnsi="仿宋" w:eastAsia="仿宋" w:cs="Courier New"/>
          <w:color w:val="000000"/>
          <w:sz w:val="28"/>
          <w:szCs w:val="28"/>
          <w:highlight w:val="none"/>
        </w:rPr>
        <w:t xml:space="preserve">.2 使用说明书、质量检验证明书、随配附件和工具以及清单一并附于货物内。</w:t>
      </w:r>
      <w:r>
        <w:rPr>
          <w:rFonts w:ascii="仿宋" w:hAnsi="仿宋" w:eastAsia="仿宋" w:cs="Courier New"/>
          <w:color w:val="000000"/>
          <w:sz w:val="28"/>
          <w:szCs w:val="28"/>
          <w:highlight w:val="none"/>
        </w:rPr>
      </w:r>
      <w:r/>
    </w:p>
    <w:p>
      <w:pPr>
        <w:pStyle w:val="748"/>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1</w:t>
      </w:r>
      <w:r>
        <w:rPr>
          <w:rFonts w:ascii="仿宋" w:hAnsi="仿宋" w:eastAsia="仿宋" w:cs="Courier New"/>
          <w:color w:val="000000"/>
          <w:sz w:val="28"/>
          <w:szCs w:val="28"/>
          <w:highlight w:val="none"/>
        </w:rPr>
        <w:t xml:space="preserve">.3 乙方在货物发运手续办理完毕后24小时内或货到甲方48小时前通知甲方，以准备接货。</w:t>
      </w:r>
      <w:r>
        <w:rPr>
          <w:rFonts w:ascii="仿宋" w:hAnsi="仿宋" w:eastAsia="仿宋" w:cs="Courier New"/>
          <w:color w:val="000000"/>
          <w:sz w:val="28"/>
          <w:szCs w:val="28"/>
          <w:highlight w:val="none"/>
        </w:rPr>
      </w:r>
      <w:r/>
    </w:p>
    <w:p>
      <w:pPr>
        <w:pStyle w:val="748"/>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1</w:t>
      </w:r>
      <w:r>
        <w:rPr>
          <w:rFonts w:ascii="仿宋" w:hAnsi="仿宋" w:eastAsia="仿宋" w:cs="Courier New"/>
          <w:color w:val="000000"/>
          <w:sz w:val="28"/>
          <w:szCs w:val="28"/>
          <w:highlight w:val="none"/>
        </w:rPr>
        <w:t xml:space="preserve">.4 货物在交付甲方前发生的风险均由乙方负责。</w:t>
      </w:r>
      <w:r>
        <w:rPr>
          <w:rFonts w:ascii="仿宋" w:hAnsi="仿宋" w:eastAsia="仿宋" w:cs="Courier New"/>
          <w:color w:val="000000"/>
          <w:sz w:val="28"/>
          <w:szCs w:val="28"/>
          <w:highlight w:val="none"/>
        </w:rPr>
      </w:r>
      <w:r/>
    </w:p>
    <w:p>
      <w:pPr>
        <w:pStyle w:val="748"/>
        <w:ind w:left="560" w:right="26" w:hanging="560"/>
        <w:spacing w:before="156" w:after="156"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1</w:t>
      </w:r>
      <w:r>
        <w:rPr>
          <w:rFonts w:ascii="仿宋" w:hAnsi="仿宋" w:eastAsia="仿宋" w:cs="Courier New"/>
          <w:color w:val="000000"/>
          <w:sz w:val="28"/>
          <w:szCs w:val="28"/>
          <w:highlight w:val="none"/>
        </w:rPr>
        <w:t xml:space="preserve">.5 货物在规定的交付期限内由乙方送达甲方指定的地点视为交付，乙方同时需通知甲方货物已送达。</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二</w:t>
      </w:r>
      <w:r>
        <w:rPr>
          <w:rFonts w:ascii="仿宋" w:hAnsi="仿宋" w:eastAsia="仿宋" w:cs="Courier New"/>
          <w:b/>
          <w:color w:val="000000"/>
          <w:sz w:val="28"/>
          <w:szCs w:val="28"/>
          <w:highlight w:val="none"/>
        </w:rPr>
        <w:t xml:space="preserve">、违约责任</w:t>
      </w:r>
      <w:r>
        <w:rPr>
          <w:rFonts w:ascii="仿宋" w:hAnsi="仿宋" w:eastAsia="仿宋" w:cs="Courier New"/>
          <w:b/>
          <w:color w:val="000000"/>
          <w:sz w:val="28"/>
          <w:szCs w:val="28"/>
          <w:highlight w:val="none"/>
        </w:rPr>
      </w:r>
      <w:r/>
    </w:p>
    <w:p>
      <w:pPr>
        <w:pStyle w:val="748"/>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2</w:t>
      </w:r>
      <w:r>
        <w:rPr>
          <w:rFonts w:ascii="仿宋" w:hAnsi="仿宋" w:eastAsia="仿宋" w:cs="Courier New"/>
          <w:color w:val="000000"/>
          <w:sz w:val="28"/>
          <w:szCs w:val="28"/>
          <w:highlight w:val="none"/>
        </w:rPr>
        <w:t xml:space="preserve">.1 甲方无正当理由拒收货物的，甲方向乙方偿付拒收货款总值</w:t>
      </w:r>
      <w:r>
        <w:rPr>
          <w:rFonts w:hint="eastAsia" w:ascii="仿宋" w:hAnsi="仿宋" w:eastAsia="仿宋" w:cs="Courier New"/>
          <w:color w:val="000000"/>
          <w:sz w:val="28"/>
          <w:szCs w:val="28"/>
          <w:highlight w:val="none"/>
          <w:u w:val="single"/>
        </w:rPr>
        <w:t xml:space="preserve"> 5% </w:t>
      </w:r>
      <w:r>
        <w:rPr>
          <w:rFonts w:ascii="仿宋" w:hAnsi="仿宋" w:eastAsia="仿宋" w:cs="Courier New"/>
          <w:color w:val="000000"/>
          <w:sz w:val="28"/>
          <w:szCs w:val="28"/>
          <w:highlight w:val="none"/>
        </w:rPr>
        <w:t xml:space="preserve">的违约金。</w:t>
      </w:r>
      <w:r>
        <w:rPr>
          <w:rFonts w:ascii="仿宋" w:hAnsi="仿宋" w:eastAsia="仿宋" w:cs="Courier New"/>
          <w:color w:val="000000"/>
          <w:sz w:val="28"/>
          <w:szCs w:val="28"/>
          <w:highlight w:val="none"/>
        </w:rPr>
      </w:r>
      <w:r/>
    </w:p>
    <w:p>
      <w:pPr>
        <w:pStyle w:val="748"/>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2</w:t>
      </w:r>
      <w:r>
        <w:rPr>
          <w:rFonts w:ascii="仿宋" w:hAnsi="仿宋" w:eastAsia="仿宋" w:cs="Courier New"/>
          <w:color w:val="000000"/>
          <w:sz w:val="28"/>
          <w:szCs w:val="28"/>
          <w:highlight w:val="none"/>
        </w:rPr>
        <w:t xml:space="preserve">.2 甲方无故逾期验收和办理货款支付手续的,甲方应按逾期付款总额每日</w:t>
      </w:r>
      <w:r>
        <w:rPr>
          <w:rFonts w:hint="eastAsia" w:ascii="仿宋" w:hAnsi="仿宋" w:eastAsia="仿宋" w:cs="Courier New"/>
          <w:color w:val="000000"/>
          <w:sz w:val="28"/>
          <w:szCs w:val="28"/>
          <w:highlight w:val="none"/>
          <w:u w:val="single"/>
        </w:rPr>
        <w:t xml:space="preserve"> 6</w:t>
      </w:r>
      <w:r>
        <w:rPr>
          <w:rFonts w:ascii="Arial" w:hAnsi="Arial" w:eastAsia="仿宋" w:cs="Arial"/>
          <w:color w:val="000000"/>
          <w:sz w:val="28"/>
          <w:szCs w:val="28"/>
          <w:highlight w:val="none"/>
          <w:u w:val="single"/>
        </w:rPr>
        <w:t xml:space="preserve">‰</w:t>
      </w:r>
      <w:r>
        <w:rPr>
          <w:rFonts w:hint="eastAsia" w:ascii="仿宋" w:hAnsi="仿宋" w:eastAsia="仿宋" w:cs="Courier New"/>
          <w:color w:val="000000"/>
          <w:sz w:val="28"/>
          <w:szCs w:val="28"/>
          <w:highlight w:val="none"/>
          <w:u w:val="single"/>
        </w:rPr>
        <w:t xml:space="preserve"> </w:t>
      </w:r>
      <w:r>
        <w:rPr>
          <w:rFonts w:ascii="仿宋" w:hAnsi="仿宋" w:eastAsia="仿宋" w:cs="Courier New"/>
          <w:color w:val="000000"/>
          <w:sz w:val="28"/>
          <w:szCs w:val="28"/>
          <w:highlight w:val="none"/>
        </w:rPr>
        <w:t xml:space="preserve">向乙方支付违约金。</w:t>
      </w:r>
      <w:r>
        <w:rPr>
          <w:rFonts w:ascii="仿宋" w:hAnsi="仿宋" w:eastAsia="仿宋" w:cs="Courier New"/>
          <w:color w:val="000000"/>
          <w:sz w:val="28"/>
          <w:szCs w:val="28"/>
          <w:highlight w:val="none"/>
        </w:rPr>
      </w:r>
      <w:r/>
    </w:p>
    <w:p>
      <w:pPr>
        <w:pStyle w:val="748"/>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2</w:t>
      </w:r>
      <w:r>
        <w:rPr>
          <w:rFonts w:ascii="仿宋" w:hAnsi="仿宋" w:eastAsia="仿宋" w:cs="Courier New"/>
          <w:color w:val="000000"/>
          <w:sz w:val="28"/>
          <w:szCs w:val="28"/>
          <w:highlight w:val="none"/>
        </w:rPr>
        <w:t xml:space="preserve">.3 乙方逾期交付货物的，乙方应按逾期交货总额每日</w:t>
      </w:r>
      <w:r>
        <w:rPr>
          <w:rFonts w:hint="eastAsia" w:ascii="仿宋" w:hAnsi="仿宋" w:eastAsia="仿宋" w:cs="Courier New"/>
          <w:color w:val="000000"/>
          <w:sz w:val="28"/>
          <w:szCs w:val="28"/>
          <w:highlight w:val="none"/>
          <w:u w:val="single"/>
        </w:rPr>
        <w:t xml:space="preserve">6</w:t>
      </w:r>
      <w:r>
        <w:rPr>
          <w:rFonts w:ascii="Arial" w:hAnsi="Arial" w:eastAsia="仿宋" w:cs="Arial"/>
          <w:color w:val="000000"/>
          <w:sz w:val="28"/>
          <w:szCs w:val="28"/>
          <w:highlight w:val="none"/>
          <w:u w:val="single"/>
        </w:rPr>
        <w:t xml:space="preserve">‰</w:t>
      </w:r>
      <w:r>
        <w:rPr>
          <w:rFonts w:ascii="仿宋" w:hAnsi="仿宋" w:eastAsia="仿宋" w:cs="Courier New"/>
          <w:color w:val="000000"/>
          <w:sz w:val="28"/>
          <w:szCs w:val="28"/>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仿宋" w:cs="Courier New"/>
          <w:color w:val="000000"/>
          <w:sz w:val="28"/>
          <w:szCs w:val="28"/>
          <w:highlight w:val="none"/>
          <w:u w:val="single"/>
        </w:rPr>
        <w:t xml:space="preserve"> 5% </w:t>
      </w:r>
      <w:r>
        <w:rPr>
          <w:rFonts w:ascii="仿宋" w:hAnsi="仿宋" w:eastAsia="仿宋" w:cs="Courier New"/>
          <w:color w:val="000000"/>
          <w:sz w:val="28"/>
          <w:szCs w:val="28"/>
          <w:highlight w:val="none"/>
        </w:rPr>
        <w:t xml:space="preserve">的违约金，如造成甲方损失超过违约金的，超出部分由乙方继续承担赔偿责任。 </w:t>
      </w:r>
      <w:r>
        <w:rPr>
          <w:rFonts w:ascii="仿宋" w:hAnsi="仿宋" w:eastAsia="仿宋" w:cs="Courier New"/>
          <w:color w:val="000000"/>
          <w:sz w:val="28"/>
          <w:szCs w:val="28"/>
          <w:highlight w:val="none"/>
        </w:rPr>
      </w:r>
      <w:r/>
    </w:p>
    <w:p>
      <w:pPr>
        <w:pStyle w:val="748"/>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2</w:t>
      </w:r>
      <w:r>
        <w:rPr>
          <w:rFonts w:ascii="仿宋" w:hAnsi="仿宋" w:eastAsia="仿宋" w:cs="Courier New"/>
          <w:color w:val="000000"/>
          <w:sz w:val="28"/>
          <w:szCs w:val="28"/>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三</w:t>
      </w:r>
      <w:r>
        <w:rPr>
          <w:rFonts w:ascii="仿宋" w:hAnsi="仿宋" w:eastAsia="仿宋" w:cs="Courier New"/>
          <w:b/>
          <w:color w:val="000000"/>
          <w:sz w:val="28"/>
          <w:szCs w:val="28"/>
          <w:highlight w:val="none"/>
        </w:rPr>
        <w:t xml:space="preserve">、不可抗力事件处理</w:t>
      </w:r>
      <w:r>
        <w:rPr>
          <w:rFonts w:ascii="仿宋" w:hAnsi="仿宋" w:eastAsia="仿宋" w:cs="Courier New"/>
          <w:b/>
          <w:color w:val="000000"/>
          <w:sz w:val="28"/>
          <w:szCs w:val="28"/>
          <w:highlight w:val="none"/>
        </w:rPr>
      </w:r>
      <w:r/>
    </w:p>
    <w:p>
      <w:pPr>
        <w:pStyle w:val="748"/>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3</w:t>
      </w:r>
      <w:r>
        <w:rPr>
          <w:rFonts w:ascii="仿宋" w:hAnsi="仿宋" w:eastAsia="仿宋" w:cs="Courier New"/>
          <w:color w:val="000000"/>
          <w:sz w:val="28"/>
          <w:szCs w:val="28"/>
          <w:highlight w:val="none"/>
        </w:rPr>
        <w:t xml:space="preserve">.1 在合同有效期内，任何一方因不可抗力事件导致不能履行合同，则合同履行期可延长，其延长期与不可抗力影响期相同。</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3</w:t>
      </w:r>
      <w:r>
        <w:rPr>
          <w:rFonts w:ascii="仿宋" w:hAnsi="仿宋" w:eastAsia="仿宋" w:cs="Courier New"/>
          <w:color w:val="000000"/>
          <w:sz w:val="28"/>
          <w:szCs w:val="28"/>
          <w:highlight w:val="none"/>
        </w:rPr>
        <w:t xml:space="preserve">.2 不可抗力事件发生后，应立即通知对方，并寄送有关权威机构出具的证明。</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3</w:t>
      </w:r>
      <w:r>
        <w:rPr>
          <w:rFonts w:ascii="仿宋" w:hAnsi="仿宋" w:eastAsia="仿宋" w:cs="Courier New"/>
          <w:color w:val="000000"/>
          <w:sz w:val="28"/>
          <w:szCs w:val="28"/>
          <w:highlight w:val="none"/>
        </w:rPr>
        <w:t xml:space="preserve">.3 不可抗力事件延续120天以上，双方应通过友好协商，确定是否继续履行合同。</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四</w:t>
      </w:r>
      <w:r>
        <w:rPr>
          <w:rFonts w:ascii="仿宋" w:hAnsi="仿宋" w:eastAsia="仿宋" w:cs="Courier New"/>
          <w:b/>
          <w:color w:val="000000"/>
          <w:sz w:val="28"/>
          <w:szCs w:val="28"/>
          <w:highlight w:val="none"/>
        </w:rPr>
        <w:t xml:space="preserve">、</w:t>
      </w:r>
      <w:r>
        <w:rPr>
          <w:rFonts w:hint="eastAsia" w:ascii="仿宋" w:hAnsi="仿宋" w:eastAsia="仿宋" w:cs="Courier New"/>
          <w:b/>
          <w:color w:val="000000"/>
          <w:sz w:val="28"/>
          <w:szCs w:val="28"/>
          <w:highlight w:val="none"/>
        </w:rPr>
        <w:t xml:space="preserve">解决争议的方法</w:t>
      </w:r>
      <w:r>
        <w:rPr>
          <w:rFonts w:ascii="仿宋" w:hAnsi="仿宋" w:eastAsia="仿宋" w:cs="Courier New"/>
          <w:b/>
          <w:color w:val="000000"/>
          <w:sz w:val="28"/>
          <w:szCs w:val="28"/>
          <w:highlight w:val="none"/>
        </w:rPr>
      </w:r>
      <w:r/>
    </w:p>
    <w:p>
      <w:pPr>
        <w:pStyle w:val="748"/>
        <w:ind w:left="560" w:hanging="560"/>
        <w:spacing w:before="120" w:after="120" w:line="480" w:lineRule="exact"/>
        <w:rPr>
          <w:rFonts w:hint="eastAsia"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4</w:t>
      </w: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甲乙</w:t>
      </w:r>
      <w:r>
        <w:rPr>
          <w:rFonts w:ascii="仿宋" w:hAnsi="仿宋" w:eastAsia="仿宋" w:cs="Courier New"/>
          <w:color w:val="000000"/>
          <w:sz w:val="28"/>
          <w:szCs w:val="28"/>
          <w:highlight w:val="none"/>
        </w:rPr>
        <w:t xml:space="preserve">双方</w:t>
      </w:r>
      <w:r>
        <w:rPr>
          <w:rFonts w:hint="eastAsia" w:ascii="仿宋" w:hAnsi="仿宋" w:eastAsia="仿宋" w:cs="Courier New"/>
          <w:color w:val="000000"/>
          <w:sz w:val="28"/>
          <w:szCs w:val="28"/>
          <w:highlight w:val="none"/>
        </w:rPr>
        <w:t xml:space="preserve">因</w:t>
      </w:r>
      <w:r>
        <w:rPr>
          <w:rFonts w:ascii="仿宋" w:hAnsi="仿宋" w:eastAsia="仿宋" w:cs="Courier New"/>
          <w:color w:val="000000"/>
          <w:sz w:val="28"/>
          <w:szCs w:val="28"/>
          <w:highlight w:val="none"/>
        </w:rPr>
        <w:t xml:space="preserve">合同</w:t>
      </w:r>
      <w:r>
        <w:rPr>
          <w:rFonts w:hint="eastAsia" w:ascii="仿宋" w:hAnsi="仿宋" w:eastAsia="仿宋" w:cs="Courier New"/>
          <w:color w:val="000000"/>
          <w:sz w:val="28"/>
          <w:szCs w:val="28"/>
          <w:highlight w:val="none"/>
        </w:rPr>
        <w:t xml:space="preserve">签订、履行而</w:t>
      </w:r>
      <w:r>
        <w:rPr>
          <w:rFonts w:ascii="仿宋" w:hAnsi="仿宋" w:eastAsia="仿宋" w:cs="Courier New"/>
          <w:color w:val="000000"/>
          <w:sz w:val="28"/>
          <w:szCs w:val="28"/>
          <w:highlight w:val="none"/>
        </w:rPr>
        <w:t xml:space="preserve">发生的一切争议，应通过</w:t>
      </w:r>
      <w:r>
        <w:rPr>
          <w:rFonts w:hint="eastAsia" w:ascii="仿宋" w:hAnsi="仿宋" w:eastAsia="仿宋" w:cs="Courier New"/>
          <w:color w:val="000000"/>
          <w:sz w:val="28"/>
          <w:szCs w:val="28"/>
          <w:highlight w:val="none"/>
        </w:rPr>
        <w:t xml:space="preserve">友好</w:t>
      </w:r>
      <w:r>
        <w:rPr>
          <w:rFonts w:ascii="仿宋" w:hAnsi="仿宋" w:eastAsia="仿宋" w:cs="Courier New"/>
          <w:color w:val="000000"/>
          <w:sz w:val="28"/>
          <w:szCs w:val="28"/>
          <w:highlight w:val="none"/>
        </w:rPr>
        <w:t xml:space="preserve">协商解决。如协商不成</w:t>
      </w:r>
      <w:r>
        <w:rPr>
          <w:rFonts w:hint="eastAsia" w:ascii="仿宋" w:hAnsi="仿宋" w:eastAsia="仿宋" w:cs="Courier New"/>
          <w:color w:val="000000"/>
          <w:sz w:val="28"/>
          <w:szCs w:val="28"/>
          <w:highlight w:val="none"/>
        </w:rPr>
        <w:t xml:space="preserve">由甲方住所地人民</w:t>
      </w:r>
      <w:r>
        <w:rPr>
          <w:rFonts w:ascii="仿宋" w:hAnsi="仿宋" w:eastAsia="仿宋" w:cs="Courier New"/>
          <w:color w:val="000000"/>
          <w:sz w:val="28"/>
          <w:szCs w:val="28"/>
          <w:highlight w:val="none"/>
        </w:rPr>
        <w:t xml:space="preserve">法院</w:t>
      </w:r>
      <w:r>
        <w:rPr>
          <w:rFonts w:hint="eastAsia" w:ascii="仿宋" w:hAnsi="仿宋" w:eastAsia="仿宋" w:cs="Courier New"/>
          <w:color w:val="000000"/>
          <w:sz w:val="28"/>
          <w:szCs w:val="28"/>
          <w:highlight w:val="none"/>
        </w:rPr>
        <w:t xml:space="preserve">管辖。</w:t>
      </w:r>
      <w:r>
        <w:rPr>
          <w:rFonts w:hint="eastAsia"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五</w:t>
      </w:r>
      <w:r>
        <w:rPr>
          <w:rFonts w:ascii="仿宋" w:hAnsi="仿宋" w:eastAsia="仿宋" w:cs="Courier New"/>
          <w:b/>
          <w:color w:val="000000"/>
          <w:sz w:val="28"/>
          <w:szCs w:val="28"/>
          <w:highlight w:val="none"/>
        </w:rPr>
        <w:t xml:space="preserve">、合同生效及其它</w:t>
      </w:r>
      <w:r>
        <w:rPr>
          <w:rFonts w:ascii="仿宋" w:hAnsi="仿宋" w:eastAsia="仿宋" w:cs="Courier New"/>
          <w:b/>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5</w:t>
      </w:r>
      <w:r>
        <w:rPr>
          <w:rFonts w:ascii="仿宋" w:hAnsi="仿宋" w:eastAsia="仿宋" w:cs="Courier New"/>
          <w:color w:val="000000"/>
          <w:sz w:val="28"/>
          <w:szCs w:val="28"/>
          <w:highlight w:val="none"/>
        </w:rPr>
        <w:t xml:space="preserve">.1 合同经双方法定代表人或授权委托代</w:t>
      </w:r>
      <w:r>
        <w:rPr>
          <w:rFonts w:hint="eastAsia" w:ascii="仿宋" w:hAnsi="仿宋" w:eastAsia="仿宋" w:cs="Courier New"/>
          <w:color w:val="000000"/>
          <w:sz w:val="28"/>
          <w:szCs w:val="28"/>
          <w:highlight w:val="none"/>
        </w:rPr>
        <w:t xml:space="preserve">表</w:t>
      </w:r>
      <w:r>
        <w:rPr>
          <w:rFonts w:ascii="仿宋" w:hAnsi="仿宋" w:eastAsia="仿宋" w:cs="Courier New"/>
          <w:color w:val="000000"/>
          <w:sz w:val="28"/>
          <w:szCs w:val="28"/>
          <w:highlight w:val="none"/>
        </w:rPr>
        <w:t xml:space="preserve">人签字并加盖单位公章后生效。</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5</w:t>
      </w:r>
      <w:r>
        <w:rPr>
          <w:rFonts w:ascii="仿宋" w:hAnsi="仿宋" w:eastAsia="仿宋" w:cs="Courier New"/>
          <w:color w:val="000000"/>
          <w:sz w:val="28"/>
          <w:szCs w:val="28"/>
          <w:highlight w:val="none"/>
        </w:rPr>
        <w:t xml:space="preserve">.2本合同未尽事宜，遵照</w:t>
      </w:r>
      <w:r>
        <w:rPr>
          <w:rFonts w:hint="eastAsia" w:ascii="仿宋" w:hAnsi="仿宋" w:eastAsia="仿宋" w:cs="Courier New"/>
          <w:color w:val="000000"/>
          <w:sz w:val="28"/>
          <w:szCs w:val="28"/>
          <w:highlight w:val="none"/>
        </w:rPr>
        <w:t xml:space="preserve">中华人民共和国现行法律法规</w:t>
      </w:r>
      <w:r>
        <w:rPr>
          <w:rFonts w:ascii="仿宋" w:hAnsi="仿宋" w:eastAsia="仿宋" w:cs="Courier New"/>
          <w:color w:val="000000"/>
          <w:sz w:val="28"/>
          <w:szCs w:val="28"/>
          <w:highlight w:val="none"/>
        </w:rPr>
        <w:t xml:space="preserve">有关条文执行。</w:t>
      </w:r>
      <w:r>
        <w:rPr>
          <w:rFonts w:ascii="仿宋" w:hAnsi="仿宋" w:eastAsia="仿宋" w:cs="Courier New"/>
          <w:color w:val="000000"/>
          <w:sz w:val="28"/>
          <w:szCs w:val="28"/>
          <w:highlight w:val="none"/>
        </w:rPr>
      </w:r>
      <w:r/>
    </w:p>
    <w:p>
      <w:pPr>
        <w:pStyle w:val="748"/>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5</w:t>
      </w:r>
      <w:r>
        <w:rPr>
          <w:rFonts w:ascii="仿宋" w:hAnsi="仿宋" w:eastAsia="仿宋" w:cs="Courier New"/>
          <w:color w:val="000000"/>
          <w:sz w:val="28"/>
          <w:szCs w:val="28"/>
          <w:highlight w:val="none"/>
        </w:rPr>
        <w:t xml:space="preserve">.</w:t>
      </w:r>
      <w:r>
        <w:rPr>
          <w:rFonts w:hint="eastAsia" w:ascii="仿宋" w:hAnsi="仿宋" w:eastAsia="仿宋" w:cs="Courier New"/>
          <w:color w:val="000000"/>
          <w:sz w:val="28"/>
          <w:szCs w:val="28"/>
          <w:highlight w:val="none"/>
        </w:rPr>
        <w:t xml:space="preserve">3</w:t>
      </w:r>
      <w:r>
        <w:rPr>
          <w:rFonts w:ascii="仿宋" w:hAnsi="仿宋" w:eastAsia="仿宋" w:cs="Courier New"/>
          <w:color w:val="000000"/>
          <w:sz w:val="28"/>
          <w:szCs w:val="28"/>
          <w:highlight w:val="none"/>
        </w:rPr>
        <w:t xml:space="preserve"> 本合同正本一式</w:t>
      </w:r>
      <w:r>
        <w:rPr>
          <w:rFonts w:hint="eastAsia" w:ascii="仿宋" w:hAnsi="仿宋" w:eastAsia="仿宋" w:cs="Courier New"/>
          <w:color w:val="000000"/>
          <w:sz w:val="28"/>
          <w:szCs w:val="28"/>
          <w:highlight w:val="none"/>
        </w:rPr>
        <w:t xml:space="preserve">两</w:t>
      </w:r>
      <w:r>
        <w:rPr>
          <w:rFonts w:ascii="仿宋" w:hAnsi="仿宋" w:eastAsia="仿宋" w:cs="Courier New"/>
          <w:color w:val="000000"/>
          <w:sz w:val="28"/>
          <w:szCs w:val="28"/>
          <w:highlight w:val="none"/>
        </w:rPr>
        <w:t xml:space="preserve">份，具有同等法律效力，甲</w:t>
      </w:r>
      <w:r>
        <w:rPr>
          <w:rFonts w:hint="eastAsia" w:ascii="仿宋" w:hAnsi="仿宋" w:eastAsia="仿宋" w:cs="Courier New"/>
          <w:color w:val="000000"/>
          <w:sz w:val="28"/>
          <w:szCs w:val="28"/>
          <w:highlight w:val="none"/>
        </w:rPr>
        <w:t xml:space="preserve">方、</w:t>
      </w:r>
      <w:r>
        <w:rPr>
          <w:rFonts w:ascii="仿宋" w:hAnsi="仿宋" w:eastAsia="仿宋" w:cs="Courier New"/>
          <w:color w:val="000000"/>
          <w:sz w:val="28"/>
          <w:szCs w:val="28"/>
          <w:highlight w:val="none"/>
        </w:rPr>
        <w:t xml:space="preserve">乙方各执一份。</w:t>
      </w:r>
      <w:r>
        <w:rPr>
          <w:rFonts w:ascii="仿宋" w:hAnsi="仿宋" w:eastAsia="仿宋" w:cs="Courier New"/>
          <w:color w:val="000000"/>
          <w:sz w:val="28"/>
          <w:szCs w:val="28"/>
          <w:highlight w:val="none"/>
        </w:rPr>
      </w:r>
      <w:r/>
    </w:p>
    <w:p>
      <w:pPr>
        <w:pStyle w:val="748"/>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  甲方：                        乙方： </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  地址：                       </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地址： </w:t>
      </w:r>
      <w:r>
        <w:rPr>
          <w:rFonts w:ascii="仿宋" w:hAnsi="仿宋" w:eastAsia="仿宋" w:cs="Courier New"/>
          <w:color w:val="000000"/>
          <w:sz w:val="28"/>
          <w:szCs w:val="28"/>
          <w:highlight w:val="none"/>
        </w:rPr>
      </w:r>
      <w:r/>
    </w:p>
    <w:p>
      <w:pPr>
        <w:pStyle w:val="74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  法定代表人</w:t>
      </w:r>
      <w:r>
        <w:rPr>
          <w:rFonts w:hint="eastAsia" w:ascii="仿宋" w:hAnsi="仿宋" w:eastAsia="仿宋" w:cs="Courier New"/>
          <w:color w:val="000000"/>
          <w:sz w:val="28"/>
          <w:szCs w:val="28"/>
          <w:highlight w:val="none"/>
        </w:rPr>
        <w:t xml:space="preserve">或授权代表</w:t>
      </w:r>
      <w:r>
        <w:rPr>
          <w:rFonts w:ascii="仿宋" w:hAnsi="仿宋" w:eastAsia="仿宋" w:cs="Courier New"/>
          <w:color w:val="000000"/>
          <w:sz w:val="28"/>
          <w:szCs w:val="28"/>
          <w:highlight w:val="none"/>
        </w:rPr>
        <w:t xml:space="preserve">：        法定代表人</w:t>
      </w:r>
      <w:r>
        <w:rPr>
          <w:rFonts w:hint="eastAsia" w:ascii="仿宋" w:hAnsi="仿宋" w:eastAsia="仿宋" w:cs="Courier New"/>
          <w:color w:val="000000"/>
          <w:sz w:val="28"/>
          <w:szCs w:val="28"/>
          <w:highlight w:val="none"/>
        </w:rPr>
        <w:t xml:space="preserve">或授权代表</w:t>
      </w:r>
      <w:r>
        <w:rPr>
          <w:rFonts w:ascii="仿宋" w:hAnsi="仿宋" w:eastAsia="仿宋" w:cs="Courier New"/>
          <w:color w:val="000000"/>
          <w:sz w:val="28"/>
          <w:szCs w:val="28"/>
          <w:highlight w:val="none"/>
        </w:rPr>
        <w:t xml:space="preserve">：</w:t>
      </w:r>
      <w:r>
        <w:rPr>
          <w:rFonts w:ascii="仿宋" w:hAnsi="仿宋" w:eastAsia="仿宋" w:cs="Courier New"/>
          <w:color w:val="000000"/>
          <w:sz w:val="28"/>
          <w:szCs w:val="28"/>
          <w:highlight w:val="none"/>
        </w:rPr>
      </w:r>
      <w:r/>
    </w:p>
    <w:p>
      <w:pPr>
        <w:pStyle w:val="748"/>
        <w:ind w:firstLine="280"/>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联系电话：                    联系电话：</w:t>
      </w:r>
      <w:r>
        <w:rPr>
          <w:rFonts w:hint="eastAsia" w:ascii="仿宋" w:hAnsi="仿宋" w:eastAsia="仿宋" w:cs="Courier New"/>
          <w:color w:val="000000"/>
          <w:sz w:val="28"/>
          <w:szCs w:val="28"/>
          <w:highlight w:val="none"/>
        </w:rPr>
      </w:r>
      <w:r/>
    </w:p>
    <w:p>
      <w:pPr>
        <w:pStyle w:val="748"/>
        <w:ind w:firstLine="280"/>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                              开户行：</w:t>
      </w:r>
      <w:r>
        <w:rPr>
          <w:rFonts w:ascii="仿宋" w:hAnsi="仿宋" w:eastAsia="仿宋" w:cs="Courier New"/>
          <w:color w:val="000000"/>
          <w:sz w:val="28"/>
          <w:szCs w:val="28"/>
          <w:highlight w:val="none"/>
        </w:rPr>
      </w:r>
      <w:r/>
    </w:p>
    <w:p>
      <w:pPr>
        <w:pStyle w:val="748"/>
        <w:ind w:firstLine="280"/>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                              账号：                     </w:t>
      </w:r>
      <w:r>
        <w:rPr>
          <w:rFonts w:hint="eastAsia" w:ascii="仿宋" w:hAnsi="仿宋" w:eastAsia="仿宋" w:cs="Courier New"/>
          <w:color w:val="000000"/>
          <w:sz w:val="28"/>
          <w:szCs w:val="28"/>
          <w:highlight w:val="none"/>
        </w:rPr>
      </w:r>
      <w:r/>
    </w:p>
    <w:p>
      <w:pPr>
        <w:pStyle w:val="748"/>
        <w:keepNext/>
        <w:rPr>
          <w:rFonts w:ascii="黑体" w:hAnsi="Courier New" w:eastAsia="黑体" w:cs="Courier New"/>
          <w:bCs/>
          <w:color w:val="000000"/>
          <w:sz w:val="44"/>
          <w:szCs w:val="21"/>
          <w:highlight w:val="none"/>
        </w:rPr>
      </w:pPr>
      <w:r>
        <w:rPr>
          <w:rFonts w:ascii="仿宋" w:hAnsi="仿宋" w:eastAsia="仿宋" w:cs="Courier New"/>
          <w:color w:val="000000"/>
          <w:sz w:val="28"/>
          <w:szCs w:val="28"/>
          <w:highlight w:val="none"/>
        </w:rPr>
        <w:t xml:space="preserve">签订日期：    年  </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月  </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日</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签订日期：      年  </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月  </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日</w:t>
      </w:r>
      <w:r>
        <w:rPr>
          <w:rFonts w:ascii="黑体" w:hAnsi="Courier New" w:eastAsia="黑体" w:cs="Courier New"/>
          <w:bCs/>
          <w:color w:val="000000"/>
          <w:sz w:val="44"/>
          <w:szCs w:val="21"/>
          <w:highlight w:val="none"/>
        </w:rPr>
      </w:r>
      <w:r/>
    </w:p>
    <w:p>
      <w:pPr>
        <w:pStyle w:val="750"/>
        <w:rPr>
          <w:rFonts w:hint="eastAsia" w:ascii="宋体" w:hAnsi="宋体" w:cs="Courier New"/>
          <w:color w:val="000000"/>
          <w:sz w:val="24"/>
          <w:szCs w:val="24"/>
        </w:rPr>
      </w:pPr>
      <w:r/>
      <w:bookmarkStart w:id="217" w:name="_Hlt16619369"/>
      <w:r/>
      <w:bookmarkEnd w:id="217"/>
      <w:r>
        <w:rPr>
          <w:rFonts w:hint="eastAsia" w:ascii="黑体" w:hAnsi="Courier New" w:eastAsia="黑体" w:cs="Courier New"/>
          <w:bCs/>
          <w:color w:val="000000"/>
          <w:sz w:val="44"/>
          <w:szCs w:val="21"/>
          <w:highlight w:val="none"/>
        </w:rPr>
        <w:br w:type="page" w:clear="all"/>
      </w:r>
      <w:r>
        <w:rPr>
          <w:rFonts w:hint="eastAsia" w:ascii="Arial" w:hAnsi="Arial" w:cs="Times New Roman"/>
          <w:b/>
          <w:bCs/>
        </w:rPr>
        <w:t xml:space="preserve">第</w:t>
      </w:r>
      <w:bookmarkEnd w:id="211"/>
      <w:r>
        <w:rPr>
          <w:rFonts w:hint="eastAsia" w:ascii="Arial" w:hAnsi="Arial" w:cs="Times New Roman"/>
          <w:b/>
          <w:bCs/>
        </w:rPr>
        <w:t xml:space="preserve">四章 采购需求</w:t>
      </w:r>
      <w:bookmarkEnd w:id="210"/>
      <w:r/>
      <w:bookmarkEnd w:id="212"/>
      <w:r/>
      <w:bookmarkEnd w:id="213"/>
      <w:r/>
      <w:bookmarkEnd w:id="214"/>
      <w:r>
        <w:rPr>
          <w:rFonts w:hint="eastAsia" w:ascii="宋体" w:hAnsi="宋体" w:cs="Courier New"/>
          <w:color w:val="000000"/>
          <w:sz w:val="24"/>
          <w:szCs w:val="24"/>
        </w:rPr>
      </w:r>
      <w:r/>
    </w:p>
    <w:p>
      <w:pPr>
        <w:pStyle w:val="748"/>
        <w:spacing w:line="480" w:lineRule="exact"/>
        <w:rPr>
          <w:rFonts w:hint="eastAsia" w:ascii="Times New Roman" w:hAnsi="Times New Roman" w:eastAsia="宋体" w:cs="Times New Roman"/>
          <w:b/>
          <w:bCs/>
          <w:color w:val="000000"/>
          <w:sz w:val="28"/>
          <w:szCs w:val="28"/>
        </w:rPr>
      </w:pPr>
      <w:r/>
      <w:bookmarkStart w:id="218" w:name="_Toc49090575"/>
      <w:r/>
      <w:bookmarkStart w:id="219" w:name="_Toc26554093"/>
      <w:r>
        <w:rPr>
          <w:rFonts w:hint="eastAsia" w:ascii="Times New Roman" w:hAnsi="Times New Roman" w:eastAsia="宋体" w:cs="Times New Roman"/>
          <w:b/>
          <w:bCs/>
          <w:color w:val="000000"/>
          <w:sz w:val="28"/>
          <w:szCs w:val="28"/>
        </w:rPr>
        <w:t xml:space="preserve">项目属性:货物类项目。</w:t>
      </w:r>
      <w:r>
        <w:rPr>
          <w:rFonts w:hint="eastAsia" w:ascii="Times New Roman" w:hAnsi="Times New Roman" w:eastAsia="宋体" w:cs="Times New Roman"/>
          <w:b/>
          <w:bCs/>
          <w:color w:val="000000"/>
          <w:sz w:val="28"/>
          <w:szCs w:val="28"/>
        </w:rPr>
      </w:r>
      <w:r/>
    </w:p>
    <w:p>
      <w:pPr>
        <w:pStyle w:val="748"/>
        <w:spacing w:line="480" w:lineRule="exact"/>
        <w:rPr>
          <w:rFonts w:hint="eastAsia" w:ascii="Times New Roman" w:hAnsi="Times New Roman" w:eastAsia="宋体" w:cs="Times New Roman"/>
          <w:b/>
          <w:bCs/>
          <w:color w:val="000000"/>
          <w:sz w:val="28"/>
          <w:szCs w:val="28"/>
        </w:rPr>
      </w:pPr>
      <w:r>
        <w:rPr>
          <w:rFonts w:hint="eastAsia" w:ascii="Times New Roman" w:hAnsi="Times New Roman" w:eastAsia="宋体" w:cs="Times New Roman"/>
          <w:b/>
          <w:bCs/>
          <w:color w:val="000000"/>
          <w:sz w:val="28"/>
          <w:szCs w:val="28"/>
        </w:rPr>
        <w:t xml:space="preserve">一、项目概况</w:t>
      </w:r>
      <w:r>
        <w:rPr>
          <w:rFonts w:hint="eastAsia" w:ascii="Times New Roman" w:hAnsi="Times New Roman" w:eastAsia="宋体" w:cs="Times New Roman"/>
          <w:b/>
          <w:bCs/>
          <w:color w:val="000000"/>
          <w:sz w:val="28"/>
          <w:szCs w:val="28"/>
        </w:rPr>
      </w:r>
      <w:r/>
    </w:p>
    <w:p>
      <w:pPr>
        <w:pStyle w:val="748"/>
        <w:spacing w:line="480" w:lineRule="exact"/>
        <w:rPr>
          <w:rFonts w:hint="eastAsia"/>
          <w:b/>
          <w:bCs/>
          <w:color w:val="000000"/>
          <w:sz w:val="28"/>
          <w:szCs w:val="28"/>
        </w:rPr>
      </w:pPr>
      <w:r>
        <w:rPr>
          <w:rFonts w:hint="eastAsia" w:ascii="Times New Roman" w:hAnsi="Times New Roman" w:eastAsia="宋体" w:cs="Times New Roman"/>
          <w:b/>
          <w:bCs/>
          <w:color w:val="000000"/>
          <w:sz w:val="28"/>
          <w:szCs w:val="28"/>
        </w:rPr>
        <w:t xml:space="preserve">1、采</w:t>
      </w:r>
      <w:r>
        <w:rPr>
          <w:rFonts w:hint="eastAsia"/>
          <w:b/>
          <w:bCs/>
          <w:color w:val="000000"/>
          <w:sz w:val="28"/>
          <w:szCs w:val="28"/>
        </w:rPr>
        <w:t xml:space="preserve">购标的需实现的功能或者目标, 以及为落实政府采购政策需满足的要求</w:t>
      </w:r>
      <w:r>
        <w:rPr>
          <w:rFonts w:hint="eastAsia"/>
          <w:b/>
          <w:bCs/>
          <w:color w:val="000000"/>
          <w:sz w:val="28"/>
          <w:szCs w:val="28"/>
        </w:rPr>
      </w:r>
      <w:r/>
    </w:p>
    <w:p>
      <w:pPr>
        <w:pStyle w:val="748"/>
        <w:ind w:firstLine="420"/>
        <w:spacing w:line="360" w:lineRule="auto"/>
        <w:rPr>
          <w:rFonts w:hint="eastAsia" w:ascii="宋体" w:hAnsi="宋体"/>
          <w:bCs/>
          <w:sz w:val="28"/>
          <w:szCs w:val="28"/>
        </w:rPr>
      </w:pPr>
      <w:r>
        <w:rPr>
          <w:rFonts w:hint="eastAsia" w:ascii="宋体" w:hAnsi="宋体"/>
          <w:bCs/>
          <w:sz w:val="28"/>
          <w:szCs w:val="28"/>
        </w:rPr>
        <w:t xml:space="preserve">南通市第一人民医院临床技能模拟中心信息化项目预计建设成一个可以覆盖我院主要教学日常工作的信息化平台，项目建设内容由一个大平台多个子系统组成，包括住院医师规范化培训管理系统、本科生管理系统、进修生管理系统、模拟教学中心教学管理平台及配套硬件设备。平台建成后可实现我院教学工作信息化、智慧化升级，各项工作可做到规范化管理、精细化管理。教学相关的数据可及时上报、及时汇总分析、所有数据均可回溯。帮助教学管理部门提升教学工作的效率和质量。</w:t>
      </w:r>
      <w:r>
        <w:rPr>
          <w:rFonts w:hint="eastAsia"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1.1标准化和开放性</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系统的标准化和开放性必须遵循的，要实现信息通信与共享，须规范信息技术标准。采用业务内标准的技术体系和设计方法，使系统具备与各种层次的平台的相关性和兼容性。在使用新技术的同时，充分考虑技术的国际标准化，严格按照国际国内相关标准设计实施。</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1.2先进性和超前性</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在实用可靠的前提下还要具备扩展性。技术上立足于长远发展，坚持选用开放性系统，使系统和将来的新技术能平滑过渡。采用先进的体系结构和技术发展的主流产品，确保整个系统高效运行。</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1.3实用性和方便性</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系统建设要以满足需求为首要目标，采用稳定可靠的成熟技术，保证系统长期安全运行。确保系统应用后能为各级业务和管理节点提供智能化的网络信息环境，以提高管理水平和工作的效率。</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1.4安全性和保密性</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遵循有关信息安全标准，具有切实可行的安全保护和保密措施，确保数据永久安全。系统应提供多方式、多层次、多渠道的安全保密措施，防止各种形式与途径的非法侵入和机密信息的泄露，保证系统中数据的安全。</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1.5稳定性和可靠性</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系统建成并投入使用后，将成为支撑系统平稳运转的运行平台。因此系统必须在成本可以接受的条件下，从系统结构、设计方案、设备选型、厂商的技术服务、维护响应能力以及备件供应能力等方面考虑，使系统故障发生的可能性尽可能少，对各种可能出现的紧急情况有可行的应急预案。</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1.6可维护性和可扩展性</w:t>
      </w:r>
      <w:r>
        <w:rPr>
          <w:rFonts w:ascii="宋体" w:hAnsi="宋体"/>
          <w:bCs/>
          <w:sz w:val="28"/>
          <w:szCs w:val="28"/>
        </w:rPr>
      </w:r>
      <w:r/>
    </w:p>
    <w:p>
      <w:pPr>
        <w:pStyle w:val="748"/>
        <w:ind w:firstLine="420"/>
        <w:spacing w:line="360" w:lineRule="auto"/>
        <w:rPr>
          <w:rFonts w:ascii="宋体" w:hAnsi="宋体"/>
          <w:bCs/>
          <w:sz w:val="28"/>
          <w:szCs w:val="28"/>
        </w:rPr>
      </w:pPr>
      <w:r>
        <w:rPr>
          <w:rFonts w:hint="eastAsia" w:ascii="宋体" w:hAnsi="宋体"/>
          <w:bCs/>
          <w:sz w:val="28"/>
          <w:szCs w:val="28"/>
        </w:rPr>
        <w:t xml:space="preserve">要保证系统能在各种操作系统和不同的平台上移植。实现信息标准统一，以便日后的系统维护。在设计过程中，充分考虑在未来若干年内的发展趋势，具有一定的前瞻性，并充分考虑了系统升级、扩容、扩充和维护的可行性。</w:t>
      </w:r>
      <w:r>
        <w:rPr>
          <w:rFonts w:ascii="宋体" w:hAnsi="宋体"/>
          <w:bCs/>
          <w:sz w:val="28"/>
          <w:szCs w:val="28"/>
        </w:rPr>
      </w:r>
      <w:r/>
    </w:p>
    <w:p>
      <w:pPr>
        <w:pStyle w:val="748"/>
        <w:spacing w:line="360" w:lineRule="auto"/>
        <w:rPr>
          <w:rFonts w:ascii="宋体" w:hAnsi="宋体"/>
          <w:b/>
          <w:bCs/>
          <w:color w:val="000000"/>
          <w:sz w:val="28"/>
          <w:szCs w:val="28"/>
        </w:rPr>
      </w:pPr>
      <w:r>
        <w:rPr>
          <w:rFonts w:hint="eastAsia" w:ascii="宋体" w:hAnsi="宋体"/>
          <w:b/>
          <w:bCs/>
          <w:color w:val="000000"/>
          <w:sz w:val="28"/>
          <w:szCs w:val="28"/>
        </w:rPr>
        <w:t xml:space="preserve">2、</w:t>
      </w:r>
      <w:r>
        <w:rPr>
          <w:rFonts w:ascii="宋体" w:hAnsi="宋体"/>
          <w:b/>
          <w:bCs/>
          <w:color w:val="000000"/>
          <w:sz w:val="28"/>
          <w:szCs w:val="28"/>
        </w:rPr>
        <w:t xml:space="preserve">采购标的需执行的国家相关标准、行业标准、地方标准或者其他标准、规范</w:t>
      </w:r>
      <w:r>
        <w:rPr>
          <w:rFonts w:ascii="宋体" w:hAnsi="宋体"/>
          <w:b/>
          <w:bCs/>
          <w:color w:val="000000"/>
          <w:sz w:val="28"/>
          <w:szCs w:val="28"/>
        </w:rPr>
      </w:r>
      <w:r/>
    </w:p>
    <w:p>
      <w:pPr>
        <w:pStyle w:val="866"/>
        <w:ind w:firstLine="420"/>
        <w:jc w:val="both"/>
        <w:spacing w:before="0" w:beforeAutospacing="0" w:after="0" w:afterAutospacing="0" w:line="360" w:lineRule="auto"/>
        <w:rPr>
          <w:rFonts w:cs="Times New Roman"/>
          <w:color w:val="000000"/>
          <w:sz w:val="28"/>
          <w:szCs w:val="28"/>
        </w:rPr>
      </w:pPr>
      <w:r>
        <w:rPr>
          <w:rFonts w:cs="Times New Roman"/>
          <w:color w:val="000000"/>
          <w:sz w:val="28"/>
          <w:szCs w:val="28"/>
        </w:rPr>
        <w:t xml:space="preserve">采购标的技术标准按国家标准执行，无国家标准的，按行业标准执行，无国家和行业标准的，按企业标准执行；但在招标文件中有特别要求的，按招标文件中规定的要求执行，并且符合相关法律、法规规定的要求。</w:t>
      </w:r>
      <w:r>
        <w:rPr>
          <w:rFonts w:cs="Times New Roman"/>
          <w:color w:val="000000"/>
          <w:sz w:val="28"/>
          <w:szCs w:val="28"/>
        </w:rPr>
      </w:r>
      <w:r/>
    </w:p>
    <w:p>
      <w:pPr>
        <w:pStyle w:val="866"/>
        <w:ind w:firstLine="420"/>
        <w:jc w:val="both"/>
        <w:spacing w:before="0" w:beforeAutospacing="0" w:after="0" w:afterAutospacing="0" w:line="360" w:lineRule="auto"/>
        <w:rPr>
          <w:rFonts w:hint="eastAsia" w:cs="Times New Roman"/>
          <w:color w:val="000000"/>
          <w:sz w:val="28"/>
          <w:szCs w:val="28"/>
        </w:rPr>
      </w:pPr>
      <w:r>
        <w:rPr>
          <w:rFonts w:hint="eastAsia" w:cs="Times New Roman"/>
          <w:color w:val="000000"/>
          <w:sz w:val="28"/>
          <w:szCs w:val="28"/>
          <w:lang w:val="en-US" w:eastAsia="zh-CN"/>
        </w:rPr>
        <w:t xml:space="preserve">（1）切实履行绿色采购，参照《江苏省财政厅关于加强政府绿色采购有关事项的通知》（苏财购</w:t>
      </w:r>
      <w:r>
        <w:rPr>
          <w:rFonts w:hint="eastAsia" w:cs="Times New Roman"/>
          <w:color w:val="000000"/>
          <w:sz w:val="28"/>
          <w:szCs w:val="28"/>
        </w:rPr>
        <w:t xml:space="preserve">〔202</w:t>
      </w:r>
      <w:r>
        <w:rPr>
          <w:rFonts w:hint="eastAsia" w:cs="Times New Roman"/>
          <w:color w:val="000000"/>
          <w:sz w:val="28"/>
          <w:szCs w:val="28"/>
          <w:lang w:val="en-US" w:eastAsia="zh-CN"/>
        </w:rPr>
        <w:t xml:space="preserve">3</w:t>
      </w:r>
      <w:r>
        <w:rPr>
          <w:rFonts w:hint="eastAsia" w:cs="Times New Roman"/>
          <w:color w:val="000000"/>
          <w:sz w:val="28"/>
          <w:szCs w:val="28"/>
        </w:rPr>
        <w:t xml:space="preserve">〕</w:t>
      </w:r>
      <w:r>
        <w:rPr>
          <w:rFonts w:hint="eastAsia" w:cs="Times New Roman"/>
          <w:color w:val="000000"/>
          <w:sz w:val="28"/>
          <w:szCs w:val="28"/>
          <w:lang w:val="en-US" w:eastAsia="zh-CN"/>
        </w:rPr>
        <w:t xml:space="preserve">65</w:t>
      </w:r>
      <w:r>
        <w:rPr>
          <w:rFonts w:hint="eastAsia" w:cs="Times New Roman"/>
          <w:color w:val="000000"/>
          <w:sz w:val="28"/>
          <w:szCs w:val="28"/>
        </w:rPr>
        <w:t xml:space="preserve">号</w:t>
      </w:r>
      <w:r>
        <w:rPr>
          <w:rFonts w:hint="eastAsia" w:cs="Times New Roman"/>
          <w:color w:val="000000"/>
          <w:sz w:val="28"/>
          <w:szCs w:val="28"/>
          <w:lang w:eastAsia="zh-CN"/>
        </w:rPr>
        <w:t xml:space="preserve">），严格落实节能环保产品采购政策，严格执行绿色采购需求标准，推广使用低挥发性有机化合物产品，确保绿色采购落实到位。</w:t>
      </w:r>
      <w:r>
        <w:rPr>
          <w:rFonts w:hint="eastAsia" w:cs="Times New Roman"/>
          <w:color w:val="000000"/>
          <w:sz w:val="28"/>
          <w:szCs w:val="28"/>
        </w:rPr>
      </w:r>
      <w:r/>
    </w:p>
    <w:p>
      <w:pPr>
        <w:pStyle w:val="866"/>
        <w:ind w:firstLine="420"/>
        <w:jc w:val="both"/>
        <w:spacing w:before="0" w:beforeAutospacing="0" w:after="0" w:afterAutospacing="0" w:line="360" w:lineRule="auto"/>
        <w:rPr>
          <w:rFonts w:hint="eastAsia" w:cs="Times New Roman"/>
          <w:color w:val="000000"/>
          <w:sz w:val="28"/>
          <w:szCs w:val="28"/>
          <w:lang w:val="zh-CN" w:eastAsia="zh-CN"/>
        </w:rPr>
      </w:pPr>
      <w:r>
        <w:rPr>
          <w:rFonts w:hint="eastAsia" w:cs="Times New Roman"/>
          <w:color w:val="000000"/>
          <w:sz w:val="28"/>
          <w:szCs w:val="28"/>
          <w:lang w:val="en-US" w:eastAsia="zh-CN"/>
        </w:rPr>
        <w:t xml:space="preserve">（2）节能环保产品：</w:t>
      </w:r>
      <w:r>
        <w:rPr>
          <w:rFonts w:hint="eastAsia" w:cs="Times New Roman"/>
          <w:color w:val="000000"/>
          <w:sz w:val="28"/>
          <w:szCs w:val="28"/>
          <w:lang w:val="zh-CN"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cs="Times New Roman"/>
          <w:color w:val="000000"/>
          <w:sz w:val="28"/>
          <w:szCs w:val="28"/>
          <w:lang w:val="zh-CN" w:eastAsia="zh-CN"/>
        </w:rPr>
      </w:r>
      <w:r/>
    </w:p>
    <w:p>
      <w:pPr>
        <w:pStyle w:val="866"/>
        <w:ind w:firstLine="420"/>
        <w:jc w:val="both"/>
        <w:spacing w:before="0" w:beforeAutospacing="0" w:after="0" w:afterAutospacing="0" w:line="360" w:lineRule="auto"/>
        <w:rPr>
          <w:rFonts w:hint="eastAsia" w:cs="Times New Roman"/>
          <w:color w:val="000000"/>
          <w:sz w:val="28"/>
          <w:szCs w:val="28"/>
          <w:lang w:val="en-US" w:eastAsia="zh-CN"/>
        </w:rPr>
      </w:pPr>
      <w:r>
        <w:rPr>
          <w:rFonts w:hint="eastAsia" w:cs="Times New Roman"/>
          <w:color w:val="000000"/>
          <w:sz w:val="28"/>
          <w:szCs w:val="28"/>
          <w:lang w:val="en-US" w:eastAsia="zh-CN"/>
        </w:rPr>
        <w:t xml:space="preserve">（3）采购人要严格执行绿色采购需求标准，参照《商品包装政府采购需求标准（试行）》《快递包装政府采购需求标准（试行）》（财办库〔2020〕123号）、《绿色数据中心政府采购需求标准（试行）》（财库〔2023〕7号）。</w:t>
      </w:r>
      <w:r>
        <w:rPr>
          <w:rFonts w:hint="eastAsia" w:cs="Times New Roman"/>
          <w:color w:val="000000"/>
          <w:sz w:val="28"/>
          <w:szCs w:val="28"/>
          <w:lang w:val="en-US" w:eastAsia="zh-CN"/>
        </w:rPr>
      </w:r>
      <w:r/>
    </w:p>
    <w:p>
      <w:pPr>
        <w:pStyle w:val="866"/>
        <w:ind w:firstLine="420"/>
        <w:jc w:val="both"/>
        <w:spacing w:before="0" w:beforeAutospacing="0" w:after="0" w:afterAutospacing="0" w:line="360" w:lineRule="auto"/>
        <w:rPr>
          <w:rFonts w:hint="eastAsia" w:cs="Times New Roman"/>
          <w:color w:val="000000"/>
          <w:sz w:val="28"/>
          <w:szCs w:val="28"/>
          <w:lang w:val="en-US" w:eastAsia="zh-CN"/>
        </w:rPr>
      </w:pPr>
      <w:r>
        <w:rPr>
          <w:rFonts w:hint="eastAsia" w:cs="Times New Roman"/>
          <w:color w:val="000000"/>
          <w:sz w:val="28"/>
          <w:szCs w:val="28"/>
          <w:lang w:val="en-US" w:eastAsia="zh-CN"/>
        </w:rPr>
      </w:r>
      <w:r/>
    </w:p>
    <w:p>
      <w:pPr>
        <w:pStyle w:val="748"/>
        <w:spacing w:line="360" w:lineRule="auto"/>
        <w:rPr>
          <w:rFonts w:hint="eastAsia"/>
        </w:rPr>
      </w:pPr>
      <w:r>
        <w:rPr>
          <w:rFonts w:hint="eastAsia" w:ascii="宋体" w:hAnsi="宋体" w:eastAsia="宋体" w:cs="Times New Roman"/>
          <w:b/>
          <w:bCs/>
          <w:color w:val="000000"/>
          <w:sz w:val="28"/>
          <w:szCs w:val="28"/>
          <w:lang w:val="en-US" w:eastAsia="zh-CN"/>
        </w:rPr>
        <w:t xml:space="preserve">二、</w:t>
      </w:r>
      <w:r>
        <w:rPr>
          <w:rFonts w:hint="eastAsia" w:ascii="宋体" w:hAnsi="宋体" w:eastAsia="宋体" w:cs="Times New Roman"/>
          <w:b/>
          <w:bCs/>
          <w:color w:val="000000"/>
          <w:sz w:val="28"/>
          <w:szCs w:val="28"/>
        </w:rPr>
        <w:t xml:space="preserve">技术要求部分</w:t>
      </w:r>
      <w:r>
        <w:rPr>
          <w:rFonts w:hint="eastAsia"/>
        </w:rPr>
      </w:r>
      <w:r/>
    </w:p>
    <w:p>
      <w:pPr>
        <w:pStyle w:val="748"/>
        <w:spacing w:line="360" w:lineRule="auto"/>
        <w:rPr>
          <w:rFonts w:ascii="宋体" w:hAnsi="宋体"/>
          <w:b/>
          <w:bCs/>
          <w:color w:val="000000"/>
          <w:sz w:val="28"/>
          <w:szCs w:val="28"/>
        </w:rPr>
      </w:pPr>
      <w:r>
        <w:rPr>
          <w:rFonts w:hint="eastAsia" w:ascii="宋体" w:hAnsi="宋体"/>
          <w:b/>
          <w:bCs/>
          <w:color w:val="000000"/>
          <w:sz w:val="28"/>
          <w:szCs w:val="28"/>
        </w:rPr>
        <w:t xml:space="preserve">1．</w:t>
      </w:r>
      <w:r>
        <w:rPr>
          <w:rFonts w:ascii="宋体" w:hAnsi="宋体"/>
          <w:b/>
          <w:bCs/>
          <w:color w:val="000000"/>
          <w:sz w:val="28"/>
          <w:szCs w:val="28"/>
        </w:rPr>
        <w:t xml:space="preserve">采购标的需满足的质量、安全、技术规格、物理特性等要求</w:t>
      </w:r>
      <w:r>
        <w:rPr>
          <w:rFonts w:ascii="宋体" w:hAnsi="宋体"/>
          <w:b/>
          <w:bCs/>
          <w:color w:val="000000"/>
          <w:sz w:val="28"/>
          <w:szCs w:val="28"/>
        </w:rPr>
      </w:r>
      <w:r/>
    </w:p>
    <w:p>
      <w:pPr>
        <w:pStyle w:val="748"/>
        <w:keepLines/>
        <w:keepNext/>
        <w:spacing w:before="145" w:after="145" w:line="480" w:lineRule="exact"/>
        <w:rPr>
          <w:rFonts w:ascii="仿宋" w:hAnsi="仿宋" w:eastAsia="仿宋"/>
          <w:b/>
          <w:color w:val="000000"/>
          <w:sz w:val="28"/>
          <w:szCs w:val="28"/>
        </w:rPr>
        <w:outlineLvl w:val="2"/>
      </w:pPr>
      <w:r>
        <w:rPr>
          <w:rFonts w:hint="eastAsia" w:ascii="仿宋" w:hAnsi="仿宋" w:eastAsia="仿宋"/>
          <w:b/>
          <w:color w:val="000000"/>
          <w:sz w:val="28"/>
          <w:szCs w:val="28"/>
        </w:rPr>
        <w:t xml:space="preserve">1.1采购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3562"/>
        <w:gridCol w:w="1550"/>
        <w:gridCol w:w="1550"/>
        <w:gridCol w:w="1550"/>
      </w:tblGrid>
      <w:tr>
        <w:trPr>
          <w:cantSplit/>
        </w:trPr>
        <w:tc>
          <w:tcPr>
            <w:tcW w:w="833" w:type="dxa"/>
            <w:vAlign w:val="center"/>
            <w:textDirection w:val="lrTb"/>
            <w:noWrap w:val="false"/>
          </w:tcPr>
          <w:p>
            <w:pPr>
              <w:pStyle w:val="748"/>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序号</w:t>
            </w:r>
            <w:r>
              <w:rPr>
                <w:rFonts w:ascii="仿宋" w:hAnsi="仿宋" w:eastAsia="仿宋"/>
                <w:color w:val="000000"/>
                <w:sz w:val="28"/>
                <w:szCs w:val="28"/>
              </w:rPr>
            </w:r>
            <w:r/>
          </w:p>
        </w:tc>
        <w:tc>
          <w:tcPr>
            <w:tcW w:w="3562" w:type="dxa"/>
            <w:vAlign w:val="center"/>
            <w:textDirection w:val="lrTb"/>
            <w:noWrap w:val="false"/>
          </w:tcPr>
          <w:p>
            <w:pPr>
              <w:pStyle w:val="748"/>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采购</w:t>
            </w:r>
            <w:r>
              <w:rPr>
                <w:rFonts w:ascii="仿宋" w:hAnsi="仿宋" w:eastAsia="仿宋"/>
                <w:color w:val="000000"/>
                <w:sz w:val="28"/>
                <w:szCs w:val="28"/>
              </w:rPr>
              <w:t xml:space="preserve">标的</w:t>
            </w:r>
            <w:r>
              <w:rPr>
                <w:rFonts w:ascii="仿宋" w:hAnsi="仿宋" w:eastAsia="仿宋"/>
                <w:color w:val="000000"/>
                <w:sz w:val="28"/>
                <w:szCs w:val="28"/>
              </w:rPr>
            </w:r>
            <w:r/>
          </w:p>
        </w:tc>
        <w:tc>
          <w:tcPr>
            <w:tcW w:w="1550" w:type="dxa"/>
            <w:vAlign w:val="center"/>
            <w:textDirection w:val="lrTb"/>
            <w:noWrap w:val="false"/>
          </w:tcPr>
          <w:p>
            <w:pPr>
              <w:pStyle w:val="748"/>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对应中</w:t>
            </w:r>
            <w:r>
              <w:rPr>
                <w:rFonts w:ascii="仿宋" w:hAnsi="仿宋" w:eastAsia="仿宋"/>
                <w:color w:val="000000"/>
                <w:sz w:val="28"/>
                <w:szCs w:val="28"/>
              </w:rPr>
              <w:t xml:space="preserve">小企业划分标准所属行业</w:t>
            </w:r>
            <w:r>
              <w:rPr>
                <w:rFonts w:ascii="仿宋" w:hAnsi="仿宋" w:eastAsia="仿宋"/>
                <w:color w:val="000000"/>
                <w:sz w:val="28"/>
                <w:szCs w:val="28"/>
              </w:rPr>
            </w:r>
            <w:r/>
          </w:p>
        </w:tc>
        <w:tc>
          <w:tcPr>
            <w:tcW w:w="1550"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主要标的核心产品</w:t>
            </w:r>
            <w:r>
              <w:rPr>
                <w:rFonts w:hint="eastAsia" w:ascii="仿宋" w:hAnsi="仿宋" w:eastAsia="仿宋"/>
                <w:color w:val="000000"/>
                <w:sz w:val="28"/>
                <w:szCs w:val="28"/>
              </w:rPr>
            </w:r>
            <w:r/>
          </w:p>
        </w:tc>
        <w:tc>
          <w:tcPr>
            <w:tcW w:w="1550"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是否属于强制节能产品</w:t>
            </w:r>
            <w:r>
              <w:rPr>
                <w:rFonts w:hint="eastAsia" w:ascii="仿宋" w:hAnsi="仿宋" w:eastAsia="仿宋"/>
                <w:color w:val="000000"/>
                <w:sz w:val="28"/>
                <w:szCs w:val="28"/>
              </w:rPr>
            </w:r>
            <w:r/>
          </w:p>
        </w:tc>
      </w:tr>
      <w:tr>
        <w:trPr>
          <w:cantSplit/>
          <w:trHeight w:val="291"/>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教学综合管理平台</w:t>
            </w:r>
            <w:r>
              <w:rPr>
                <w:rFonts w:hint="eastAsia" w:ascii="仿宋" w:hAnsi="仿宋" w:eastAsia="仿宋"/>
                <w:sz w:val="28"/>
                <w:szCs w:val="28"/>
              </w:rPr>
            </w:r>
            <w:r/>
          </w:p>
        </w:tc>
        <w:tc>
          <w:tcPr>
            <w:tcW w:w="1550" w:type="dxa"/>
            <w:vAlign w:val="top"/>
            <w:vMerge w:val="restart"/>
            <w:textDirection w:val="lrTb"/>
            <w:noWrap w:val="false"/>
          </w:tcPr>
          <w:p>
            <w:pPr>
              <w:pStyle w:val="748"/>
              <w:jc w:val="center"/>
              <w:spacing w:line="480" w:lineRule="exact"/>
              <w:rPr>
                <w:rFonts w:hint="eastAsia" w:ascii="仿宋" w:hAnsi="仿宋" w:eastAsia="仿宋"/>
                <w:color w:val="000000"/>
                <w:sz w:val="28"/>
                <w:szCs w:val="28"/>
                <w:highlight w:val="yellow"/>
              </w:rPr>
            </w:pPr>
            <w:r>
              <w:rPr>
                <w:rFonts w:hint="eastAsia" w:ascii="仿宋" w:hAnsi="仿宋" w:eastAsia="仿宋"/>
                <w:color w:val="000000"/>
                <w:sz w:val="28"/>
                <w:szCs w:val="28"/>
              </w:rPr>
              <w:t xml:space="preserve">信息传输业</w:t>
            </w:r>
            <w:r>
              <w:rPr>
                <w:rFonts w:hint="eastAsia" w:ascii="仿宋" w:hAnsi="仿宋" w:eastAsia="仿宋"/>
                <w:color w:val="000000"/>
                <w:sz w:val="28"/>
                <w:szCs w:val="28"/>
                <w:highlight w:val="yellow"/>
              </w:rPr>
            </w:r>
            <w:r/>
          </w:p>
        </w:tc>
        <w:tc>
          <w:tcPr>
            <w:tcW w:w="1550"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是</w:t>
            </w:r>
            <w:r>
              <w:rPr>
                <w:rFonts w:hint="eastAsia" w:ascii="仿宋" w:hAnsi="仿宋" w:eastAsia="仿宋"/>
                <w:color w:val="000000"/>
                <w:sz w:val="28"/>
                <w:szCs w:val="28"/>
              </w:rPr>
            </w:r>
            <w:r/>
          </w:p>
        </w:tc>
        <w:tc>
          <w:tcPr>
            <w:tcW w:w="1550" w:type="dxa"/>
            <w:vAlign w:val="top"/>
            <w:textDirection w:val="lrTb"/>
            <w:noWrap w:val="false"/>
          </w:tcPr>
          <w:p>
            <w:pPr>
              <w:pStyle w:val="748"/>
              <w:jc w:val="center"/>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tc>
      </w:tr>
      <w:tr>
        <w:trPr>
          <w:cantSplit/>
          <w:trHeight w:val="235"/>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全景摄像机</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000000"/>
                <w:sz w:val="28"/>
                <w:szCs w:val="28"/>
                <w:highlight w:val="yellow"/>
              </w:rPr>
            </w:pPr>
            <w:r>
              <w:rPr>
                <w:rFonts w:ascii="仿宋" w:hAnsi="仿宋" w:eastAsia="仿宋"/>
                <w:color w:val="00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000000"/>
                <w:sz w:val="28"/>
                <w:szCs w:val="28"/>
                <w:highlight w:val="yellow"/>
              </w:rPr>
            </w:pPr>
            <w:r>
              <w:rPr>
                <w:rFonts w:ascii="仿宋" w:hAnsi="仿宋" w:eastAsia="仿宋"/>
                <w:color w:val="00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高保真拾音器</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6T硬盘</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视频分配器</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65寸液晶监视器</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w:t>
            </w: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W w:w="3562" w:type="dxa"/>
            <w:vAlign w:val="top"/>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HDMI线（12米）</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r>
            <w:r/>
          </w:p>
        </w:tc>
        <w:tc>
          <w:tcPr>
            <w:tcW w:w="3562" w:type="dxa"/>
            <w:vAlign w:val="top"/>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HDMI线（3米）</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cantSplit/>
          <w:trHeight w:val="585"/>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人脸识别签到机</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10</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11寸平板电脑</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hint="eastAsia" w:ascii="仿宋" w:hAnsi="仿宋" w:eastAsia="仿宋"/>
                <w:color w:val="000000"/>
                <w:sz w:val="28"/>
                <w:szCs w:val="28"/>
                <w:highlight w:val="none"/>
              </w:rPr>
              <w:t xml:space="preserve">是</w:t>
            </w: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11</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40位充电柜</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12</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无线AP</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13</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AC控制器授权</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14</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IP吸顶音响</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15</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IP云网络广播控制中心</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网络化、智能化广播控制软件</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17</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7寸IP网络寻呼话筒</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18</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窗口双向对讲机</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19</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19寸电子门牌</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20</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投影仪</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21</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无线投屏器</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幕布</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数字音频处理器</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24</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8路专业调音台</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25</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300W专业功放</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26</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8寸多功能音箱（带支架）</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8路电源时序器</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一拖二无线话筒</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29</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86寸会议平板</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w:t>
            </w: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30</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65寸会议平板</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w:t>
            </w: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31</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音频辅助耗材</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32</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可视化示教培训综合管理软件</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33</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移动示教推车</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34</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摄录主机</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全景相机</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36</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术野相机</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37</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术野相机吊臂</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38</w:t>
            </w:r>
            <w:r>
              <w:rPr>
                <w:rFonts w:ascii="仿宋" w:hAnsi="仿宋" w:eastAsia="仿宋"/>
                <w:sz w:val="28"/>
                <w:szCs w:val="28"/>
              </w:rPr>
            </w:r>
            <w:r/>
          </w:p>
        </w:tc>
        <w:tc>
          <w:tcPr>
            <w:tcW w:w="3562" w:type="dxa"/>
            <w:vAlign w:val="center"/>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无线麦</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39</w:t>
            </w:r>
            <w:r>
              <w:rPr>
                <w:rFonts w:ascii="仿宋" w:hAnsi="仿宋" w:eastAsia="仿宋"/>
                <w:sz w:val="28"/>
                <w:szCs w:val="28"/>
              </w:rPr>
            </w:r>
            <w:r/>
          </w:p>
        </w:tc>
        <w:tc>
          <w:tcPr>
            <w:tcW w:w="3562" w:type="dxa"/>
            <w:vAlign w:val="top"/>
            <w:textDirection w:val="lrTb"/>
            <w:noWrap w:val="false"/>
          </w:tcPr>
          <w:p>
            <w:pPr>
              <w:pStyle w:val="748"/>
              <w:jc w:val="center"/>
              <w:spacing w:line="480" w:lineRule="exact"/>
              <w:rPr>
                <w:rFonts w:hint="eastAsia" w:ascii="仿宋" w:hAnsi="仿宋" w:eastAsia="仿宋"/>
                <w:sz w:val="28"/>
                <w:szCs w:val="28"/>
              </w:rPr>
            </w:pPr>
            <w:r>
              <w:rPr>
                <w:rFonts w:hint="eastAsia" w:ascii="仿宋" w:hAnsi="仿宋" w:eastAsia="仿宋"/>
                <w:sz w:val="28"/>
                <w:szCs w:val="28"/>
              </w:rPr>
              <w:t xml:space="preserve">音箱</w:t>
            </w:r>
            <w:r>
              <w:rPr>
                <w:rFonts w:hint="eastAsia" w:ascii="仿宋" w:hAnsi="仿宋" w:eastAsia="仿宋"/>
                <w:sz w:val="28"/>
                <w:szCs w:val="28"/>
              </w:rPr>
            </w:r>
            <w:r/>
          </w:p>
        </w:tc>
        <w:tc>
          <w:tcPr>
            <w:tcW w:w="1550" w:type="dxa"/>
            <w:vAlign w:val="top"/>
            <w:vMerge w:val="continue"/>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748"/>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748"/>
              <w:jc w:val="center"/>
              <w:spacing w:line="480" w:lineRule="exact"/>
              <w:rPr>
                <w:rFonts w:ascii="仿宋" w:hAnsi="仿宋" w:eastAsia="仿宋"/>
                <w:sz w:val="28"/>
                <w:szCs w:val="28"/>
              </w:rPr>
            </w:pPr>
            <w:r>
              <w:rPr>
                <w:rFonts w:hint="eastAsia" w:ascii="仿宋" w:hAnsi="仿宋" w:eastAsia="仿宋"/>
                <w:sz w:val="28"/>
                <w:szCs w:val="28"/>
              </w:rPr>
              <w:t xml:space="preserve">40</w:t>
            </w:r>
            <w:r>
              <w:rPr>
                <w:rFonts w:ascii="仿宋" w:hAnsi="仿宋" w:eastAsia="仿宋"/>
                <w:sz w:val="28"/>
                <w:szCs w:val="28"/>
              </w:rPr>
            </w:r>
            <w:r/>
          </w:p>
        </w:tc>
        <w:tc>
          <w:tcPr>
            <w:tcW w:w="3562" w:type="dxa"/>
            <w:vAlign w:val="top"/>
            <w:textDirection w:val="lrTb"/>
            <w:noWrap w:val="false"/>
          </w:tcPr>
          <w:p>
            <w:pPr>
              <w:pStyle w:val="748"/>
              <w:jc w:val="center"/>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24寸监视器</w:t>
            </w:r>
            <w:r>
              <w:rPr>
                <w:rFonts w:hint="eastAsia" w:ascii="仿宋" w:hAnsi="仿宋" w:eastAsia="仿宋"/>
                <w:color w:val="000000"/>
                <w:sz w:val="28"/>
                <w:szCs w:val="28"/>
                <w:highlight w:val="none"/>
              </w:rPr>
            </w:r>
            <w:r/>
          </w:p>
        </w:tc>
        <w:tc>
          <w:tcPr>
            <w:tcW w:w="1550" w:type="dxa"/>
            <w:vAlign w:val="top"/>
            <w:vMerge w:val="continue"/>
            <w:textDirection w:val="lrTb"/>
            <w:noWrap w:val="false"/>
          </w:tcPr>
          <w:p>
            <w:pPr>
              <w:pStyle w:val="748"/>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50" w:type="dxa"/>
            <w:vAlign w:val="top"/>
            <w:textDirection w:val="lrTb"/>
            <w:noWrap w:val="false"/>
          </w:tcPr>
          <w:p>
            <w:pPr>
              <w:pStyle w:val="748"/>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50" w:type="dxa"/>
            <w:vAlign w:val="top"/>
            <w:textDirection w:val="lrTb"/>
            <w:noWrap w:val="false"/>
          </w:tcPr>
          <w:p>
            <w:pPr>
              <w:pStyle w:val="748"/>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w:t>
            </w:r>
            <w:r>
              <w:rPr>
                <w:rFonts w:ascii="仿宋" w:hAnsi="仿宋" w:eastAsia="仿宋"/>
                <w:color w:val="000000"/>
                <w:sz w:val="28"/>
                <w:szCs w:val="28"/>
                <w:highlight w:val="none"/>
              </w:rPr>
            </w:r>
            <w:r/>
          </w:p>
        </w:tc>
      </w:tr>
    </w:tbl>
    <w:p>
      <w:pPr>
        <w:pStyle w:val="748"/>
        <w:keepLines/>
        <w:keepNext/>
        <w:spacing w:before="145" w:after="145" w:line="480" w:lineRule="exact"/>
        <w:rPr>
          <w:rFonts w:hint="eastAsia" w:ascii="仿宋" w:hAnsi="仿宋" w:eastAsia="仿宋"/>
          <w:b/>
          <w:color w:val="000000"/>
          <w:sz w:val="28"/>
          <w:szCs w:val="28"/>
          <w:lang w:val="en-US" w:eastAsia="zh-CN"/>
        </w:rPr>
        <w:outlineLvl w:val="2"/>
      </w:pPr>
      <w:r>
        <w:rPr>
          <w:rFonts w:hint="eastAsia" w:ascii="仿宋" w:hAnsi="仿宋" w:eastAsia="仿宋"/>
          <w:b/>
          <w:color w:val="000000"/>
          <w:sz w:val="28"/>
          <w:szCs w:val="28"/>
          <w:lang w:val="en-US" w:eastAsia="zh-CN"/>
        </w:rPr>
        <w:t xml:space="preserve">1.2配套服务</w:t>
      </w:r>
      <w:r>
        <w:rPr>
          <w:rFonts w:hint="eastAsia" w:ascii="仿宋" w:hAnsi="仿宋" w:eastAsia="仿宋"/>
          <w:b/>
          <w:color w:val="000000"/>
          <w:sz w:val="28"/>
          <w:szCs w:val="28"/>
          <w:lang w:val="en-US" w:eastAsia="zh-CN"/>
        </w:rPr>
      </w:r>
      <w:r/>
    </w:p>
    <w:p>
      <w:pPr>
        <w:pStyle w:val="760"/>
        <w:rPr>
          <w:rFonts w:hint="eastAsia" w:ascii="宋体" w:hAnsi="宋体"/>
          <w:bCs/>
          <w:color w:val="000000"/>
          <w:sz w:val="28"/>
          <w:szCs w:val="28"/>
        </w:rPr>
      </w:pPr>
      <w:r>
        <w:rPr>
          <w:rFonts w:hint="eastAsia" w:ascii="宋体" w:hAnsi="宋体" w:eastAsia="宋体" w:cs="Times New Roman"/>
          <w:bCs/>
          <w:color w:val="000000"/>
          <w:sz w:val="28"/>
          <w:szCs w:val="28"/>
          <w:lang w:val="en-US" w:eastAsia="zh-CN" w:bidi="ar-SA"/>
        </w:rPr>
        <w:t xml:space="preserve">包含老院利旧设备拆除、搬迁、安装</w:t>
      </w:r>
      <w:r>
        <w:rPr>
          <w:rFonts w:hint="eastAsia" w:ascii="宋体" w:hAnsi="宋体"/>
          <w:bCs/>
          <w:color w:val="000000"/>
          <w:sz w:val="28"/>
          <w:szCs w:val="28"/>
        </w:rPr>
      </w:r>
      <w:r/>
    </w:p>
    <w:p>
      <w:pPr>
        <w:pStyle w:val="748"/>
        <w:ind w:firstLine="560"/>
        <w:rPr>
          <w:rFonts w:hint="eastAsia" w:ascii="宋体" w:hAnsi="宋体"/>
          <w:bCs/>
          <w:color w:val="000000"/>
          <w:sz w:val="28"/>
          <w:szCs w:val="28"/>
          <w:highlight w:val="none"/>
        </w:rPr>
      </w:pPr>
      <w:r>
        <w:rPr>
          <w:rFonts w:hint="eastAsia" w:ascii="宋体" w:hAnsi="宋体"/>
          <w:bCs/>
          <w:color w:val="000000"/>
          <w:sz w:val="28"/>
          <w:szCs w:val="28"/>
        </w:rPr>
        <w:t xml:space="preserve">南通市第一人民医院临床技能模拟中心信息化项目所需硬件除本项目规划的硬件部分，还包括老院技能中心的硬件设备的利旧，老院可二次利用的硬件设备的拆除、搬迁及安装的工作量。（</w:t>
      </w:r>
      <w:r>
        <w:rPr>
          <w:rFonts w:hint="eastAsia" w:ascii="宋体" w:hAnsi="宋体"/>
          <w:bCs/>
          <w:color w:val="000000"/>
          <w:sz w:val="28"/>
          <w:szCs w:val="28"/>
          <w:highlight w:val="none"/>
        </w:rPr>
        <w:t xml:space="preserve">工作量清单见下表）</w:t>
      </w:r>
      <w:r>
        <w:rPr>
          <w:rFonts w:hint="eastAsia" w:ascii="宋体" w:hAnsi="宋体"/>
          <w:bCs/>
          <w:color w:val="000000"/>
          <w:sz w:val="28"/>
          <w:szCs w:val="28"/>
          <w:highlight w:val="none"/>
        </w:rPr>
      </w:r>
      <w:r/>
    </w:p>
    <w:p>
      <w:pPr>
        <w:pStyle w:val="760"/>
        <w:rPr>
          <w:rFonts w:hint="eastAsia"/>
        </w:rPr>
      </w:pPr>
      <w:r>
        <w:rPr>
          <w:rFonts w:hint="eastAsia"/>
        </w:rPr>
      </w:r>
      <w:r/>
    </w:p>
    <w:p>
      <w:pPr>
        <w:pStyle w:val="748"/>
        <w:jc w:val="center"/>
        <w:spacing w:line="335" w:lineRule="auto"/>
      </w:pPr>
      <w:r>
        <w:rPr>
          <w:rFonts w:hint="eastAsia"/>
          <w:sz w:val="28"/>
          <w:szCs w:val="28"/>
        </w:rPr>
        <w:t xml:space="preserve">老院临床技能中心需要利旧的设备清单</w:t>
      </w:r>
      <w:r/>
    </w:p>
    <w:p>
      <w:pPr>
        <w:pStyle w:val="748"/>
        <w:spacing w:line="128" w:lineRule="exact"/>
      </w:pPr>
      <w:r/>
      <w:r/>
    </w:p>
    <w:tbl>
      <w:tblPr>
        <w:tblW w:w="86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2484"/>
        <w:gridCol w:w="3242"/>
        <w:gridCol w:w="1266"/>
        <w:gridCol w:w="1000"/>
      </w:tblGrid>
      <w:tr>
        <w:trPr>
          <w:trHeight w:val="624"/>
        </w:trPr>
        <w:tc>
          <w:tcPr>
            <w:shd w:val="clear" w:color="auto" w:fill="cbe0f7"/>
            <w:tcW w:w="704" w:type="dxa"/>
            <w:vAlign w:val="top"/>
            <w:textDirection w:val="lrTb"/>
            <w:noWrap w:val="false"/>
          </w:tcPr>
          <w:p>
            <w:pPr>
              <w:pStyle w:val="867"/>
              <w:ind w:left="128"/>
              <w:jc w:val="center"/>
              <w:spacing w:before="202" w:line="221" w:lineRule="auto"/>
              <w:rPr>
                <w:sz w:val="22"/>
                <w:szCs w:val="22"/>
              </w:rPr>
            </w:pPr>
            <w:r>
              <w:rPr>
                <w:b/>
                <w:bCs/>
                <w:spacing w:val="-5"/>
                <w:sz w:val="22"/>
                <w:szCs w:val="22"/>
              </w:rPr>
              <w:t xml:space="preserve">序号</w:t>
            </w:r>
            <w:r>
              <w:rPr>
                <w:sz w:val="22"/>
                <w:szCs w:val="22"/>
              </w:rPr>
            </w:r>
            <w:r/>
          </w:p>
        </w:tc>
        <w:tc>
          <w:tcPr>
            <w:shd w:val="clear" w:color="auto" w:fill="cce0f8"/>
            <w:tcW w:w="2484" w:type="dxa"/>
            <w:vAlign w:val="top"/>
            <w:textDirection w:val="lrTb"/>
            <w:noWrap w:val="false"/>
          </w:tcPr>
          <w:p>
            <w:pPr>
              <w:pStyle w:val="867"/>
              <w:jc w:val="center"/>
              <w:spacing w:before="203" w:line="221" w:lineRule="auto"/>
              <w:rPr>
                <w:sz w:val="22"/>
                <w:szCs w:val="22"/>
              </w:rPr>
            </w:pPr>
            <w:r>
              <w:rPr>
                <w:b/>
                <w:bCs/>
                <w:spacing w:val="-6"/>
                <w:sz w:val="22"/>
                <w:szCs w:val="22"/>
              </w:rPr>
              <w:t xml:space="preserve">名称</w:t>
            </w:r>
            <w:r>
              <w:rPr>
                <w:sz w:val="22"/>
                <w:szCs w:val="22"/>
              </w:rPr>
            </w:r>
            <w:r/>
          </w:p>
        </w:tc>
        <w:tc>
          <w:tcPr>
            <w:shd w:val="clear" w:color="auto" w:fill="cce0f8"/>
            <w:tcW w:w="3242" w:type="dxa"/>
            <w:vAlign w:val="top"/>
            <w:textDirection w:val="lrTb"/>
            <w:noWrap w:val="false"/>
          </w:tcPr>
          <w:p>
            <w:pPr>
              <w:pStyle w:val="867"/>
              <w:jc w:val="center"/>
              <w:spacing w:before="201" w:line="219" w:lineRule="auto"/>
              <w:rPr>
                <w:sz w:val="22"/>
                <w:szCs w:val="22"/>
              </w:rPr>
            </w:pPr>
            <w:r>
              <w:rPr>
                <w:b/>
                <w:bCs/>
                <w:spacing w:val="-5"/>
                <w:sz w:val="22"/>
                <w:szCs w:val="22"/>
              </w:rPr>
              <w:t xml:space="preserve">型号/规格</w:t>
            </w:r>
            <w:r>
              <w:rPr>
                <w:sz w:val="22"/>
                <w:szCs w:val="22"/>
              </w:rPr>
            </w:r>
            <w:r/>
          </w:p>
        </w:tc>
        <w:tc>
          <w:tcPr>
            <w:shd w:val="clear" w:color="auto" w:fill="cce0f7"/>
            <w:tcW w:w="1266" w:type="dxa"/>
            <w:vAlign w:val="top"/>
            <w:textDirection w:val="lrTb"/>
            <w:noWrap w:val="false"/>
          </w:tcPr>
          <w:p>
            <w:pPr>
              <w:pStyle w:val="867"/>
              <w:jc w:val="center"/>
              <w:spacing w:before="201" w:line="219" w:lineRule="auto"/>
              <w:rPr>
                <w:sz w:val="22"/>
                <w:szCs w:val="22"/>
              </w:rPr>
            </w:pPr>
            <w:r>
              <w:rPr>
                <w:b/>
                <w:bCs/>
                <w:spacing w:val="-1"/>
                <w:sz w:val="22"/>
                <w:szCs w:val="22"/>
              </w:rPr>
              <w:t xml:space="preserve">品牌厂家</w:t>
            </w:r>
            <w:r>
              <w:rPr>
                <w:sz w:val="22"/>
                <w:szCs w:val="22"/>
              </w:rPr>
            </w:r>
            <w:r/>
          </w:p>
        </w:tc>
        <w:tc>
          <w:tcPr>
            <w:shd w:val="clear" w:color="auto" w:fill="cce0f7"/>
            <w:tcW w:w="1000" w:type="dxa"/>
            <w:vAlign w:val="top"/>
            <w:textDirection w:val="lrTb"/>
            <w:noWrap w:val="false"/>
          </w:tcPr>
          <w:p>
            <w:pPr>
              <w:pStyle w:val="867"/>
              <w:ind w:left="102"/>
              <w:jc w:val="center"/>
              <w:spacing w:before="201" w:line="219" w:lineRule="auto"/>
              <w:rPr>
                <w:sz w:val="22"/>
                <w:szCs w:val="22"/>
              </w:rPr>
            </w:pPr>
            <w:r>
              <w:rPr>
                <w:b/>
                <w:bCs/>
                <w:spacing w:val="-5"/>
                <w:sz w:val="22"/>
                <w:szCs w:val="22"/>
              </w:rPr>
              <w:t xml:space="preserve">数量</w:t>
            </w:r>
            <w:r>
              <w:rPr>
                <w:sz w:val="22"/>
                <w:szCs w:val="22"/>
              </w:rPr>
            </w:r>
            <w:r/>
          </w:p>
        </w:tc>
      </w:tr>
      <w:tr>
        <w:trPr>
          <w:trHeight w:val="360"/>
        </w:trPr>
        <w:tc>
          <w:tcPr>
            <w:tcW w:w="704" w:type="dxa"/>
            <w:vAlign w:val="top"/>
            <w:textDirection w:val="lrTb"/>
            <w:noWrap w:val="false"/>
          </w:tcPr>
          <w:p>
            <w:pPr>
              <w:pStyle w:val="867"/>
              <w:jc w:val="center"/>
              <w:spacing w:before="127" w:line="183" w:lineRule="auto"/>
              <w:rPr>
                <w:rFonts w:hint="eastAsia"/>
                <w:sz w:val="22"/>
                <w:szCs w:val="22"/>
                <w:lang w:eastAsia="zh-CN"/>
              </w:rPr>
            </w:pPr>
            <w:r>
              <w:rPr>
                <w:rFonts w:hint="eastAsia"/>
                <w:sz w:val="22"/>
                <w:szCs w:val="22"/>
                <w:lang w:eastAsia="zh-CN"/>
              </w:rPr>
              <w:t xml:space="preserve">1</w:t>
            </w:r>
            <w:r>
              <w:rPr>
                <w:rFonts w:hint="eastAsia"/>
                <w:sz w:val="22"/>
                <w:szCs w:val="22"/>
                <w:lang w:eastAsia="zh-CN"/>
              </w:rPr>
            </w:r>
            <w:r/>
          </w:p>
        </w:tc>
        <w:tc>
          <w:tcPr>
            <w:tcW w:w="2484" w:type="dxa"/>
            <w:vAlign w:val="top"/>
            <w:textDirection w:val="lrTb"/>
            <w:noWrap w:val="false"/>
          </w:tcPr>
          <w:p>
            <w:pPr>
              <w:pStyle w:val="867"/>
              <w:ind w:left="60"/>
              <w:jc w:val="center"/>
              <w:spacing w:before="69" w:line="219" w:lineRule="auto"/>
              <w:rPr>
                <w:sz w:val="22"/>
                <w:szCs w:val="22"/>
                <w:lang w:eastAsia="zh-CN"/>
              </w:rPr>
            </w:pPr>
            <w:r>
              <w:rPr>
                <w:spacing w:val="3"/>
                <w:sz w:val="22"/>
                <w:szCs w:val="22"/>
                <w:lang w:eastAsia="zh-CN"/>
              </w:rPr>
              <w:t xml:space="preserve">网络摄像机-红外一体机(海康)</w:t>
            </w:r>
            <w:r>
              <w:rPr>
                <w:sz w:val="22"/>
                <w:szCs w:val="22"/>
                <w:lang w:eastAsia="zh-CN"/>
              </w:rPr>
            </w:r>
            <w:r/>
          </w:p>
        </w:tc>
        <w:tc>
          <w:tcPr>
            <w:tcW w:w="3242" w:type="dxa"/>
            <w:vAlign w:val="top"/>
            <w:textDirection w:val="lrTb"/>
            <w:noWrap w:val="false"/>
          </w:tcPr>
          <w:p>
            <w:pPr>
              <w:pStyle w:val="867"/>
              <w:jc w:val="center"/>
              <w:spacing w:before="126" w:line="184" w:lineRule="auto"/>
              <w:rPr>
                <w:sz w:val="22"/>
                <w:szCs w:val="22"/>
              </w:rPr>
            </w:pPr>
            <w:r>
              <w:rPr>
                <w:spacing w:val="-1"/>
                <w:sz w:val="22"/>
                <w:szCs w:val="22"/>
              </w:rPr>
              <w:t xml:space="preserve">2CD3345F-1-PWR</w:t>
            </w:r>
            <w:r>
              <w:rPr>
                <w:sz w:val="22"/>
                <w:szCs w:val="22"/>
              </w:rPr>
            </w:r>
            <w:r/>
          </w:p>
        </w:tc>
        <w:tc>
          <w:tcPr>
            <w:tcW w:w="1266" w:type="dxa"/>
            <w:vAlign w:val="top"/>
            <w:textDirection w:val="lrTb"/>
            <w:noWrap w:val="false"/>
          </w:tcPr>
          <w:p>
            <w:pPr>
              <w:pStyle w:val="867"/>
              <w:jc w:val="center"/>
              <w:spacing w:before="71" w:line="219" w:lineRule="auto"/>
              <w:rPr>
                <w:sz w:val="22"/>
                <w:szCs w:val="22"/>
              </w:rPr>
            </w:pPr>
            <w:r>
              <w:rPr>
                <w:spacing w:val="-2"/>
                <w:sz w:val="22"/>
                <w:szCs w:val="22"/>
              </w:rPr>
              <w:t xml:space="preserve">海康</w:t>
            </w:r>
            <w:r>
              <w:rPr>
                <w:sz w:val="22"/>
                <w:szCs w:val="22"/>
              </w:rPr>
            </w:r>
            <w:r/>
          </w:p>
        </w:tc>
        <w:tc>
          <w:tcPr>
            <w:tcW w:w="1000" w:type="dxa"/>
            <w:vAlign w:val="top"/>
            <w:textDirection w:val="lrTb"/>
            <w:noWrap w:val="false"/>
          </w:tcPr>
          <w:p>
            <w:pPr>
              <w:pStyle w:val="867"/>
              <w:ind w:left="98"/>
              <w:jc w:val="center"/>
              <w:spacing w:before="126" w:line="184" w:lineRule="auto"/>
              <w:rPr>
                <w:sz w:val="22"/>
                <w:szCs w:val="22"/>
              </w:rPr>
            </w:pPr>
            <w:r>
              <w:rPr>
                <w:spacing w:val="-7"/>
                <w:sz w:val="22"/>
                <w:szCs w:val="22"/>
              </w:rPr>
              <w:t xml:space="preserve">16</w:t>
            </w:r>
            <w:r>
              <w:rPr>
                <w:sz w:val="22"/>
                <w:szCs w:val="22"/>
              </w:rPr>
            </w:r>
            <w:r/>
          </w:p>
        </w:tc>
      </w:tr>
      <w:tr>
        <w:trPr>
          <w:trHeight w:val="330"/>
        </w:trPr>
        <w:tc>
          <w:tcPr>
            <w:tcW w:w="704" w:type="dxa"/>
            <w:vAlign w:val="top"/>
            <w:textDirection w:val="lrTb"/>
            <w:noWrap w:val="false"/>
          </w:tcPr>
          <w:p>
            <w:pPr>
              <w:pStyle w:val="867"/>
              <w:jc w:val="center"/>
              <w:spacing w:before="117" w:line="170" w:lineRule="auto"/>
              <w:rPr>
                <w:rFonts w:hint="eastAsia"/>
                <w:sz w:val="22"/>
                <w:szCs w:val="22"/>
                <w:lang w:eastAsia="zh-CN"/>
              </w:rPr>
            </w:pPr>
            <w:r>
              <w:rPr>
                <w:rFonts w:hint="eastAsia"/>
                <w:sz w:val="22"/>
                <w:szCs w:val="22"/>
                <w:lang w:eastAsia="zh-CN"/>
              </w:rPr>
              <w:t xml:space="preserve">2</w:t>
            </w:r>
            <w:r>
              <w:rPr>
                <w:rFonts w:hint="eastAsia"/>
                <w:sz w:val="22"/>
                <w:szCs w:val="22"/>
                <w:lang w:eastAsia="zh-CN"/>
              </w:rPr>
            </w:r>
            <w:r/>
          </w:p>
        </w:tc>
        <w:tc>
          <w:tcPr>
            <w:tcW w:w="2484" w:type="dxa"/>
            <w:vAlign w:val="top"/>
            <w:textDirection w:val="lrTb"/>
            <w:noWrap w:val="false"/>
          </w:tcPr>
          <w:p>
            <w:pPr>
              <w:pStyle w:val="867"/>
              <w:jc w:val="center"/>
              <w:spacing w:before="60" w:line="218" w:lineRule="auto"/>
              <w:rPr>
                <w:sz w:val="22"/>
                <w:szCs w:val="22"/>
              </w:rPr>
            </w:pPr>
            <w:r>
              <w:rPr>
                <w:spacing w:val="4"/>
                <w:sz w:val="22"/>
                <w:szCs w:val="22"/>
              </w:rPr>
              <w:t xml:space="preserve">室内红外迷你球(海康)</w:t>
            </w:r>
            <w:r>
              <w:rPr>
                <w:sz w:val="22"/>
                <w:szCs w:val="22"/>
              </w:rPr>
            </w:r>
            <w:r/>
          </w:p>
        </w:tc>
        <w:tc>
          <w:tcPr>
            <w:tcW w:w="3242" w:type="dxa"/>
            <w:vAlign w:val="top"/>
            <w:textDirection w:val="lrTb"/>
            <w:noWrap w:val="false"/>
          </w:tcPr>
          <w:p>
            <w:pPr>
              <w:pStyle w:val="867"/>
              <w:jc w:val="center"/>
              <w:spacing w:before="67" w:line="212" w:lineRule="auto"/>
              <w:rPr>
                <w:sz w:val="22"/>
                <w:szCs w:val="22"/>
              </w:rPr>
            </w:pPr>
            <w:r>
              <w:rPr>
                <w:spacing w:val="-1"/>
                <w:sz w:val="22"/>
                <w:szCs w:val="22"/>
              </w:rPr>
              <w:t xml:space="preserve">2DE2402IW-DE3/W</w:t>
            </w:r>
            <w:r>
              <w:rPr>
                <w:sz w:val="22"/>
                <w:szCs w:val="22"/>
              </w:rPr>
            </w:r>
            <w:r/>
          </w:p>
        </w:tc>
        <w:tc>
          <w:tcPr>
            <w:tcW w:w="1266" w:type="dxa"/>
            <w:vAlign w:val="top"/>
            <w:textDirection w:val="lrTb"/>
            <w:noWrap w:val="false"/>
          </w:tcPr>
          <w:p>
            <w:pPr>
              <w:pStyle w:val="867"/>
              <w:jc w:val="center"/>
              <w:spacing w:before="60" w:line="218" w:lineRule="auto"/>
              <w:rPr>
                <w:sz w:val="22"/>
                <w:szCs w:val="22"/>
              </w:rPr>
            </w:pPr>
            <w:r>
              <w:rPr>
                <w:spacing w:val="-2"/>
                <w:sz w:val="22"/>
                <w:szCs w:val="22"/>
              </w:rPr>
              <w:t xml:space="preserve">海康</w:t>
            </w:r>
            <w:r>
              <w:rPr>
                <w:sz w:val="22"/>
                <w:szCs w:val="22"/>
              </w:rPr>
            </w:r>
            <w:r/>
          </w:p>
        </w:tc>
        <w:tc>
          <w:tcPr>
            <w:tcW w:w="1000" w:type="dxa"/>
            <w:vAlign w:val="top"/>
            <w:textDirection w:val="lrTb"/>
            <w:noWrap w:val="false"/>
          </w:tcPr>
          <w:p>
            <w:pPr>
              <w:pStyle w:val="867"/>
              <w:ind w:left="98"/>
              <w:jc w:val="center"/>
              <w:spacing w:before="117" w:line="170" w:lineRule="auto"/>
              <w:rPr>
                <w:sz w:val="22"/>
                <w:szCs w:val="22"/>
              </w:rPr>
            </w:pPr>
            <w:r>
              <w:rPr>
                <w:spacing w:val="-3"/>
                <w:sz w:val="22"/>
                <w:szCs w:val="22"/>
              </w:rPr>
              <w:t xml:space="preserve">66</w:t>
            </w:r>
            <w:r>
              <w:rPr>
                <w:sz w:val="22"/>
                <w:szCs w:val="22"/>
              </w:rPr>
            </w:r>
            <w:r/>
          </w:p>
        </w:tc>
      </w:tr>
      <w:tr>
        <w:trPr>
          <w:trHeight w:val="340"/>
        </w:trPr>
        <w:tc>
          <w:tcPr>
            <w:tcW w:w="704" w:type="dxa"/>
            <w:vAlign w:val="top"/>
            <w:textDirection w:val="lrTb"/>
            <w:noWrap w:val="false"/>
          </w:tcPr>
          <w:p>
            <w:pPr>
              <w:pStyle w:val="867"/>
              <w:jc w:val="center"/>
              <w:spacing w:before="117" w:line="178" w:lineRule="auto"/>
              <w:rPr>
                <w:rFonts w:hint="eastAsia"/>
                <w:sz w:val="22"/>
                <w:szCs w:val="22"/>
                <w:lang w:eastAsia="zh-CN"/>
              </w:rPr>
            </w:pPr>
            <w:r>
              <w:rPr>
                <w:rFonts w:hint="eastAsia"/>
                <w:sz w:val="22"/>
                <w:szCs w:val="22"/>
                <w:lang w:eastAsia="zh-CN"/>
              </w:rPr>
              <w:t xml:space="preserve">3</w:t>
            </w:r>
            <w:r>
              <w:rPr>
                <w:rFonts w:hint="eastAsia"/>
                <w:sz w:val="22"/>
                <w:szCs w:val="22"/>
                <w:lang w:eastAsia="zh-CN"/>
              </w:rPr>
            </w:r>
            <w:r/>
          </w:p>
        </w:tc>
        <w:tc>
          <w:tcPr>
            <w:tcW w:w="2484" w:type="dxa"/>
            <w:vAlign w:val="top"/>
            <w:textDirection w:val="lrTb"/>
            <w:noWrap w:val="false"/>
          </w:tcPr>
          <w:p>
            <w:pPr>
              <w:pStyle w:val="867"/>
              <w:jc w:val="center"/>
              <w:spacing w:before="61" w:line="219" w:lineRule="auto"/>
              <w:rPr>
                <w:sz w:val="22"/>
                <w:szCs w:val="22"/>
              </w:rPr>
            </w:pPr>
            <w:r>
              <w:rPr>
                <w:spacing w:val="6"/>
                <w:sz w:val="22"/>
                <w:szCs w:val="22"/>
              </w:rPr>
              <w:t xml:space="preserve">硬盘(西部数据)</w:t>
            </w:r>
            <w:r>
              <w:rPr>
                <w:sz w:val="22"/>
                <w:szCs w:val="22"/>
              </w:rPr>
            </w:r>
            <w:r/>
          </w:p>
        </w:tc>
        <w:tc>
          <w:tcPr>
            <w:tcW w:w="3242" w:type="dxa"/>
            <w:vAlign w:val="top"/>
            <w:textDirection w:val="lrTb"/>
            <w:noWrap w:val="false"/>
          </w:tcPr>
          <w:p>
            <w:pPr>
              <w:pStyle w:val="867"/>
              <w:jc w:val="center"/>
              <w:spacing w:before="117" w:line="178" w:lineRule="auto"/>
              <w:rPr>
                <w:sz w:val="22"/>
                <w:szCs w:val="22"/>
              </w:rPr>
            </w:pPr>
            <w:r>
              <w:rPr>
                <w:spacing w:val="-1"/>
                <w:sz w:val="22"/>
                <w:szCs w:val="22"/>
              </w:rPr>
              <w:t xml:space="preserve">WD30EURS</w:t>
            </w:r>
            <w:r>
              <w:rPr>
                <w:sz w:val="22"/>
                <w:szCs w:val="22"/>
              </w:rPr>
            </w:r>
            <w:r/>
          </w:p>
        </w:tc>
        <w:tc>
          <w:tcPr>
            <w:tcW w:w="1266" w:type="dxa"/>
            <w:vAlign w:val="top"/>
            <w:textDirection w:val="lrTb"/>
            <w:noWrap w:val="false"/>
          </w:tcPr>
          <w:p>
            <w:pPr>
              <w:pStyle w:val="867"/>
              <w:jc w:val="center"/>
              <w:spacing w:before="61" w:line="219" w:lineRule="auto"/>
              <w:rPr>
                <w:sz w:val="22"/>
                <w:szCs w:val="22"/>
              </w:rPr>
            </w:pPr>
            <w:r>
              <w:rPr>
                <w:spacing w:val="3"/>
                <w:sz w:val="22"/>
                <w:szCs w:val="22"/>
              </w:rPr>
              <w:t xml:space="preserve">西部数据</w:t>
            </w:r>
            <w:r>
              <w:rPr>
                <w:sz w:val="22"/>
                <w:szCs w:val="22"/>
              </w:rPr>
            </w:r>
            <w:r/>
          </w:p>
        </w:tc>
        <w:tc>
          <w:tcPr>
            <w:tcW w:w="1000" w:type="dxa"/>
            <w:vAlign w:val="top"/>
            <w:textDirection w:val="lrTb"/>
            <w:noWrap w:val="false"/>
          </w:tcPr>
          <w:p>
            <w:pPr>
              <w:pStyle w:val="867"/>
              <w:ind w:left="98"/>
              <w:jc w:val="center"/>
              <w:spacing w:before="117" w:line="178" w:lineRule="auto"/>
              <w:rPr>
                <w:sz w:val="22"/>
                <w:szCs w:val="22"/>
              </w:rPr>
            </w:pPr>
            <w:r>
              <w:rPr>
                <w:spacing w:val="-3"/>
                <w:sz w:val="22"/>
                <w:szCs w:val="22"/>
              </w:rPr>
              <w:t xml:space="preserve">20</w:t>
            </w:r>
            <w:r>
              <w:rPr>
                <w:sz w:val="22"/>
                <w:szCs w:val="22"/>
              </w:rPr>
            </w:r>
            <w:r/>
          </w:p>
        </w:tc>
      </w:tr>
      <w:tr>
        <w:trPr>
          <w:trHeight w:val="330"/>
        </w:trPr>
        <w:tc>
          <w:tcPr>
            <w:tcW w:w="704" w:type="dxa"/>
            <w:vAlign w:val="top"/>
            <w:textDirection w:val="lrTb"/>
            <w:noWrap w:val="false"/>
          </w:tcPr>
          <w:p>
            <w:pPr>
              <w:pStyle w:val="867"/>
              <w:jc w:val="center"/>
              <w:spacing w:before="119" w:line="168" w:lineRule="auto"/>
              <w:rPr>
                <w:rFonts w:hint="eastAsia"/>
                <w:sz w:val="22"/>
                <w:szCs w:val="22"/>
                <w:lang w:eastAsia="zh-CN"/>
              </w:rPr>
            </w:pPr>
            <w:r>
              <w:rPr>
                <w:rFonts w:hint="eastAsia"/>
                <w:sz w:val="22"/>
                <w:szCs w:val="22"/>
                <w:lang w:eastAsia="zh-CN"/>
              </w:rPr>
              <w:t xml:space="preserve">4</w:t>
            </w:r>
            <w:r>
              <w:rPr>
                <w:rFonts w:hint="eastAsia"/>
                <w:sz w:val="22"/>
                <w:szCs w:val="22"/>
                <w:lang w:eastAsia="zh-CN"/>
              </w:rPr>
            </w:r>
            <w:r/>
          </w:p>
        </w:tc>
        <w:tc>
          <w:tcPr>
            <w:tcW w:w="2484" w:type="dxa"/>
            <w:vAlign w:val="top"/>
            <w:textDirection w:val="lrTb"/>
            <w:noWrap w:val="false"/>
          </w:tcPr>
          <w:p>
            <w:pPr>
              <w:pStyle w:val="867"/>
              <w:jc w:val="center"/>
              <w:spacing w:before="61" w:line="217" w:lineRule="auto"/>
              <w:rPr>
                <w:sz w:val="22"/>
                <w:szCs w:val="22"/>
              </w:rPr>
            </w:pPr>
            <w:r>
              <w:rPr>
                <w:spacing w:val="-2"/>
                <w:sz w:val="22"/>
                <w:szCs w:val="22"/>
              </w:rPr>
              <w:t xml:space="preserve">嵌入式NVR</w:t>
            </w:r>
            <w:r>
              <w:rPr>
                <w:sz w:val="22"/>
                <w:szCs w:val="22"/>
              </w:rPr>
            </w:r>
            <w:r/>
          </w:p>
        </w:tc>
        <w:tc>
          <w:tcPr>
            <w:tcW w:w="3242" w:type="dxa"/>
            <w:vAlign w:val="top"/>
            <w:textDirection w:val="lrTb"/>
            <w:noWrap w:val="false"/>
          </w:tcPr>
          <w:p>
            <w:pPr>
              <w:pStyle w:val="867"/>
              <w:jc w:val="center"/>
              <w:spacing w:before="117" w:line="170" w:lineRule="auto"/>
              <w:rPr>
                <w:sz w:val="22"/>
                <w:szCs w:val="22"/>
              </w:rPr>
            </w:pPr>
            <w:r>
              <w:rPr>
                <w:spacing w:val="-1"/>
                <w:sz w:val="22"/>
                <w:szCs w:val="22"/>
              </w:rPr>
              <w:t xml:space="preserve">DS-8832NKE</w:t>
            </w:r>
            <w:r>
              <w:rPr>
                <w:sz w:val="22"/>
                <w:szCs w:val="22"/>
              </w:rPr>
            </w:r>
            <w:r/>
          </w:p>
        </w:tc>
        <w:tc>
          <w:tcPr>
            <w:tcW w:w="1266" w:type="dxa"/>
            <w:vAlign w:val="top"/>
            <w:textDirection w:val="lrTb"/>
            <w:noWrap w:val="false"/>
          </w:tcPr>
          <w:p>
            <w:pPr>
              <w:pStyle w:val="867"/>
              <w:jc w:val="center"/>
              <w:spacing w:before="60" w:line="218" w:lineRule="auto"/>
              <w:rPr>
                <w:sz w:val="22"/>
                <w:szCs w:val="22"/>
              </w:rPr>
            </w:pPr>
            <w:r>
              <w:rPr>
                <w:spacing w:val="-2"/>
                <w:sz w:val="22"/>
                <w:szCs w:val="22"/>
              </w:rPr>
              <w:t xml:space="preserve">海康</w:t>
            </w:r>
            <w:r>
              <w:rPr>
                <w:sz w:val="22"/>
                <w:szCs w:val="22"/>
              </w:rPr>
            </w:r>
            <w:r/>
          </w:p>
        </w:tc>
        <w:tc>
          <w:tcPr>
            <w:tcW w:w="1000" w:type="dxa"/>
            <w:vAlign w:val="top"/>
            <w:textDirection w:val="lrTb"/>
            <w:noWrap w:val="false"/>
          </w:tcPr>
          <w:p>
            <w:pPr>
              <w:pStyle w:val="867"/>
              <w:ind w:left="98"/>
              <w:jc w:val="center"/>
              <w:spacing w:before="117" w:line="170" w:lineRule="auto"/>
              <w:rPr>
                <w:rFonts w:hint="eastAsia"/>
                <w:sz w:val="22"/>
                <w:szCs w:val="22"/>
                <w:lang w:eastAsia="zh-CN"/>
              </w:rPr>
            </w:pPr>
            <w:r>
              <w:rPr>
                <w:rFonts w:hint="eastAsia"/>
                <w:sz w:val="22"/>
                <w:szCs w:val="22"/>
                <w:lang w:eastAsia="zh-CN"/>
              </w:rPr>
              <w:t xml:space="preserve">4</w:t>
            </w:r>
            <w:r>
              <w:rPr>
                <w:rFonts w:hint="eastAsia"/>
                <w:sz w:val="22"/>
                <w:szCs w:val="22"/>
                <w:lang w:eastAsia="zh-CN"/>
              </w:rPr>
            </w:r>
            <w:r/>
          </w:p>
        </w:tc>
      </w:tr>
      <w:tr>
        <w:trPr>
          <w:trHeight w:val="116"/>
        </w:trPr>
        <w:tc>
          <w:tcPr>
            <w:tcW w:w="704" w:type="dxa"/>
            <w:vAlign w:val="top"/>
            <w:textDirection w:val="lrTb"/>
            <w:noWrap w:val="false"/>
          </w:tcPr>
          <w:p>
            <w:pPr>
              <w:pStyle w:val="867"/>
              <w:jc w:val="center"/>
              <w:spacing w:before="71" w:line="182" w:lineRule="auto"/>
              <w:rPr>
                <w:rFonts w:hint="eastAsia"/>
                <w:sz w:val="22"/>
                <w:szCs w:val="22"/>
                <w:lang w:eastAsia="zh-CN"/>
              </w:rPr>
            </w:pPr>
            <w:r>
              <w:rPr>
                <w:rFonts w:hint="eastAsia"/>
                <w:sz w:val="22"/>
                <w:szCs w:val="22"/>
                <w:lang w:eastAsia="zh-CN"/>
              </w:rPr>
              <w:t xml:space="preserve">5</w:t>
            </w:r>
            <w:r>
              <w:rPr>
                <w:rFonts w:hint="eastAsia"/>
                <w:sz w:val="22"/>
                <w:szCs w:val="22"/>
                <w:lang w:eastAsia="zh-CN"/>
              </w:rPr>
            </w:r>
            <w:r/>
          </w:p>
        </w:tc>
        <w:tc>
          <w:tcPr>
            <w:tcW w:w="2484" w:type="dxa"/>
            <w:vAlign w:val="top"/>
            <w:textDirection w:val="lrTb"/>
            <w:noWrap w:val="false"/>
          </w:tcPr>
          <w:p>
            <w:pPr>
              <w:pStyle w:val="867"/>
              <w:jc w:val="center"/>
              <w:spacing w:before="72" w:line="221" w:lineRule="auto"/>
              <w:rPr>
                <w:sz w:val="22"/>
                <w:szCs w:val="22"/>
              </w:rPr>
            </w:pPr>
            <w:r>
              <w:rPr>
                <w:spacing w:val="5"/>
                <w:sz w:val="22"/>
                <w:szCs w:val="22"/>
              </w:rPr>
              <w:t xml:space="preserve">电脑</w:t>
            </w:r>
            <w:r>
              <w:rPr>
                <w:sz w:val="22"/>
                <w:szCs w:val="22"/>
              </w:rPr>
            </w:r>
            <w:r/>
          </w:p>
        </w:tc>
        <w:tc>
          <w:tcPr>
            <w:tcW w:w="3242" w:type="dxa"/>
            <w:vAlign w:val="top"/>
            <w:textDirection w:val="lrTb"/>
            <w:noWrap w:val="false"/>
          </w:tcPr>
          <w:p>
            <w:pPr>
              <w:pStyle w:val="867"/>
              <w:jc w:val="center"/>
              <w:spacing w:before="2" w:line="182" w:lineRule="auto"/>
              <w:rPr>
                <w:sz w:val="22"/>
                <w:szCs w:val="22"/>
              </w:rPr>
            </w:pPr>
            <w:r>
              <w:rPr>
                <w:sz w:val="22"/>
                <w:szCs w:val="22"/>
              </w:rPr>
            </w:r>
            <w:r/>
          </w:p>
        </w:tc>
        <w:tc>
          <w:tcPr>
            <w:tcW w:w="1266" w:type="dxa"/>
            <w:vAlign w:val="top"/>
            <w:textDirection w:val="lrTb"/>
            <w:noWrap w:val="false"/>
          </w:tcPr>
          <w:p>
            <w:pPr>
              <w:pStyle w:val="867"/>
              <w:jc w:val="center"/>
              <w:spacing w:before="72" w:line="221" w:lineRule="auto"/>
              <w:rPr>
                <w:sz w:val="22"/>
                <w:szCs w:val="22"/>
              </w:rPr>
            </w:pPr>
            <w:r>
              <w:rPr>
                <w:spacing w:val="8"/>
                <w:sz w:val="22"/>
                <w:szCs w:val="22"/>
              </w:rPr>
              <w:t xml:space="preserve">联想</w:t>
            </w:r>
            <w:r>
              <w:rPr>
                <w:sz w:val="22"/>
                <w:szCs w:val="22"/>
              </w:rPr>
            </w:r>
            <w:r/>
          </w:p>
        </w:tc>
        <w:tc>
          <w:tcPr>
            <w:tcW w:w="1000" w:type="dxa"/>
            <w:vAlign w:val="top"/>
            <w:textDirection w:val="lrTb"/>
            <w:noWrap w:val="false"/>
          </w:tcPr>
          <w:p>
            <w:pPr>
              <w:pStyle w:val="867"/>
              <w:ind w:left="98"/>
              <w:jc w:val="center"/>
              <w:spacing w:before="71" w:line="183" w:lineRule="auto"/>
              <w:rPr>
                <w:sz w:val="22"/>
                <w:szCs w:val="22"/>
              </w:rPr>
            </w:pPr>
            <w:r>
              <w:rPr>
                <w:sz w:val="22"/>
                <w:szCs w:val="22"/>
              </w:rPr>
              <w:t xml:space="preserve">3</w:t>
            </w:r>
            <w:r>
              <w:rPr>
                <w:sz w:val="22"/>
                <w:szCs w:val="22"/>
              </w:rPr>
            </w:r>
            <w:r/>
          </w:p>
        </w:tc>
      </w:tr>
      <w:tr>
        <w:trPr>
          <w:trHeight w:val="373"/>
        </w:trPr>
        <w:tc>
          <w:tcPr>
            <w:tcW w:w="704" w:type="dxa"/>
            <w:vAlign w:val="top"/>
            <w:textDirection w:val="lrTb"/>
            <w:noWrap w:val="false"/>
          </w:tcPr>
          <w:p>
            <w:pPr>
              <w:pStyle w:val="867"/>
              <w:jc w:val="center"/>
              <w:spacing w:before="72" w:line="221" w:lineRule="auto"/>
              <w:rPr>
                <w:rFonts w:hint="eastAsia"/>
                <w:sz w:val="22"/>
                <w:szCs w:val="22"/>
                <w:lang w:eastAsia="zh-CN"/>
              </w:rPr>
            </w:pPr>
            <w:r>
              <w:rPr>
                <w:rFonts w:hint="eastAsia"/>
                <w:sz w:val="22"/>
                <w:szCs w:val="22"/>
                <w:lang w:eastAsia="zh-CN"/>
              </w:rPr>
              <w:t xml:space="preserve">6</w:t>
            </w:r>
            <w:r>
              <w:rPr>
                <w:rFonts w:hint="eastAsia"/>
                <w:sz w:val="22"/>
                <w:szCs w:val="22"/>
                <w:lang w:eastAsia="zh-CN"/>
              </w:rPr>
            </w:r>
            <w:r/>
          </w:p>
        </w:tc>
        <w:tc>
          <w:tcPr>
            <w:tcW w:w="2484" w:type="dxa"/>
            <w:vAlign w:val="top"/>
            <w:textDirection w:val="lrTb"/>
            <w:noWrap w:val="false"/>
          </w:tcPr>
          <w:p>
            <w:pPr>
              <w:pStyle w:val="867"/>
              <w:jc w:val="center"/>
              <w:spacing w:before="72" w:line="221" w:lineRule="auto"/>
              <w:rPr>
                <w:sz w:val="22"/>
                <w:szCs w:val="22"/>
              </w:rPr>
            </w:pPr>
            <w:r>
              <w:rPr>
                <w:sz w:val="22"/>
                <w:szCs w:val="22"/>
              </w:rPr>
              <w:t xml:space="preserve">65寸液晶电视机</w:t>
            </w:r>
            <w:r>
              <w:rPr>
                <w:sz w:val="22"/>
                <w:szCs w:val="22"/>
              </w:rPr>
            </w:r>
            <w:r/>
          </w:p>
        </w:tc>
        <w:tc>
          <w:tcPr>
            <w:tcW w:w="3242" w:type="dxa"/>
            <w:vAlign w:val="top"/>
            <w:textDirection w:val="lrTb"/>
            <w:noWrap w:val="false"/>
          </w:tcPr>
          <w:p>
            <w:pPr>
              <w:pStyle w:val="867"/>
              <w:jc w:val="center"/>
              <w:spacing w:before="72" w:line="221" w:lineRule="auto"/>
              <w:rPr>
                <w:sz w:val="22"/>
                <w:szCs w:val="22"/>
              </w:rPr>
            </w:pPr>
            <w:r>
              <w:rPr>
                <w:sz w:val="22"/>
                <w:szCs w:val="22"/>
              </w:rPr>
              <w:t xml:space="preserve">L65M5 PRO 2GB+16GE</w:t>
            </w:r>
            <w:r>
              <w:rPr>
                <w:sz w:val="22"/>
                <w:szCs w:val="22"/>
              </w:rPr>
            </w:r>
            <w:r/>
          </w:p>
        </w:tc>
        <w:tc>
          <w:tcPr>
            <w:tcW w:w="1266" w:type="dxa"/>
            <w:vAlign w:val="top"/>
            <w:textDirection w:val="lrTb"/>
            <w:noWrap w:val="false"/>
          </w:tcPr>
          <w:p>
            <w:pPr>
              <w:pStyle w:val="867"/>
              <w:jc w:val="center"/>
              <w:spacing w:before="72" w:line="221" w:lineRule="auto"/>
              <w:rPr>
                <w:sz w:val="22"/>
                <w:szCs w:val="22"/>
              </w:rPr>
            </w:pPr>
            <w:r>
              <w:rPr>
                <w:sz w:val="22"/>
                <w:szCs w:val="22"/>
              </w:rPr>
              <w:t xml:space="preserve">小米</w:t>
            </w:r>
            <w:r>
              <w:rPr>
                <w:sz w:val="22"/>
                <w:szCs w:val="22"/>
              </w:rPr>
            </w:r>
            <w:r/>
          </w:p>
        </w:tc>
        <w:tc>
          <w:tcPr>
            <w:tcW w:w="1000" w:type="dxa"/>
            <w:vAlign w:val="top"/>
            <w:textDirection w:val="lrTb"/>
            <w:noWrap w:val="false"/>
          </w:tcPr>
          <w:p>
            <w:pPr>
              <w:pStyle w:val="867"/>
              <w:ind w:left="60"/>
              <w:jc w:val="center"/>
              <w:spacing w:before="72" w:line="221" w:lineRule="auto"/>
              <w:rPr>
                <w:rFonts w:hint="eastAsia"/>
                <w:sz w:val="22"/>
                <w:szCs w:val="22"/>
                <w:lang w:eastAsia="zh-CN"/>
              </w:rPr>
            </w:pPr>
            <w:r>
              <w:rPr>
                <w:rFonts w:hint="eastAsia"/>
                <w:sz w:val="22"/>
                <w:szCs w:val="22"/>
                <w:lang w:eastAsia="zh-CN"/>
              </w:rPr>
              <w:t xml:space="preserve">1</w:t>
            </w:r>
            <w:r>
              <w:rPr>
                <w:rFonts w:hint="eastAsia"/>
                <w:sz w:val="22"/>
                <w:szCs w:val="22"/>
                <w:lang w:eastAsia="zh-CN"/>
              </w:rPr>
            </w:r>
            <w:r/>
          </w:p>
        </w:tc>
      </w:tr>
      <w:tr>
        <w:trPr>
          <w:trHeight w:val="310"/>
        </w:trPr>
        <w:tc>
          <w:tcPr>
            <w:tcW w:w="704" w:type="dxa"/>
            <w:vAlign w:val="top"/>
            <w:textDirection w:val="lrTb"/>
            <w:noWrap w:val="false"/>
          </w:tcPr>
          <w:p>
            <w:pPr>
              <w:pStyle w:val="867"/>
              <w:jc w:val="center"/>
              <w:spacing w:before="72" w:line="221" w:lineRule="auto"/>
              <w:rPr>
                <w:rFonts w:hint="eastAsia"/>
                <w:sz w:val="22"/>
                <w:szCs w:val="22"/>
                <w:lang w:eastAsia="zh-CN"/>
              </w:rPr>
            </w:pPr>
            <w:r>
              <w:rPr>
                <w:rFonts w:hint="eastAsia"/>
                <w:sz w:val="22"/>
                <w:szCs w:val="22"/>
                <w:lang w:eastAsia="zh-CN"/>
              </w:rPr>
              <w:t xml:space="preserve">7</w:t>
            </w:r>
            <w:r>
              <w:rPr>
                <w:rFonts w:hint="eastAsia"/>
                <w:sz w:val="22"/>
                <w:szCs w:val="22"/>
                <w:lang w:eastAsia="zh-CN"/>
              </w:rPr>
            </w:r>
            <w:r/>
          </w:p>
        </w:tc>
        <w:tc>
          <w:tcPr>
            <w:tcW w:w="2484" w:type="dxa"/>
            <w:vAlign w:val="top"/>
            <w:textDirection w:val="lrTb"/>
            <w:noWrap w:val="false"/>
          </w:tcPr>
          <w:p>
            <w:pPr>
              <w:pStyle w:val="867"/>
              <w:jc w:val="center"/>
              <w:spacing w:before="72" w:line="221" w:lineRule="auto"/>
              <w:rPr>
                <w:sz w:val="22"/>
                <w:szCs w:val="22"/>
              </w:rPr>
            </w:pPr>
            <w:r>
              <w:rPr>
                <w:sz w:val="22"/>
                <w:szCs w:val="22"/>
              </w:rPr>
              <w:t xml:space="preserve">苹果PAD</w:t>
            </w:r>
            <w:r>
              <w:rPr>
                <w:sz w:val="22"/>
                <w:szCs w:val="22"/>
              </w:rPr>
            </w:r>
            <w:r/>
          </w:p>
        </w:tc>
        <w:tc>
          <w:tcPr>
            <w:tcW w:w="3242" w:type="dxa"/>
            <w:vAlign w:val="top"/>
            <w:textDirection w:val="lrTb"/>
            <w:noWrap w:val="false"/>
          </w:tcPr>
          <w:p>
            <w:pPr>
              <w:pStyle w:val="867"/>
              <w:ind w:left="60"/>
              <w:jc w:val="center"/>
              <w:spacing w:before="72" w:line="221" w:lineRule="auto"/>
              <w:rPr>
                <w:sz w:val="22"/>
                <w:szCs w:val="22"/>
              </w:rPr>
            </w:pPr>
            <w:r>
              <w:rPr>
                <w:sz w:val="22"/>
                <w:szCs w:val="22"/>
              </w:rPr>
              <w:t xml:space="preserve">Apple iPad平板电脑9.7英寸</w:t>
            </w:r>
            <w:r>
              <w:rPr>
                <w:sz w:val="22"/>
                <w:szCs w:val="22"/>
              </w:rPr>
            </w:r>
            <w:r/>
          </w:p>
        </w:tc>
        <w:tc>
          <w:tcPr>
            <w:tcW w:w="1266" w:type="dxa"/>
            <w:vAlign w:val="top"/>
            <w:textDirection w:val="lrTb"/>
            <w:noWrap w:val="false"/>
          </w:tcPr>
          <w:p>
            <w:pPr>
              <w:pStyle w:val="867"/>
              <w:ind w:left="60"/>
              <w:jc w:val="center"/>
              <w:spacing w:before="72" w:line="221" w:lineRule="auto"/>
              <w:rPr>
                <w:sz w:val="22"/>
                <w:szCs w:val="22"/>
              </w:rPr>
            </w:pPr>
            <w:r>
              <w:rPr>
                <w:sz w:val="22"/>
                <w:szCs w:val="22"/>
              </w:rPr>
              <w:t xml:space="preserve">Apple iPad</w:t>
            </w:r>
            <w:r>
              <w:rPr>
                <w:sz w:val="22"/>
                <w:szCs w:val="22"/>
              </w:rPr>
            </w:r>
            <w:r/>
          </w:p>
        </w:tc>
        <w:tc>
          <w:tcPr>
            <w:tcW w:w="1000" w:type="dxa"/>
            <w:vAlign w:val="top"/>
            <w:textDirection w:val="lrTb"/>
            <w:noWrap w:val="false"/>
          </w:tcPr>
          <w:p>
            <w:pPr>
              <w:pStyle w:val="867"/>
              <w:ind w:left="60"/>
              <w:jc w:val="center"/>
              <w:spacing w:before="72" w:line="221" w:lineRule="auto"/>
              <w:rPr>
                <w:sz w:val="22"/>
                <w:szCs w:val="22"/>
              </w:rPr>
            </w:pPr>
            <w:r>
              <w:rPr>
                <w:sz w:val="22"/>
                <w:szCs w:val="22"/>
              </w:rPr>
              <w:t xml:space="preserve">10</w:t>
            </w:r>
            <w:r>
              <w:rPr>
                <w:sz w:val="22"/>
                <w:szCs w:val="22"/>
              </w:rPr>
            </w:r>
            <w:r/>
          </w:p>
        </w:tc>
      </w:tr>
      <w:tr>
        <w:trPr>
          <w:trHeight w:val="320"/>
        </w:trPr>
        <w:tc>
          <w:tcPr>
            <w:tcW w:w="704" w:type="dxa"/>
            <w:vAlign w:val="top"/>
            <w:textDirection w:val="lrTb"/>
            <w:noWrap w:val="false"/>
          </w:tcPr>
          <w:p>
            <w:pPr>
              <w:pStyle w:val="867"/>
              <w:jc w:val="center"/>
              <w:spacing w:before="72" w:line="221" w:lineRule="auto"/>
              <w:rPr>
                <w:rFonts w:hint="eastAsia"/>
                <w:sz w:val="22"/>
                <w:szCs w:val="22"/>
                <w:lang w:eastAsia="zh-CN"/>
              </w:rPr>
            </w:pPr>
            <w:r>
              <w:rPr>
                <w:rFonts w:hint="eastAsia"/>
                <w:sz w:val="22"/>
                <w:szCs w:val="22"/>
                <w:lang w:eastAsia="zh-CN"/>
              </w:rPr>
              <w:t xml:space="preserve">8</w:t>
            </w:r>
            <w:r>
              <w:rPr>
                <w:rFonts w:hint="eastAsia"/>
                <w:sz w:val="22"/>
                <w:szCs w:val="22"/>
                <w:lang w:eastAsia="zh-CN"/>
              </w:rPr>
            </w:r>
            <w:r/>
          </w:p>
        </w:tc>
        <w:tc>
          <w:tcPr>
            <w:tcW w:w="2484" w:type="dxa"/>
            <w:vAlign w:val="top"/>
            <w:textDirection w:val="lrTb"/>
            <w:noWrap w:val="false"/>
          </w:tcPr>
          <w:p>
            <w:pPr>
              <w:pStyle w:val="867"/>
              <w:ind w:left="60"/>
              <w:jc w:val="center"/>
              <w:spacing w:before="72" w:line="221" w:lineRule="auto"/>
              <w:rPr>
                <w:sz w:val="22"/>
                <w:szCs w:val="22"/>
              </w:rPr>
            </w:pPr>
            <w:r>
              <w:rPr>
                <w:sz w:val="22"/>
                <w:szCs w:val="22"/>
              </w:rPr>
              <w:t xml:space="preserve">AC控制器</w:t>
            </w:r>
            <w:r>
              <w:rPr>
                <w:sz w:val="22"/>
                <w:szCs w:val="22"/>
              </w:rPr>
            </w:r>
            <w:r/>
          </w:p>
        </w:tc>
        <w:tc>
          <w:tcPr>
            <w:tcW w:w="3242" w:type="dxa"/>
            <w:vAlign w:val="top"/>
            <w:textDirection w:val="lrTb"/>
            <w:noWrap w:val="false"/>
          </w:tcPr>
          <w:p>
            <w:pPr>
              <w:pStyle w:val="867"/>
              <w:jc w:val="center"/>
              <w:spacing w:before="72" w:line="221" w:lineRule="auto"/>
              <w:rPr>
                <w:sz w:val="22"/>
                <w:szCs w:val="22"/>
              </w:rPr>
            </w:pPr>
            <w:r>
              <w:rPr>
                <w:sz w:val="22"/>
                <w:szCs w:val="22"/>
              </w:rPr>
              <w:t xml:space="preserve">H3C  EMP-WAC360</w:t>
            </w:r>
            <w:r>
              <w:rPr>
                <w:sz w:val="22"/>
                <w:szCs w:val="22"/>
              </w:rPr>
            </w:r>
            <w:r/>
          </w:p>
        </w:tc>
        <w:tc>
          <w:tcPr>
            <w:tcW w:w="1266" w:type="dxa"/>
            <w:vAlign w:val="top"/>
            <w:textDirection w:val="lrTb"/>
            <w:noWrap w:val="false"/>
          </w:tcPr>
          <w:p>
            <w:pPr>
              <w:pStyle w:val="867"/>
              <w:jc w:val="center"/>
              <w:spacing w:before="72" w:line="221" w:lineRule="auto"/>
              <w:rPr>
                <w:sz w:val="22"/>
                <w:szCs w:val="22"/>
              </w:rPr>
            </w:pPr>
            <w:r>
              <w:rPr>
                <w:sz w:val="22"/>
                <w:szCs w:val="22"/>
              </w:rPr>
              <w:t xml:space="preserve">H3C</w:t>
            </w:r>
            <w:r>
              <w:rPr>
                <w:sz w:val="22"/>
                <w:szCs w:val="22"/>
              </w:rPr>
            </w:r>
            <w:r/>
          </w:p>
        </w:tc>
        <w:tc>
          <w:tcPr>
            <w:tcW w:w="1000" w:type="dxa"/>
            <w:vAlign w:val="top"/>
            <w:textDirection w:val="lrTb"/>
            <w:noWrap w:val="false"/>
          </w:tcPr>
          <w:p>
            <w:pPr>
              <w:pStyle w:val="867"/>
              <w:ind w:left="60"/>
              <w:jc w:val="center"/>
              <w:spacing w:before="72" w:line="221" w:lineRule="auto"/>
              <w:rPr>
                <w:sz w:val="22"/>
                <w:szCs w:val="22"/>
              </w:rPr>
            </w:pPr>
            <w:r>
              <w:rPr>
                <w:sz w:val="22"/>
                <w:szCs w:val="22"/>
              </w:rPr>
              <w:t xml:space="preserve">1</w:t>
            </w:r>
            <w:r>
              <w:rPr>
                <w:sz w:val="22"/>
                <w:szCs w:val="22"/>
              </w:rPr>
            </w:r>
            <w:r/>
          </w:p>
        </w:tc>
      </w:tr>
      <w:tr>
        <w:trPr>
          <w:trHeight w:val="340"/>
        </w:trPr>
        <w:tc>
          <w:tcPr>
            <w:tcW w:w="704" w:type="dxa"/>
            <w:vAlign w:val="top"/>
            <w:textDirection w:val="lrTb"/>
            <w:noWrap w:val="false"/>
          </w:tcPr>
          <w:p>
            <w:pPr>
              <w:pStyle w:val="867"/>
              <w:jc w:val="center"/>
              <w:spacing w:before="72" w:line="221" w:lineRule="auto"/>
              <w:rPr>
                <w:rFonts w:hint="eastAsia"/>
                <w:sz w:val="22"/>
                <w:szCs w:val="22"/>
                <w:lang w:eastAsia="zh-CN"/>
              </w:rPr>
            </w:pPr>
            <w:r>
              <w:rPr>
                <w:rFonts w:hint="eastAsia"/>
                <w:sz w:val="22"/>
                <w:szCs w:val="22"/>
                <w:lang w:eastAsia="zh-CN"/>
              </w:rPr>
              <w:t xml:space="preserve">9</w:t>
            </w:r>
            <w:r>
              <w:rPr>
                <w:rFonts w:hint="eastAsia"/>
                <w:sz w:val="22"/>
                <w:szCs w:val="22"/>
                <w:lang w:eastAsia="zh-CN"/>
              </w:rPr>
            </w:r>
            <w:r/>
          </w:p>
        </w:tc>
        <w:tc>
          <w:tcPr>
            <w:tcW w:w="2484" w:type="dxa"/>
            <w:vAlign w:val="top"/>
            <w:textDirection w:val="lrTb"/>
            <w:noWrap w:val="false"/>
          </w:tcPr>
          <w:p>
            <w:pPr>
              <w:pStyle w:val="867"/>
              <w:jc w:val="center"/>
              <w:spacing w:before="72" w:line="221" w:lineRule="auto"/>
              <w:rPr>
                <w:sz w:val="22"/>
                <w:szCs w:val="22"/>
              </w:rPr>
            </w:pPr>
            <w:r>
              <w:rPr>
                <w:sz w:val="22"/>
                <w:szCs w:val="22"/>
              </w:rPr>
              <w:t xml:space="preserve">无线AF</w:t>
            </w:r>
            <w:r>
              <w:rPr>
                <w:sz w:val="22"/>
                <w:szCs w:val="22"/>
              </w:rPr>
            </w:r>
            <w:r/>
          </w:p>
        </w:tc>
        <w:tc>
          <w:tcPr>
            <w:tcW w:w="3242" w:type="dxa"/>
            <w:vAlign w:val="top"/>
            <w:textDirection w:val="lrTb"/>
            <w:noWrap w:val="false"/>
          </w:tcPr>
          <w:p>
            <w:pPr>
              <w:pStyle w:val="867"/>
              <w:jc w:val="center"/>
              <w:spacing w:before="72" w:line="221" w:lineRule="auto"/>
              <w:rPr>
                <w:sz w:val="22"/>
                <w:szCs w:val="22"/>
              </w:rPr>
            </w:pPr>
            <w:r>
              <w:rPr>
                <w:sz w:val="22"/>
                <w:szCs w:val="22"/>
              </w:rPr>
              <w:t xml:space="preserve">H3C  EMP-WAP712C</w:t>
            </w:r>
            <w:r>
              <w:rPr>
                <w:sz w:val="22"/>
                <w:szCs w:val="22"/>
              </w:rPr>
            </w:r>
            <w:r/>
          </w:p>
        </w:tc>
        <w:tc>
          <w:tcPr>
            <w:tcW w:w="1266" w:type="dxa"/>
            <w:vAlign w:val="top"/>
            <w:textDirection w:val="lrTb"/>
            <w:noWrap w:val="false"/>
          </w:tcPr>
          <w:p>
            <w:pPr>
              <w:pStyle w:val="867"/>
              <w:jc w:val="center"/>
              <w:spacing w:before="72" w:line="221" w:lineRule="auto"/>
              <w:rPr>
                <w:sz w:val="22"/>
                <w:szCs w:val="22"/>
              </w:rPr>
            </w:pPr>
            <w:r>
              <w:rPr>
                <w:sz w:val="22"/>
                <w:szCs w:val="22"/>
              </w:rPr>
              <w:t xml:space="preserve">H3C</w:t>
            </w:r>
            <w:r>
              <w:rPr>
                <w:sz w:val="22"/>
                <w:szCs w:val="22"/>
              </w:rPr>
            </w:r>
            <w:r/>
          </w:p>
        </w:tc>
        <w:tc>
          <w:tcPr>
            <w:tcW w:w="1000" w:type="dxa"/>
            <w:vAlign w:val="top"/>
            <w:textDirection w:val="lrTb"/>
            <w:noWrap w:val="false"/>
          </w:tcPr>
          <w:p>
            <w:pPr>
              <w:pStyle w:val="867"/>
              <w:ind w:left="60"/>
              <w:jc w:val="center"/>
              <w:spacing w:before="72" w:line="221" w:lineRule="auto"/>
              <w:rPr>
                <w:sz w:val="22"/>
                <w:szCs w:val="22"/>
              </w:rPr>
            </w:pPr>
            <w:r>
              <w:rPr>
                <w:sz w:val="22"/>
                <w:szCs w:val="22"/>
              </w:rPr>
              <w:t xml:space="preserve">12</w:t>
            </w:r>
            <w:r>
              <w:rPr>
                <w:sz w:val="22"/>
                <w:szCs w:val="22"/>
              </w:rPr>
            </w:r>
            <w:r/>
          </w:p>
        </w:tc>
      </w:tr>
      <w:tr>
        <w:trPr>
          <w:trHeight w:val="310"/>
        </w:trPr>
        <w:tc>
          <w:tcPr>
            <w:tcW w:w="704" w:type="dxa"/>
            <w:vAlign w:val="top"/>
            <w:textDirection w:val="lrTb"/>
            <w:noWrap w:val="false"/>
          </w:tcPr>
          <w:p>
            <w:pPr>
              <w:pStyle w:val="867"/>
              <w:jc w:val="center"/>
              <w:spacing w:before="72" w:line="221" w:lineRule="auto"/>
              <w:rPr>
                <w:sz w:val="22"/>
                <w:szCs w:val="22"/>
                <w:lang w:eastAsia="zh-CN"/>
              </w:rPr>
            </w:pPr>
            <w:r>
              <w:rPr>
                <w:rFonts w:hint="eastAsia"/>
                <w:sz w:val="22"/>
                <w:szCs w:val="22"/>
                <w:lang w:eastAsia="zh-CN"/>
              </w:rPr>
              <w:t xml:space="preserve">10</w:t>
            </w:r>
            <w:r>
              <w:rPr>
                <w:sz w:val="22"/>
                <w:szCs w:val="22"/>
                <w:lang w:eastAsia="zh-CN"/>
              </w:rPr>
            </w:r>
            <w:r/>
          </w:p>
        </w:tc>
        <w:tc>
          <w:tcPr>
            <w:tcW w:w="2484" w:type="dxa"/>
            <w:vAlign w:val="top"/>
            <w:textDirection w:val="lrTb"/>
            <w:noWrap w:val="false"/>
          </w:tcPr>
          <w:p>
            <w:pPr>
              <w:pStyle w:val="867"/>
              <w:jc w:val="center"/>
              <w:spacing w:before="72" w:line="221" w:lineRule="auto"/>
              <w:rPr>
                <w:sz w:val="22"/>
                <w:szCs w:val="22"/>
              </w:rPr>
            </w:pPr>
            <w:r>
              <w:rPr>
                <w:sz w:val="22"/>
                <w:szCs w:val="22"/>
              </w:rPr>
              <w:t xml:space="preserve">POE交换机</w:t>
            </w:r>
            <w:r>
              <w:rPr>
                <w:sz w:val="22"/>
                <w:szCs w:val="22"/>
              </w:rPr>
            </w:r>
            <w:r/>
          </w:p>
        </w:tc>
        <w:tc>
          <w:tcPr>
            <w:tcW w:w="3242" w:type="dxa"/>
            <w:vAlign w:val="top"/>
            <w:textDirection w:val="lrTb"/>
            <w:noWrap w:val="false"/>
          </w:tcPr>
          <w:p>
            <w:pPr>
              <w:pStyle w:val="867"/>
              <w:jc w:val="center"/>
              <w:spacing w:before="72" w:line="221" w:lineRule="auto"/>
              <w:rPr>
                <w:sz w:val="22"/>
                <w:szCs w:val="22"/>
              </w:rPr>
            </w:pPr>
            <w:r>
              <w:rPr>
                <w:sz w:val="22"/>
                <w:szCs w:val="22"/>
              </w:rPr>
              <w:t xml:space="preserve">S5048-PWF</w:t>
            </w:r>
            <w:r>
              <w:rPr>
                <w:sz w:val="22"/>
                <w:szCs w:val="22"/>
              </w:rPr>
            </w:r>
            <w:r/>
          </w:p>
        </w:tc>
        <w:tc>
          <w:tcPr>
            <w:tcW w:w="1266" w:type="dxa"/>
            <w:vAlign w:val="top"/>
            <w:textDirection w:val="lrTb"/>
            <w:noWrap w:val="false"/>
          </w:tcPr>
          <w:p>
            <w:pPr>
              <w:pStyle w:val="867"/>
              <w:ind w:left="60"/>
              <w:jc w:val="center"/>
              <w:spacing w:before="72" w:line="221" w:lineRule="auto"/>
              <w:rPr>
                <w:sz w:val="22"/>
                <w:szCs w:val="22"/>
              </w:rPr>
            </w:pPr>
            <w:r>
              <w:rPr>
                <w:sz w:val="22"/>
                <w:szCs w:val="22"/>
              </w:rPr>
              <w:t xml:space="preserve">H3C</w:t>
            </w:r>
            <w:r>
              <w:rPr>
                <w:sz w:val="22"/>
                <w:szCs w:val="22"/>
              </w:rPr>
            </w:r>
            <w:r/>
          </w:p>
        </w:tc>
        <w:tc>
          <w:tcPr>
            <w:tcW w:w="1000" w:type="dxa"/>
            <w:vAlign w:val="top"/>
            <w:textDirection w:val="lrTb"/>
            <w:noWrap w:val="false"/>
          </w:tcPr>
          <w:p>
            <w:pPr>
              <w:pStyle w:val="867"/>
              <w:ind w:left="60"/>
              <w:jc w:val="center"/>
              <w:spacing w:before="72" w:line="221" w:lineRule="auto"/>
              <w:rPr>
                <w:sz w:val="22"/>
                <w:szCs w:val="22"/>
              </w:rPr>
            </w:pPr>
            <w:r>
              <w:rPr>
                <w:sz w:val="22"/>
                <w:szCs w:val="22"/>
              </w:rPr>
              <w:t xml:space="preserve">3</w:t>
            </w:r>
            <w:r>
              <w:rPr>
                <w:sz w:val="22"/>
                <w:szCs w:val="22"/>
              </w:rPr>
            </w:r>
            <w:r/>
          </w:p>
        </w:tc>
      </w:tr>
      <w:tr>
        <w:trPr>
          <w:trHeight w:val="320"/>
        </w:trPr>
        <w:tc>
          <w:tcPr>
            <w:tcW w:w="704" w:type="dxa"/>
            <w:vAlign w:val="top"/>
            <w:textDirection w:val="lrTb"/>
            <w:noWrap w:val="false"/>
          </w:tcPr>
          <w:p>
            <w:pPr>
              <w:pStyle w:val="867"/>
              <w:jc w:val="center"/>
              <w:spacing w:before="72" w:line="221" w:lineRule="auto"/>
              <w:rPr>
                <w:sz w:val="22"/>
                <w:szCs w:val="22"/>
                <w:lang w:eastAsia="zh-CN"/>
              </w:rPr>
            </w:pPr>
            <w:r>
              <w:rPr>
                <w:rFonts w:hint="eastAsia"/>
                <w:sz w:val="22"/>
                <w:szCs w:val="22"/>
                <w:lang w:eastAsia="zh-CN"/>
              </w:rPr>
              <w:t xml:space="preserve">11</w:t>
            </w:r>
            <w:r>
              <w:rPr>
                <w:sz w:val="22"/>
                <w:szCs w:val="22"/>
                <w:lang w:eastAsia="zh-CN"/>
              </w:rPr>
            </w:r>
            <w:r/>
          </w:p>
        </w:tc>
        <w:tc>
          <w:tcPr>
            <w:tcW w:w="2484" w:type="dxa"/>
            <w:vAlign w:val="top"/>
            <w:textDirection w:val="lrTb"/>
            <w:noWrap w:val="false"/>
          </w:tcPr>
          <w:p>
            <w:pPr>
              <w:pStyle w:val="867"/>
              <w:jc w:val="center"/>
              <w:spacing w:before="72" w:line="221" w:lineRule="auto"/>
              <w:rPr>
                <w:sz w:val="22"/>
                <w:szCs w:val="22"/>
              </w:rPr>
            </w:pPr>
            <w:r>
              <w:rPr>
                <w:sz w:val="22"/>
                <w:szCs w:val="22"/>
              </w:rPr>
              <w:t xml:space="preserve">交换机</w:t>
            </w:r>
            <w:r>
              <w:rPr>
                <w:sz w:val="22"/>
                <w:szCs w:val="22"/>
              </w:rPr>
            </w:r>
            <w:r/>
          </w:p>
        </w:tc>
        <w:tc>
          <w:tcPr>
            <w:tcW w:w="3242" w:type="dxa"/>
            <w:vAlign w:val="top"/>
            <w:textDirection w:val="lrTb"/>
            <w:noWrap w:val="false"/>
          </w:tcPr>
          <w:p>
            <w:pPr>
              <w:pStyle w:val="867"/>
              <w:jc w:val="center"/>
              <w:spacing w:before="72" w:line="221" w:lineRule="auto"/>
              <w:rPr>
                <w:sz w:val="22"/>
                <w:szCs w:val="22"/>
              </w:rPr>
            </w:pPr>
            <w:r>
              <w:rPr>
                <w:sz w:val="22"/>
                <w:szCs w:val="22"/>
              </w:rPr>
              <w:t xml:space="preserve">SMB-S4016</w:t>
            </w:r>
            <w:r>
              <w:rPr>
                <w:sz w:val="22"/>
                <w:szCs w:val="22"/>
              </w:rPr>
            </w:r>
            <w:r/>
          </w:p>
        </w:tc>
        <w:tc>
          <w:tcPr>
            <w:tcW w:w="1266" w:type="dxa"/>
            <w:vAlign w:val="top"/>
            <w:textDirection w:val="lrTb"/>
            <w:noWrap w:val="false"/>
          </w:tcPr>
          <w:p>
            <w:pPr>
              <w:pStyle w:val="867"/>
              <w:ind w:left="60"/>
              <w:jc w:val="center"/>
              <w:spacing w:before="72" w:line="221" w:lineRule="auto"/>
              <w:rPr>
                <w:sz w:val="22"/>
                <w:szCs w:val="22"/>
              </w:rPr>
            </w:pPr>
            <w:r>
              <w:rPr>
                <w:sz w:val="22"/>
                <w:szCs w:val="22"/>
              </w:rPr>
              <w:t xml:space="preserve">H3C</w:t>
            </w:r>
            <w:r>
              <w:rPr>
                <w:sz w:val="22"/>
                <w:szCs w:val="22"/>
              </w:rPr>
            </w:r>
            <w:r/>
          </w:p>
        </w:tc>
        <w:tc>
          <w:tcPr>
            <w:tcW w:w="1000" w:type="dxa"/>
            <w:vAlign w:val="top"/>
            <w:textDirection w:val="lrTb"/>
            <w:noWrap w:val="false"/>
          </w:tcPr>
          <w:p>
            <w:pPr>
              <w:pStyle w:val="867"/>
              <w:ind w:left="60"/>
              <w:jc w:val="center"/>
              <w:spacing w:before="72" w:line="221" w:lineRule="auto"/>
              <w:rPr>
                <w:sz w:val="22"/>
                <w:szCs w:val="22"/>
              </w:rPr>
            </w:pPr>
            <w:r>
              <w:rPr>
                <w:sz w:val="22"/>
                <w:szCs w:val="22"/>
              </w:rPr>
              <w:t xml:space="preserve">1</w:t>
            </w:r>
            <w:r>
              <w:rPr>
                <w:sz w:val="22"/>
                <w:szCs w:val="22"/>
              </w:rPr>
            </w:r>
            <w:r/>
          </w:p>
        </w:tc>
      </w:tr>
      <w:tr>
        <w:trPr>
          <w:trHeight w:val="320"/>
        </w:trPr>
        <w:tc>
          <w:tcPr>
            <w:tcW w:w="704" w:type="dxa"/>
            <w:vAlign w:val="top"/>
            <w:textDirection w:val="lrTb"/>
            <w:noWrap w:val="false"/>
          </w:tcPr>
          <w:p>
            <w:pPr>
              <w:pStyle w:val="867"/>
              <w:jc w:val="center"/>
              <w:spacing w:before="72" w:line="221" w:lineRule="auto"/>
              <w:rPr>
                <w:sz w:val="22"/>
                <w:szCs w:val="22"/>
                <w:lang w:eastAsia="zh-CN"/>
              </w:rPr>
            </w:pPr>
            <w:r>
              <w:rPr>
                <w:rFonts w:hint="eastAsia"/>
                <w:sz w:val="22"/>
                <w:szCs w:val="22"/>
                <w:lang w:eastAsia="zh-CN"/>
              </w:rPr>
              <w:t xml:space="preserve">12</w:t>
            </w:r>
            <w:r>
              <w:rPr>
                <w:sz w:val="22"/>
                <w:szCs w:val="22"/>
                <w:lang w:eastAsia="zh-CN"/>
              </w:rPr>
            </w:r>
            <w:r/>
          </w:p>
        </w:tc>
        <w:tc>
          <w:tcPr>
            <w:tcW w:w="2484" w:type="dxa"/>
            <w:vAlign w:val="top"/>
            <w:textDirection w:val="lrTb"/>
            <w:noWrap w:val="false"/>
          </w:tcPr>
          <w:p>
            <w:pPr>
              <w:pStyle w:val="867"/>
              <w:jc w:val="center"/>
              <w:spacing w:before="72" w:line="221" w:lineRule="auto"/>
              <w:rPr>
                <w:sz w:val="22"/>
                <w:szCs w:val="22"/>
              </w:rPr>
            </w:pPr>
            <w:r>
              <w:rPr>
                <w:sz w:val="22"/>
                <w:szCs w:val="22"/>
              </w:rPr>
              <w:t xml:space="preserve">设备机柜</w:t>
            </w:r>
            <w:r>
              <w:rPr>
                <w:sz w:val="22"/>
                <w:szCs w:val="22"/>
              </w:rPr>
            </w:r>
            <w:r/>
          </w:p>
        </w:tc>
        <w:tc>
          <w:tcPr>
            <w:tcW w:w="3242" w:type="dxa"/>
            <w:vAlign w:val="top"/>
            <w:textDirection w:val="lrTb"/>
            <w:noWrap w:val="false"/>
          </w:tcPr>
          <w:p>
            <w:pPr>
              <w:pStyle w:val="867"/>
              <w:jc w:val="center"/>
              <w:spacing w:before="72" w:line="221" w:lineRule="auto"/>
              <w:rPr>
                <w:sz w:val="22"/>
                <w:szCs w:val="22"/>
              </w:rPr>
            </w:pPr>
            <w:r>
              <w:rPr>
                <w:sz w:val="22"/>
                <w:szCs w:val="22"/>
              </w:rPr>
              <w:t xml:space="preserve">TOTEN</w:t>
            </w:r>
            <w:r>
              <w:rPr>
                <w:sz w:val="22"/>
                <w:szCs w:val="22"/>
              </w:rPr>
            </w:r>
            <w:r/>
          </w:p>
        </w:tc>
        <w:tc>
          <w:tcPr>
            <w:tcW w:w="1266" w:type="dxa"/>
            <w:vAlign w:val="top"/>
            <w:textDirection w:val="lrTb"/>
            <w:noWrap w:val="false"/>
          </w:tcPr>
          <w:p>
            <w:pPr>
              <w:pStyle w:val="867"/>
              <w:ind w:left="60"/>
              <w:jc w:val="center"/>
              <w:spacing w:before="72" w:line="221" w:lineRule="auto"/>
              <w:rPr>
                <w:sz w:val="22"/>
                <w:szCs w:val="22"/>
              </w:rPr>
            </w:pPr>
            <w:r>
              <w:rPr>
                <w:sz w:val="22"/>
                <w:szCs w:val="22"/>
              </w:rPr>
              <w:t xml:space="preserve">TOTEN</w:t>
            </w:r>
            <w:r>
              <w:rPr>
                <w:sz w:val="22"/>
                <w:szCs w:val="22"/>
              </w:rPr>
            </w:r>
            <w:r/>
          </w:p>
        </w:tc>
        <w:tc>
          <w:tcPr>
            <w:tcW w:w="1000" w:type="dxa"/>
            <w:vAlign w:val="top"/>
            <w:textDirection w:val="lrTb"/>
            <w:noWrap w:val="false"/>
          </w:tcPr>
          <w:p>
            <w:pPr>
              <w:pStyle w:val="867"/>
              <w:ind w:left="60"/>
              <w:jc w:val="center"/>
              <w:spacing w:before="72" w:line="221" w:lineRule="auto"/>
              <w:rPr>
                <w:sz w:val="22"/>
                <w:szCs w:val="22"/>
              </w:rPr>
            </w:pPr>
            <w:r>
              <w:rPr>
                <w:sz w:val="22"/>
                <w:szCs w:val="22"/>
              </w:rPr>
              <w:t xml:space="preserve">1</w:t>
            </w:r>
            <w:r>
              <w:rPr>
                <w:sz w:val="22"/>
                <w:szCs w:val="22"/>
              </w:rPr>
            </w:r>
            <w:r/>
          </w:p>
        </w:tc>
      </w:tr>
    </w:tbl>
    <w:p>
      <w:pPr>
        <w:pStyle w:val="748"/>
        <w:ind w:firstLine="560"/>
        <w:keepLines/>
        <w:keepNext/>
        <w:pageBreakBefore w:val="0"/>
        <w:spacing w:before="145" w:after="145" w:line="480" w:lineRule="exact"/>
        <w:widowControl w:val="off"/>
        <w:rPr>
          <w:rFonts w:hint="eastAsia" w:ascii="宋体" w:hAnsi="宋体"/>
          <w:b/>
          <w:i/>
          <w:iCs/>
          <w:color w:val="ff0000"/>
          <w:sz w:val="28"/>
          <w:szCs w:val="28"/>
          <w:u w:val="single"/>
        </w:rPr>
        <w:outlineLvl w:val="2"/>
      </w:pPr>
      <w:r>
        <w:rPr>
          <w:rFonts w:hint="eastAsia" w:ascii="宋体" w:hAnsi="宋体"/>
          <w:bCs/>
          <w:color w:val="000000"/>
          <w:sz w:val="28"/>
          <w:szCs w:val="28"/>
        </w:rPr>
        <w:t xml:space="preserve">投标人可自行实地（南通市崇川区孩儿巷北路6号）勘察以获得相关信息。投标人应承担勘察现场的责任和风险。（勘查联系人：应红莲18962913601）中标后，不得以不完全了解现场情况为理由而向采购人提出任何索赔的要求，对此采购人不承担任何责任并将不作任何答复与考虑。投标人必须在确保搬迁过程中人员安全的前提下，按照临床技能模拟中心信息化项目规划的要求，制订实施总体方案，优化和细化实施流程，确保项目平稳落地。</w:t>
      </w:r>
      <w:r>
        <w:rPr>
          <w:rFonts w:hint="eastAsia" w:ascii="宋体" w:hAnsi="宋体"/>
          <w:b/>
          <w:i/>
          <w:iCs/>
          <w:color w:val="000000"/>
          <w:sz w:val="28"/>
          <w:szCs w:val="28"/>
          <w:u w:val="single"/>
        </w:rPr>
        <w:t xml:space="preserve">所涉及的费用包含在报价中，请供应商充分考虑。</w:t>
      </w:r>
      <w:r>
        <w:rPr>
          <w:rFonts w:hint="eastAsia" w:ascii="宋体" w:hAnsi="宋体"/>
          <w:b/>
          <w:i/>
          <w:iCs/>
          <w:color w:val="ff0000"/>
          <w:sz w:val="28"/>
          <w:szCs w:val="28"/>
          <w:u w:val="single"/>
        </w:rPr>
      </w:r>
      <w:r/>
    </w:p>
    <w:p>
      <w:pPr>
        <w:pStyle w:val="748"/>
        <w:ind w:hanging="142"/>
        <w:spacing w:line="360" w:lineRule="auto"/>
        <w:rPr>
          <w:rFonts w:hint="eastAsia" w:ascii="仿宋" w:hAnsi="仿宋" w:eastAsia="仿宋"/>
          <w:bCs/>
          <w:color w:val="000000"/>
          <w:sz w:val="28"/>
          <w:szCs w:val="28"/>
          <w:highlight w:val="none"/>
        </w:rPr>
      </w:pPr>
      <w:r>
        <w:rPr>
          <w:rFonts w:hint="eastAsia" w:ascii="宋体" w:hAnsi="宋体" w:cs="宋体"/>
          <w:b/>
          <w:color w:val="000000"/>
          <w:sz w:val="28"/>
          <w:szCs w:val="28"/>
          <w:highlight w:val="none"/>
        </w:rPr>
        <w:t xml:space="preserve">（1）教学综合管理平台</w:t>
      </w:r>
      <w:r>
        <w:rPr>
          <w:rFonts w:hint="eastAsia" w:ascii="仿宋" w:hAnsi="仿宋" w:eastAsia="仿宋"/>
          <w:bCs/>
          <w:color w:val="000000"/>
          <w:sz w:val="28"/>
          <w:szCs w:val="28"/>
          <w:highlight w:val="none"/>
        </w:rPr>
      </w:r>
      <w:r/>
    </w:p>
    <w:tbl>
      <w:tblPr>
        <w:tblW w:w="512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2"/>
        <w:gridCol w:w="1767"/>
        <w:gridCol w:w="1780"/>
        <w:gridCol w:w="4127"/>
      </w:tblGrid>
      <w:tr>
        <w:trPr/>
        <w:tc>
          <w:tcPr>
            <w:tcW w:w="916" w:type="dxa"/>
            <w:vAlign w:val="center"/>
            <w:textDirection w:val="lrTb"/>
            <w:noWrap w:val="false"/>
          </w:tcPr>
          <w:p>
            <w:pPr>
              <w:pStyle w:val="748"/>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系统名称</w:t>
            </w:r>
            <w:r>
              <w:rPr>
                <w:rFonts w:ascii="宋体" w:hAnsi="宋体" w:cs="宋体"/>
                <w:bCs/>
                <w:color w:val="000000"/>
                <w:sz w:val="28"/>
                <w:szCs w:val="28"/>
                <w:highlight w:val="none"/>
              </w:rPr>
            </w:r>
            <w:r/>
          </w:p>
        </w:tc>
        <w:tc>
          <w:tcPr>
            <w:tcW w:w="940" w:type="dxa"/>
            <w:vAlign w:val="center"/>
            <w:textDirection w:val="lrTb"/>
            <w:noWrap w:val="false"/>
          </w:tcPr>
          <w:p>
            <w:pPr>
              <w:pStyle w:val="748"/>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分项名称</w:t>
            </w:r>
            <w:r>
              <w:rPr>
                <w:rFonts w:ascii="宋体" w:hAnsi="宋体" w:cs="宋体"/>
                <w:bCs/>
                <w:color w:val="000000"/>
                <w:sz w:val="28"/>
                <w:szCs w:val="28"/>
                <w:highlight w:val="none"/>
              </w:rPr>
            </w:r>
            <w:r/>
          </w:p>
        </w:tc>
        <w:tc>
          <w:tcPr>
            <w:tcW w:w="947" w:type="dxa"/>
            <w:vAlign w:val="center"/>
            <w:textDirection w:val="lrTb"/>
            <w:noWrap w:val="false"/>
          </w:tcPr>
          <w:p>
            <w:pPr>
              <w:pStyle w:val="748"/>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模块功能</w:t>
            </w:r>
            <w:r>
              <w:rPr>
                <w:rFonts w:ascii="宋体" w:hAnsi="宋体" w:cs="宋体"/>
                <w:bCs/>
                <w:color w:val="000000"/>
                <w:sz w:val="28"/>
                <w:szCs w:val="28"/>
                <w:highlight w:val="none"/>
              </w:rPr>
            </w:r>
            <w:r/>
          </w:p>
        </w:tc>
        <w:tc>
          <w:tcPr>
            <w:tcW w:w="2196" w:type="dxa"/>
            <w:vAlign w:val="center"/>
            <w:textDirection w:val="lrTb"/>
            <w:noWrap w:val="false"/>
          </w:tcPr>
          <w:p>
            <w:pPr>
              <w:pStyle w:val="748"/>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功能要求</w:t>
            </w:r>
            <w:r>
              <w:rPr>
                <w:rFonts w:ascii="宋体" w:hAnsi="宋体" w:cs="宋体"/>
                <w:bCs/>
                <w:color w:val="000000"/>
                <w:sz w:val="28"/>
                <w:szCs w:val="28"/>
                <w:highlight w:val="none"/>
              </w:rPr>
            </w:r>
            <w:r/>
          </w:p>
        </w:tc>
      </w:tr>
      <w:tr>
        <w:trPr/>
        <w:tc>
          <w:tcPr>
            <w:tcW w:w="916" w:type="dxa"/>
            <w:vAlign w:val="center"/>
            <w:vMerge w:val="restart"/>
            <w:textDirection w:val="lrTb"/>
            <w:noWrap w:val="false"/>
          </w:tcPr>
          <w:p>
            <w:pPr>
              <w:pStyle w:val="748"/>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住院医师规范化培训管理系统</w:t>
            </w:r>
            <w:r>
              <w:rPr>
                <w:rFonts w:ascii="宋体" w:hAnsi="宋体" w:cs="宋体"/>
                <w:bCs/>
                <w:color w:val="000000"/>
                <w:sz w:val="28"/>
                <w:szCs w:val="28"/>
                <w:highlight w:val="none"/>
              </w:rPr>
            </w:r>
            <w:r/>
          </w:p>
        </w:tc>
        <w:tc>
          <w:tcPr>
            <w:tcW w:w="940" w:type="dxa"/>
            <w:vAlign w:val="center"/>
            <w:textDirection w:val="lrTb"/>
            <w:noWrap w:val="false"/>
          </w:tcPr>
          <w:p>
            <w:pPr>
              <w:pStyle w:val="748"/>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招录管理</w:t>
            </w:r>
            <w:r>
              <w:rPr>
                <w:rFonts w:ascii="宋体" w:hAnsi="宋体" w:cs="宋体"/>
                <w:bCs/>
                <w:color w:val="000000"/>
                <w:sz w:val="28"/>
                <w:szCs w:val="28"/>
                <w:highlight w:val="none"/>
              </w:rPr>
            </w:r>
            <w:r/>
          </w:p>
        </w:tc>
        <w:tc>
          <w:tcPr>
            <w:tcW w:w="947" w:type="dxa"/>
            <w:vAlign w:val="center"/>
            <w:textDirection w:val="lrTb"/>
            <w:noWrap w:val="false"/>
          </w:tcPr>
          <w:p>
            <w:pPr>
              <w:pStyle w:val="748"/>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招录管理</w:t>
            </w:r>
            <w:r>
              <w:rPr>
                <w:rFonts w:ascii="宋体" w:hAnsi="宋体" w:cs="宋体"/>
                <w:bCs/>
                <w:color w:val="000000"/>
                <w:sz w:val="28"/>
                <w:szCs w:val="28"/>
                <w:highlight w:val="none"/>
              </w:rPr>
            </w:r>
            <w:r/>
          </w:p>
        </w:tc>
        <w:tc>
          <w:tcPr>
            <w:tcW w:w="2196" w:type="dxa"/>
            <w:vAlign w:val="center"/>
            <w:textDirection w:val="lrTb"/>
            <w:noWrap w:val="false"/>
          </w:tcPr>
          <w:p>
            <w:pPr>
              <w:pStyle w:val="748"/>
              <w:numPr>
                <w:ilvl w:val="0"/>
                <w:numId w:val="6"/>
              </w:num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可在教学门户中设置招录页面。</w:t>
            </w:r>
            <w:r>
              <w:rPr>
                <w:rFonts w:ascii="宋体" w:hAnsi="宋体" w:cs="宋体"/>
                <w:bCs/>
                <w:color w:val="000000"/>
                <w:sz w:val="28"/>
                <w:szCs w:val="28"/>
                <w:highlight w:val="none"/>
              </w:rPr>
            </w:r>
            <w:r/>
          </w:p>
          <w:p>
            <w:pPr>
              <w:pStyle w:val="748"/>
              <w:numPr>
                <w:ilvl w:val="0"/>
                <w:numId w:val="6"/>
              </w:num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报名人可通过招录页面填写报名信息，上传报名材料。</w:t>
            </w:r>
            <w:r>
              <w:rPr>
                <w:rFonts w:ascii="宋体" w:hAnsi="宋体" w:cs="宋体"/>
                <w:bCs/>
                <w:color w:val="000000"/>
                <w:sz w:val="28"/>
                <w:szCs w:val="28"/>
                <w:highlight w:val="none"/>
              </w:rPr>
            </w:r>
            <w:r/>
          </w:p>
          <w:p>
            <w:pPr>
              <w:pStyle w:val="748"/>
              <w:numPr>
                <w:ilvl w:val="0"/>
                <w:numId w:val="6"/>
              </w:num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教学管理员可查看报名信息、审核。</w:t>
            </w:r>
            <w:r>
              <w:rPr>
                <w:rFonts w:ascii="宋体" w:hAnsi="宋体" w:cs="宋体"/>
                <w:bCs/>
                <w:color w:val="000000"/>
                <w:sz w:val="28"/>
                <w:szCs w:val="28"/>
                <w:highlight w:val="none"/>
              </w:rPr>
            </w:r>
            <w:r/>
          </w:p>
          <w:p>
            <w:pPr>
              <w:pStyle w:val="748"/>
              <w:numPr>
                <w:ilvl w:val="0"/>
                <w:numId w:val="6"/>
              </w:num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招录结果可通过短信及邮箱通知到报名人。</w:t>
            </w:r>
            <w:r>
              <w:rPr>
                <w:rFonts w:ascii="宋体" w:hAnsi="宋体" w:cs="宋体"/>
                <w:bCs/>
                <w:color w:val="000000"/>
                <w:sz w:val="28"/>
                <w:szCs w:val="28"/>
                <w:highlight w:val="none"/>
              </w:rPr>
            </w:r>
            <w:r/>
          </w:p>
          <w:p>
            <w:pPr>
              <w:pStyle w:val="748"/>
              <w:numPr>
                <w:ilvl w:val="0"/>
                <w:numId w:val="6"/>
              </w:num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可与基地容量、在培人数相关联，超容提醒。</w:t>
            </w:r>
            <w:r>
              <w:rPr>
                <w:rFonts w:ascii="宋体" w:hAnsi="宋体" w:cs="宋体"/>
                <w:bCs/>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bCs/>
                <w:color w:val="000000"/>
                <w:sz w:val="28"/>
                <w:szCs w:val="28"/>
                <w:highlight w:val="none"/>
              </w:rPr>
            </w:pPr>
            <w:r>
              <w:rPr>
                <w:rFonts w:ascii="宋体" w:hAnsi="宋体" w:cs="宋体"/>
                <w:bCs/>
                <w:color w:val="000000"/>
                <w:sz w:val="28"/>
                <w:szCs w:val="28"/>
                <w:highlight w:val="none"/>
              </w:rPr>
            </w:r>
            <w:r/>
          </w:p>
        </w:tc>
        <w:tc>
          <w:tcPr>
            <w:tcW w:w="940" w:type="dxa"/>
            <w:vAlign w:val="center"/>
            <w:vMerge w:val="restart"/>
            <w:textDirection w:val="lrTb"/>
            <w:noWrap w:val="false"/>
          </w:tcPr>
          <w:p>
            <w:pPr>
              <w:pStyle w:val="748"/>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档案管理</w:t>
            </w:r>
            <w:r>
              <w:rPr>
                <w:rFonts w:ascii="宋体" w:hAnsi="宋体" w:cs="宋体"/>
                <w:bCs/>
                <w:color w:val="000000"/>
                <w:sz w:val="28"/>
                <w:szCs w:val="28"/>
                <w:highlight w:val="none"/>
              </w:rPr>
            </w:r>
            <w:r/>
          </w:p>
        </w:tc>
        <w:tc>
          <w:tcPr>
            <w:tcW w:w="947" w:type="dxa"/>
            <w:vAlign w:val="center"/>
            <w:textDirection w:val="lrTb"/>
            <w:noWrap w:val="false"/>
          </w:tcPr>
          <w:p>
            <w:pPr>
              <w:pStyle w:val="748"/>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学员档案</w:t>
            </w:r>
            <w:r>
              <w:rPr>
                <w:rFonts w:ascii="宋体" w:hAnsi="宋体" w:cs="宋体"/>
                <w:bCs/>
                <w:color w:val="000000"/>
                <w:sz w:val="28"/>
                <w:szCs w:val="28"/>
                <w:highlight w:val="none"/>
              </w:rPr>
            </w:r>
            <w:r/>
          </w:p>
        </w:tc>
        <w:tc>
          <w:tcPr>
            <w:tcW w:w="2196" w:type="dxa"/>
            <w:vAlign w:val="center"/>
            <w:textDirection w:val="lrTb"/>
            <w:noWrap w:val="false"/>
          </w:tcPr>
          <w:p>
            <w:pPr>
              <w:pStyle w:val="866"/>
              <w:numPr>
                <w:ilvl w:val="0"/>
                <w:numId w:val="7"/>
              </w:numPr>
              <w:rPr>
                <w:bCs/>
                <w:color w:val="000000"/>
                <w:sz w:val="28"/>
                <w:szCs w:val="28"/>
                <w:highlight w:val="none"/>
              </w:rPr>
            </w:pPr>
            <w:r>
              <w:rPr>
                <w:rFonts w:hint="eastAsia"/>
                <w:bCs/>
                <w:color w:val="000000"/>
                <w:sz w:val="28"/>
                <w:szCs w:val="28"/>
                <w:highlight w:val="none"/>
              </w:rPr>
              <w:t xml:space="preserve">系统可按照自定要求建立学员基本档案信息，包括基本信息、培训信息、工作及学习经历、证照信息等。档案标签可体现系统中的信息追溯，如：轮转信息、学员评价、教学活动参与情况、出科考核与系统的轮转管理、评价管理、教学活动管理、住宿、奖惩记录等。专硕增加过程管理标签，包括论文、课题、大会发言、开题、中期、预答辩等。</w:t>
            </w:r>
            <w:r>
              <w:rPr>
                <w:bCs/>
                <w:color w:val="000000"/>
                <w:sz w:val="28"/>
                <w:szCs w:val="28"/>
                <w:highlight w:val="none"/>
              </w:rPr>
            </w:r>
            <w:r/>
          </w:p>
          <w:p>
            <w:pPr>
              <w:pStyle w:val="866"/>
              <w:numPr>
                <w:ilvl w:val="0"/>
                <w:numId w:val="7"/>
              </w:numPr>
              <w:rPr>
                <w:bCs/>
                <w:color w:val="000000"/>
                <w:sz w:val="28"/>
                <w:szCs w:val="28"/>
                <w:highlight w:val="none"/>
              </w:rPr>
            </w:pPr>
            <w:r>
              <w:rPr>
                <w:rFonts w:hint="eastAsia"/>
                <w:bCs/>
                <w:color w:val="000000"/>
                <w:sz w:val="28"/>
                <w:szCs w:val="28"/>
                <w:highlight w:val="none"/>
              </w:rPr>
              <w:t xml:space="preserve">各个标签与系统各模块数据互相关联，相关的信息自动汇总到档案中的对应标签。可以根据医院要求配置档案项目，并指定是否可由学员自行维护。</w:t>
            </w:r>
            <w:r>
              <w:rPr>
                <w:bCs/>
                <w:color w:val="000000"/>
                <w:sz w:val="28"/>
                <w:szCs w:val="28"/>
                <w:highlight w:val="none"/>
              </w:rPr>
            </w:r>
            <w:r/>
          </w:p>
          <w:p>
            <w:pPr>
              <w:pStyle w:val="866"/>
              <w:numPr>
                <w:ilvl w:val="0"/>
                <w:numId w:val="7"/>
              </w:numPr>
              <w:rPr>
                <w:bCs/>
                <w:color w:val="000000"/>
                <w:sz w:val="28"/>
                <w:szCs w:val="28"/>
                <w:highlight w:val="none"/>
              </w:rPr>
            </w:pPr>
            <w:r>
              <w:rPr>
                <w:rFonts w:hint="eastAsia"/>
                <w:bCs/>
                <w:color w:val="000000"/>
                <w:sz w:val="28"/>
                <w:szCs w:val="28"/>
                <w:highlight w:val="none"/>
              </w:rPr>
              <w:t xml:space="preserve">可根据姓名、工号、学员类型、身份类型、年级、学制、专业基地、培训状态等筛选需要查询的学员，也可以选择档案基本信息的自定义查询 。</w:t>
            </w:r>
            <w:r>
              <w:rPr>
                <w:bCs/>
                <w:color w:val="000000"/>
                <w:sz w:val="28"/>
                <w:szCs w:val="28"/>
                <w:highlight w:val="none"/>
              </w:rPr>
            </w:r>
            <w:r/>
          </w:p>
          <w:p>
            <w:pPr>
              <w:pStyle w:val="866"/>
              <w:numPr>
                <w:ilvl w:val="0"/>
                <w:numId w:val="7"/>
              </w:numPr>
              <w:rPr>
                <w:bCs/>
                <w:color w:val="000000"/>
                <w:sz w:val="28"/>
                <w:szCs w:val="28"/>
                <w:highlight w:val="none"/>
              </w:rPr>
            </w:pPr>
            <w:r>
              <w:rPr>
                <w:rFonts w:hint="eastAsia"/>
                <w:bCs/>
                <w:color w:val="000000"/>
                <w:sz w:val="28"/>
                <w:szCs w:val="28"/>
                <w:highlight w:val="none"/>
              </w:rPr>
              <w:t xml:space="preserve">可按照国家平台及省平台格式要求进行学员信息的导出。可按照管理要求自定义批量查询 、导出学员档案信息。</w:t>
            </w:r>
            <w:r>
              <w:rPr>
                <w:bCs/>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bCs/>
                <w:color w:val="000000"/>
                <w:sz w:val="28"/>
                <w:szCs w:val="28"/>
                <w:highlight w:val="none"/>
              </w:rPr>
            </w:pPr>
            <w:r>
              <w:rPr>
                <w:rFonts w:ascii="宋体" w:hAnsi="宋体" w:cs="宋体"/>
                <w:bCs/>
                <w:color w:val="000000"/>
                <w:sz w:val="28"/>
                <w:szCs w:val="28"/>
                <w:highlight w:val="none"/>
              </w:rPr>
            </w:r>
            <w:r/>
          </w:p>
        </w:tc>
        <w:tc>
          <w:tcPr>
            <w:tcW w:w="940" w:type="dxa"/>
            <w:vAlign w:val="center"/>
            <w:vMerge w:val="continue"/>
            <w:textDirection w:val="lrTb"/>
            <w:noWrap w:val="false"/>
          </w:tcPr>
          <w:p>
            <w:pPr>
              <w:pStyle w:val="748"/>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c>
          <w:tcPr>
            <w:tcW w:w="947" w:type="dxa"/>
            <w:vAlign w:val="center"/>
            <w:textDirection w:val="lrTb"/>
            <w:noWrap w:val="false"/>
          </w:tcPr>
          <w:p>
            <w:pPr>
              <w:pStyle w:val="748"/>
              <w:rPr>
                <w:rFonts w:hint="eastAsia" w:ascii="宋体" w:hAnsi="宋体" w:cs="宋体"/>
                <w:bCs/>
                <w:color w:val="000000"/>
                <w:sz w:val="28"/>
                <w:szCs w:val="28"/>
                <w:highlight w:val="none"/>
              </w:rPr>
            </w:pPr>
            <w:r>
              <w:rPr>
                <w:rFonts w:ascii="宋体" w:hAnsi="宋体" w:cs="宋体"/>
                <w:bCs/>
                <w:color w:val="000000"/>
                <w:sz w:val="28"/>
                <w:szCs w:val="28"/>
                <w:highlight w:val="none"/>
              </w:rPr>
              <w:t xml:space="preserve">▲</w:t>
            </w:r>
            <w:r>
              <w:rPr>
                <w:rFonts w:hint="eastAsia" w:ascii="宋体" w:hAnsi="宋体" w:cs="宋体"/>
                <w:bCs/>
                <w:color w:val="000000"/>
                <w:sz w:val="28"/>
                <w:szCs w:val="28"/>
                <w:highlight w:val="none"/>
              </w:rPr>
              <w:t xml:space="preserve">住院医师档案查询（提供功能截图证明）</w:t>
            </w:r>
            <w:r>
              <w:rPr>
                <w:rFonts w:hint="eastAsia" w:ascii="宋体" w:hAnsi="宋体" w:cs="宋体"/>
                <w:bCs/>
                <w:color w:val="000000"/>
                <w:sz w:val="28"/>
                <w:szCs w:val="28"/>
                <w:highlight w:val="none"/>
              </w:rPr>
            </w:r>
            <w:r/>
          </w:p>
        </w:tc>
        <w:tc>
          <w:tcPr>
            <w:tcW w:w="2196" w:type="dxa"/>
            <w:vAlign w:val="center"/>
            <w:textDirection w:val="lrTb"/>
            <w:noWrap w:val="false"/>
          </w:tcPr>
          <w:p>
            <w:pPr>
              <w:pStyle w:val="866"/>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（1）向多个管理角色开放住院医师档案的查询。</w:t>
            </w:r>
            <w:r>
              <w:rPr>
                <w:rFonts w:hint="eastAsia"/>
                <w:bCs/>
                <w:color w:val="000000"/>
                <w:sz w:val="28"/>
                <w:szCs w:val="28"/>
                <w:highlight w:val="none"/>
              </w:rPr>
            </w:r>
            <w:r/>
          </w:p>
          <w:p>
            <w:pPr>
              <w:pStyle w:val="866"/>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（2）可根据姓名、工号、学员类型、身份类别、年级、学制、专业基地、医学方向、培训状态筛选需要查询的住院医师。也可以选择档案基本信息的自定义查询。</w:t>
            </w:r>
            <w:r>
              <w:rPr>
                <w:rFonts w:hint="eastAsia"/>
                <w:bCs/>
                <w:color w:val="000000"/>
                <w:sz w:val="28"/>
                <w:szCs w:val="28"/>
                <w:highlight w:val="none"/>
              </w:rPr>
            </w:r>
            <w:r/>
          </w:p>
          <w:p>
            <w:pPr>
              <w:pStyle w:val="866"/>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（3）可批量导入学员基本信息和结业证书。</w:t>
            </w:r>
            <w:r>
              <w:rPr>
                <w:rFonts w:hint="eastAsia"/>
                <w:bCs/>
                <w:color w:val="000000"/>
                <w:sz w:val="28"/>
                <w:szCs w:val="28"/>
                <w:highlight w:val="none"/>
              </w:rPr>
            </w:r>
            <w:r/>
          </w:p>
          <w:p>
            <w:pPr>
              <w:pStyle w:val="866"/>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（4）可按照医师协会格式要求进行学员信息的导出、可按照管理要求自定义导出学员档案信息、可批量导出学员档案头像。</w:t>
            </w:r>
            <w:r>
              <w:rPr>
                <w:rFonts w:hint="eastAsia"/>
                <w:bCs/>
                <w:color w:val="000000"/>
                <w:sz w:val="28"/>
                <w:szCs w:val="28"/>
                <w:highlight w:val="none"/>
              </w:rPr>
            </w:r>
            <w:r/>
          </w:p>
          <w:p>
            <w:pPr>
              <w:pStyle w:val="866"/>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（5）批量粘贴账号查询。</w:t>
            </w:r>
            <w:r>
              <w:rPr>
                <w:rFonts w:hint="eastAsia"/>
                <w:bCs/>
                <w:color w:val="000000"/>
                <w:sz w:val="28"/>
                <w:szCs w:val="28"/>
                <w:highlight w:val="none"/>
              </w:rPr>
            </w:r>
            <w:r/>
          </w:p>
          <w:p>
            <w:pPr>
              <w:pStyle w:val="866"/>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（6）可批量调整学员的结业、延期、退赔等培训状态，并可根据不同培训状态填写对应的时间及原因。</w:t>
            </w:r>
            <w:r>
              <w:rPr>
                <w:rFonts w:hint="eastAsia"/>
                <w:bCs/>
                <w:color w:val="000000"/>
                <w:sz w:val="28"/>
                <w:szCs w:val="28"/>
                <w:highlight w:val="none"/>
              </w:rPr>
            </w:r>
            <w:r/>
          </w:p>
          <w:p>
            <w:pPr>
              <w:pStyle w:val="866"/>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（7）管理可重置学员的登录密码，可解除学员的移动端使用权限。</w:t>
            </w:r>
            <w:r>
              <w:rPr>
                <w:rFonts w:hint="eastAsia"/>
                <w:bCs/>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师资档案</w:t>
            </w:r>
            <w:r>
              <w:rPr>
                <w:rFonts w:ascii="宋体" w:hAnsi="宋体" w:cs="宋体"/>
                <w:color w:val="000000"/>
                <w:sz w:val="28"/>
                <w:szCs w:val="28"/>
                <w:highlight w:val="none"/>
              </w:rPr>
            </w:r>
            <w:r/>
          </w:p>
        </w:tc>
        <w:tc>
          <w:tcPr>
            <w:tcW w:w="2196" w:type="dxa"/>
            <w:vAlign w:val="center"/>
            <w:textDirection w:val="lrTb"/>
            <w:noWrap w:val="false"/>
          </w:tcPr>
          <w:p>
            <w:pPr>
              <w:pStyle w:val="748"/>
              <w:numPr>
                <w:ilvl w:val="0"/>
                <w:numId w:val="8"/>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系统可建立师资档案，全面记录师资相关的各类信息。向多个管理角色开放师资档案的查询。可根据姓名、工号、职称、师资类型、状态等筛选需要查询的师资人员。</w:t>
            </w:r>
            <w:r>
              <w:rPr>
                <w:rFonts w:ascii="宋体" w:hAnsi="宋体" w:cs="宋体"/>
                <w:color w:val="000000"/>
                <w:sz w:val="28"/>
                <w:szCs w:val="28"/>
                <w:highlight w:val="none"/>
              </w:rPr>
            </w:r>
            <w:r/>
          </w:p>
          <w:p>
            <w:pPr>
              <w:pStyle w:val="748"/>
              <w:numPr>
                <w:ilvl w:val="0"/>
                <w:numId w:val="8"/>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包含师资个人基本信息、担任角色、带教经历、获得的评价、主讲的教学活动、师资培训记录等。</w:t>
            </w:r>
            <w:r>
              <w:rPr>
                <w:rFonts w:ascii="宋体" w:hAnsi="宋体" w:cs="宋体"/>
                <w:color w:val="000000"/>
                <w:sz w:val="28"/>
                <w:szCs w:val="28"/>
                <w:highlight w:val="none"/>
              </w:rPr>
            </w:r>
            <w:r/>
          </w:p>
          <w:p>
            <w:pPr>
              <w:pStyle w:val="748"/>
              <w:numPr>
                <w:ilvl w:val="0"/>
                <w:numId w:val="8"/>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研究生导师增加硕导标签，记录导师类型、高校、所指导研究生信息、导师上岗情况等。</w:t>
            </w:r>
            <w:r>
              <w:rPr>
                <w:rFonts w:ascii="宋体" w:hAnsi="宋体" w:cs="宋体"/>
                <w:color w:val="000000"/>
                <w:sz w:val="28"/>
                <w:szCs w:val="28"/>
                <w:highlight w:val="none"/>
              </w:rPr>
            </w:r>
            <w:r/>
          </w:p>
          <w:p>
            <w:pPr>
              <w:pStyle w:val="748"/>
              <w:numPr>
                <w:ilvl w:val="0"/>
                <w:numId w:val="8"/>
              </w:numPr>
              <w:rPr>
                <w:rFonts w:ascii="宋体" w:hAnsi="宋体" w:cs="宋体"/>
                <w:color w:val="000000"/>
                <w:sz w:val="28"/>
                <w:szCs w:val="28"/>
                <w:highlight w:val="none"/>
              </w:rPr>
            </w:pPr>
            <w:r>
              <w:rPr>
                <w:rFonts w:hint="eastAsia" w:ascii="宋体" w:hAnsi="宋体" w:cs="宋体"/>
                <w:bCs/>
                <w:color w:val="000000"/>
                <w:sz w:val="28"/>
                <w:szCs w:val="28"/>
                <w:highlight w:val="none"/>
              </w:rPr>
              <w:t xml:space="preserve">可自定义字段要求。</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师资档案查询</w:t>
            </w:r>
            <w:r>
              <w:rPr>
                <w:rFonts w:hint="eastAsia" w:ascii="宋体" w:hAnsi="宋体" w:cs="宋体"/>
                <w:color w:val="000000"/>
                <w:sz w:val="28"/>
                <w:szCs w:val="28"/>
                <w:highlight w:val="none"/>
              </w:rPr>
            </w:r>
            <w:r/>
          </w:p>
        </w:tc>
        <w:tc>
          <w:tcPr>
            <w:tcW w:w="2196"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（1）系统可建立师资档案。</w:t>
            </w:r>
            <w:r>
              <w:rPr>
                <w:rFonts w:hint="eastAsia" w:ascii="宋体" w:hAnsi="宋体" w:cs="宋体"/>
                <w:color w:val="000000"/>
                <w:sz w:val="28"/>
                <w:szCs w:val="28"/>
                <w:highlight w:val="none"/>
              </w:rPr>
            </w:r>
            <w:r/>
          </w:p>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（2）档案标签包括基本信息、担任角色、带教经历、历史评价、教学活动记录。</w:t>
            </w:r>
            <w:r>
              <w:rPr>
                <w:rFonts w:hint="eastAsia" w:ascii="宋体" w:hAnsi="宋体" w:cs="宋体"/>
                <w:color w:val="000000"/>
                <w:sz w:val="28"/>
                <w:szCs w:val="28"/>
                <w:highlight w:val="none"/>
              </w:rPr>
            </w:r>
            <w:r/>
          </w:p>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（3）担任角色、带教经历、历史评价、教学活动记录等标签内容由系统的角色管理、入科分配、评价管理、教学活动管理等模块数据生成，相关信息自动汇总到档案中的对应标签。</w:t>
            </w:r>
            <w:r>
              <w:rPr>
                <w:rFonts w:hint="eastAsia" w:ascii="宋体" w:hAnsi="宋体" w:cs="宋体"/>
                <w:color w:val="000000"/>
                <w:sz w:val="28"/>
                <w:szCs w:val="28"/>
                <w:highlight w:val="none"/>
              </w:rPr>
            </w:r>
            <w:r/>
          </w:p>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（4）担任角色标签中可调整任职开始结束时间。</w:t>
            </w:r>
            <w:r>
              <w:rPr>
                <w:rFonts w:hint="eastAsia" w:ascii="宋体" w:hAnsi="宋体" w:cs="宋体"/>
                <w:color w:val="000000"/>
                <w:sz w:val="28"/>
                <w:szCs w:val="28"/>
                <w:highlight w:val="none"/>
              </w:rPr>
            </w:r>
            <w:r/>
          </w:p>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（5）档案中可记录师资人员参加过的各级师资培训，可上传培训证明。</w:t>
            </w:r>
            <w:r>
              <w:rPr>
                <w:rFonts w:hint="eastAsia"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设置轮转计划模板</w:t>
            </w:r>
            <w:r>
              <w:rPr>
                <w:rFonts w:ascii="宋体" w:hAnsi="宋体" w:cs="宋体"/>
                <w:color w:val="000000"/>
                <w:sz w:val="28"/>
                <w:szCs w:val="28"/>
                <w:highlight w:val="none"/>
              </w:rPr>
            </w:r>
            <w:r/>
          </w:p>
        </w:tc>
        <w:tc>
          <w:tcPr>
            <w:tcW w:w="2196" w:type="dxa"/>
            <w:vAlign w:val="center"/>
            <w:textDirection w:val="lrTb"/>
            <w:noWrap w:val="false"/>
          </w:tcPr>
          <w:p>
            <w:pPr>
              <w:pStyle w:val="748"/>
              <w:numPr>
                <w:ilvl w:val="0"/>
                <w:numId w:val="9"/>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系统根据国家规培大纲要求及医院教学要求，设置轮转计划模板。模板可支持的规则设置包括：按照分层递进的要求，设置各专业轮转阶段、每阶段轮转科室范围、设置科室人数容量上限等。</w:t>
            </w:r>
            <w:r>
              <w:rPr>
                <w:rFonts w:ascii="宋体" w:hAnsi="宋体" w:cs="宋体"/>
                <w:color w:val="000000"/>
                <w:sz w:val="28"/>
                <w:szCs w:val="28"/>
                <w:highlight w:val="none"/>
              </w:rPr>
            </w:r>
            <w:r/>
          </w:p>
          <w:p>
            <w:pPr>
              <w:pStyle w:val="748"/>
              <w:numPr>
                <w:ilvl w:val="0"/>
                <w:numId w:val="9"/>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可按月或按半月进行轮转安排。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特殊规则设置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（1）可根据需求自由设定科室联排（2）季节性疾病增加人数，支持指定科室或指定人员按特定要求排班（3）设置科室高峰时段（4）固定某些科室的轮转时间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轮转计划编制</w:t>
            </w:r>
            <w:r>
              <w:rPr>
                <w:rFonts w:ascii="宋体" w:hAnsi="宋体" w:cs="宋体"/>
                <w:color w:val="000000"/>
                <w:sz w:val="28"/>
                <w:szCs w:val="28"/>
                <w:highlight w:val="none"/>
              </w:rPr>
            </w:r>
            <w:r/>
          </w:p>
        </w:tc>
        <w:tc>
          <w:tcPr>
            <w:tcW w:w="2196" w:type="dxa"/>
            <w:vAlign w:val="center"/>
            <w:textDirection w:val="lrTb"/>
            <w:noWrap w:val="false"/>
          </w:tcPr>
          <w:p>
            <w:pPr>
              <w:pStyle w:val="866"/>
              <w:ind w:left="31" w:right="59"/>
              <w:spacing w:before="223"/>
              <w:rPr>
                <w:color w:val="000000"/>
                <w:sz w:val="28"/>
                <w:szCs w:val="28"/>
                <w:highlight w:val="none"/>
              </w:rPr>
            </w:pPr>
            <w:r>
              <w:rPr>
                <w:rFonts w:hint="eastAsia"/>
                <w:color w:val="000000"/>
                <w:sz w:val="28"/>
                <w:szCs w:val="28"/>
                <w:highlight w:val="none"/>
              </w:rPr>
              <w:t xml:space="preserve">可同时编制已轮转部分科室学员、新招录学员轮转计划，将名单 、科室名单 、历史轮转数据导入，利用轮转模板实现轮转计划编制，排班结果达到科室容量平衡。</w:t>
            </w:r>
            <w:r>
              <w:rPr>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866"/>
              <w:ind w:left="22" w:right="70"/>
              <w:spacing w:before="248"/>
              <w:rPr>
                <w:color w:val="000000"/>
                <w:spacing w:val="-4"/>
                <w:sz w:val="28"/>
                <w:szCs w:val="28"/>
                <w:highlight w:val="none"/>
              </w:rPr>
            </w:pPr>
            <w:r>
              <w:rPr>
                <w:rFonts w:hint="eastAsia"/>
                <w:color w:val="000000"/>
                <w:spacing w:val="-4"/>
                <w:sz w:val="28"/>
                <w:szCs w:val="28"/>
                <w:highlight w:val="none"/>
              </w:rPr>
              <w:t xml:space="preserve">轮转计划查看</w:t>
            </w:r>
            <w:r>
              <w:rPr>
                <w:color w:val="000000"/>
                <w:spacing w:val="-4"/>
                <w:sz w:val="28"/>
                <w:szCs w:val="28"/>
                <w:highlight w:val="none"/>
              </w:rPr>
            </w:r>
            <w:r/>
          </w:p>
        </w:tc>
        <w:tc>
          <w:tcPr>
            <w:tcW w:w="2196" w:type="dxa"/>
            <w:vAlign w:val="center"/>
            <w:textDirection w:val="lrTb"/>
            <w:noWrap w:val="false"/>
          </w:tcPr>
          <w:p>
            <w:pPr>
              <w:pStyle w:val="748"/>
              <w:numPr>
                <w:ilvl w:val="0"/>
                <w:numId w:val="10"/>
              </w:numPr>
              <w:ind w:left="29"/>
              <w:spacing w:before="1"/>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按学员查询，可查询各个学员的轮转计划，每个月份所在的轮转科室。可根据学员姓名 、时间段、年级、专业、学员类型、学员状态等筛选需要查询的学员轮转计划。</w:t>
            </w:r>
            <w:r>
              <w:rPr>
                <w:rFonts w:ascii="宋体" w:hAnsi="宋体" w:cs="宋体"/>
                <w:color w:val="000000"/>
                <w:sz w:val="28"/>
                <w:szCs w:val="28"/>
                <w:highlight w:val="none"/>
              </w:rPr>
            </w:r>
            <w:r/>
          </w:p>
          <w:p>
            <w:pPr>
              <w:pStyle w:val="748"/>
              <w:numPr>
                <w:ilvl w:val="0"/>
                <w:numId w:val="10"/>
              </w:numPr>
              <w:ind w:left="29"/>
              <w:spacing w:before="1"/>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可查看各个科室在各个月份的轮转人数、具体人员名单。支持以EXCEL的形式导出轮转表。</w:t>
            </w:r>
            <w:r>
              <w:rPr>
                <w:rFonts w:ascii="宋体" w:hAnsi="宋体" w:cs="宋体"/>
                <w:color w:val="000000"/>
                <w:sz w:val="28"/>
                <w:szCs w:val="28"/>
                <w:highlight w:val="none"/>
              </w:rPr>
            </w:r>
            <w:r/>
          </w:p>
          <w:p>
            <w:pPr>
              <w:pStyle w:val="748"/>
              <w:numPr>
                <w:ilvl w:val="0"/>
                <w:numId w:val="10"/>
              </w:numPr>
              <w:rPr>
                <w:rFonts w:ascii="宋体" w:hAnsi="宋体" w:cs="宋体"/>
                <w:color w:val="000000"/>
                <w:spacing w:val="-4"/>
                <w:sz w:val="28"/>
                <w:szCs w:val="28"/>
                <w:highlight w:val="none"/>
              </w:rPr>
            </w:pPr>
            <w:r>
              <w:rPr>
                <w:rFonts w:hint="eastAsia" w:ascii="宋体" w:hAnsi="宋体" w:cs="宋体"/>
                <w:color w:val="000000"/>
                <w:sz w:val="28"/>
                <w:szCs w:val="28"/>
                <w:highlight w:val="none"/>
              </w:rPr>
              <w:t xml:space="preserve">可根据国家和省要求导出符合格式要求的文件。</w:t>
            </w:r>
            <w:r>
              <w:rPr>
                <w:rFonts w:ascii="宋体" w:hAnsi="宋体" w:cs="宋体"/>
                <w:color w:val="000000"/>
                <w:spacing w:val="-4"/>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轮转计划调整</w:t>
            </w:r>
            <w:r>
              <w:rPr>
                <w:rFonts w:ascii="宋体" w:hAnsi="宋体" w:cs="宋体"/>
                <w:color w:val="000000"/>
                <w:sz w:val="28"/>
                <w:szCs w:val="28"/>
                <w:highlight w:val="none"/>
              </w:rPr>
            </w:r>
            <w:r/>
          </w:p>
        </w:tc>
        <w:tc>
          <w:tcPr>
            <w:tcW w:w="2196" w:type="dxa"/>
            <w:vAlign w:val="center"/>
            <w:textDirection w:val="lrTb"/>
            <w:noWrap w:val="false"/>
          </w:tcPr>
          <w:p>
            <w:pPr>
              <w:pStyle w:val="748"/>
              <w:numPr>
                <w:ilvl w:val="0"/>
                <w:numId w:val="10"/>
              </w:numPr>
              <w:ind w:left="26"/>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可在系统编制轮转计划的基础上手工调整轮转计划。</w:t>
            </w:r>
            <w:r>
              <w:rPr>
                <w:rFonts w:ascii="宋体" w:hAnsi="宋体" w:cs="宋体"/>
                <w:color w:val="000000"/>
                <w:sz w:val="28"/>
                <w:szCs w:val="28"/>
                <w:highlight w:val="none"/>
              </w:rPr>
            </w:r>
            <w:r/>
          </w:p>
          <w:p>
            <w:pPr>
              <w:pStyle w:val="748"/>
              <w:numPr>
                <w:ilvl w:val="0"/>
                <w:numId w:val="10"/>
              </w:numPr>
              <w:ind w:left="26"/>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支持轮转科室的下级分配功能，一级科室教学管理人员可以在学员入科之前将轮转信息向下分配至二级实际轮转科室。</w:t>
            </w:r>
            <w:r>
              <w:rPr>
                <w:rFonts w:ascii="宋体" w:hAnsi="宋体" w:cs="宋体"/>
                <w:color w:val="000000"/>
                <w:sz w:val="28"/>
                <w:szCs w:val="28"/>
                <w:highlight w:val="none"/>
              </w:rPr>
            </w:r>
            <w:r/>
          </w:p>
          <w:p>
            <w:pPr>
              <w:pStyle w:val="748"/>
              <w:numPr>
                <w:ilvl w:val="0"/>
                <w:numId w:val="10"/>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所有调整均有日志自动记录。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补轮转</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（1）可按照姓名、工号、身份类别、学历、请假时长范围筛选需要补轮转的学员。</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（2）系统可显示住院医院请假期间所在的轮转科室。</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（3）教学管理员选择补轮转的科室和时间。</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（4）系统将教学管理员选择的科室和时间调整至学员的轮转计划。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入院教育</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入院教育</w:t>
            </w:r>
            <w:r>
              <w:rPr>
                <w:rFonts w:ascii="宋体" w:hAnsi="宋体" w:cs="宋体"/>
                <w:color w:val="000000"/>
                <w:sz w:val="28"/>
                <w:szCs w:val="28"/>
                <w:highlight w:val="none"/>
              </w:rPr>
            </w:r>
            <w:r/>
          </w:p>
        </w:tc>
        <w:tc>
          <w:tcPr>
            <w:tcW w:w="2196" w:type="dxa"/>
            <w:vAlign w:val="center"/>
            <w:textDirection w:val="lrTb"/>
            <w:noWrap w:val="false"/>
          </w:tcPr>
          <w:p>
            <w:pPr>
              <w:pStyle w:val="748"/>
              <w:numPr>
                <w:ilvl w:val="0"/>
                <w:numId w:val="11"/>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教学管理员可上传、维护入院培训学习资料。学员入院时，通过待办事项提醒其要查阅入院培训资料内容，阅读后点击确认。管理部门可以查看入院教育课程进度情况。</w:t>
            </w:r>
            <w:r>
              <w:rPr>
                <w:rFonts w:ascii="宋体" w:hAnsi="宋体" w:cs="宋体"/>
                <w:color w:val="000000"/>
                <w:sz w:val="28"/>
                <w:szCs w:val="28"/>
                <w:highlight w:val="none"/>
              </w:rPr>
            </w:r>
            <w:r/>
          </w:p>
          <w:p>
            <w:pPr>
              <w:pStyle w:val="748"/>
              <w:numPr>
                <w:ilvl w:val="0"/>
                <w:numId w:val="11"/>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教学管理部门可以通过教学活动组织发布入院培训课程，学员可扫码签到。课程结束后可上传现场照片、课件等材料。支持按场次导出报告书。</w:t>
            </w:r>
            <w:r>
              <w:rPr>
                <w:rFonts w:ascii="宋体" w:hAnsi="宋体" w:cs="宋体"/>
                <w:color w:val="000000"/>
                <w:sz w:val="28"/>
                <w:szCs w:val="28"/>
                <w:highlight w:val="none"/>
              </w:rPr>
            </w:r>
            <w:r/>
          </w:p>
          <w:p>
            <w:pPr>
              <w:pStyle w:val="748"/>
              <w:numPr>
                <w:ilvl w:val="0"/>
                <w:numId w:val="11"/>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管理员发布入院考核任务，学员在规定时间内完成考核，并将考核成绩记录到学员个人档案信息中。</w:t>
            </w:r>
            <w:r>
              <w:rPr>
                <w:rFonts w:ascii="宋体" w:hAnsi="宋体" w:cs="宋体"/>
                <w:color w:val="000000"/>
                <w:sz w:val="28"/>
                <w:szCs w:val="28"/>
                <w:highlight w:val="none"/>
              </w:rPr>
            </w:r>
            <w:r/>
          </w:p>
          <w:p>
            <w:pPr>
              <w:pStyle w:val="748"/>
              <w:numPr>
                <w:ilvl w:val="0"/>
                <w:numId w:val="11"/>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学员可以对所有课程进行评价，评价内容按照国家教学活动指南中要求执行。</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入专业基地教育</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入专业基地教育</w:t>
            </w:r>
            <w:r>
              <w:rPr>
                <w:rFonts w:ascii="宋体" w:hAnsi="宋体" w:cs="宋体"/>
                <w:color w:val="000000"/>
                <w:sz w:val="28"/>
                <w:szCs w:val="28"/>
                <w:highlight w:val="none"/>
              </w:rPr>
            </w:r>
            <w:r/>
          </w:p>
        </w:tc>
        <w:tc>
          <w:tcPr>
            <w:tcW w:w="2196" w:type="dxa"/>
            <w:vAlign w:val="center"/>
            <w:textDirection w:val="lrTb"/>
            <w:noWrap w:val="false"/>
          </w:tcPr>
          <w:p>
            <w:pPr>
              <w:pStyle w:val="748"/>
              <w:numPr>
                <w:ilvl w:val="0"/>
                <w:numId w:val="12"/>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教学管理员可上传、维护入专业基地培训学习资料。学员入专业基地时，通过待办事项提醒其要查阅入基地培训资料内容，阅读后点击确认。</w:t>
            </w:r>
            <w:r>
              <w:rPr>
                <w:rFonts w:ascii="宋体" w:hAnsi="宋体" w:cs="宋体"/>
                <w:color w:val="000000"/>
                <w:sz w:val="28"/>
                <w:szCs w:val="28"/>
                <w:highlight w:val="none"/>
              </w:rPr>
            </w:r>
            <w:r/>
          </w:p>
          <w:p>
            <w:pPr>
              <w:pStyle w:val="748"/>
              <w:numPr>
                <w:ilvl w:val="0"/>
                <w:numId w:val="12"/>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基地教学管理人员可以组织发布入专业基地培训课程，学员可扫码签到。课程结束后可上传现场照片、课件等材料。支持按场次导出报告书。</w:t>
            </w:r>
            <w:r>
              <w:rPr>
                <w:rFonts w:ascii="宋体" w:hAnsi="宋体" w:cs="宋体"/>
                <w:color w:val="000000"/>
                <w:sz w:val="28"/>
                <w:szCs w:val="28"/>
                <w:highlight w:val="none"/>
              </w:rPr>
            </w:r>
            <w:r/>
          </w:p>
          <w:p>
            <w:pPr>
              <w:pStyle w:val="748"/>
              <w:numPr>
                <w:ilvl w:val="0"/>
                <w:numId w:val="12"/>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学员可以对所有课程进行评价，评价内容按照国家教学活动指南中要求执行。</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出入科管理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（1）系统自动可根据轮转计划为科室教秘推送待入科学员名单。</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（2）系统可显示每位带教老师目前已经带教的学员。系统可设置每位带教老师带教不同专业学员的人数上限。</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（3）教学秘书可通过系统为每一位学员分配带教，可查看科内带教老师当前的带教情况。</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（4）可对已经安排的带教关系进行调整。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科室学员名单</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科室主任、教学主任、教秘可查询本科室的学员名单。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入科进度统计查询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管理员、教学秘书、学员等授权用户，可通过学员姓名、轮转科室、时间来查询入科信息，确认学员科室报到。可分别按科室、月份查看应入科人数、已入科人数、入科完成度、到科确认。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入科教育</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（1）各个科室可根据预设的入科教育学习资料分类上传对应的资料文件。</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（2）教秘可发起入科教育教学活动。</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（3）学员可扫描二维码签到及签退。</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（4）可上传课件和授课照片等。</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（5）学员可以对所有课程进行评价，评价内容按照国家教学活动指南中要求执行。</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出科管理</w:t>
            </w:r>
            <w:r>
              <w:rPr>
                <w:rFonts w:ascii="宋体" w:hAnsi="宋体" w:cs="宋体"/>
                <w:color w:val="000000"/>
                <w:sz w:val="28"/>
                <w:szCs w:val="28"/>
                <w:highlight w:val="none"/>
              </w:rPr>
            </w:r>
            <w:r/>
          </w:p>
        </w:tc>
        <w:tc>
          <w:tcPr>
            <w:tcW w:w="2196" w:type="dxa"/>
            <w:vAlign w:val="center"/>
            <w:textDirection w:val="lrTb"/>
            <w:noWrap w:val="false"/>
          </w:tcPr>
          <w:p>
            <w:pPr>
              <w:pStyle w:val="748"/>
              <w:numPr>
                <w:ilvl w:val="0"/>
                <w:numId w:val="13"/>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系统根据轮转计划自动推送当月待出科的学员名单。</w:t>
            </w:r>
            <w:r>
              <w:rPr>
                <w:rFonts w:ascii="宋体" w:hAnsi="宋体" w:cs="宋体"/>
                <w:color w:val="000000"/>
                <w:sz w:val="28"/>
                <w:szCs w:val="28"/>
                <w:highlight w:val="none"/>
              </w:rPr>
            </w:r>
            <w:r/>
          </w:p>
          <w:p>
            <w:pPr>
              <w:pStyle w:val="748"/>
              <w:numPr>
                <w:ilvl w:val="0"/>
                <w:numId w:val="13"/>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科室教秘可查看待出科学员是否符合出科资格，系统可显示每一位待出科学员的出科考核完成情况、评价完成情况、教学活动完成情况等。</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（3）由带教老师、教秘、科主任等审核出科材料，同步推送到学员所在专业基地/教学小组审核。 审核人可根据实际要求自定义设置。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请假申请及审批</w:t>
            </w:r>
            <w:r>
              <w:rPr>
                <w:rFonts w:ascii="宋体" w:hAnsi="宋体" w:cs="宋体"/>
                <w:color w:val="000000"/>
                <w:sz w:val="28"/>
                <w:szCs w:val="28"/>
                <w:highlight w:val="none"/>
              </w:rPr>
            </w:r>
            <w:r/>
          </w:p>
        </w:tc>
        <w:tc>
          <w:tcPr>
            <w:tcW w:w="2196" w:type="dxa"/>
            <w:vAlign w:val="center"/>
            <w:textDirection w:val="lrTb"/>
            <w:noWrap w:val="false"/>
          </w:tcPr>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学员可通过系统发起请假申请。由教学秘书、带教老师等各级管理人员进行审批。可根据不同类型的学员配置对应的请假审批流程。请假记录可对应在学员档案、补轮转汇总查询里。</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考勤填报</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科室教秘、带教老师为自己管理的学员填报考勤。可自定义多种考勤类型，且可根据用户要求再增加或减少考勤类型。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▲考勤表查看及修改</w:t>
            </w:r>
            <w:r>
              <w:rPr>
                <w:rFonts w:hint="eastAsia" w:ascii="宋体" w:hAnsi="宋体" w:cs="宋体"/>
                <w:bCs/>
                <w:color w:val="000000"/>
                <w:sz w:val="28"/>
                <w:szCs w:val="28"/>
                <w:highlight w:val="none"/>
              </w:rPr>
              <w:t xml:space="preserve">（提供功能截图证明）</w:t>
            </w:r>
            <w:r>
              <w:rPr>
                <w:rFonts w:ascii="宋体" w:hAnsi="宋体" w:cs="宋体"/>
                <w:color w:val="000000"/>
                <w:sz w:val="28"/>
                <w:szCs w:val="28"/>
                <w:highlight w:val="none"/>
              </w:rPr>
            </w:r>
            <w:r/>
          </w:p>
        </w:tc>
        <w:tc>
          <w:tcPr>
            <w:tcW w:w="2196" w:type="dxa"/>
            <w:vAlign w:val="center"/>
            <w:textDirection w:val="lrTb"/>
            <w:noWrap w:val="false"/>
          </w:tcPr>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和带教老师可以查看、修改、提交考勤表。科室教秘等管理人员可在考勤管理菜单中以日历或列表形式查看相应权限范围内学员考勤及请假情况。学员可在移动端以日历或列表形式查看自己的请假信息，点击可进入详情页面查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考勤汇总报表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系统可根据请假记录及考勤填报记录自动汇总考勤报表，可手工校正后提交，支持以EXCEL格式导出。</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考核管理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考核管理</w:t>
            </w:r>
            <w:r>
              <w:rPr>
                <w:rFonts w:ascii="宋体" w:hAnsi="宋体" w:cs="宋体"/>
                <w:color w:val="000000"/>
                <w:sz w:val="28"/>
                <w:szCs w:val="28"/>
                <w:highlight w:val="none"/>
              </w:rPr>
            </w:r>
            <w:r/>
          </w:p>
        </w:tc>
        <w:tc>
          <w:tcPr>
            <w:tcW w:w="2196" w:type="dxa"/>
            <w:vAlign w:val="center"/>
            <w:textDirection w:val="lrTb"/>
            <w:noWrap w:val="false"/>
          </w:tcPr>
          <w:p>
            <w:pPr>
              <w:pStyle w:val="748"/>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科室教秘可发布考核任务，系统自动通知需参加考核的学员及评分老师。考核评分表支持入院教育考核、出科考核、年度考核评分等。可将各类考核表单电子化录入系统，供考核打分使用。支持导出打印考核表。</w:t>
            </w:r>
            <w:r>
              <w:rPr>
                <w:rFonts w:ascii="宋体" w:hAnsi="宋体" w:cs="宋体"/>
                <w:color w:val="000000"/>
                <w:sz w:val="28"/>
                <w:szCs w:val="28"/>
                <w:highlight w:val="none"/>
              </w:rPr>
            </w:r>
            <w:r/>
          </w:p>
          <w:p>
            <w:pPr>
              <w:pStyle w:val="748"/>
              <w:ind w:left="30" w:right="141"/>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（2）评分老师可通过系统填写学员的考核打分表，考核表可根据用户需要设置多个独立的考核子项目，如日常考核、技能考核 、出科考核等，可只登记分数也可填写完整的打分表。系统根据各个独立考核子项目占考核总分的权重自动换算至考核总表中，计算考核总分。</w:t>
            </w:r>
            <w:r>
              <w:rPr>
                <w:rFonts w:ascii="宋体" w:hAnsi="宋体" w:cs="宋体"/>
                <w:color w:val="000000"/>
                <w:sz w:val="28"/>
                <w:szCs w:val="28"/>
                <w:highlight w:val="none"/>
              </w:rPr>
            </w:r>
            <w:r/>
          </w:p>
          <w:p>
            <w:pPr>
              <w:pStyle w:val="748"/>
              <w:ind w:left="30" w:right="141"/>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（3）打分完成并提交后， 由上级用户进行审核。可灵活配置各个考核项对应的科室及专业。支持考核项目的环节设置和审核角色的配置。支持第三方接口导入成绩，自动同步到管理系统中。</w:t>
            </w:r>
            <w:r>
              <w:rPr>
                <w:rFonts w:ascii="宋体" w:hAnsi="宋体" w:cs="宋体"/>
                <w:color w:val="000000"/>
                <w:sz w:val="28"/>
                <w:szCs w:val="28"/>
                <w:highlight w:val="none"/>
              </w:rPr>
            </w:r>
            <w:r/>
          </w:p>
          <w:p>
            <w:pPr>
              <w:pStyle w:val="748"/>
              <w:ind w:left="30" w:right="141"/>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（4）系统自动汇总通过系统完成打分的考核成绩，如出科考核、季度考核、年度考核等。 </w:t>
            </w:r>
            <w:r>
              <w:rPr>
                <w:rFonts w:ascii="宋体" w:hAnsi="宋体" w:cs="宋体"/>
                <w:color w:val="000000"/>
                <w:sz w:val="28"/>
                <w:szCs w:val="28"/>
                <w:highlight w:val="none"/>
              </w:rPr>
            </w:r>
            <w:r/>
          </w:p>
          <w:p>
            <w:pPr>
              <w:pStyle w:val="748"/>
              <w:ind w:left="30" w:right="141"/>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（5）可导入入院教育考核 、入科教育考核 、执医考核、结业考核等其他考核的成绩。</w:t>
            </w:r>
            <w:r>
              <w:rPr>
                <w:rFonts w:ascii="宋体" w:hAnsi="宋体" w:cs="宋体"/>
                <w:color w:val="000000"/>
                <w:sz w:val="28"/>
                <w:szCs w:val="28"/>
                <w:highlight w:val="none"/>
              </w:rPr>
            </w:r>
            <w:r/>
          </w:p>
          <w:p>
            <w:pPr>
              <w:pStyle w:val="748"/>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（6）可实时统计各个科室出科情况，查看各科室出科考试安排并可导出。可查看各科室应出科人数、已出科人数、出科完成度、超期人数。统计各个专业基地和科室出科考核的进度并及时提醒。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带教评价管理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学员可通过系统填写评价表，对带教老师及轮转科室进行评价，评价表的对应关系由系统根据入科带教分配的设置自动匹配，也可手动调整。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360度评价</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系统可实现360度评价，包括带教老师对学员评价、护士对学员评价、管理者对学员评价等。评价表的对应关系根据学员所在科室、基地、带教老师的分配进行自动匹配，也可手动调整。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评价表单</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自带完善的评价表单，并根据国家标准及指标及时调整。同时可满足评价表单的自由设定，医院可根据需求自由编辑表单评分项及权重设置，支持医院自主评分表导入。系统根据轮转时间节点自动提醒相关角色填写评价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评价结果统计</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系统自动对所有评价结果进行汇总，可对评价结果按时间、人员、科室等条件进行统计，提供查询、导出。</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教学活动目标设置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教学管理员可设置院级教学活动的目标次数、各个基地的基地级教学活动目标次数、各个科室的科室级教学活动目标次数。</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发布教学课程</w:t>
            </w:r>
            <w:r>
              <w:rPr>
                <w:rFonts w:ascii="宋体" w:hAnsi="宋体" w:cs="宋体"/>
                <w:color w:val="000000"/>
                <w:sz w:val="28"/>
                <w:szCs w:val="28"/>
                <w:highlight w:val="none"/>
              </w:rPr>
            </w:r>
            <w:r/>
          </w:p>
        </w:tc>
        <w:tc>
          <w:tcPr>
            <w:tcW w:w="2196" w:type="dxa"/>
            <w:vAlign w:val="center"/>
            <w:textDirection w:val="lrTb"/>
            <w:noWrap w:val="false"/>
          </w:tcPr>
          <w:p>
            <w:pPr>
              <w:pStyle w:val="748"/>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教学秘书、带教老师创建教学活动，系统提供预设的教学活动级别、类型、发起部门供选择（可选择专业基地或科室），可填写培训日期、开始结束时间、主讲人（可在系统师资列表中查询选择）、培训地点、学时、课程内容。新增的教学活动可以暂存，确认无误后再提交发布，提交前可重新编辑或删除。</w:t>
            </w:r>
            <w:r>
              <w:rPr>
                <w:rFonts w:ascii="宋体" w:hAnsi="宋体" w:cs="宋体"/>
                <w:color w:val="000000"/>
                <w:sz w:val="28"/>
                <w:szCs w:val="28"/>
                <w:highlight w:val="none"/>
              </w:rPr>
            </w:r>
            <w:r/>
          </w:p>
          <w:p>
            <w:pPr>
              <w:pStyle w:val="748"/>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根据选择的发起部门匹配教学活动参加人员（科室级教学活动匹配当前在科室轮转的学员、基地级教学活动可根据名单设置规则，自动匹配专业基地下的所有学员，或轮转到专业基地下的学员，或专业基地及轮转到专业基地下的全部学员、院级教学活动匹配院内所有在培学员）；也可指定参加人员，根据人员身份和年级进行选择。</w:t>
            </w:r>
            <w:r>
              <w:rPr>
                <w:rFonts w:ascii="宋体" w:hAnsi="宋体" w:cs="宋体"/>
                <w:color w:val="000000"/>
                <w:sz w:val="28"/>
                <w:szCs w:val="28"/>
                <w:highlight w:val="none"/>
              </w:rPr>
            </w:r>
            <w:r/>
          </w:p>
          <w:p>
            <w:pPr>
              <w:pStyle w:val="748"/>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可将教学活动设置为抢课参加的方式。可设置报名人数，报名开始和结束时间。</w:t>
            </w:r>
            <w:r>
              <w:rPr>
                <w:rFonts w:ascii="宋体" w:hAnsi="宋体" w:cs="宋体"/>
                <w:color w:val="000000"/>
                <w:sz w:val="28"/>
                <w:szCs w:val="28"/>
                <w:highlight w:val="none"/>
              </w:rPr>
            </w:r>
            <w:r/>
          </w:p>
          <w:p>
            <w:pPr>
              <w:pStyle w:val="748"/>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支持通过EXCEL批量导入教学活动计划。</w:t>
            </w:r>
            <w:r>
              <w:rPr>
                <w:rFonts w:ascii="宋体" w:hAnsi="宋体" w:cs="宋体"/>
                <w:color w:val="000000"/>
                <w:sz w:val="28"/>
                <w:szCs w:val="28"/>
                <w:highlight w:val="none"/>
              </w:rPr>
            </w:r>
            <w:r/>
          </w:p>
          <w:p>
            <w:pPr>
              <w:pStyle w:val="748"/>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支持批量导出教学活动报告书。包含课程基本信息、名单信息及人员签到情况。</w:t>
            </w:r>
            <w:r>
              <w:rPr>
                <w:rFonts w:ascii="宋体" w:hAnsi="宋体" w:cs="宋体"/>
                <w:color w:val="000000"/>
                <w:sz w:val="28"/>
                <w:szCs w:val="28"/>
                <w:highlight w:val="none"/>
              </w:rPr>
            </w:r>
            <w:r/>
          </w:p>
          <w:p>
            <w:pPr>
              <w:pStyle w:val="748"/>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教学活动选择房间时可以和技能中心房间预约关联。</w:t>
            </w:r>
            <w:r>
              <w:rPr>
                <w:rFonts w:ascii="宋体" w:hAnsi="宋体" w:cs="宋体"/>
                <w:color w:val="000000"/>
                <w:sz w:val="28"/>
                <w:szCs w:val="28"/>
                <w:highlight w:val="none"/>
              </w:rPr>
            </w:r>
            <w:r/>
          </w:p>
          <w:p>
            <w:pPr>
              <w:pStyle w:val="748"/>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可关联链接各类教学活动规范。</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课程提醒推送</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系统根据各个科室上传的教学计划，自动形成课表，向对应的学员推送课程表。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课前资料准备</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讲师可通过系统上传课件资料，讲师可设置课件是否可下载，学员可查看。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课程签到、签退</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讲师/教秘可在自己的电脑端或移动端展示签到、签退动态二维码，参加课程的学员可使用移动端扫码进行签到、签退。教学管理员/教秘/讲师可对课程的参加人员进行手动签到、签退。课程发布时可设置本节课程是否需要签退。管理人员可查看、导出记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课程评价管理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学员可通过系统填写课程评价表，评价课程教学质量。评价的课程表由系统自动匹配，学员填写的评价表自动对应所参加的课程。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督导管理</w:t>
            </w:r>
            <w:r>
              <w:rPr>
                <w:rFonts w:ascii="宋体" w:hAnsi="宋体" w:cs="宋体"/>
                <w:color w:val="000000"/>
                <w:sz w:val="28"/>
                <w:szCs w:val="28"/>
                <w:highlight w:val="none"/>
              </w:rPr>
            </w:r>
            <w:r/>
          </w:p>
        </w:tc>
        <w:tc>
          <w:tcPr>
            <w:tcW w:w="2196" w:type="dxa"/>
            <w:vAlign w:val="center"/>
            <w:textDirection w:val="lrTb"/>
            <w:noWrap w:val="false"/>
          </w:tcPr>
          <w:p>
            <w:pPr>
              <w:pStyle w:val="866"/>
              <w:ind w:left="25"/>
              <w:spacing w:before="0" w:beforeAutospacing="0" w:after="0" w:afterAutospacing="0" w:line="360" w:lineRule="auto"/>
              <w:rPr>
                <w:color w:val="000000"/>
                <w:spacing w:val="-1"/>
                <w:position w:val="3"/>
                <w:sz w:val="28"/>
                <w:szCs w:val="28"/>
                <w:highlight w:val="none"/>
              </w:rPr>
            </w:pPr>
            <w:r>
              <w:rPr>
                <w:rFonts w:hint="eastAsia"/>
                <w:color w:val="000000"/>
                <w:sz w:val="28"/>
                <w:szCs w:val="28"/>
                <w:highlight w:val="none"/>
              </w:rPr>
              <w:t xml:space="preserve">（1）</w:t>
            </w:r>
            <w:r>
              <w:rPr>
                <w:rFonts w:hint="eastAsia"/>
                <w:color w:val="000000"/>
                <w:spacing w:val="-1"/>
                <w:position w:val="3"/>
                <w:sz w:val="28"/>
                <w:szCs w:val="28"/>
                <w:highlight w:val="none"/>
              </w:rPr>
              <w:t xml:space="preserve">管理员可以为用户设置督导专家权限。</w:t>
            </w:r>
            <w:r>
              <w:rPr>
                <w:color w:val="000000"/>
                <w:spacing w:val="-1"/>
                <w:position w:val="3"/>
                <w:sz w:val="28"/>
                <w:szCs w:val="28"/>
                <w:highlight w:val="none"/>
              </w:rPr>
            </w:r>
            <w:r/>
          </w:p>
          <w:p>
            <w:pPr>
              <w:pStyle w:val="866"/>
              <w:ind w:left="25"/>
              <w:spacing w:before="0" w:beforeAutospacing="0" w:after="0" w:afterAutospacing="0" w:line="360" w:lineRule="auto"/>
              <w:rPr>
                <w:color w:val="000000"/>
                <w:sz w:val="28"/>
                <w:szCs w:val="28"/>
                <w:highlight w:val="none"/>
              </w:rPr>
            </w:pPr>
            <w:r>
              <w:rPr>
                <w:rFonts w:hint="eastAsia"/>
                <w:color w:val="000000"/>
                <w:sz w:val="28"/>
                <w:szCs w:val="28"/>
                <w:highlight w:val="none"/>
              </w:rPr>
              <w:t xml:space="preserve">（2）督导专家可对教学活动、出科考核、专业基地管理、科室管理进行督导，填写督导评分。</w:t>
            </w:r>
            <w:r>
              <w:rPr>
                <w:color w:val="000000"/>
                <w:sz w:val="28"/>
                <w:szCs w:val="28"/>
                <w:highlight w:val="none"/>
              </w:rPr>
            </w:r>
            <w:r/>
          </w:p>
          <w:p>
            <w:pPr>
              <w:pStyle w:val="866"/>
              <w:ind w:left="25"/>
              <w:spacing w:before="0" w:beforeAutospacing="0" w:after="0" w:afterAutospacing="0" w:line="360" w:lineRule="auto"/>
              <w:rPr>
                <w:color w:val="000000"/>
                <w:sz w:val="28"/>
                <w:szCs w:val="28"/>
                <w:highlight w:val="none"/>
              </w:rPr>
            </w:pPr>
            <w:r>
              <w:rPr>
                <w:rFonts w:hint="eastAsia"/>
                <w:color w:val="000000"/>
                <w:sz w:val="28"/>
                <w:szCs w:val="28"/>
                <w:highlight w:val="none"/>
              </w:rPr>
              <w:t xml:space="preserve">（3）教学管理员可发起督导任务，匹配督导专家。可对已经安排的督导任务可进行调整。</w:t>
            </w:r>
            <w:r>
              <w:rPr>
                <w:color w:val="000000"/>
                <w:sz w:val="28"/>
                <w:szCs w:val="28"/>
                <w:highlight w:val="none"/>
              </w:rPr>
            </w:r>
            <w:r/>
          </w:p>
          <w:p>
            <w:pPr>
              <w:pStyle w:val="866"/>
              <w:ind w:left="25"/>
              <w:spacing w:before="0" w:beforeAutospacing="0" w:after="0" w:afterAutospacing="0" w:line="360" w:lineRule="auto"/>
              <w:rPr>
                <w:color w:val="000000"/>
                <w:spacing w:val="-2"/>
                <w:position w:val="3"/>
                <w:sz w:val="28"/>
                <w:szCs w:val="28"/>
                <w:highlight w:val="none"/>
              </w:rPr>
            </w:pPr>
            <w:r>
              <w:rPr>
                <w:rFonts w:hint="eastAsia"/>
                <w:color w:val="000000"/>
                <w:sz w:val="28"/>
                <w:szCs w:val="28"/>
                <w:highlight w:val="none"/>
              </w:rPr>
              <w:t xml:space="preserve">（4）</w:t>
            </w:r>
            <w:r>
              <w:rPr>
                <w:rFonts w:hint="eastAsia"/>
                <w:color w:val="000000"/>
                <w:spacing w:val="-4"/>
                <w:sz w:val="28"/>
                <w:szCs w:val="28"/>
                <w:highlight w:val="none"/>
              </w:rPr>
              <w:t xml:space="preserve">督导专家完成督导工作后，在系统里填写督导评分表和意见，上</w:t>
            </w:r>
            <w:r>
              <w:rPr>
                <w:rFonts w:hint="eastAsia"/>
                <w:color w:val="000000"/>
                <w:spacing w:val="-3"/>
                <w:sz w:val="28"/>
                <w:szCs w:val="28"/>
                <w:highlight w:val="none"/>
              </w:rPr>
              <w:t xml:space="preserve">报给管理部门，管理部门整理审核后从系统反馈给专业基地、科室、</w:t>
            </w:r>
            <w:r>
              <w:rPr>
                <w:rFonts w:hint="eastAsia"/>
                <w:color w:val="000000"/>
                <w:spacing w:val="-2"/>
                <w:position w:val="3"/>
                <w:sz w:val="28"/>
                <w:szCs w:val="28"/>
                <w:highlight w:val="none"/>
              </w:rPr>
              <w:t xml:space="preserve">教学管理人员，专业基地、科室进行整改并提交整改报告。</w:t>
            </w:r>
            <w:r>
              <w:rPr>
                <w:color w:val="000000"/>
                <w:spacing w:val="-2"/>
                <w:position w:val="3"/>
                <w:sz w:val="28"/>
                <w:szCs w:val="28"/>
                <w:highlight w:val="none"/>
              </w:rPr>
            </w:r>
            <w:r/>
          </w:p>
          <w:p>
            <w:pPr>
              <w:pStyle w:val="866"/>
              <w:spacing w:before="0" w:beforeAutospacing="0" w:after="0" w:afterAutospacing="0" w:line="360" w:lineRule="auto"/>
              <w:rPr>
                <w:color w:val="000000"/>
                <w:sz w:val="28"/>
                <w:szCs w:val="28"/>
                <w:highlight w:val="none"/>
              </w:rPr>
            </w:pPr>
            <w:r>
              <w:rPr>
                <w:rFonts w:hint="eastAsia"/>
                <w:color w:val="000000"/>
                <w:spacing w:val="-2"/>
                <w:position w:val="3"/>
                <w:sz w:val="28"/>
                <w:szCs w:val="28"/>
                <w:highlight w:val="none"/>
              </w:rPr>
              <w:t xml:space="preserve">（5）</w:t>
            </w:r>
            <w:r>
              <w:rPr>
                <w:rFonts w:hint="eastAsia"/>
                <w:color w:val="000000"/>
                <w:spacing w:val="-4"/>
                <w:sz w:val="28"/>
                <w:szCs w:val="28"/>
                <w:highlight w:val="none"/>
              </w:rPr>
              <w:t xml:space="preserve">系统支持自动汇总查询，管理员、科室以及带教老师皆可查询自己权限范围内的内容，管理员支持查询全院督导反馈的内容，督导意见查询支持按照多种方式查询汇总，支持按照督导查询，查询历</w:t>
            </w:r>
            <w:r>
              <w:rPr>
                <w:rFonts w:hint="eastAsia"/>
                <w:color w:val="000000"/>
                <w:spacing w:val="-2"/>
                <w:sz w:val="28"/>
                <w:szCs w:val="28"/>
                <w:highlight w:val="none"/>
              </w:rPr>
              <w:t xml:space="preserve">次督导情况。</w:t>
            </w:r>
            <w:r>
              <w:rPr>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轮转手册管理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手册填报</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学员可通过系统填报病种、操作等过程数据，由带教老师进行审核。</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进度查看</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可通过系统查看每一位学员当前完成的各类培训过程任务数量，可与大纲要求完成数量进行自动对比，实时获知完成进度。</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住培导师管理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导师设置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可为每一位学员分配住培导师（全程导师）。住培导师可查看学员的轮转、成绩、评价、教学活动等各项培训数据。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发起沟通</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住培导师可通过移动端发起沟通，填写时间、地点、培训数据、沟通内容等。提交后学员可查看导师的反馈状态。导师在沟通列表中可查看学员提交的反馈信息，对信息进行反馈。导师对于已反馈与未反馈的数据可修改或进行退回操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日常工作统计</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入科统计报表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统计各个科室入科情况。可按月份查看各科室应入科人数、已入科人数、入科完成度、到科确认。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出科统计报表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统计各个科室出科情况。可按月份查看各科室应出科人数、已出科人数、出科完成度、超期人数。</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分配带教统计报表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（1）可统计各基地、科室的在科人数、已分配带教的学员人数、未分配带教的学员人数、已带教的老师数、未带教的老师数、带教分配明细。（2）可统计带教老师的月度、年度带教工作量。</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考勤统计报表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可按月份统计各科室学员的考勤情况。</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出科考核统计报表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可按科室、基地统计学员的出科考核各个项目的完成情况。</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教学活动报表</w:t>
            </w:r>
            <w:r>
              <w:rPr>
                <w:rFonts w:ascii="宋体" w:hAnsi="宋体" w:cs="宋体"/>
                <w:color w:val="000000"/>
                <w:sz w:val="28"/>
                <w:szCs w:val="28"/>
                <w:highlight w:val="none"/>
              </w:rPr>
            </w:r>
            <w:r/>
          </w:p>
        </w:tc>
        <w:tc>
          <w:tcPr>
            <w:tcW w:w="2196" w:type="dxa"/>
            <w:vAlign w:val="center"/>
            <w:textDirection w:val="lrTb"/>
            <w:noWrap w:val="false"/>
          </w:tcPr>
          <w:p>
            <w:pPr>
              <w:pStyle w:val="866"/>
              <w:rPr>
                <w:color w:val="000000"/>
                <w:sz w:val="28"/>
                <w:szCs w:val="28"/>
                <w:highlight w:val="none"/>
              </w:rPr>
            </w:pPr>
            <w:r>
              <w:rPr>
                <w:rFonts w:hint="eastAsia"/>
                <w:color w:val="000000"/>
                <w:spacing w:val="-4"/>
                <w:position w:val="3"/>
                <w:sz w:val="28"/>
                <w:szCs w:val="28"/>
                <w:highlight w:val="none"/>
              </w:rPr>
              <w:t xml:space="preserve">（1）统计院级、专业基地级、科室级的各</w:t>
            </w:r>
            <w:r>
              <w:rPr>
                <w:rFonts w:hint="eastAsia"/>
                <w:color w:val="000000"/>
                <w:spacing w:val="-5"/>
                <w:position w:val="3"/>
                <w:sz w:val="28"/>
                <w:szCs w:val="28"/>
                <w:highlight w:val="none"/>
              </w:rPr>
              <w:t xml:space="preserve">类教学活动开展数量。</w:t>
            </w:r>
            <w:r>
              <w:rPr>
                <w:color w:val="000000"/>
                <w:sz w:val="28"/>
                <w:szCs w:val="28"/>
                <w:highlight w:val="none"/>
              </w:rPr>
            </w:r>
            <w:r/>
          </w:p>
          <w:p>
            <w:pPr>
              <w:pStyle w:val="866"/>
              <w:rPr>
                <w:color w:val="000000"/>
                <w:sz w:val="28"/>
                <w:szCs w:val="28"/>
                <w:highlight w:val="none"/>
              </w:rPr>
            </w:pPr>
            <w:r>
              <w:rPr>
                <w:rFonts w:hint="eastAsia"/>
                <w:color w:val="000000"/>
                <w:spacing w:val="-2"/>
                <w:sz w:val="28"/>
                <w:szCs w:val="28"/>
                <w:highlight w:val="none"/>
              </w:rPr>
              <w:t xml:space="preserve">（2）统计各个科室开展的各类教学活动开展数量。统计各发起部门</w:t>
            </w:r>
            <w:r>
              <w:rPr>
                <w:rFonts w:hint="eastAsia"/>
                <w:color w:val="000000"/>
                <w:spacing w:val="-4"/>
                <w:sz w:val="28"/>
                <w:szCs w:val="28"/>
                <w:highlight w:val="none"/>
              </w:rPr>
              <w:t xml:space="preserve">开展各类教学活动的目标数目、课表数目、实施数目。计算实施率和</w:t>
            </w:r>
            <w:r>
              <w:rPr>
                <w:rFonts w:hint="eastAsia"/>
                <w:color w:val="000000"/>
                <w:spacing w:val="-3"/>
                <w:position w:val="3"/>
                <w:sz w:val="28"/>
                <w:szCs w:val="28"/>
                <w:highlight w:val="none"/>
              </w:rPr>
              <w:t xml:space="preserve">参加率。</w:t>
            </w:r>
            <w:r>
              <w:rPr>
                <w:color w:val="000000"/>
                <w:sz w:val="28"/>
                <w:szCs w:val="28"/>
                <w:highlight w:val="none"/>
              </w:rPr>
            </w:r>
            <w:r/>
          </w:p>
          <w:p>
            <w:pPr>
              <w:pStyle w:val="866"/>
              <w:rPr>
                <w:color w:val="000000"/>
                <w:spacing w:val="-2"/>
                <w:sz w:val="28"/>
                <w:szCs w:val="28"/>
                <w:highlight w:val="none"/>
              </w:rPr>
            </w:pPr>
            <w:r>
              <w:rPr>
                <w:rFonts w:hint="eastAsia"/>
                <w:color w:val="000000"/>
                <w:spacing w:val="-2"/>
                <w:sz w:val="28"/>
                <w:szCs w:val="28"/>
                <w:highlight w:val="none"/>
              </w:rPr>
              <w:t xml:space="preserve">（3）查询基地级教学活动统计时，可选择将科室级教学活动汇总到基地级教学活动统计。</w:t>
            </w:r>
            <w:r>
              <w:rPr>
                <w:color w:val="000000"/>
                <w:spacing w:val="-2"/>
                <w:sz w:val="28"/>
                <w:szCs w:val="28"/>
                <w:highlight w:val="none"/>
              </w:rPr>
            </w:r>
            <w:r/>
          </w:p>
          <w:p>
            <w:pPr>
              <w:pStyle w:val="866"/>
              <w:rPr>
                <w:color w:val="000000"/>
                <w:spacing w:val="-5"/>
                <w:sz w:val="28"/>
                <w:szCs w:val="28"/>
                <w:highlight w:val="none"/>
              </w:rPr>
            </w:pPr>
            <w:r>
              <w:rPr>
                <w:rFonts w:hint="eastAsia"/>
                <w:color w:val="000000"/>
                <w:spacing w:val="-5"/>
                <w:sz w:val="28"/>
                <w:szCs w:val="28"/>
                <w:highlight w:val="none"/>
              </w:rPr>
              <w:t xml:space="preserve">（4）统计每一次教学活动的应参加人数、签到人数、未签到人数。 </w:t>
            </w:r>
            <w:r>
              <w:rPr>
                <w:color w:val="000000"/>
                <w:spacing w:val="-5"/>
                <w:sz w:val="28"/>
                <w:szCs w:val="28"/>
                <w:highlight w:val="none"/>
              </w:rPr>
            </w:r>
            <w:r/>
          </w:p>
          <w:p>
            <w:pPr>
              <w:pStyle w:val="866"/>
              <w:rPr>
                <w:color w:val="000000"/>
                <w:sz w:val="28"/>
                <w:szCs w:val="28"/>
                <w:highlight w:val="none"/>
              </w:rPr>
            </w:pPr>
            <w:r>
              <w:rPr>
                <w:rFonts w:hint="eastAsia"/>
                <w:color w:val="000000"/>
                <w:spacing w:val="-6"/>
                <w:sz w:val="28"/>
                <w:szCs w:val="28"/>
                <w:highlight w:val="none"/>
              </w:rPr>
              <w:t xml:space="preserve">（5）统计各位讲师主讲各类教学活动的数量，并计</w:t>
            </w:r>
            <w:r>
              <w:rPr>
                <w:rFonts w:hint="eastAsia"/>
                <w:color w:val="000000"/>
                <w:spacing w:val="-7"/>
                <w:sz w:val="28"/>
                <w:szCs w:val="28"/>
                <w:highlight w:val="none"/>
              </w:rPr>
              <w:t xml:space="preserve">算总量及参加率。</w:t>
            </w:r>
            <w:r>
              <w:rPr>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widowControl/>
              <w:rPr>
                <w:rFonts w:ascii="宋体" w:hAnsi="宋体" w:cs="宋体"/>
                <w:color w:val="000000"/>
                <w:sz w:val="28"/>
                <w:szCs w:val="28"/>
                <w:highlight w:val="none"/>
              </w:rPr>
            </w:pPr>
            <w:r>
              <w:rPr>
                <w:rFonts w:hint="eastAsia" w:ascii="宋体" w:hAnsi="宋体" w:cs="宋体"/>
                <w:color w:val="000000"/>
                <w:spacing w:val="-4"/>
                <w:sz w:val="28"/>
                <w:szCs w:val="28"/>
                <w:highlight w:val="none"/>
              </w:rPr>
              <w:t xml:space="preserve">督导报表</w:t>
            </w:r>
            <w:r>
              <w:rPr>
                <w:rFonts w:ascii="宋体" w:hAnsi="宋体" w:cs="宋体"/>
                <w:color w:val="000000"/>
                <w:sz w:val="28"/>
                <w:szCs w:val="28"/>
                <w:highlight w:val="none"/>
              </w:rPr>
            </w:r>
            <w:r/>
          </w:p>
        </w:tc>
        <w:tc>
          <w:tcPr>
            <w:tcW w:w="2196" w:type="dxa"/>
            <w:vAlign w:val="center"/>
            <w:textDirection w:val="lrTb"/>
            <w:noWrap w:val="false"/>
          </w:tcPr>
          <w:p>
            <w:pPr>
              <w:pStyle w:val="866"/>
              <w:ind w:left="68"/>
              <w:spacing w:before="0" w:beforeAutospacing="0" w:after="0" w:afterAutospacing="0" w:line="360" w:lineRule="auto"/>
              <w:rPr>
                <w:color w:val="000000"/>
                <w:sz w:val="28"/>
                <w:szCs w:val="28"/>
                <w:highlight w:val="none"/>
              </w:rPr>
            </w:pPr>
            <w:r>
              <w:rPr>
                <w:rFonts w:hint="eastAsia"/>
                <w:color w:val="000000"/>
                <w:spacing w:val="-5"/>
                <w:position w:val="3"/>
                <w:sz w:val="28"/>
                <w:szCs w:val="28"/>
                <w:highlight w:val="none"/>
              </w:rPr>
              <w:t xml:space="preserve">（1）统计各督导专家的督导次数、评分。</w:t>
            </w:r>
            <w:r>
              <w:rPr>
                <w:color w:val="000000"/>
                <w:sz w:val="28"/>
                <w:szCs w:val="28"/>
                <w:highlight w:val="none"/>
              </w:rPr>
            </w:r>
            <w:r/>
          </w:p>
          <w:p>
            <w:pPr>
              <w:pStyle w:val="866"/>
              <w:ind w:left="68"/>
              <w:spacing w:before="0" w:beforeAutospacing="0" w:after="0" w:afterAutospacing="0" w:line="360" w:lineRule="auto"/>
              <w:rPr>
                <w:color w:val="000000"/>
                <w:sz w:val="28"/>
                <w:szCs w:val="28"/>
                <w:highlight w:val="none"/>
              </w:rPr>
            </w:pPr>
            <w:r>
              <w:rPr>
                <w:rFonts w:hint="eastAsia"/>
                <w:color w:val="000000"/>
                <w:spacing w:val="-6"/>
                <w:position w:val="3"/>
                <w:sz w:val="28"/>
                <w:szCs w:val="28"/>
                <w:highlight w:val="none"/>
              </w:rPr>
              <w:t xml:space="preserve">（2）统计各类型督导的次数、评分。</w:t>
            </w:r>
            <w:r>
              <w:rPr>
                <w:color w:val="000000"/>
                <w:sz w:val="28"/>
                <w:szCs w:val="28"/>
                <w:highlight w:val="none"/>
              </w:rPr>
            </w:r>
            <w:r/>
          </w:p>
          <w:p>
            <w:pPr>
              <w:pStyle w:val="866"/>
              <w:ind w:left="68"/>
              <w:spacing w:before="0" w:beforeAutospacing="0" w:after="0" w:afterAutospacing="0" w:line="360" w:lineRule="auto"/>
              <w:rPr>
                <w:color w:val="000000"/>
                <w:spacing w:val="-5"/>
                <w:sz w:val="28"/>
                <w:szCs w:val="28"/>
                <w:highlight w:val="none"/>
              </w:rPr>
            </w:pPr>
            <w:r>
              <w:rPr>
                <w:rFonts w:hint="eastAsia"/>
                <w:color w:val="000000"/>
                <w:spacing w:val="-5"/>
                <w:position w:val="3"/>
                <w:sz w:val="28"/>
                <w:szCs w:val="28"/>
                <w:highlight w:val="none"/>
              </w:rPr>
              <w:t xml:space="preserve">（3）统计每一次督导的时间、督导专家、督导分数等信息。</w:t>
            </w:r>
            <w:r>
              <w:rPr>
                <w:color w:val="000000"/>
                <w:spacing w:val="-5"/>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widowControl/>
              <w:rPr>
                <w:rFonts w:ascii="宋体" w:hAnsi="宋体" w:cs="宋体"/>
                <w:color w:val="000000"/>
                <w:spacing w:val="-4"/>
                <w:sz w:val="28"/>
                <w:szCs w:val="28"/>
                <w:highlight w:val="none"/>
              </w:rPr>
            </w:pPr>
            <w:r>
              <w:rPr>
                <w:rFonts w:hint="eastAsia" w:ascii="宋体" w:hAnsi="宋体" w:cs="宋体"/>
                <w:color w:val="000000"/>
                <w:spacing w:val="-4"/>
                <w:sz w:val="28"/>
                <w:szCs w:val="28"/>
                <w:highlight w:val="none"/>
              </w:rPr>
              <w:t xml:space="preserve">评价报表</w:t>
            </w:r>
            <w:r>
              <w:rPr>
                <w:rFonts w:ascii="宋体" w:hAnsi="宋体" w:cs="宋体"/>
                <w:color w:val="000000"/>
                <w:spacing w:val="-4"/>
                <w:sz w:val="28"/>
                <w:szCs w:val="28"/>
                <w:highlight w:val="none"/>
              </w:rPr>
            </w:r>
            <w:r/>
          </w:p>
        </w:tc>
        <w:tc>
          <w:tcPr>
            <w:tcW w:w="2196" w:type="dxa"/>
            <w:vAlign w:val="center"/>
            <w:textDirection w:val="lrTb"/>
            <w:noWrap w:val="false"/>
          </w:tcPr>
          <w:p>
            <w:pPr>
              <w:pStyle w:val="866"/>
              <w:ind w:left="68"/>
              <w:spacing w:before="0" w:beforeAutospacing="0" w:after="0" w:afterAutospacing="0" w:line="360" w:lineRule="auto"/>
              <w:rPr>
                <w:color w:val="000000"/>
                <w:spacing w:val="-5"/>
                <w:position w:val="3"/>
                <w:sz w:val="28"/>
                <w:szCs w:val="28"/>
                <w:highlight w:val="none"/>
              </w:rPr>
            </w:pPr>
            <w:r>
              <w:rPr>
                <w:rFonts w:hint="eastAsia"/>
                <w:color w:val="000000"/>
                <w:spacing w:val="-5"/>
                <w:position w:val="3"/>
                <w:sz w:val="28"/>
                <w:szCs w:val="28"/>
                <w:highlight w:val="none"/>
              </w:rPr>
              <w:t xml:space="preserve">（1）根据不同评价类型可自定义统计分析维度，如按学员或带教老师姓名、工号、基地、可是等组合条件分析统计。</w:t>
            </w:r>
            <w:r>
              <w:rPr>
                <w:color w:val="000000"/>
                <w:spacing w:val="-5"/>
                <w:position w:val="3"/>
                <w:sz w:val="28"/>
                <w:szCs w:val="28"/>
                <w:highlight w:val="none"/>
              </w:rPr>
            </w:r>
            <w:r/>
          </w:p>
          <w:p>
            <w:pPr>
              <w:pStyle w:val="866"/>
              <w:ind w:left="68"/>
              <w:spacing w:before="0" w:beforeAutospacing="0" w:after="0" w:afterAutospacing="0" w:line="360" w:lineRule="auto"/>
              <w:rPr>
                <w:color w:val="000000"/>
                <w:spacing w:val="-5"/>
                <w:sz w:val="28"/>
                <w:szCs w:val="28"/>
                <w:highlight w:val="none"/>
              </w:rPr>
            </w:pPr>
            <w:r>
              <w:rPr>
                <w:rFonts w:hint="eastAsia"/>
                <w:color w:val="000000"/>
                <w:spacing w:val="-5"/>
                <w:position w:val="3"/>
                <w:sz w:val="28"/>
                <w:szCs w:val="28"/>
                <w:highlight w:val="none"/>
              </w:rPr>
              <w:t xml:space="preserve">（2）可展示每位学员和带教老师评价表中每个评价子项的平均分数及评价总分，和院内平均分对比并可自由调整排序方式。</w:t>
            </w:r>
            <w:r>
              <w:rPr>
                <w:color w:val="000000"/>
                <w:spacing w:val="-5"/>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widowControl/>
              <w:rPr>
                <w:rFonts w:ascii="宋体" w:hAnsi="宋体" w:cs="宋体"/>
                <w:color w:val="000000"/>
                <w:spacing w:val="-4"/>
                <w:sz w:val="28"/>
                <w:szCs w:val="28"/>
                <w:highlight w:val="none"/>
              </w:rPr>
            </w:pPr>
            <w:r>
              <w:rPr>
                <w:rFonts w:hint="eastAsia" w:ascii="宋体" w:hAnsi="宋体" w:cs="宋体"/>
                <w:color w:val="000000"/>
                <w:spacing w:val="-3"/>
                <w:sz w:val="28"/>
                <w:szCs w:val="28"/>
                <w:highlight w:val="none"/>
              </w:rPr>
              <w:t xml:space="preserve">轮转过程报表</w:t>
            </w:r>
            <w:r>
              <w:rPr>
                <w:rFonts w:ascii="宋体" w:hAnsi="宋体" w:cs="宋体"/>
                <w:color w:val="000000"/>
                <w:spacing w:val="-4"/>
                <w:sz w:val="28"/>
                <w:szCs w:val="28"/>
                <w:highlight w:val="none"/>
              </w:rPr>
            </w:r>
            <w:r/>
          </w:p>
        </w:tc>
        <w:tc>
          <w:tcPr>
            <w:tcW w:w="2196" w:type="dxa"/>
            <w:vAlign w:val="center"/>
            <w:textDirection w:val="lrTb"/>
            <w:noWrap w:val="false"/>
          </w:tcPr>
          <w:p>
            <w:pPr>
              <w:pStyle w:val="866"/>
              <w:ind w:left="69"/>
              <w:spacing w:before="225"/>
              <w:rPr>
                <w:color w:val="000000"/>
                <w:spacing w:val="-5"/>
                <w:sz w:val="28"/>
                <w:szCs w:val="28"/>
                <w:highlight w:val="none"/>
              </w:rPr>
            </w:pPr>
            <w:r>
              <w:rPr>
                <w:rFonts w:hint="eastAsia"/>
                <w:color w:val="000000"/>
                <w:spacing w:val="-5"/>
                <w:position w:val="3"/>
                <w:sz w:val="28"/>
                <w:szCs w:val="28"/>
                <w:highlight w:val="none"/>
              </w:rPr>
              <w:t xml:space="preserve">可在同一页面展示学员在各个科室轮转期间的出入科情况（入科教育完成情况、出入科确认情况）、教学活动参加情况（各个类别教学活动的目标参加次数和已参加次数）、出科考核情况（各个项目考核的完成情况）、评价情况（各个维度评价的完成情况）。</w:t>
            </w:r>
            <w:r>
              <w:rPr>
                <w:color w:val="000000"/>
                <w:spacing w:val="-5"/>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866"/>
              <w:ind w:left="35"/>
              <w:spacing w:before="267"/>
              <w:rPr>
                <w:rFonts w:hint="eastAsia"/>
                <w:color w:val="000000"/>
                <w:sz w:val="28"/>
                <w:szCs w:val="28"/>
                <w:highlight w:val="none"/>
              </w:rPr>
            </w:pPr>
            <w:r>
              <w:rPr>
                <w:rFonts w:hint="eastAsia"/>
                <w:color w:val="000000"/>
                <w:spacing w:val="-3"/>
                <w:sz w:val="28"/>
                <w:szCs w:val="28"/>
                <w:highlight w:val="none"/>
              </w:rPr>
              <w:t xml:space="preserve">导师统计报表</w:t>
            </w:r>
            <w:r>
              <w:rPr>
                <w:rFonts w:hint="eastAsia"/>
                <w:color w:val="000000"/>
                <w:sz w:val="28"/>
                <w:szCs w:val="28"/>
                <w:highlight w:val="none"/>
              </w:rPr>
            </w:r>
            <w:r/>
          </w:p>
        </w:tc>
        <w:tc>
          <w:tcPr>
            <w:tcW w:w="2196" w:type="dxa"/>
            <w:vAlign w:val="center"/>
            <w:textDirection w:val="lrTb"/>
            <w:noWrap w:val="false"/>
          </w:tcPr>
          <w:p>
            <w:pPr>
              <w:pStyle w:val="866"/>
              <w:ind w:left="32"/>
              <w:rPr>
                <w:color w:val="000000"/>
                <w:spacing w:val="-5"/>
                <w:sz w:val="28"/>
                <w:szCs w:val="28"/>
                <w:highlight w:val="none"/>
              </w:rPr>
            </w:pPr>
            <w:r>
              <w:rPr>
                <w:rFonts w:hint="eastAsia"/>
                <w:color w:val="000000"/>
                <w:spacing w:val="-4"/>
                <w:sz w:val="28"/>
                <w:szCs w:val="28"/>
                <w:highlight w:val="none"/>
              </w:rPr>
              <w:t xml:space="preserve">通过导师统计表查看导师每年带教学员情况；通过导师沟通反馈统计导师每年与学员沟通次数和未完成次数，并可根据时间段、科室、导师姓名等条件组合查询统计；导师沟通记录明细可展示每一次导师沟</w:t>
            </w:r>
            <w:r>
              <w:rPr>
                <w:rFonts w:hint="eastAsia"/>
                <w:color w:val="000000"/>
                <w:spacing w:val="-9"/>
                <w:sz w:val="28"/>
                <w:szCs w:val="28"/>
                <w:highlight w:val="none"/>
              </w:rPr>
              <w:t xml:space="preserve">通的记录，可查看每一次导师沟通反馈的详细记</w:t>
            </w:r>
            <w:r>
              <w:rPr>
                <w:rFonts w:hint="eastAsia"/>
                <w:color w:val="000000"/>
                <w:spacing w:val="-10"/>
                <w:sz w:val="28"/>
                <w:szCs w:val="28"/>
                <w:highlight w:val="none"/>
              </w:rPr>
              <w:t xml:space="preserve">录，包括时间、地点、</w:t>
            </w:r>
            <w:r>
              <w:rPr>
                <w:rFonts w:hint="eastAsia"/>
                <w:color w:val="000000"/>
                <w:spacing w:val="-6"/>
                <w:position w:val="3"/>
                <w:sz w:val="28"/>
                <w:szCs w:val="28"/>
                <w:highlight w:val="none"/>
              </w:rPr>
              <w:t xml:space="preserve">沟通内容、照片、导师反馈内容等。</w:t>
            </w:r>
            <w:r>
              <w:rPr>
                <w:color w:val="000000"/>
                <w:spacing w:val="-5"/>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工作通知提醒</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待办工作自动提醒</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pacing w:val="-5"/>
                <w:position w:val="3"/>
                <w:sz w:val="28"/>
                <w:szCs w:val="28"/>
                <w:highlight w:val="none"/>
              </w:rPr>
              <w:t xml:space="preserve">系统自动将入科工作提醒、考核工作提醒、评价工作提醒、教学活动提醒、考勤审核提醒等自动推送给相关角色。可设置需提醒项目。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发送通知公告</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pacing w:val="-5"/>
                <w:position w:val="3"/>
                <w:sz w:val="28"/>
                <w:szCs w:val="28"/>
                <w:highlight w:val="none"/>
              </w:rPr>
              <w:t xml:space="preserve">管理员可选择接收对象发送通知公告，可选择通知对象通过PC端接收通知或微信端接收通知公告。</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移动端功能</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pacing w:val="-5"/>
                <w:position w:val="3"/>
                <w:sz w:val="28"/>
                <w:szCs w:val="28"/>
                <w:highlight w:val="none"/>
              </w:rPr>
              <w:t xml:space="preserve">系统支持移动端接收待办工作提醒及通知公告。</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pacing w:val="-5"/>
                <w:position w:val="3"/>
                <w:sz w:val="28"/>
                <w:szCs w:val="28"/>
                <w:highlight w:val="none"/>
              </w:rPr>
              <w:t xml:space="preserve">学员可在移动端查看自己的轮转计划，教学管理员可查看全院的轮转计划，科室教秘可查看本科室学员轮转计划。查看的权限也可根据用户实际要求设置。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出入科管理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pacing w:val="-5"/>
                <w:position w:val="3"/>
                <w:sz w:val="28"/>
                <w:szCs w:val="28"/>
                <w:highlight w:val="none"/>
              </w:rPr>
              <w:t xml:space="preserve">科室教学秘书可在移动端收到待入科学员推送，为学员安排带教老师。可收到待出科学员，查看学员是否符合出科资格，为学员确认出科。推送时间可自定义。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消息推送</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系统根据时间节点向各个角色发送待完成工作的通知，如：给教学秘书推送待出科学员确认通知，给学员推送评价表填写的通知。推送通知的时间节点可根据用户要求设置。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考核管理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可通过移动端进行考核表打分，并支持考核现场照片上传。</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工作通知</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管理员可通过系统选择接收对象定向推送通知公告，推送对象可在移动端接收。</w:t>
            </w:r>
            <w:r>
              <w:rPr>
                <w:rFonts w:ascii="宋体" w:hAnsi="宋体" w:cs="宋体"/>
                <w:color w:val="000000"/>
                <w:sz w:val="28"/>
                <w:szCs w:val="28"/>
                <w:highlight w:val="none"/>
              </w:rPr>
            </w:r>
            <w:r/>
          </w:p>
        </w:tc>
      </w:tr>
      <w:tr>
        <w:trPr/>
        <w:tc>
          <w:tcPr>
            <w:tcW w:w="916"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本科生管理系统</w:t>
            </w: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实习档案管理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建立实习生档案</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系统可建立实习生培训电子档案，全面记录实习生的个人信息。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实习生档案查询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向多个管理角色开放实习生档案的查询。</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建立师资档案</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系统可建立实习生师资档案，记录个人信息、教学资质等信息。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师资档案查询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向教师个人、管理员等角色开放师资档案查询。</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实习轮转计划管理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轮转计划模板</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（1）系统可按照实习培训要求，建立轮转计划模板。（2）可按周进行轮转安排。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编制轮转计划</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可导入实习生名单、科室名单，利用轮转模板实现轮转计划编制，排班结果达到科室容量平衡。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轮转计划查看</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可为管理员、实习生提供轮转计划查询。查询方式有：按姓名生查询、按科室查询等。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轮转计划调整</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可通过拖拽科室的方式迅速调整轮转计划，也可以点击右键选择拆分合并。（2）在同一页面中，可同步查看轮转人员变换信息。（3）系统可用不同的颜色区分轮转的状态。（4）轮转计划调整均由系统日志自动记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实习入院教育</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资料维护</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教学管理员可上传、维护入院培训学习资料。</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查阅资料</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实习生入院时，通过待办事项提醒其要查阅入院培训资料内容，阅读后点击确认。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进度查看</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教学管理部可以查看进度情况</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培训课程</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教学管理部可以组织发布入院培训课程，学员可扫描签到，讲师上传现场照片。支持按场次导出入院培训报告书。</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实习出入科管理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系统根据轮转计划为科室教秘推送待入科实习生名单，教秘为实习生安排本科室的带教老师，完成入科。</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科室本科生名单</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科室主任、科室教秘可查询本科室的实习生名单。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出科确认</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科室教秘可通过系统查看待出科的实习生名单，进行出科操作。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移动端功能</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可在移动端实现入科管理、科室本科生名单查询。</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实习轮转记录</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实习轮转记录</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实习生在系统内完成实习轮转记录（可按模板自定义），并经科室秘书/科室主任审核签署意见。</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实习考勤管理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请假申请审核</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实习生可通过系统发起请假申请，内容包括：请假类型、原因、时间等。由管理员等各级管理人员进行审批。</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缺勤填报</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科室教秘、带教老师为自己管理的实习生填报考勤。可自定义多种考勤类型，且可根据用户要求再增加或减少考勤类型。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缺勤记录查看及修改</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科室教秘和带教老师可以查看及修改自己填报的考勤表。</w:t>
            </w:r>
            <w:r>
              <w:rPr>
                <w:rFonts w:ascii="宋体" w:hAnsi="宋体" w:cs="宋体"/>
                <w:color w:val="000000"/>
                <w:sz w:val="28"/>
                <w:szCs w:val="28"/>
                <w:highlight w:val="none"/>
              </w:rPr>
            </w:r>
            <w:r/>
          </w:p>
        </w:tc>
      </w:tr>
      <w:tr>
        <w:trPr>
          <w:trHeight w:val="290"/>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实习考核管理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考核评分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可通过系统填写实习生的出科考核表单，由上级角色进行审核。可通过系统查询出科考核的各项成绩。</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系统可上传考核现场照片，附于对应的出科考核表。</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可对出科考核进行评分。考核可分为理论考核和技能考核。由科室教学秘书发布考核。理论考核可以导入试卷模板；技能考核可以预设考核评分表。由考官进行统一评分。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自定义考核表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系统将用户的各类考核表单电子化录入系统，供考核打分使用。支持导出打印考核表。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移动端功能</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可在移动端实现考核现场打分、审核考核表。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实习全程导师</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导师设置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可为每一位实习生分配导师。导师可查看学员的轮转、成绩、评价、教学活动等各项培训数据。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发起沟通</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生可通过移动端发起沟通，填写时间、地点、培训数据、沟通内容等。提交后可查看导师的反馈状态。导师在沟通列表中可查看实习生提交的反馈信息，对信息进行反馈。导师对于已反馈与未反馈的数据均可以修改或进行退回操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实习评价管理</w:t>
            </w:r>
            <w:r>
              <w:rPr>
                <w:rFonts w:ascii="宋体" w:hAnsi="宋体" w:cs="宋体"/>
                <w:color w:val="000000"/>
                <w:sz w:val="28"/>
                <w:szCs w:val="28"/>
                <w:highlight w:val="none"/>
              </w:rPr>
            </w:r>
            <w:r/>
          </w:p>
        </w:tc>
        <w:tc>
          <w:tcPr>
            <w:tcW w:w="947"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本科生填写评价</w:t>
            </w:r>
            <w:r>
              <w:rPr>
                <w:rFonts w:hint="eastAsia"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系统可实现实习生填写评价表对带教老师和科室进行评价。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带教老师填写评价</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系统可实现带教老师填写评价表对实习生评价。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评价结果统计</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系统可对评价结果按时间、姓名、科室等条件进行统计，提供查询。</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移动端功能</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可在移动端填写评价表，上传评价结果。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实习教学活动管理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发布教学课程</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可通过系统上报教学计划，包括教学活动的名称、开展时间、对应人员等。确认后发布课程安排。可根据参与对象不同将教学活动设置为院级、教研室级、科室级并根据不同级别自动选择参加对象。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课程提醒推送</w:t>
            </w:r>
            <w:r>
              <w:rPr>
                <w:rFonts w:hint="eastAsia"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系统根据课程表，向对应的讲师及听课实习生发送课程提醒。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课前资料准备</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讲师可通过系统上传课件资料，实习生可下载或查看课件。</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课程评价管理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本科生可通过系统填写课程评价表，评价课程教学质量。</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移动端功能</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可在移动端实现扫描二维码进行上课签到；填写课程评价表。</w:t>
            </w:r>
            <w:r>
              <w:rPr>
                <w:rFonts w:ascii="宋体" w:hAnsi="宋体" w:cs="宋体"/>
                <w:color w:val="000000"/>
                <w:sz w:val="28"/>
                <w:szCs w:val="28"/>
                <w:highlight w:val="none"/>
              </w:rPr>
            </w:r>
            <w:r/>
          </w:p>
        </w:tc>
      </w:tr>
      <w:tr>
        <w:trPr>
          <w:trHeight w:val="720"/>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课后资料上传</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由带教老师和教学秘书在对应的教学活动记录中上传课件、教学活动记录（系统内提供模板）、照片等相关材料。教育培训处可查看所有教学活动执行情况。</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实习日常工作统计</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统计各个科室入科情况。可按月份查看各科室应入科人数、已入科人数、入科完成度、到科确认。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分配带教报表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可统计各科室的在科人数、已分配带教的本科生人数、未分配带教的实习生人数、已带教的老师数、未带教的老师数、带教分配明细。</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可统计带教老师的月度、年度带教工作量统计。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统计各个科室出科情况。可查看各科室应出科人数、已出科人数、出科完成度、超期人数。</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出科考核报表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统计各个科室每周的应考核人数、已完成人数、未完成人数、考核完成进度。 汇总所有实习生出科考核中各项考核项目的成绩。</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教学活动报表</w:t>
            </w:r>
            <w:r>
              <w:rPr>
                <w:rFonts w:hint="eastAsia"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按时间段统计所有教学活动的应参加人数、签到人数、未签到人数，并可查看详细名单。</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按时间段统计所有讲师完成的各类教学活动的数量。</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按时间段统计各个科室完成各各类教学活动的数量。</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实习督导管理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督导权限设置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管理员可以为用户设置督导专家权限。</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教学活动督导</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教学活动督导、选择需要督导的教学活动，设置督导专家。由专家填写督导评分表，管理员可查看督导评分结果。督导专家可根据全院教学活动的课程信息，针对具体课程，自行发起教学活动督导。</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出科考核督导</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教学管理员可通过系统发起出科考核督导、选择需要督导的科室、时间、设置督导专家。由专家填写督导评分表，管理员可查看督导评分结果。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教研室管理督导</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教学管理员可通过系统发起教研室管理督导、选择需要督导的专业基地、时间、设置督导专家。由专家填写督导评分表，管理员可查看督导评分结果。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科室管理督导</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教学管理员可通过系统发起科室管理督导、选择需要督导的科室、时间、设置督导专家。由专家填写督导评分表，管理员可查看督导评分结果。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督导反馈、整改</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科室主任/教秘，可浏览督导专家针对本科室督查评分的结果、填写督导整改表，教学管理员/督导专家可浏览反馈信息。</w:t>
            </w:r>
            <w:r>
              <w:rPr>
                <w:rFonts w:ascii="宋体" w:hAnsi="宋体" w:cs="宋体"/>
                <w:color w:val="000000"/>
                <w:sz w:val="28"/>
                <w:szCs w:val="28"/>
                <w:highlight w:val="none"/>
              </w:rPr>
            </w:r>
            <w:r/>
          </w:p>
        </w:tc>
      </w:tr>
      <w:tr>
        <w:trPr>
          <w:trHeight w:val="841"/>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见习档案管理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见习生档案创建</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创建见习生档案，档案内容包含见习生个人基本信息；理论学习阶段的科目完成情况，可对应看到课程表，有相应课程上课时间及授课教师信息；出勤情况;学分获取情况;是否重修、免考信息；教师评价；自我评价。</w:t>
            </w:r>
            <w:r>
              <w:rPr>
                <w:rFonts w:ascii="宋体" w:hAnsi="宋体" w:cs="宋体"/>
                <w:color w:val="000000"/>
                <w:sz w:val="28"/>
                <w:szCs w:val="28"/>
                <w:highlight w:val="none"/>
              </w:rPr>
            </w:r>
            <w:r/>
          </w:p>
        </w:tc>
      </w:tr>
      <w:tr>
        <w:trPr>
          <w:trHeight w:val="1089"/>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见习生档案查询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可按姓名、学校等条件查询见习生档案；向多个管理角色开放查询。</w:t>
            </w:r>
            <w:r>
              <w:rPr>
                <w:rFonts w:ascii="宋体" w:hAnsi="宋体" w:cs="宋体"/>
                <w:color w:val="000000"/>
                <w:sz w:val="28"/>
                <w:szCs w:val="28"/>
                <w:highlight w:val="none"/>
              </w:rPr>
            </w:r>
            <w:r/>
          </w:p>
        </w:tc>
      </w:tr>
      <w:tr>
        <w:trPr>
          <w:trHeight w:val="1453"/>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师资档案管理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建立师资档案</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系统可建立见习生理论教学、见习带教独立师资档案，记录个人信息、担任角色、教学经历、获得的教学成果、参加的教学活动等。</w:t>
            </w:r>
            <w:r>
              <w:rPr>
                <w:rFonts w:ascii="宋体" w:hAnsi="宋体" w:cs="宋体"/>
                <w:color w:val="000000"/>
                <w:sz w:val="28"/>
                <w:szCs w:val="28"/>
                <w:highlight w:val="none"/>
              </w:rPr>
            </w:r>
            <w:r/>
          </w:p>
        </w:tc>
      </w:tr>
      <w:tr>
        <w:trPr>
          <w:trHeight w:val="726"/>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师资档案查询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向教师个人、管理员等角色开放师资档案，可根据姓名、工号、职称、师资类型、状态筛选需要查询的师资人员。</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见习班级管理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创建班级</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教学管理员可创建班级，将新入院的本科生分配到班级中。驻点班和仅来院见习班级可分类管理。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班主任设置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可为每个班级设置班主任、助教、教师，并设置权限。</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见习教学大纲管理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导入大纲</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导入各医学院校大纲，内容包括各专业学科的具体课程、学时、学分等。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大纲查询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见习生、教研室、授课老师可查询各医学院校的教学大纲。</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校历管理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创建、导入校历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可创建、导入各个医学院校的校历。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设置节假日</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可自动设置法定节假日。并可手动调整。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导出校历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可导出各个医学院校的校历。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设置自定义节日</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可手动设置自定义节日,活动,例如：运动会等。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排课计划</w:t>
            </w:r>
            <w:r>
              <w:rPr>
                <w:rFonts w:hint="eastAsia" w:ascii="宋体" w:hAnsi="宋体" w:cs="宋体"/>
                <w:color w:val="000000"/>
                <w:sz w:val="28"/>
                <w:szCs w:val="28"/>
                <w:highlight w:val="none"/>
              </w:rPr>
            </w:r>
            <w:r/>
          </w:p>
        </w:tc>
        <w:tc>
          <w:tcPr>
            <w:tcW w:w="947"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▲排课日历</w:t>
            </w:r>
            <w:r>
              <w:rPr>
                <w:rFonts w:hint="eastAsia" w:ascii="宋体" w:hAnsi="宋体" w:cs="宋体"/>
                <w:bCs/>
                <w:color w:val="000000"/>
                <w:sz w:val="28"/>
                <w:szCs w:val="28"/>
                <w:highlight w:val="none"/>
              </w:rPr>
              <w:t xml:space="preserve">（提供功能截图证明）</w:t>
            </w:r>
            <w:r>
              <w:rPr>
                <w:rFonts w:hint="eastAsia"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t xml:space="preserve">（1）创建排课任务计划，填写名称、周次、学年、学期、班级信息。选择已经创建的教学大纲和校历。</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ascii="宋体" w:hAnsi="宋体" w:cs="宋体"/>
                <w:color w:val="000000"/>
                <w:sz w:val="28"/>
                <w:szCs w:val="28"/>
                <w:highlight w:val="none"/>
              </w:rPr>
              <w:t xml:space="preserve">（2）系统提供日历形式的排课界面。日历表显示日期、课程周次、课程节次。在同一界面显示所有课程的名称以及对应的学时数。不同的课程名称用不同颜色标识。</w:t>
            </w:r>
            <w:r>
              <w:rPr>
                <w:rFonts w:ascii="宋体" w:hAnsi="宋体" w:cs="宋体"/>
                <w:color w:val="000000"/>
                <w:sz w:val="28"/>
                <w:szCs w:val="28"/>
                <w:highlight w:val="none"/>
              </w:rPr>
            </w:r>
            <w:r/>
          </w:p>
          <w:p>
            <w:pPr>
              <w:pStyle w:val="748"/>
              <w:rPr>
                <w:rFonts w:hint="eastAsia" w:ascii="宋体" w:hAnsi="宋体" w:cs="宋体"/>
                <w:color w:val="000000"/>
                <w:sz w:val="28"/>
                <w:szCs w:val="28"/>
                <w:highlight w:val="none"/>
              </w:rPr>
            </w:pPr>
            <w:r>
              <w:rPr>
                <w:rFonts w:ascii="宋体" w:hAnsi="宋体" w:cs="宋体"/>
                <w:color w:val="000000"/>
                <w:sz w:val="28"/>
                <w:szCs w:val="28"/>
                <w:highlight w:val="none"/>
              </w:rPr>
              <w:t xml:space="preserve">（3）可在日历上点击操作安排课程的具体日期、周次、节次。在日历表上安排课程后，同一页面的课程学时剩余数量同步变化。</w:t>
            </w:r>
            <w:r>
              <w:rPr>
                <w:rFonts w:hint="eastAsia"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理论排课</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根据课程表、结合校历自动生成教学日历里的日期、星期几、周次、节次；可选择排课在第几周、第几节次、星期几、课程类别，形成教学日历及课程表。理论课排课优先时间段设置，可以对课程重复和老师时间冲突进行快速查找，对重复数据进行批量删除操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见习排课</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见习可分组设置，可自定义每科室同时上课组数，可以对见习教室和带教老师冲突进行快速查找，可以对重复数据进行批量删除操作。可对见习课开始时间和见习排课优先时间段进行设置。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课程调整</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管理部门可对已安排的课程进行调整。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教学日历导入、导出</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管理部门可导入、导出教学日历；教研室、教师可导出教学日历。</w:t>
            </w:r>
            <w:r>
              <w:rPr>
                <w:rFonts w:ascii="宋体" w:hAnsi="宋体" w:cs="宋体"/>
                <w:color w:val="000000"/>
                <w:sz w:val="28"/>
                <w:szCs w:val="28"/>
                <w:highlight w:val="none"/>
              </w:rPr>
            </w:r>
            <w:r/>
          </w:p>
        </w:tc>
      </w:tr>
      <w:tr>
        <w:trPr>
          <w:trHeight w:val="2300"/>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教研室排课</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安排授课老师</w:t>
            </w:r>
            <w:r>
              <w:rPr>
                <w:rFonts w:ascii="宋体" w:hAnsi="宋体" w:cs="宋体"/>
                <w:color w:val="000000"/>
                <w:sz w:val="28"/>
                <w:szCs w:val="28"/>
                <w:highlight w:val="none"/>
              </w:rPr>
            </w:r>
            <w:r/>
          </w:p>
        </w:tc>
        <w:tc>
          <w:tcPr>
            <w:tcW w:w="2196" w:type="dxa"/>
            <w:vAlign w:val="center"/>
            <w:textDirection w:val="lrTb"/>
            <w:noWrap w:val="false"/>
          </w:tcPr>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教研室管理员可为已排课程安排授课老师，可从见习师资列表里选择。 </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授课老师调整</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教研室管理员可对已安排的授课老师、带教老师进行调课申请，报管理部门审核。</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课程查找</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教学管理员、教研室管理员、老师通过输入老师名字、时间，可以自动生成所授课程汇总。</w:t>
            </w:r>
            <w:r>
              <w:rPr>
                <w:rFonts w:ascii="宋体" w:hAnsi="宋体" w:cs="宋体"/>
                <w:color w:val="000000"/>
                <w:sz w:val="28"/>
                <w:szCs w:val="28"/>
                <w:highlight w:val="none"/>
              </w:rPr>
            </w:r>
            <w:r/>
          </w:p>
        </w:tc>
      </w:tr>
      <w:tr>
        <w:trPr>
          <w:trHeight w:val="2320"/>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课程通知签到</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课程通知</w:t>
            </w:r>
            <w:r>
              <w:rPr>
                <w:rFonts w:ascii="宋体" w:hAnsi="宋体" w:cs="宋体"/>
                <w:color w:val="000000"/>
                <w:sz w:val="28"/>
                <w:szCs w:val="28"/>
                <w:highlight w:val="none"/>
              </w:rPr>
            </w:r>
            <w:r/>
          </w:p>
        </w:tc>
        <w:tc>
          <w:tcPr>
            <w:tcW w:w="2196" w:type="dxa"/>
            <w:vAlign w:val="center"/>
            <w:textDirection w:val="lrTb"/>
            <w:noWrap w:val="false"/>
          </w:tcPr>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系统自动根据上课时间给对应的教师发送上课通知，老师师收到信息后进行确认，方便管理部门统计。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课程签到、签退</w:t>
            </w:r>
            <w:r>
              <w:rPr>
                <w:rFonts w:ascii="宋体" w:hAnsi="宋体" w:cs="宋体"/>
                <w:color w:val="000000"/>
                <w:sz w:val="28"/>
                <w:szCs w:val="28"/>
                <w:highlight w:val="none"/>
              </w:rPr>
            </w:r>
            <w:r/>
          </w:p>
        </w:tc>
        <w:tc>
          <w:tcPr>
            <w:tcW w:w="2196" w:type="dxa"/>
            <w:vAlign w:val="center"/>
            <w:textDirection w:val="lrTb"/>
            <w:noWrap w:val="false"/>
          </w:tcPr>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教学管理员/上课老师/班主任可在自己的电脑端或移动端展示签到、 签退动态二维码，学生可使用移动端扫码进行签到、签退。教学管理员/上课老师/班主任可对学生进行手动签到、签退。 </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签到记录查询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教学管理员、班主任、教研室管理员可查看所有签到记录。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对老师评价</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本科生、教研室、管理部门可通过系统填写评价表对理论课及见习带教老师进行评价；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对见习生评价</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授课老师、教研室、班主任可对见习生平时表现进行打分评价。可导入评价表。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评价结果汇总</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系统自动汇总评价结果，形成评价报表。</w:t>
            </w:r>
            <w:r>
              <w:rPr>
                <w:rFonts w:ascii="宋体" w:hAnsi="宋体" w:cs="宋体"/>
                <w:color w:val="000000"/>
                <w:sz w:val="28"/>
                <w:szCs w:val="28"/>
                <w:highlight w:val="none"/>
              </w:rPr>
            </w:r>
            <w:r/>
          </w:p>
        </w:tc>
      </w:tr>
      <w:tr>
        <w:trPr>
          <w:trHeight w:val="3440"/>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成绩管理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成绩管理</w:t>
            </w:r>
            <w:r>
              <w:rPr>
                <w:rFonts w:ascii="宋体" w:hAnsi="宋体" w:cs="宋体"/>
                <w:color w:val="000000"/>
                <w:sz w:val="28"/>
                <w:szCs w:val="28"/>
                <w:highlight w:val="none"/>
              </w:rPr>
            </w:r>
            <w:r/>
          </w:p>
        </w:tc>
        <w:tc>
          <w:tcPr>
            <w:tcW w:w="2196" w:type="dxa"/>
            <w:vAlign w:val="center"/>
            <w:textDirection w:val="lrTb"/>
            <w:noWrap w:val="false"/>
          </w:tcPr>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各教研室可通过系统导入本科生的各项考核成绩，根据各部分权重计算平时分， 可通过时间、学员姓名、考核名称等条筛选查询成绩；自动生成成绩分析。教研室及教学管理部门进行审核。</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见习生导师</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导师设置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可为每一位见习生分配导师。导师可查看学生成绩、课程、评价等数据。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发起沟通</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可通过移动端发起沟通，填写时间、地点、沟通内容等。提交后学员可查看导师的反馈状态，状态分为“未反馈”、“已退回”、“已反馈”三种。导师在沟通列表中可查看见习生提交的反馈信息，对信息进行反馈。导师对于已反馈与未反馈的数据均可以修改或进行退回操作。</w:t>
            </w:r>
            <w:r>
              <w:rPr>
                <w:rFonts w:ascii="宋体" w:hAnsi="宋体" w:cs="宋体"/>
                <w:color w:val="000000"/>
                <w:sz w:val="28"/>
                <w:szCs w:val="28"/>
                <w:highlight w:val="none"/>
              </w:rPr>
            </w:r>
            <w:r/>
          </w:p>
        </w:tc>
      </w:tr>
      <w:tr>
        <w:trPr>
          <w:trHeight w:val="1460"/>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教研室教学活动</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发布教研室教学活动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可通过系统上报教研室活动计划，包括教研室活动的名称、时间、参加人员、活动记录等。           </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督导权限设置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管理员可以为用户设置督导专家权限。</w:t>
            </w:r>
            <w:r>
              <w:rPr>
                <w:rFonts w:ascii="宋体" w:hAnsi="宋体" w:cs="宋体"/>
                <w:color w:val="000000"/>
                <w:sz w:val="28"/>
                <w:szCs w:val="28"/>
                <w:highlight w:val="none"/>
              </w:rPr>
            </w:r>
            <w:r/>
          </w:p>
        </w:tc>
      </w:tr>
      <w:tr>
        <w:trPr>
          <w:trHeight w:val="2900"/>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督导活动发起</w:t>
            </w:r>
            <w:r>
              <w:rPr>
                <w:rFonts w:ascii="宋体" w:hAnsi="宋体" w:cs="宋体"/>
                <w:color w:val="000000"/>
                <w:sz w:val="28"/>
                <w:szCs w:val="28"/>
                <w:highlight w:val="none"/>
              </w:rPr>
            </w:r>
            <w:r/>
          </w:p>
        </w:tc>
        <w:tc>
          <w:tcPr>
            <w:tcW w:w="2196" w:type="dxa"/>
            <w:vAlign w:val="center"/>
            <w:textDirection w:val="lrTb"/>
            <w:noWrap w:val="false"/>
          </w:tcPr>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理论课、见习课督导，选择需要督导的课程、时间、设置督导专家，系统将推送相关信息到督导老师手机端，提醒督导专家按照活动安排进行督导；督导专家可根据全院教学课程信息，针对具体课程，自行发起教学活动督导。支持对已选教学活动进行标志，避免督导重复。由专家填写督导评分表，管理员可查看督导评分结果。 </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督导意见查询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教学管理员、教研室管理员、授课老师可浏览自己权限范围内课程督查结果。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督导整改</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由教研室管理员填写督导整改表，教学管理员/督导专家可浏览整改信息。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督导统计</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教学管理员可统计不同督导专家督导的次数、评分；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见习生考勤管理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请假申请审核</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见习生可通过系统发起请假申请，内容包括：请假类型、原因、时间、课程等。由班主任等各级管理人员进行审批。</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缺勤填报</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教学管理员、班主任为自己管理的见习生填报考勤。授课老师对所授课程进行学生考勤。可自定义多种考勤类型，且可根据用户要求再增加或减少考勤类型。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缺勤记录查看及修改</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教学管理员、班主任、授课老师可以查看及修改自己填报的考勤表。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考勤统计</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自动累计见习生缺勤、请假总课时</w:t>
            </w:r>
            <w:r>
              <w:rPr>
                <w:rFonts w:ascii="宋体" w:hAnsi="宋体" w:cs="宋体"/>
                <w:color w:val="000000"/>
                <w:sz w:val="28"/>
                <w:szCs w:val="28"/>
                <w:highlight w:val="none"/>
              </w:rPr>
            </w:r>
            <w:r/>
          </w:p>
        </w:tc>
      </w:tr>
      <w:tr>
        <w:trPr>
          <w:trHeight w:val="620"/>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绩效管理</w:t>
            </w:r>
            <w:r>
              <w:rPr>
                <w:rFonts w:ascii="宋体" w:hAnsi="宋体" w:cs="宋体"/>
                <w:color w:val="000000"/>
                <w:sz w:val="28"/>
                <w:szCs w:val="28"/>
                <w:highlight w:val="none"/>
              </w:rPr>
            </w:r>
            <w:r/>
          </w:p>
        </w:tc>
        <w:tc>
          <w:tcPr>
            <w:tcW w:w="2196" w:type="dxa"/>
            <w:vAlign w:val="center"/>
            <w:textDirection w:val="lrTb"/>
            <w:noWrap w:val="false"/>
          </w:tcPr>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标准系数值可以调整。绩效数据支持导入及系统提取等生成方式。可配置纳入绩效计算的数据类型，如师资的类别、教学职称、授课类型、授课课时等。可配置每一项纳入绩效计算的数据在最终的绩效计算结果中的权重。系统根据绩效计算公式自动获取相关数据进行计算。也可通过系统填报绩效计算所需的相关据。</w:t>
            </w:r>
            <w:r>
              <w:rPr>
                <w:rFonts w:ascii="宋体" w:hAnsi="宋体" w:cs="宋体"/>
                <w:color w:val="000000"/>
                <w:sz w:val="28"/>
                <w:szCs w:val="28"/>
                <w:highlight w:val="none"/>
              </w:rPr>
            </w:r>
            <w:r/>
          </w:p>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绩效上报确认可设置系统内角色，且支持多个角色逐级上报，最终上报给教学管理部门。</w:t>
            </w:r>
            <w:r>
              <w:rPr>
                <w:rFonts w:ascii="宋体" w:hAnsi="宋体" w:cs="宋体"/>
                <w:color w:val="000000"/>
                <w:sz w:val="28"/>
                <w:szCs w:val="28"/>
                <w:highlight w:val="none"/>
              </w:rPr>
            </w:r>
            <w:r/>
          </w:p>
          <w:p>
            <w:pPr>
              <w:pStyle w:val="748"/>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根据绩效费发放规则，系统自动生成绩效明细报表，可展示绩效计算结果，可回溯得出绩效结果的相关数据。系统可根据绩效计算结果生成人员绩效津贴发放明细。</w:t>
            </w:r>
            <w:r>
              <w:rPr>
                <w:rFonts w:ascii="宋体" w:hAnsi="宋体" w:cs="宋体"/>
                <w:color w:val="000000"/>
                <w:sz w:val="28"/>
                <w:szCs w:val="28"/>
                <w:highlight w:val="none"/>
              </w:rPr>
            </w:r>
            <w:r/>
          </w:p>
        </w:tc>
      </w:tr>
      <w:tr>
        <w:trPr/>
        <w:tc>
          <w:tcPr>
            <w:tcW w:w="916"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进修生管理系统</w:t>
            </w: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进修培训招录</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登录和首页</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（1）用户注册、登录和退出。（2）用户通过邮箱邮件或手机验证码等两种方式找回密码。（3）浏览招生一览表。（4）查看个人报名申请进度。（5）接收通知消息。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进修培训申请</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发布进修培训报名指南、准入条件、所需材料。（2）申请流程可视化，精确定位申请所在环节。（3）依据申请流程，按步骤完成进修培训报名申请各项工作：填写个人基本信息、经历信息、单位同意证明、上传证书、提交进修培训申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申请审核及录取</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查看申请列表，批量审核、批量作废、批量发送通知书。（2）查看申请信息、申请材料信息及报到材料信息。（3）教育培训、对外合作处、科室等部门依次审核。（4）发布进修录取通知至注册用户及邮箱。（5）进修申请人可查看报到流程、打印报到材料（6）作废超期未报到的进修培训申请，发送未按期报到通知邮件。</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进修培训计划管理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招生计划管理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（1）可发布进修培训招生计划。（2）对招生计划进行新建、修改、删除、批量删除。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科室负责人/教秘管理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（1）可对科室负责人/教秘进行维护，进行新建、修改、删除、批量删除、导入及导出操作。（3）进修生报到入科、终止或延期、补学申请、结业考核等相关信息发送至教秘/科室负责人。</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进修生日常管理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建立进修培训人员档案</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查看、修改信息；对在职研究生身份的进修生，信息里增加“同等学历硕士研究生”标签，增加过程管理标签，论文、课题、大会发言、开题、中期、预答辩；增加“学员类型”标签，可选项包括进修生、培训学员、执业医师重新注册学员、变更执业范围培训学员等。各个标签与系统各模块数据互相关联，相关的信息自动汇总到档案中的对应标签。（2）分配进修培训轮转计划。（3）导出进修培训基本信息、胸卡信息、导出照片、导出工服信息。（4）过程管理，包括：结业管理、批量结业、延期、取消延期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出入科管理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入科教育管理员可设置入科教育栏目分类，各科室可根据栏目类别分别上传对应的入科教育学习资料。各科室的进修培训人员可查看当前轮转科室的入科教育学习资料，并通过系统确认完成入科教育资料的学习。管理员可查看完成情况。各科室可以组织发布入科教育，学员签到，上传现场照片，并支持按场次导出入科教育报告书。（2）入科管理系统根据轮转计划为科室教秘推送待入科进修培训人员名单，教秘为进修培训人员安排本科室的</w:t>
            </w:r>
            <w:r>
              <w:rPr>
                <w:rFonts w:hint="eastAsia" w:ascii="宋体" w:hAnsi="宋体" w:cs="宋体"/>
                <w:color w:val="000000"/>
                <w:sz w:val="28"/>
                <w:szCs w:val="28"/>
                <w:highlight w:val="none"/>
              </w:rPr>
              <w:t xml:space="preserve">带教老师，完成入科。带教老师可确认进修培训人员已报到。（3）科室负责人、科室教秘可查询本科室的进修培训人员名单、信息。（4）结业：科室教秘可通过系统查看当月结业的进修培训人员名单，审核其进修培训鉴定表、结业考核证明材料，科室秘书审核通过后提交科室负责人审核，科室负责人提交教育培训处审核。学员类型为“执业医师重新注册学员”或“变更执业范围培训学员”还需由科室负责人提交大科主任审核，经大科主任审核通过后提交教育培训处审核。进修培训人员可查看结业审核情况。审核通过后系统内生成进修结业证书/培训证明，可导出/打印。</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进修过程总览</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（1）总览个人进修过程中各个关键节点的详情信息。（2）实时掌握全部进修生的进修状态和异常信息。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终止与延期管理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（1）下载进修延期申请表、下载提前终止进修申请表。（2）上传进修延期申请表、上传提前终止进修申请表。（3）审批申请信息、查看信息。（4）调整进修生状态。</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补学申请审核</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对进修期间因故未能返院完成进修的进修生，可申请补学。（2）注明延期时间段，补学时间段，上传必要补学申请纸质盖章材料。（3）提交后，查看申请明细，进行补学申请的审核，等待管理员审核后，可见审核结果。（4）管理员总览补学申请记录。（5）利用所需条件，对补学申请进行检索和统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进修生统计</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（1）进修生生源统计报表。（2）进修生优秀学员统计报表。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进修评价管理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评价统计</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（1）对评价结果进行统计。（2）查看评价完成进度和评价表结果。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结果分析</w:t>
            </w:r>
            <w:r>
              <w:rPr>
                <w:rFonts w:ascii="宋体" w:hAnsi="宋体" w:cs="宋体"/>
                <w:color w:val="000000"/>
                <w:sz w:val="28"/>
                <w:szCs w:val="28"/>
                <w:highlight w:val="none"/>
              </w:rPr>
            </w:r>
            <w:r/>
          </w:p>
        </w:tc>
        <w:tc>
          <w:tcPr>
            <w:tcW w:w="2196" w:type="dxa"/>
            <w:vAlign w:val="center"/>
            <w:textDirection w:val="lrTb"/>
            <w:noWrap w:val="false"/>
          </w:tcPr>
          <w:p>
            <w:pPr>
              <w:pStyle w:val="748"/>
              <w:numPr>
                <w:ilvl w:val="0"/>
                <w:numId w:val="15"/>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对评价结果按项目分析。</w:t>
            </w:r>
            <w:r>
              <w:rPr>
                <w:rFonts w:ascii="宋体" w:hAnsi="宋体" w:cs="宋体"/>
                <w:color w:val="000000"/>
                <w:sz w:val="28"/>
                <w:szCs w:val="28"/>
                <w:highlight w:val="none"/>
              </w:rPr>
            </w:r>
            <w:r/>
          </w:p>
          <w:p>
            <w:pPr>
              <w:pStyle w:val="748"/>
              <w:numPr>
                <w:ilvl w:val="0"/>
                <w:numId w:val="15"/>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可按照轮转科室、病房等不同评价层级，灵活指定统计维度，实现评价结果汇总分析。</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教学督导</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督导权限设置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管理员可以为用户设置督导专家权限。</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教学活动督导</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教学活动督导、选择需要督导的教学活动，设置督导专家。由专家填写督导评分表，管理员可查看督导评分结果。督导专家可根据全院教学活动的课程信息，针对具体教学活动，自行发起教学活动督导。</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进修生督导</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教学管理员可通过系统发起进修生督导，选择需要督导的课程、时间、设置督导专家。由专家填写督导评分表，管理员可查看督导评分结果。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督导反馈</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科室主任/教秘/带教老师，可浏览督导专家针对课程督查评分的结果， 进行相应的反馈。由科室主任/教秘填写督导反馈表，教学管理员/督导专家可浏览反馈信息。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请假管理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（1）根据请假天数不同审批流程。（2）请假申请、销假申请、查看申请，上传、下载、查看附件。（3）请假信息汇总统计。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考勤填报</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科室教秘、带教老师为自己管理的进修医师填报考勤。可自定义多种考勤类型，且可根据用户要求再增加或减少考勤类型。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考勤表查看及修改（管理人员）</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科室教秘和带教老师可以查看及修改自己填报的考勤表。（2）科室教秘等管理人员可在考勤管理菜单中以日历或列表形式直观查看相应权限范围内学员考勤及请假情况。（3）支持以EXCEL格式导出科室当月考勤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考勤表查看（学员）</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学员可在移动端以日历或列表形式直观查看自己的班次及请假信息，点击请假信息可进入详情页面查看。</w:t>
            </w:r>
            <w:r>
              <w:rPr>
                <w:rFonts w:ascii="宋体" w:hAnsi="宋体" w:cs="宋体"/>
                <w:color w:val="000000"/>
                <w:sz w:val="28"/>
                <w:szCs w:val="28"/>
                <w:highlight w:val="none"/>
              </w:rPr>
            </w:r>
            <w:r/>
          </w:p>
        </w:tc>
      </w:tr>
      <w:tr>
        <w:trPr>
          <w:trHeight w:val="3268"/>
        </w:trPr>
        <w:tc>
          <w:tcPr>
            <w:tcW w:w="916" w:type="dxa"/>
            <w:vAlign w:val="center"/>
            <w:vMerge w:val="restart"/>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模拟教学中心教学管理平台</w:t>
            </w:r>
            <w:r>
              <w:rPr>
                <w:rFonts w:hint="eastAsia" w:ascii="宋体" w:hAnsi="宋体" w:cs="宋体"/>
                <w:color w:val="000000"/>
                <w:sz w:val="28"/>
                <w:szCs w:val="28"/>
                <w:highlight w:val="none"/>
              </w:rPr>
            </w:r>
            <w:r/>
          </w:p>
        </w:tc>
        <w:tc>
          <w:tcPr>
            <w:tcW w:w="940" w:type="dxa"/>
            <w:vAlign w:val="center"/>
            <w:vMerge w:val="restart"/>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课程基础设置</w:t>
            </w:r>
            <w:r>
              <w:rPr>
                <w:rFonts w:hint="eastAsia" w:ascii="宋体" w:hAnsi="宋体" w:cs="宋体"/>
                <w:color w:val="000000"/>
                <w:sz w:val="28"/>
                <w:szCs w:val="28"/>
                <w:highlight w:val="none"/>
              </w:rPr>
            </w:r>
            <w:r/>
          </w:p>
        </w:tc>
        <w:tc>
          <w:tcPr>
            <w:tcW w:w="947"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课程内容设置</w:t>
            </w:r>
            <w:r>
              <w:rPr>
                <w:rFonts w:hint="eastAsia" w:ascii="宋体" w:hAnsi="宋体" w:cs="宋体"/>
                <w:color w:val="000000"/>
                <w:sz w:val="28"/>
                <w:szCs w:val="28"/>
                <w:highlight w:val="none"/>
              </w:rPr>
            </w:r>
            <w:r/>
          </w:p>
        </w:tc>
        <w:tc>
          <w:tcPr>
            <w:tcW w:w="2196" w:type="dxa"/>
            <w:vAlign w:val="center"/>
            <w:textDirection w:val="lrTb"/>
            <w:noWrap w:val="false"/>
          </w:tcPr>
          <w:p>
            <w:pPr>
              <w:pStyle w:val="748"/>
              <w:numPr>
                <w:ilvl w:val="0"/>
                <w:numId w:val="16"/>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按照不同的技能课程类型，创建课程模板。</w:t>
            </w:r>
            <w:r>
              <w:rPr>
                <w:rFonts w:ascii="宋体" w:hAnsi="宋体" w:cs="宋体"/>
                <w:color w:val="000000"/>
                <w:sz w:val="28"/>
                <w:szCs w:val="28"/>
                <w:highlight w:val="none"/>
              </w:rPr>
            </w:r>
            <w:r/>
          </w:p>
          <w:p>
            <w:pPr>
              <w:pStyle w:val="748"/>
              <w:numPr>
                <w:ilvl w:val="0"/>
                <w:numId w:val="16"/>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在课程模板中维护好课程的项目内容、课程时长、讲师小组、学员容量、所需的设备、模具、耗材等每节课的相关信息。</w:t>
            </w:r>
            <w:r>
              <w:rPr>
                <w:rFonts w:ascii="宋体" w:hAnsi="宋体" w:cs="宋体"/>
                <w:color w:val="000000"/>
                <w:sz w:val="28"/>
                <w:szCs w:val="28"/>
                <w:highlight w:val="none"/>
              </w:rPr>
            </w:r>
            <w:r/>
          </w:p>
          <w:p>
            <w:pPr>
              <w:pStyle w:val="748"/>
              <w:numPr>
                <w:ilvl w:val="0"/>
                <w:numId w:val="16"/>
              </w:numP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课程模板将作为制定课程计划的基础信息，复用到每年的课程计划编制中。</w:t>
            </w:r>
            <w:r>
              <w:rPr>
                <w:rFonts w:hint="eastAsia"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讲师分组设置</w:t>
            </w:r>
            <w:r>
              <w:rPr>
                <w:rFonts w:ascii="宋体" w:hAnsi="宋体" w:cs="宋体"/>
                <w:color w:val="000000"/>
                <w:sz w:val="28"/>
                <w:szCs w:val="28"/>
                <w:highlight w:val="none"/>
              </w:rPr>
            </w:r>
            <w:r/>
          </w:p>
        </w:tc>
        <w:tc>
          <w:tcPr>
            <w:tcW w:w="2196" w:type="dxa"/>
            <w:vAlign w:val="center"/>
            <w:textDirection w:val="lrTb"/>
            <w:noWrap w:val="false"/>
          </w:tcPr>
          <w:p>
            <w:pPr>
              <w:pStyle w:val="748"/>
              <w:numPr>
                <w:ilvl w:val="0"/>
                <w:numId w:val="17"/>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结合技能中心的课程类型，建立与之对应的讲师组，分别承担各类课程。</w:t>
            </w:r>
            <w:r>
              <w:rPr>
                <w:rFonts w:ascii="宋体" w:hAnsi="宋体" w:cs="宋体"/>
                <w:color w:val="000000"/>
                <w:sz w:val="28"/>
                <w:szCs w:val="28"/>
                <w:highlight w:val="none"/>
              </w:rPr>
            </w:r>
            <w:r/>
          </w:p>
          <w:p>
            <w:pPr>
              <w:pStyle w:val="748"/>
              <w:numPr>
                <w:ilvl w:val="0"/>
                <w:numId w:val="17"/>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将讲师同他能胜任的具体课程，建立关联，以便于在编制课程计划时，利用规则安排每一节的讲师。</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学员名单设置</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18"/>
              </w:numPr>
              <w:ind w:left="116"/>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利用学员名单，批量导入学员，作为授课对象。</w:t>
            </w:r>
            <w:r>
              <w:rPr>
                <w:rFonts w:ascii="宋体" w:hAnsi="宋体" w:cs="宋体"/>
                <w:color w:val="000000"/>
                <w:sz w:val="28"/>
                <w:szCs w:val="28"/>
                <w:highlight w:val="none"/>
                <w:lang w:val="en-US" w:eastAsia="zh-CN"/>
              </w:rPr>
            </w:r>
            <w:r/>
          </w:p>
          <w:p>
            <w:pPr>
              <w:pStyle w:val="841"/>
              <w:numPr>
                <w:ilvl w:val="0"/>
                <w:numId w:val="18"/>
              </w:numPr>
              <w:ind w:left="116"/>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标识好学员的届次、专业、年制等，以便于为处在不同培训阶段的学员们，推送与之相关的学习课程。</w:t>
            </w:r>
            <w:r>
              <w:rPr>
                <w:rFonts w:ascii="宋体" w:hAnsi="宋体" w:cs="宋体"/>
                <w:color w:val="000000"/>
                <w:sz w:val="28"/>
                <w:szCs w:val="28"/>
                <w:highlight w:val="none"/>
                <w:lang w:val="en-US" w:eastAsia="zh-CN"/>
              </w:rPr>
            </w:r>
            <w:r/>
          </w:p>
          <w:p>
            <w:pPr>
              <w:pStyle w:val="841"/>
              <w:numPr>
                <w:ilvl w:val="0"/>
                <w:numId w:val="18"/>
              </w:numPr>
              <w:ind w:left="116"/>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可对学员名单中学员，进行灵活维护。</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教学内容</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1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配置技能目录，设置技能目录的课程依赖、课程依赖关系、学员签到规则、课程建立规则、讲师范围等信息。</w:t>
            </w:r>
            <w:r>
              <w:rPr>
                <w:rFonts w:ascii="宋体" w:hAnsi="宋体" w:cs="宋体"/>
                <w:color w:val="000000"/>
                <w:sz w:val="28"/>
                <w:szCs w:val="28"/>
                <w:highlight w:val="none"/>
                <w:lang w:val="en-US" w:eastAsia="zh-CN"/>
              </w:rPr>
            </w:r>
            <w:r/>
          </w:p>
          <w:p>
            <w:pPr>
              <w:pStyle w:val="841"/>
              <w:numPr>
                <w:ilvl w:val="0"/>
                <w:numId w:val="1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维护技能信息，包括技能名称、技能类型、课程类别、学时、讲师、所需设备、所需耗材，课件等相关信息。</w:t>
            </w:r>
            <w:r>
              <w:rPr>
                <w:rFonts w:ascii="宋体" w:hAnsi="宋体" w:cs="宋体"/>
                <w:color w:val="000000"/>
                <w:sz w:val="28"/>
                <w:szCs w:val="28"/>
                <w:highlight w:val="none"/>
                <w:lang w:val="en-US" w:eastAsia="zh-CN"/>
              </w:rPr>
            </w:r>
            <w:r/>
          </w:p>
          <w:p>
            <w:pPr>
              <w:pStyle w:val="841"/>
              <w:numPr>
                <w:ilvl w:val="0"/>
                <w:numId w:val="1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教学内容配置将作为制定教学计划的基础信息，可复用。</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培训室设置</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20"/>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管理员提前设置好训练项目、培训房间、操作项目、开放时间、设备等基础信息。</w:t>
            </w:r>
            <w:r>
              <w:rPr>
                <w:rFonts w:ascii="宋体" w:hAnsi="宋体" w:cs="宋体"/>
                <w:color w:val="000000"/>
                <w:sz w:val="28"/>
                <w:szCs w:val="28"/>
                <w:highlight w:val="none"/>
                <w:lang w:val="en-US" w:eastAsia="zh-CN"/>
              </w:rPr>
            </w:r>
            <w:r/>
          </w:p>
          <w:p>
            <w:pPr>
              <w:pStyle w:val="841"/>
              <w:numPr>
                <w:ilvl w:val="0"/>
                <w:numId w:val="20"/>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支持配置审核、签到、签退、预约，设置可预约人员范围、可预约人员总数、签到签退时间。</w:t>
            </w:r>
            <w:r>
              <w:rPr>
                <w:rFonts w:ascii="宋体" w:hAnsi="宋体" w:cs="宋体"/>
                <w:color w:val="000000"/>
                <w:sz w:val="28"/>
                <w:szCs w:val="28"/>
                <w:highlight w:val="none"/>
                <w:lang w:val="en-US" w:eastAsia="zh-CN"/>
              </w:rPr>
            </w:r>
            <w:r/>
          </w:p>
          <w:p>
            <w:pPr>
              <w:pStyle w:val="841"/>
              <w:numPr>
                <w:ilvl w:val="0"/>
                <w:numId w:val="20"/>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一个学员可以报名相同训练项目下的多个时间段，如果开启了审核，则需要管理审核通过后生成到课程名单中。</w:t>
            </w:r>
            <w:r>
              <w:rPr>
                <w:rFonts w:ascii="宋体" w:hAnsi="宋体" w:cs="宋体"/>
                <w:color w:val="000000"/>
                <w:sz w:val="28"/>
                <w:szCs w:val="28"/>
                <w:highlight w:val="none"/>
                <w:lang w:val="en-US" w:eastAsia="zh-CN"/>
              </w:rPr>
            </w:r>
            <w:r/>
          </w:p>
          <w:p>
            <w:pPr>
              <w:pStyle w:val="841"/>
              <w:numPr>
                <w:ilvl w:val="0"/>
                <w:numId w:val="20"/>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支持查看每个时间段内的报名情况和签到签退情况。</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▲培训计划</w:t>
            </w:r>
            <w:r>
              <w:rPr>
                <w:rFonts w:hint="eastAsia" w:ascii="宋体" w:hAnsi="宋体" w:cs="宋体"/>
                <w:bCs/>
                <w:color w:val="000000"/>
                <w:sz w:val="28"/>
                <w:szCs w:val="28"/>
                <w:highlight w:val="none"/>
              </w:rPr>
              <w:t xml:space="preserve">（提供功能截图证明）</w:t>
            </w:r>
            <w:r>
              <w:rPr>
                <w:rFonts w:ascii="宋体" w:hAnsi="宋体" w:cs="宋体"/>
                <w:color w:val="000000"/>
                <w:sz w:val="28"/>
                <w:szCs w:val="28"/>
                <w:highlight w:val="none"/>
              </w:rPr>
            </w:r>
            <w:r/>
          </w:p>
        </w:tc>
        <w:tc>
          <w:tcPr>
            <w:tcW w:w="2196" w:type="dxa"/>
            <w:vAlign w:val="center"/>
            <w:textDirection w:val="lrTb"/>
            <w:noWrap w:val="false"/>
          </w:tcPr>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（1）课程基础信息：可填写课程名称、选择课程类型、选择课程用途、在预设的技能操作列表中选择课程对应的操作，选择培训对象类型。</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（2）讲师设置：</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支持开启讲师报名，指定可报名的讲师范围，设置报名人数限制，报名开始和结束时间。</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支持指定课程讲师。</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支持开启讲师签到、签退。</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（3）授课对象设置：</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可设置开启授课对象报名，支持指定可报名的授课对象范围，授课对象分为学员和师资人员两类。设置报名人数限制，报名开始和结束时间。</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支持指定授课对象。</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可开启授课对象签到、签退。可开启是否允许名单外的人员签到。</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（4）评价设置：支持设置是否开启课后评价功能，支持按不同评价项目独立设置使用不同的评分表。</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（5）考核设置：支持设置是否开启课后考核功能，支持按课程教学内容设置考核评分表，然后设置考官角色供打分使用。</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（6）课程分类：课程类型可分为普通课程和系列课程。</w:t>
            </w:r>
            <w:r>
              <w:rPr>
                <w:rFonts w:hint="eastAsia"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课程表管理</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21"/>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管理员对课程计划的预约进程，进行跟踪。</w:t>
            </w:r>
            <w:r>
              <w:rPr>
                <w:rFonts w:ascii="宋体" w:hAnsi="宋体" w:cs="宋体"/>
                <w:color w:val="000000"/>
                <w:sz w:val="28"/>
                <w:szCs w:val="28"/>
                <w:highlight w:val="none"/>
                <w:lang w:val="en-US" w:eastAsia="zh-CN"/>
              </w:rPr>
            </w:r>
            <w:r/>
          </w:p>
          <w:p>
            <w:pPr>
              <w:pStyle w:val="841"/>
              <w:numPr>
                <w:ilvl w:val="0"/>
                <w:numId w:val="21"/>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当课程计划的预约完成率到达100%时，即可对该课程计划，创建并发布课程表。</w:t>
            </w:r>
            <w:r>
              <w:rPr>
                <w:rFonts w:ascii="宋体" w:hAnsi="宋体" w:cs="宋体"/>
                <w:color w:val="000000"/>
                <w:sz w:val="28"/>
                <w:szCs w:val="28"/>
                <w:highlight w:val="none"/>
                <w:lang w:val="en-US" w:eastAsia="zh-CN"/>
              </w:rPr>
            </w:r>
            <w:r/>
          </w:p>
          <w:p>
            <w:pPr>
              <w:pStyle w:val="841"/>
              <w:numPr>
                <w:ilvl w:val="0"/>
                <w:numId w:val="21"/>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课程表发布后，向课程所涉及到的诸位讲师、学员，发送课程通知公告。</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个人课程查询</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22"/>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查看和自己相关的课程计划。</w:t>
            </w:r>
            <w:r>
              <w:rPr>
                <w:rFonts w:ascii="宋体" w:hAnsi="宋体" w:cs="宋体"/>
                <w:color w:val="000000"/>
                <w:sz w:val="28"/>
                <w:szCs w:val="28"/>
                <w:highlight w:val="none"/>
                <w:lang w:val="en-US" w:eastAsia="zh-CN"/>
              </w:rPr>
            </w:r>
            <w:r/>
          </w:p>
          <w:p>
            <w:pPr>
              <w:pStyle w:val="841"/>
              <w:numPr>
                <w:ilvl w:val="0"/>
                <w:numId w:val="22"/>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在课程计划中，可以进而完成查看详细，课程预约等对课程计划的个人操作。</w:t>
            </w:r>
            <w:r>
              <w:rPr>
                <w:rFonts w:ascii="宋体" w:hAnsi="宋体" w:cs="宋体"/>
                <w:color w:val="000000"/>
                <w:sz w:val="28"/>
                <w:szCs w:val="28"/>
                <w:highlight w:val="none"/>
                <w:lang w:val="en-US" w:eastAsia="zh-CN"/>
              </w:rPr>
            </w:r>
            <w:r/>
          </w:p>
          <w:p>
            <w:pPr>
              <w:pStyle w:val="841"/>
              <w:numPr>
                <w:ilvl w:val="0"/>
                <w:numId w:val="22"/>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可分别对正在进行的课程，和已经完成的课程，进行课程表查阅。</w:t>
            </w:r>
            <w:r>
              <w:rPr>
                <w:rFonts w:ascii="宋体" w:hAnsi="宋体" w:cs="宋体"/>
                <w:color w:val="000000"/>
                <w:sz w:val="28"/>
                <w:szCs w:val="28"/>
                <w:highlight w:val="none"/>
                <w:lang w:val="en-US" w:eastAsia="zh-CN"/>
              </w:rPr>
            </w:r>
            <w:r/>
          </w:p>
          <w:p>
            <w:pPr>
              <w:pStyle w:val="841"/>
              <w:numPr>
                <w:ilvl w:val="0"/>
                <w:numId w:val="22"/>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并结合课程的进展，可以获取课程的课件，以及申请该节课的调课申请。</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课程预约</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23"/>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对技能中心发布的培训课程计划，进行预约。</w:t>
            </w:r>
            <w:r>
              <w:rPr>
                <w:rFonts w:ascii="宋体" w:hAnsi="宋体" w:cs="宋体"/>
                <w:color w:val="000000"/>
                <w:sz w:val="28"/>
                <w:szCs w:val="28"/>
                <w:highlight w:val="none"/>
                <w:lang w:val="en-US" w:eastAsia="zh-CN"/>
              </w:rPr>
            </w:r>
            <w:r/>
          </w:p>
          <w:p>
            <w:pPr>
              <w:pStyle w:val="841"/>
              <w:numPr>
                <w:ilvl w:val="0"/>
                <w:numId w:val="23"/>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课程预约，采取“先到先得”的方式。预约已满时，只能选择本节课的其他场次再次预约。</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自主预约</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24"/>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学员可以进行个人或多人练习的预约，提交申请后由实训中心管理员进行审核，审核通过需要分配练习所使用的教室。</w:t>
            </w:r>
            <w:r>
              <w:rPr>
                <w:rFonts w:ascii="宋体" w:hAnsi="宋体" w:cs="宋体"/>
                <w:color w:val="000000"/>
                <w:sz w:val="28"/>
                <w:szCs w:val="28"/>
                <w:highlight w:val="none"/>
                <w:lang w:val="en-US" w:eastAsia="zh-CN"/>
              </w:rPr>
            </w:r>
            <w:r/>
          </w:p>
          <w:p>
            <w:pPr>
              <w:pStyle w:val="841"/>
              <w:numPr>
                <w:ilvl w:val="0"/>
                <w:numId w:val="24"/>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讲师可以针对培训或考核进行预约，提交申请后同样由实训中心管理员审核，审核通过需要分配所使用的教室。</w:t>
            </w:r>
            <w:r>
              <w:rPr>
                <w:rFonts w:ascii="宋体" w:hAnsi="宋体" w:cs="宋体"/>
                <w:color w:val="000000"/>
                <w:sz w:val="28"/>
                <w:szCs w:val="28"/>
                <w:highlight w:val="none"/>
                <w:lang w:val="en-US" w:eastAsia="zh-CN"/>
              </w:rPr>
            </w:r>
            <w:r/>
          </w:p>
          <w:p>
            <w:pPr>
              <w:pStyle w:val="841"/>
              <w:numPr>
                <w:ilvl w:val="0"/>
                <w:numId w:val="24"/>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提交审核将以移动端消息形式通知实训中心管理员审核。</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练习预约</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25"/>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学员如果在培训室设置的报名范围内，可以选择对应的练习项目、培训室、开放时间进行预约</w:t>
            </w:r>
            <w:r>
              <w:rPr>
                <w:rFonts w:ascii="宋体" w:hAnsi="宋体" w:cs="宋体"/>
                <w:color w:val="000000"/>
                <w:sz w:val="28"/>
                <w:szCs w:val="28"/>
                <w:highlight w:val="none"/>
                <w:lang w:val="en-US" w:eastAsia="zh-CN"/>
              </w:rPr>
            </w:r>
            <w:r/>
          </w:p>
          <w:p>
            <w:pPr>
              <w:pStyle w:val="841"/>
              <w:numPr>
                <w:ilvl w:val="0"/>
                <w:numId w:val="25"/>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如果培训室中设置了审核，则需要管理审核通过后才可以到预约的培训室进行练习，如果培训室中没有设置审核，则按照名额限制，先抢先得。</w:t>
            </w:r>
            <w:r>
              <w:rPr>
                <w:rFonts w:ascii="宋体" w:hAnsi="宋体" w:cs="宋体"/>
                <w:color w:val="000000"/>
                <w:sz w:val="28"/>
                <w:szCs w:val="28"/>
                <w:highlight w:val="none"/>
                <w:lang w:val="en-US" w:eastAsia="zh-CN"/>
              </w:rPr>
            </w:r>
            <w:r/>
          </w:p>
          <w:p>
            <w:pPr>
              <w:pStyle w:val="841"/>
              <w:numPr>
                <w:ilvl w:val="0"/>
                <w:numId w:val="25"/>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预约成功后会在我的课程中看到预约的练习预约课程信息，在预约时间开始前半个小时会收到课程到时提醒的通知</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课程记录</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课前准备</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26"/>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课程通知:根据系统预设的时间节点，向讲师和学员推送课程通知。</w:t>
            </w:r>
            <w:r>
              <w:rPr>
                <w:rFonts w:ascii="宋体" w:hAnsi="宋体" w:cs="宋体"/>
                <w:color w:val="000000"/>
                <w:sz w:val="28"/>
                <w:szCs w:val="28"/>
                <w:highlight w:val="none"/>
                <w:lang w:val="en-US" w:eastAsia="zh-CN"/>
              </w:rPr>
            </w:r>
            <w:r/>
          </w:p>
          <w:p>
            <w:pPr>
              <w:pStyle w:val="841"/>
              <w:numPr>
                <w:ilvl w:val="0"/>
                <w:numId w:val="26"/>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资料上传:在授课前，讲师将课程所需的课件等材料，上传到课程附件。可选择是否对学员开放查看或下载权限。学员可提前查看或下载。</w:t>
            </w:r>
            <w:r>
              <w:rPr>
                <w:rFonts w:ascii="宋体" w:hAnsi="宋体" w:cs="宋体"/>
                <w:color w:val="000000"/>
                <w:sz w:val="28"/>
                <w:szCs w:val="28"/>
                <w:highlight w:val="none"/>
                <w:lang w:val="en-US" w:eastAsia="zh-CN"/>
              </w:rPr>
            </w:r>
            <w:r/>
          </w:p>
          <w:p>
            <w:pPr>
              <w:pStyle w:val="841"/>
              <w:numPr>
                <w:ilvl w:val="0"/>
                <w:numId w:val="26"/>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所需器材:除了本节课标配的所需设备、模具、耗材之外，如果需要其他器械，讲师可以填写，并推送管理员准备。可建立课程模板标配器械清单。</w:t>
            </w:r>
            <w:r>
              <w:rPr>
                <w:rFonts w:ascii="宋体" w:hAnsi="宋体" w:cs="宋体"/>
                <w:color w:val="000000"/>
                <w:sz w:val="28"/>
                <w:szCs w:val="28"/>
                <w:highlight w:val="none"/>
                <w:lang w:val="en-US" w:eastAsia="zh-CN"/>
              </w:rPr>
            </w:r>
            <w:r/>
          </w:p>
          <w:p>
            <w:pPr>
              <w:pStyle w:val="841"/>
              <w:numPr>
                <w:ilvl w:val="0"/>
                <w:numId w:val="26"/>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用品发放:管理员根据讲师在课前所申请配备的器材，进行课前准备。</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上课签到</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27"/>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上课时，讲师端给出本节课的二维码。学员通过手机扫码，完成上课签到。</w:t>
            </w:r>
            <w:r>
              <w:rPr>
                <w:rFonts w:ascii="宋体" w:hAnsi="宋体" w:cs="宋体"/>
                <w:color w:val="000000"/>
                <w:sz w:val="28"/>
                <w:szCs w:val="28"/>
                <w:highlight w:val="none"/>
                <w:lang w:val="en-US" w:eastAsia="zh-CN"/>
              </w:rPr>
            </w:r>
            <w:r/>
          </w:p>
          <w:p>
            <w:pPr>
              <w:pStyle w:val="841"/>
              <w:numPr>
                <w:ilvl w:val="0"/>
                <w:numId w:val="27"/>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管理员可通过系统查询签到记录。</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课后汇总</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管理员可对课程进行中的各个环节，进行信息汇总。包括：临时调整讲师，用品发放清单，签到统计，授课现场照片等。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课时统计</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对讲师的授课课时，进行汇总统计，有效核算讲师工作量。</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课程评价</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学员评课</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学员在课程结束后可通过系统填写评价表对讲师和课程进行评价。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讲师评价</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讲师可通过系统填写评价表对中心管理员的课程安排、课前保障情况，进行评价。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评价汇总</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汇总学员和讲师的评价结果，可根据各种条件筛选查询，可对每一个评分小项进行汇总统计。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人员管理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人员档案</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28"/>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人员信息可以和教学平台师资信息互通。</w:t>
            </w:r>
            <w:r>
              <w:rPr>
                <w:rFonts w:ascii="宋体" w:hAnsi="宋体" w:cs="宋体"/>
                <w:color w:val="000000"/>
                <w:sz w:val="28"/>
                <w:szCs w:val="28"/>
                <w:highlight w:val="none"/>
                <w:lang w:val="en-US" w:eastAsia="zh-CN"/>
              </w:rPr>
            </w:r>
            <w:r/>
          </w:p>
          <w:p>
            <w:pPr>
              <w:pStyle w:val="841"/>
              <w:numPr>
                <w:ilvl w:val="0"/>
                <w:numId w:val="28"/>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管理人员可以新增或导入人员信息。</w:t>
            </w:r>
            <w:r>
              <w:rPr>
                <w:rFonts w:ascii="宋体" w:hAnsi="宋体" w:cs="宋体"/>
                <w:color w:val="000000"/>
                <w:sz w:val="28"/>
                <w:szCs w:val="28"/>
                <w:highlight w:val="none"/>
                <w:lang w:val="en-US" w:eastAsia="zh-CN"/>
              </w:rPr>
            </w:r>
            <w:r/>
          </w:p>
          <w:p>
            <w:pPr>
              <w:pStyle w:val="841"/>
              <w:numPr>
                <w:ilvl w:val="0"/>
                <w:numId w:val="28"/>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医院管理人员可以自定义人员档案标签及标签内字段名称、类型等，也可以根据档案信息自定义查询条件。</w:t>
            </w:r>
            <w:r>
              <w:rPr>
                <w:rFonts w:ascii="宋体" w:hAnsi="宋体" w:cs="宋体"/>
                <w:color w:val="000000"/>
                <w:sz w:val="28"/>
                <w:szCs w:val="28"/>
                <w:highlight w:val="none"/>
                <w:lang w:val="en-US" w:eastAsia="zh-CN"/>
              </w:rPr>
            </w:r>
            <w:r/>
          </w:p>
          <w:p>
            <w:pPr>
              <w:pStyle w:val="841"/>
              <w:numPr>
                <w:ilvl w:val="0"/>
                <w:numId w:val="28"/>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管理员可以自定义在查询页面中档案显示内容。</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学员档案</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2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学员信息可以和教学平台学员信息互通。</w:t>
            </w:r>
            <w:r>
              <w:rPr>
                <w:rFonts w:ascii="宋体" w:hAnsi="宋体" w:cs="宋体"/>
                <w:color w:val="000000"/>
                <w:sz w:val="28"/>
                <w:szCs w:val="28"/>
                <w:highlight w:val="none"/>
                <w:lang w:val="en-US" w:eastAsia="zh-CN"/>
              </w:rPr>
            </w:r>
            <w:r/>
          </w:p>
          <w:p>
            <w:pPr>
              <w:pStyle w:val="841"/>
              <w:numPr>
                <w:ilvl w:val="0"/>
                <w:numId w:val="2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管理人员可以新增或导入学员信息。</w:t>
            </w:r>
            <w:r>
              <w:rPr>
                <w:rFonts w:ascii="宋体" w:hAnsi="宋体" w:cs="宋体"/>
                <w:color w:val="000000"/>
                <w:sz w:val="28"/>
                <w:szCs w:val="28"/>
                <w:highlight w:val="none"/>
                <w:lang w:val="en-US" w:eastAsia="zh-CN"/>
              </w:rPr>
            </w:r>
            <w:r/>
          </w:p>
          <w:p>
            <w:pPr>
              <w:pStyle w:val="841"/>
              <w:numPr>
                <w:ilvl w:val="0"/>
                <w:numId w:val="2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医院管理人员可以自定义学员档案标签及标签内字段名称、类型等，也可以根据档案信息自定义查询条件。</w:t>
            </w:r>
            <w:r>
              <w:rPr>
                <w:rFonts w:ascii="宋体" w:hAnsi="宋体" w:cs="宋体"/>
                <w:color w:val="000000"/>
                <w:sz w:val="28"/>
                <w:szCs w:val="28"/>
                <w:highlight w:val="none"/>
                <w:lang w:val="en-US" w:eastAsia="zh-CN"/>
              </w:rPr>
            </w:r>
            <w:r/>
          </w:p>
          <w:p>
            <w:pPr>
              <w:pStyle w:val="841"/>
              <w:numPr>
                <w:ilvl w:val="0"/>
                <w:numId w:val="2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管理员可以自定义在查询页面中档案显示内容。</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▲档案自定义</w:t>
            </w:r>
            <w:r>
              <w:rPr>
                <w:rFonts w:hint="eastAsia" w:ascii="宋体" w:hAnsi="宋体" w:cs="宋体"/>
                <w:bCs/>
                <w:color w:val="000000"/>
                <w:sz w:val="28"/>
                <w:szCs w:val="28"/>
                <w:highlight w:val="none"/>
              </w:rPr>
              <w:t xml:space="preserve">（提供功能截图证明）</w:t>
            </w:r>
            <w:r>
              <w:rPr>
                <w:rFonts w:hint="eastAsia" w:ascii="宋体" w:hAnsi="宋体" w:cs="宋体"/>
                <w:color w:val="000000"/>
                <w:sz w:val="28"/>
                <w:szCs w:val="28"/>
                <w:highlight w:val="none"/>
              </w:rPr>
            </w:r>
            <w:r/>
          </w:p>
        </w:tc>
        <w:tc>
          <w:tcPr>
            <w:tcW w:w="2196" w:type="dxa"/>
            <w:vAlign w:val="center"/>
            <w:textDirection w:val="lrTb"/>
            <w:noWrap w:val="false"/>
          </w:tcPr>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（1）可自定义档案表头字段的内容，支持以下操作：</w:t>
            </w:r>
            <w:r>
              <w:rPr>
                <w:rFonts w:hint="eastAsia" w:ascii="宋体" w:hAnsi="宋体" w:cs="宋体"/>
                <w:color w:val="000000"/>
                <w:sz w:val="28"/>
                <w:szCs w:val="28"/>
                <w:highlight w:val="none"/>
                <w:lang w:val="en-US" w:eastAsia="zh-CN"/>
              </w:rPr>
            </w:r>
            <w:r/>
          </w:p>
          <w:p>
            <w:pPr>
              <w:pStyle w:val="841"/>
              <w:ind w:left="257"/>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1）新增、删除、编辑表头字段。</w:t>
            </w:r>
            <w:r>
              <w:rPr>
                <w:rFonts w:hint="eastAsia" w:ascii="宋体" w:hAnsi="宋体" w:cs="宋体"/>
                <w:color w:val="000000"/>
                <w:sz w:val="28"/>
                <w:szCs w:val="28"/>
                <w:highlight w:val="none"/>
                <w:lang w:val="en-US" w:eastAsia="zh-CN"/>
              </w:rPr>
            </w:r>
            <w:r/>
          </w:p>
          <w:p>
            <w:pPr>
              <w:pStyle w:val="841"/>
              <w:ind w:left="257"/>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2）可设置各个字段是否在档案中显示。</w:t>
            </w:r>
            <w:r>
              <w:rPr>
                <w:rFonts w:hint="eastAsia" w:ascii="宋体" w:hAnsi="宋体" w:cs="宋体"/>
                <w:color w:val="000000"/>
                <w:sz w:val="28"/>
                <w:szCs w:val="28"/>
                <w:highlight w:val="none"/>
                <w:lang w:val="en-US" w:eastAsia="zh-CN"/>
              </w:rPr>
            </w:r>
            <w:r/>
          </w:p>
          <w:p>
            <w:pPr>
              <w:pStyle w:val="841"/>
              <w:ind w:left="257"/>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3）调整表头字段在档案列表中的排列顺序。</w:t>
            </w:r>
            <w:r>
              <w:rPr>
                <w:rFonts w:hint="eastAsia" w:ascii="宋体" w:hAnsi="宋体" w:cs="宋体"/>
                <w:color w:val="000000"/>
                <w:sz w:val="28"/>
                <w:szCs w:val="28"/>
                <w:highlight w:val="none"/>
                <w:lang w:val="en-US" w:eastAsia="zh-CN"/>
              </w:rPr>
            </w:r>
            <w:r/>
          </w:p>
          <w:p>
            <w:pPr>
              <w:pStyle w:val="841"/>
              <w:ind w:left="257"/>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4）可新建档案表头字段分组，在分组下新增、删除、编辑表头字段。多个分组支持排序。</w:t>
            </w:r>
            <w:r>
              <w:rPr>
                <w:rFonts w:hint="eastAsia" w:ascii="宋体" w:hAnsi="宋体" w:cs="宋体"/>
                <w:color w:val="000000"/>
                <w:sz w:val="28"/>
                <w:szCs w:val="28"/>
                <w:highlight w:val="none"/>
                <w:lang w:val="en-US" w:eastAsia="zh-CN"/>
              </w:rPr>
            </w:r>
            <w:r/>
          </w:p>
          <w:p>
            <w:pPr>
              <w:pStyle w:val="841"/>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（2）表头字段设置完成后，可即时在人员档案中显示调整后的档案表。</w:t>
            </w:r>
            <w:r>
              <w:rPr>
                <w:rFonts w:hint="eastAsia"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设备和模具管理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设备目录管理</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通过手动或导入形式对设备目录及设备清单进行维护。</w:t>
            </w:r>
            <w:r>
              <w:rPr>
                <w:rFonts w:ascii="宋体" w:hAnsi="宋体" w:cs="宋体"/>
                <w:color w:val="000000"/>
                <w:sz w:val="28"/>
                <w:szCs w:val="28"/>
                <w:highlight w:val="none"/>
                <w:lang w:val="en-US" w:eastAsia="zh-CN"/>
              </w:rPr>
            </w:r>
            <w:r/>
          </w:p>
          <w:p>
            <w:pPr>
              <w:pStyle w:val="841"/>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设备目录：对当前在用的设备和模具，进行分类管理。对每类设备的适用课程、当前库存、预警数量等信息，进行跟踪管理。可进入每类设备的明细清单，查看该类中每一个设备的详情和使用位置。通过扫码定位，实现对某一个在用设备的维修和报废。</w:t>
            </w:r>
            <w:r>
              <w:rPr>
                <w:rFonts w:ascii="宋体" w:hAnsi="宋体" w:cs="宋体"/>
                <w:color w:val="000000"/>
                <w:sz w:val="28"/>
                <w:szCs w:val="28"/>
                <w:highlight w:val="none"/>
                <w:lang w:val="en-US" w:eastAsia="zh-CN"/>
              </w:rPr>
            </w:r>
            <w:r/>
          </w:p>
          <w:p>
            <w:pPr>
              <w:pStyle w:val="841"/>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维修中的设备：对已经在维修中的设备和模具，进行维修过程的跟踪管理。对完成维修，返回可用的设备，进行“修复”操作，重新投入使用。</w:t>
            </w:r>
            <w:r>
              <w:rPr>
                <w:rFonts w:ascii="宋体" w:hAnsi="宋体" w:cs="宋体"/>
                <w:color w:val="000000"/>
                <w:sz w:val="28"/>
                <w:szCs w:val="28"/>
                <w:highlight w:val="none"/>
                <w:lang w:val="en-US" w:eastAsia="zh-CN"/>
              </w:rPr>
            </w:r>
            <w:r/>
          </w:p>
          <w:p>
            <w:pPr>
              <w:pStyle w:val="841"/>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报废设备查询：对已经报废的设备和模具，进行登记并提供查询。</w:t>
            </w:r>
            <w:r>
              <w:rPr>
                <w:rFonts w:ascii="宋体" w:hAnsi="宋体" w:cs="宋体"/>
                <w:color w:val="000000"/>
                <w:sz w:val="28"/>
                <w:szCs w:val="28"/>
                <w:highlight w:val="none"/>
                <w:lang w:val="en-US" w:eastAsia="zh-CN"/>
              </w:rPr>
            </w:r>
            <w:r/>
          </w:p>
          <w:p>
            <w:pPr>
              <w:pStyle w:val="841"/>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借出设备查询：对借出的设备进行查询，回收等操作。</w:t>
            </w:r>
            <w:r>
              <w:rPr>
                <w:rFonts w:ascii="宋体" w:hAnsi="宋体" w:cs="宋体"/>
                <w:color w:val="000000"/>
                <w:sz w:val="28"/>
                <w:szCs w:val="28"/>
                <w:highlight w:val="none"/>
                <w:lang w:val="en-US" w:eastAsia="zh-CN"/>
              </w:rPr>
            </w:r>
            <w:r/>
          </w:p>
          <w:p>
            <w:pPr>
              <w:pStyle w:val="841"/>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转移设备：对已经转移走的设备进行管理，查询等操作。</w:t>
            </w:r>
            <w:r>
              <w:rPr>
                <w:rFonts w:ascii="宋体" w:hAnsi="宋体" w:cs="宋体"/>
                <w:color w:val="000000"/>
                <w:sz w:val="28"/>
                <w:szCs w:val="28"/>
                <w:highlight w:val="none"/>
                <w:lang w:val="en-US" w:eastAsia="zh-CN"/>
              </w:rPr>
            </w:r>
            <w:r/>
          </w:p>
          <w:p>
            <w:pPr>
              <w:pStyle w:val="841"/>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可以查看设备使用日志。</w:t>
            </w:r>
            <w:r>
              <w:rPr>
                <w:rFonts w:ascii="宋体" w:hAnsi="宋体" w:cs="宋体"/>
                <w:color w:val="000000"/>
                <w:sz w:val="28"/>
                <w:szCs w:val="28"/>
                <w:highlight w:val="none"/>
                <w:lang w:val="en-US" w:eastAsia="zh-CN"/>
              </w:rPr>
            </w:r>
            <w:r/>
          </w:p>
          <w:p>
            <w:pPr>
              <w:pStyle w:val="841"/>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对课程占用的设备，系统提供自动回收功能。</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耗材管理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耗材目录</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通过批量创建或excel导入方式，按照耗材的不同类型，建立耗材目录，记录每种类型耗材的数量。</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库存管理</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31"/>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利用耗材类别，建立耗材树，对耗材进行按照层级化的库存管理。</w:t>
            </w:r>
            <w:r>
              <w:rPr>
                <w:rFonts w:ascii="宋体" w:hAnsi="宋体" w:cs="宋体"/>
                <w:color w:val="000000"/>
                <w:sz w:val="28"/>
                <w:szCs w:val="28"/>
                <w:highlight w:val="none"/>
                <w:lang w:val="en-US" w:eastAsia="zh-CN"/>
              </w:rPr>
            </w:r>
            <w:r/>
          </w:p>
          <w:p>
            <w:pPr>
              <w:pStyle w:val="841"/>
              <w:numPr>
                <w:ilvl w:val="0"/>
                <w:numId w:val="31"/>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对耗材的库存补充时，利用入库操作，记录入库耗材的数量。</w:t>
            </w:r>
            <w:r>
              <w:rPr>
                <w:rFonts w:ascii="宋体" w:hAnsi="宋体" w:cs="宋体"/>
                <w:color w:val="000000"/>
                <w:sz w:val="28"/>
                <w:szCs w:val="28"/>
                <w:highlight w:val="none"/>
                <w:lang w:val="en-US" w:eastAsia="zh-CN"/>
              </w:rPr>
            </w:r>
            <w:r/>
          </w:p>
          <w:p>
            <w:pPr>
              <w:pStyle w:val="841"/>
              <w:numPr>
                <w:ilvl w:val="0"/>
                <w:numId w:val="31"/>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随课程的使用，记录耗材使用量，并自动跟新耗材库存。</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出/入库查询</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32"/>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对随教学课程使用的耗材出库、入库，进行查询。</w:t>
            </w:r>
            <w:r>
              <w:rPr>
                <w:rFonts w:ascii="宋体" w:hAnsi="宋体" w:cs="宋体"/>
                <w:color w:val="000000"/>
                <w:sz w:val="28"/>
                <w:szCs w:val="28"/>
                <w:highlight w:val="none"/>
                <w:lang w:val="en-US" w:eastAsia="zh-CN"/>
              </w:rPr>
            </w:r>
            <w:r/>
          </w:p>
          <w:p>
            <w:pPr>
              <w:pStyle w:val="841"/>
              <w:numPr>
                <w:ilvl w:val="0"/>
                <w:numId w:val="32"/>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可通过出库记录跟踪使用情况，并关联到使用本批次耗材的教学课程。</w:t>
            </w:r>
            <w:r>
              <w:rPr>
                <w:rFonts w:ascii="宋体" w:hAnsi="宋体" w:cs="宋体"/>
                <w:color w:val="000000"/>
                <w:sz w:val="28"/>
                <w:szCs w:val="28"/>
                <w:highlight w:val="none"/>
                <w:lang w:val="en-US" w:eastAsia="zh-CN"/>
              </w:rPr>
            </w:r>
            <w:r/>
          </w:p>
          <w:p>
            <w:pPr>
              <w:pStyle w:val="841"/>
              <w:numPr>
                <w:ilvl w:val="0"/>
                <w:numId w:val="32"/>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使用完成后，在这里进行耗材回收操作。</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库存盘点</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33"/>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经过定期盘点，将耗材的实际库存数量，录入到系统中。</w:t>
            </w:r>
            <w:r>
              <w:rPr>
                <w:rFonts w:ascii="宋体" w:hAnsi="宋体" w:cs="宋体"/>
                <w:color w:val="000000"/>
                <w:sz w:val="28"/>
                <w:szCs w:val="28"/>
                <w:highlight w:val="none"/>
                <w:lang w:val="en-US" w:eastAsia="zh-CN"/>
              </w:rPr>
            </w:r>
            <w:r/>
          </w:p>
          <w:p>
            <w:pPr>
              <w:pStyle w:val="841"/>
              <w:numPr>
                <w:ilvl w:val="0"/>
                <w:numId w:val="33"/>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利用实际盘点数量和库存数量的差异，统计盘盈和盘亏数据。</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教室管理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教室目录</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建立教室和房间目录，标注好用途、配备、容量、位置、内置的设备模具等基本信息，供不同的教学安排使用。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预约情况</w:t>
            </w:r>
            <w:r>
              <w:rPr>
                <w:rFonts w:hint="eastAsia"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以日历视图-日视图形式展示教室的预约情况，在展示视图中可以清晰的看到教室占用的时间及相关用途。</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统计分析</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实训课程报表</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34"/>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课程类别统计：针对选修、必修进行统计，统计出每一种技能类型的数量。</w:t>
            </w:r>
            <w:r>
              <w:rPr>
                <w:rFonts w:ascii="宋体" w:hAnsi="宋体" w:cs="宋体"/>
                <w:color w:val="000000"/>
                <w:sz w:val="28"/>
                <w:szCs w:val="28"/>
                <w:highlight w:val="none"/>
                <w:lang w:val="en-US" w:eastAsia="zh-CN"/>
              </w:rPr>
            </w:r>
            <w:r/>
          </w:p>
          <w:p>
            <w:pPr>
              <w:pStyle w:val="841"/>
              <w:numPr>
                <w:ilvl w:val="0"/>
                <w:numId w:val="34"/>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课程参加情况统计：统计所有课程的应参加人数、签到人数和未签到人数，展示附件上传情况。</w:t>
            </w:r>
            <w:r>
              <w:rPr>
                <w:rFonts w:ascii="宋体" w:hAnsi="宋体" w:cs="宋体"/>
                <w:color w:val="000000"/>
                <w:sz w:val="28"/>
                <w:szCs w:val="28"/>
                <w:highlight w:val="none"/>
                <w:lang w:val="en-US" w:eastAsia="zh-CN"/>
              </w:rPr>
            </w:r>
            <w:r/>
          </w:p>
          <w:p>
            <w:pPr>
              <w:pStyle w:val="841"/>
              <w:numPr>
                <w:ilvl w:val="0"/>
                <w:numId w:val="34"/>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讲师上课数量统计：统计所有实训师资的各种技能类型的上课数量。</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实训考核报表</w:t>
            </w:r>
            <w:r>
              <w:rPr>
                <w:rFonts w:ascii="宋体" w:hAnsi="宋体" w:cs="宋体"/>
                <w:color w:val="000000"/>
                <w:sz w:val="28"/>
                <w:szCs w:val="28"/>
                <w:highlight w:val="none"/>
              </w:rPr>
            </w:r>
            <w:r/>
          </w:p>
        </w:tc>
        <w:tc>
          <w:tcPr>
            <w:tcW w:w="2196" w:type="dxa"/>
            <w:vAlign w:val="center"/>
            <w:textDirection w:val="lrTb"/>
            <w:noWrap w:val="false"/>
          </w:tcPr>
          <w:p>
            <w:pPr>
              <w:pStyle w:val="841"/>
              <w:numPr>
                <w:ilvl w:val="0"/>
                <w:numId w:val="35"/>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课程考核情况统计：按照每期课程进行统计，统计每期课程应考核、已完成及未完成考核的人数，并计算考核进度。</w:t>
            </w:r>
            <w:r>
              <w:rPr>
                <w:rFonts w:ascii="宋体" w:hAnsi="宋体" w:cs="宋体"/>
                <w:color w:val="000000"/>
                <w:sz w:val="28"/>
                <w:szCs w:val="28"/>
                <w:highlight w:val="none"/>
                <w:lang w:val="en-US" w:eastAsia="zh-CN"/>
              </w:rPr>
            </w:r>
            <w:r/>
          </w:p>
          <w:p>
            <w:pPr>
              <w:pStyle w:val="841"/>
              <w:numPr>
                <w:ilvl w:val="0"/>
                <w:numId w:val="35"/>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参与人员考核明细：统计指定时间段内所有参与考核人员的考核明细，显示各项考核项目考核分数，并可以点击查看考核详情。</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参与情况报表</w:t>
            </w:r>
            <w:r>
              <w:rPr>
                <w:rFonts w:ascii="宋体" w:hAnsi="宋体" w:cs="宋体"/>
                <w:color w:val="000000"/>
                <w:sz w:val="28"/>
                <w:szCs w:val="28"/>
                <w:highlight w:val="none"/>
              </w:rPr>
            </w:r>
            <w:r/>
          </w:p>
        </w:tc>
        <w:tc>
          <w:tcPr>
            <w:tcW w:w="2196" w:type="dxa"/>
            <w:vAlign w:val="center"/>
            <w:textDirection w:val="lrTb"/>
            <w:noWrap w:val="false"/>
          </w:tcPr>
          <w:p>
            <w:pPr>
              <w:pStyle w:val="841"/>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（1）参与情况汇总：以参培人员为统计对象，统计该人实际参加课程数，应参加课程数、参与率和总学时数等信息。通过点击相应统计项数字可以查看该数字对应的课程详情。</w:t>
            </w:r>
            <w:r>
              <w:rPr>
                <w:rFonts w:ascii="宋体" w:hAnsi="宋体" w:cs="宋体"/>
                <w:color w:val="000000"/>
                <w:sz w:val="28"/>
                <w:szCs w:val="28"/>
                <w:highlight w:val="none"/>
                <w:lang w:val="en-US" w:eastAsia="zh-CN"/>
              </w:rPr>
            </w:r>
            <w:r/>
          </w:p>
          <w:p>
            <w:pPr>
              <w:pStyle w:val="841"/>
              <w:ind w:left="10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（2）参与情况明细：展示参培人员参与的具体课程详细信息。</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OSCE后台管理端</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考试安排</w:t>
            </w:r>
            <w:r>
              <w:rPr>
                <w:rFonts w:ascii="宋体" w:hAnsi="宋体" w:cs="宋体"/>
                <w:color w:val="000000"/>
                <w:sz w:val="28"/>
                <w:szCs w:val="28"/>
                <w:highlight w:val="none"/>
              </w:rPr>
            </w:r>
            <w:r/>
          </w:p>
        </w:tc>
        <w:tc>
          <w:tcPr>
            <w:tcW w:w="2196" w:type="dxa"/>
            <w:vAlign w:val="center"/>
            <w:textDirection w:val="lrTb"/>
            <w:noWrap w:val="false"/>
          </w:tcPr>
          <w:p>
            <w:pPr>
              <w:pStyle w:val="868"/>
              <w:numPr>
                <w:ilvl w:val="0"/>
                <w:numId w:val="36"/>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可设置多个考点。</w:t>
            </w:r>
            <w:r>
              <w:rPr>
                <w:rFonts w:cs="宋体"/>
                <w:color w:val="000000"/>
                <w:sz w:val="28"/>
                <w:szCs w:val="28"/>
                <w:highlight w:val="none"/>
                <w:lang w:val="en-US"/>
              </w:rPr>
            </w:r>
            <w:r/>
          </w:p>
          <w:p>
            <w:pPr>
              <w:pStyle w:val="868"/>
              <w:numPr>
                <w:ilvl w:val="0"/>
                <w:numId w:val="3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设置考点的考试日期、考试状态、主考官、考官、房间、考生名单、试卷等信息。</w:t>
            </w:r>
            <w:r>
              <w:rPr>
                <w:rFonts w:cs="宋体"/>
                <w:color w:val="000000"/>
                <w:sz w:val="28"/>
                <w:szCs w:val="28"/>
                <w:highlight w:val="none"/>
                <w:lang w:val="en-US" w:eastAsia="zh-CN"/>
              </w:rPr>
            </w:r>
            <w:r/>
          </w:p>
          <w:p>
            <w:pPr>
              <w:pStyle w:val="868"/>
              <w:numPr>
                <w:ilvl w:val="0"/>
                <w:numId w:val="3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可批量生成考点所需的主考官、考官账号。</w:t>
            </w:r>
            <w:r>
              <w:rPr>
                <w:rFonts w:cs="宋体"/>
                <w:color w:val="000000"/>
                <w:sz w:val="28"/>
                <w:szCs w:val="28"/>
                <w:highlight w:val="none"/>
                <w:lang w:val="en-US" w:eastAsia="zh-CN"/>
              </w:rPr>
            </w:r>
            <w:r/>
          </w:p>
          <w:p>
            <w:pPr>
              <w:pStyle w:val="868"/>
              <w:numPr>
                <w:ilvl w:val="0"/>
                <w:numId w:val="3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可设置主考官、考官账号的可用状态。</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叫号管理</w:t>
            </w:r>
            <w:r>
              <w:rPr>
                <w:rFonts w:ascii="宋体" w:hAnsi="宋体" w:cs="宋体"/>
                <w:color w:val="000000"/>
                <w:sz w:val="28"/>
                <w:szCs w:val="28"/>
                <w:highlight w:val="none"/>
              </w:rPr>
            </w:r>
            <w:r/>
          </w:p>
        </w:tc>
        <w:tc>
          <w:tcPr>
            <w:tcW w:w="2196" w:type="dxa"/>
            <w:vAlign w:val="center"/>
            <w:textDirection w:val="lrTb"/>
            <w:noWrap w:val="false"/>
          </w:tcPr>
          <w:p>
            <w:pPr>
              <w:pStyle w:val="868"/>
              <w:numPr>
                <w:ilvl w:val="0"/>
                <w:numId w:val="37"/>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开启或暂停叫号功能。</w:t>
            </w:r>
            <w:r>
              <w:rPr>
                <w:rFonts w:cs="宋体"/>
                <w:color w:val="000000"/>
                <w:sz w:val="28"/>
                <w:szCs w:val="28"/>
                <w:highlight w:val="none"/>
                <w:lang w:val="en-US"/>
              </w:rPr>
            </w:r>
            <w:r/>
          </w:p>
          <w:p>
            <w:pPr>
              <w:pStyle w:val="868"/>
              <w:numPr>
                <w:ilvl w:val="0"/>
                <w:numId w:val="37"/>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支持按考站顺序叫号，某些考站必须有先后顺序。</w:t>
            </w:r>
            <w:r>
              <w:rPr>
                <w:rFonts w:cs="宋体"/>
                <w:color w:val="000000"/>
                <w:sz w:val="28"/>
                <w:szCs w:val="28"/>
                <w:highlight w:val="none"/>
                <w:lang w:val="en-US" w:eastAsia="zh-CN"/>
              </w:rPr>
            </w:r>
            <w:r/>
          </w:p>
          <w:p>
            <w:pPr>
              <w:pStyle w:val="868"/>
              <w:numPr>
                <w:ilvl w:val="0"/>
                <w:numId w:val="37"/>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支持按考官效率最优叫号，有空的考间，即可呼叫下一位考生，最小化等待时间。</w:t>
            </w:r>
            <w:r>
              <w:rPr>
                <w:rFonts w:cs="宋体"/>
                <w:color w:val="000000"/>
                <w:sz w:val="28"/>
                <w:szCs w:val="28"/>
                <w:highlight w:val="none"/>
                <w:lang w:val="en-US" w:eastAsia="zh-CN"/>
              </w:rPr>
            </w:r>
            <w:r/>
          </w:p>
          <w:p>
            <w:pPr>
              <w:pStyle w:val="868"/>
              <w:numPr>
                <w:ilvl w:val="0"/>
                <w:numId w:val="37"/>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支持同进同出叫号。</w:t>
            </w:r>
            <w:r>
              <w:rPr>
                <w:rFonts w:cs="宋体"/>
                <w:color w:val="000000"/>
                <w:sz w:val="28"/>
                <w:szCs w:val="28"/>
                <w:highlight w:val="none"/>
                <w:lang w:val="en-US"/>
              </w:rPr>
            </w:r>
            <w:r/>
          </w:p>
          <w:p>
            <w:pPr>
              <w:pStyle w:val="868"/>
              <w:numPr>
                <w:ilvl w:val="0"/>
                <w:numId w:val="37"/>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支持对某个特定考间、考生，设置叫号状态、跳过叫号等。</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考务管理</w:t>
            </w:r>
            <w:r>
              <w:rPr>
                <w:rFonts w:ascii="宋体" w:hAnsi="宋体" w:cs="宋体"/>
                <w:color w:val="000000"/>
                <w:sz w:val="28"/>
                <w:szCs w:val="28"/>
                <w:highlight w:val="none"/>
              </w:rPr>
            </w:r>
            <w:r/>
          </w:p>
        </w:tc>
        <w:tc>
          <w:tcPr>
            <w:tcW w:w="2196" w:type="dxa"/>
            <w:vAlign w:val="center"/>
            <w:textDirection w:val="lrTb"/>
            <w:noWrap w:val="false"/>
          </w:tcPr>
          <w:p>
            <w:pPr>
              <w:pStyle w:val="868"/>
              <w:numPr>
                <w:ilvl w:val="0"/>
                <w:numId w:val="38"/>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设置考点的房间信息、考站信息。</w:t>
            </w:r>
            <w:r>
              <w:rPr>
                <w:rFonts w:cs="宋体"/>
                <w:color w:val="000000"/>
                <w:sz w:val="28"/>
                <w:szCs w:val="28"/>
                <w:highlight w:val="none"/>
                <w:lang w:val="en-US" w:eastAsia="zh-CN"/>
              </w:rPr>
            </w:r>
            <w:r/>
          </w:p>
          <w:p>
            <w:pPr>
              <w:pStyle w:val="868"/>
              <w:numPr>
                <w:ilvl w:val="0"/>
                <w:numId w:val="38"/>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可以根据专业设置主考官的账号，设置允许主考官可以登录主考官端的时间段。</w:t>
            </w:r>
            <w:r>
              <w:rPr>
                <w:rFonts w:cs="宋体"/>
                <w:color w:val="000000"/>
                <w:sz w:val="28"/>
                <w:szCs w:val="28"/>
                <w:highlight w:val="none"/>
                <w:lang w:val="en-US" w:eastAsia="zh-CN"/>
              </w:rPr>
            </w:r>
            <w:r/>
          </w:p>
          <w:p>
            <w:pPr>
              <w:pStyle w:val="868"/>
              <w:numPr>
                <w:ilvl w:val="0"/>
                <w:numId w:val="38"/>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支持主考官、考官和书写考站工作人员账号等账号角色。</w:t>
            </w:r>
            <w:r>
              <w:rPr>
                <w:rFonts w:cs="宋体"/>
                <w:color w:val="000000"/>
                <w:sz w:val="28"/>
                <w:szCs w:val="28"/>
                <w:highlight w:val="none"/>
                <w:lang w:val="en-US" w:eastAsia="zh-CN"/>
              </w:rPr>
            </w:r>
            <w:r/>
          </w:p>
          <w:p>
            <w:pPr>
              <w:pStyle w:val="868"/>
              <w:numPr>
                <w:ilvl w:val="0"/>
                <w:numId w:val="38"/>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支持查看、导出主考官、考官和书写考站工作人员账号。</w:t>
            </w:r>
            <w:r>
              <w:rPr>
                <w:rFonts w:cs="宋体"/>
                <w:color w:val="000000"/>
                <w:sz w:val="28"/>
                <w:szCs w:val="28"/>
                <w:highlight w:val="none"/>
                <w:lang w:val="en-US" w:eastAsia="zh-CN"/>
              </w:rPr>
            </w:r>
            <w:r/>
          </w:p>
          <w:p>
            <w:pPr>
              <w:pStyle w:val="868"/>
              <w:numPr>
                <w:ilvl w:val="0"/>
                <w:numId w:val="38"/>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支持查看、导出考生名单。</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▲电子门牌</w:t>
            </w:r>
            <w:r>
              <w:rPr>
                <w:rFonts w:hint="eastAsia" w:ascii="宋体" w:hAnsi="宋体" w:cs="宋体"/>
                <w:bCs/>
                <w:color w:val="000000"/>
                <w:sz w:val="28"/>
                <w:szCs w:val="28"/>
                <w:highlight w:val="none"/>
              </w:rPr>
              <w:t xml:space="preserve">（提供功能截图证明）</w:t>
            </w:r>
            <w:r>
              <w:rPr>
                <w:rFonts w:ascii="宋体" w:hAnsi="宋体" w:cs="宋体"/>
                <w:color w:val="000000"/>
                <w:sz w:val="28"/>
                <w:szCs w:val="28"/>
                <w:highlight w:val="none"/>
              </w:rPr>
            </w:r>
            <w:r/>
          </w:p>
        </w:tc>
        <w:tc>
          <w:tcPr>
            <w:tcW w:w="2196" w:type="dxa"/>
            <w:vAlign w:val="center"/>
            <w:textDirection w:val="lrTb"/>
            <w:noWrap w:val="false"/>
          </w:tcPr>
          <w:p>
            <w:pPr>
              <w:pStyle w:val="868"/>
              <w:numPr>
                <w:ilvl w:val="0"/>
                <w:numId w:val="39"/>
              </w:numPr>
              <w:rPr>
                <w:rFonts w:hint="eastAsia" w:cs="宋体"/>
                <w:color w:val="000000"/>
                <w:sz w:val="28"/>
                <w:szCs w:val="28"/>
                <w:highlight w:val="none"/>
                <w:lang w:val="en-US" w:eastAsia="zh-CN"/>
              </w:rPr>
            </w:pPr>
            <w:r>
              <w:rPr>
                <w:rFonts w:hint="eastAsia" w:cs="宋体"/>
                <w:color w:val="000000"/>
                <w:sz w:val="28"/>
                <w:szCs w:val="28"/>
                <w:highlight w:val="none"/>
                <w:lang w:val="en-US" w:eastAsia="zh-CN"/>
              </w:rPr>
              <w:t xml:space="preserve">填写模板名称</w:t>
            </w:r>
            <w:r>
              <w:rPr>
                <w:rFonts w:hint="eastAsia" w:cs="宋体"/>
                <w:color w:val="000000"/>
                <w:sz w:val="28"/>
                <w:szCs w:val="28"/>
                <w:highlight w:val="none"/>
                <w:lang w:val="en-US" w:eastAsia="zh-CN"/>
              </w:rPr>
            </w:r>
            <w:r/>
          </w:p>
          <w:p>
            <w:pPr>
              <w:pStyle w:val="868"/>
              <w:numPr>
                <w:ilvl w:val="0"/>
                <w:numId w:val="39"/>
              </w:numPr>
              <w:rPr>
                <w:rFonts w:hint="eastAsia" w:cs="宋体"/>
                <w:color w:val="000000"/>
                <w:sz w:val="28"/>
                <w:szCs w:val="28"/>
                <w:highlight w:val="none"/>
                <w:lang w:val="en-US" w:eastAsia="zh-CN"/>
              </w:rPr>
            </w:pPr>
            <w:r>
              <w:rPr>
                <w:rFonts w:hint="eastAsia" w:cs="宋体"/>
                <w:color w:val="000000"/>
                <w:sz w:val="28"/>
                <w:szCs w:val="28"/>
                <w:highlight w:val="none"/>
                <w:lang w:val="en-US" w:eastAsia="zh-CN"/>
              </w:rPr>
              <w:t xml:space="preserve">可上传图片，作为门牌背景图</w:t>
            </w:r>
            <w:r>
              <w:rPr>
                <w:rFonts w:hint="eastAsia" w:cs="宋体"/>
                <w:color w:val="000000"/>
                <w:sz w:val="28"/>
                <w:szCs w:val="28"/>
                <w:highlight w:val="none"/>
                <w:lang w:val="en-US" w:eastAsia="zh-CN"/>
              </w:rPr>
            </w:r>
            <w:r/>
          </w:p>
          <w:p>
            <w:pPr>
              <w:pStyle w:val="868"/>
              <w:numPr>
                <w:ilvl w:val="0"/>
                <w:numId w:val="39"/>
              </w:numPr>
              <w:rPr>
                <w:rFonts w:hint="eastAsia" w:cs="宋体"/>
                <w:color w:val="000000"/>
                <w:sz w:val="28"/>
                <w:szCs w:val="28"/>
                <w:highlight w:val="none"/>
                <w:lang w:val="en-US" w:eastAsia="zh-CN"/>
              </w:rPr>
            </w:pPr>
            <w:r>
              <w:rPr>
                <w:rFonts w:hint="eastAsia" w:cs="宋体"/>
                <w:color w:val="000000"/>
                <w:sz w:val="28"/>
                <w:szCs w:val="28"/>
                <w:highlight w:val="none"/>
                <w:lang w:val="en-US" w:eastAsia="zh-CN"/>
              </w:rPr>
              <w:t xml:space="preserve">可添加门牌显示内容的各类组件，支持文字、图片、日期时间（实时变化）、签到二维码、图片、表格等组件类型。</w:t>
            </w:r>
            <w:r>
              <w:rPr>
                <w:rFonts w:hint="eastAsia" w:cs="宋体"/>
                <w:color w:val="000000"/>
                <w:sz w:val="28"/>
                <w:szCs w:val="28"/>
                <w:highlight w:val="none"/>
                <w:lang w:val="en-US" w:eastAsia="zh-CN"/>
              </w:rPr>
            </w:r>
            <w:r/>
          </w:p>
          <w:p>
            <w:pPr>
              <w:pStyle w:val="868"/>
              <w:numPr>
                <w:ilvl w:val="0"/>
                <w:numId w:val="39"/>
              </w:numPr>
              <w:rPr>
                <w:rFonts w:hint="eastAsia" w:cs="宋体"/>
                <w:color w:val="000000"/>
                <w:sz w:val="28"/>
                <w:szCs w:val="28"/>
                <w:highlight w:val="none"/>
                <w:lang w:val="en-US" w:eastAsia="zh-CN"/>
              </w:rPr>
            </w:pPr>
            <w:r>
              <w:rPr>
                <w:rFonts w:hint="eastAsia" w:cs="宋体"/>
                <w:color w:val="000000"/>
                <w:sz w:val="28"/>
                <w:szCs w:val="28"/>
                <w:highlight w:val="none"/>
                <w:lang w:val="en-US" w:eastAsia="zh-CN"/>
              </w:rPr>
              <w:t xml:space="preserve">组件支持设置高度、宽度、内容等。</w:t>
            </w:r>
            <w:r>
              <w:rPr>
                <w:rFonts w:hint="eastAsia" w:cs="宋体"/>
                <w:color w:val="000000"/>
                <w:sz w:val="28"/>
                <w:szCs w:val="28"/>
                <w:highlight w:val="none"/>
                <w:lang w:val="en-US" w:eastAsia="zh-CN"/>
              </w:rPr>
            </w:r>
            <w:r/>
          </w:p>
          <w:p>
            <w:pPr>
              <w:pStyle w:val="868"/>
              <w:numPr>
                <w:ilvl w:val="0"/>
                <w:numId w:val="39"/>
              </w:numPr>
              <w:rPr>
                <w:rFonts w:hint="eastAsia" w:cs="宋体"/>
                <w:color w:val="000000"/>
                <w:sz w:val="28"/>
                <w:szCs w:val="28"/>
                <w:highlight w:val="none"/>
                <w:lang w:val="en-US" w:eastAsia="zh-CN"/>
              </w:rPr>
            </w:pPr>
            <w:r>
              <w:rPr>
                <w:rFonts w:hint="eastAsia" w:cs="宋体"/>
                <w:color w:val="000000"/>
                <w:sz w:val="28"/>
                <w:szCs w:val="28"/>
                <w:highlight w:val="none"/>
                <w:lang w:val="en-US" w:eastAsia="zh-CN"/>
              </w:rPr>
              <w:t xml:space="preserve">可在预览界面中实时查看已添加的组件，可拖动组件调整显示位置。</w:t>
            </w:r>
            <w:r>
              <w:rPr>
                <w:rFonts w:hint="eastAsia" w:cs="宋体"/>
                <w:color w:val="000000"/>
                <w:sz w:val="28"/>
                <w:szCs w:val="28"/>
                <w:highlight w:val="none"/>
                <w:lang w:val="en-US" w:eastAsia="zh-CN"/>
              </w:rPr>
            </w:r>
            <w:r/>
          </w:p>
          <w:p>
            <w:pPr>
              <w:pStyle w:val="868"/>
              <w:numPr>
                <w:ilvl w:val="0"/>
                <w:numId w:val="39"/>
              </w:numPr>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模板设置完成后可保存，支持门牌显示效果预览。</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书写考站</w:t>
            </w:r>
            <w:r>
              <w:rPr>
                <w:rFonts w:ascii="宋体" w:hAnsi="宋体" w:cs="宋体"/>
                <w:color w:val="000000"/>
                <w:sz w:val="28"/>
                <w:szCs w:val="28"/>
                <w:highlight w:val="none"/>
              </w:rPr>
            </w:r>
            <w:r/>
          </w:p>
        </w:tc>
        <w:tc>
          <w:tcPr>
            <w:tcW w:w="2196" w:type="dxa"/>
            <w:vAlign w:val="center"/>
            <w:textDirection w:val="lrTb"/>
            <w:noWrap w:val="false"/>
          </w:tcPr>
          <w:p>
            <w:pPr>
              <w:pStyle w:val="868"/>
              <w:numPr>
                <w:ilvl w:val="0"/>
                <w:numId w:val="40"/>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支持书写考站工作人员账号登录使用。</w:t>
            </w:r>
            <w:r>
              <w:rPr>
                <w:rFonts w:cs="宋体"/>
                <w:color w:val="000000"/>
                <w:sz w:val="28"/>
                <w:szCs w:val="28"/>
                <w:highlight w:val="none"/>
                <w:lang w:val="en-US" w:eastAsia="zh-CN"/>
              </w:rPr>
            </w:r>
            <w:r/>
          </w:p>
          <w:p>
            <w:pPr>
              <w:pStyle w:val="868"/>
              <w:numPr>
                <w:ilvl w:val="0"/>
                <w:numId w:val="40"/>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记录考生在书写考站的考试状态，配合叫号。</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考生管理</w:t>
            </w:r>
            <w:r>
              <w:rPr>
                <w:rFonts w:ascii="宋体" w:hAnsi="宋体" w:cs="宋体"/>
                <w:color w:val="000000"/>
                <w:sz w:val="28"/>
                <w:szCs w:val="28"/>
                <w:highlight w:val="none"/>
              </w:rPr>
            </w:r>
            <w:r/>
          </w:p>
        </w:tc>
        <w:tc>
          <w:tcPr>
            <w:tcW w:w="2196" w:type="dxa"/>
            <w:vAlign w:val="center"/>
            <w:textDirection w:val="lrTb"/>
            <w:noWrap w:val="false"/>
          </w:tcPr>
          <w:p>
            <w:pPr>
              <w:pStyle w:val="868"/>
              <w:numPr>
                <w:ilvl w:val="0"/>
                <w:numId w:val="41"/>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管理考生信息，包括新增考生息、编辑考生信息、删除考生信息，可以批量导入、删除考生信息。</w:t>
            </w:r>
            <w:r>
              <w:rPr>
                <w:rFonts w:cs="宋体"/>
                <w:color w:val="000000"/>
                <w:sz w:val="28"/>
                <w:szCs w:val="28"/>
                <w:highlight w:val="none"/>
                <w:lang w:val="en-US" w:eastAsia="zh-CN"/>
              </w:rPr>
            </w:r>
            <w:r/>
          </w:p>
          <w:p>
            <w:pPr>
              <w:pStyle w:val="868"/>
              <w:numPr>
                <w:ilvl w:val="0"/>
                <w:numId w:val="41"/>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考生信息包括：姓名、性别、手机号码、身份证号、所学专业。</w:t>
            </w:r>
            <w:r>
              <w:rPr>
                <w:rFonts w:cs="宋体"/>
                <w:color w:val="000000"/>
                <w:sz w:val="28"/>
                <w:szCs w:val="28"/>
                <w:highlight w:val="none"/>
                <w:lang w:val="en-US" w:eastAsia="zh-CN"/>
              </w:rPr>
            </w:r>
            <w:r/>
          </w:p>
          <w:p>
            <w:pPr>
              <w:pStyle w:val="868"/>
              <w:numPr>
                <w:ilvl w:val="0"/>
                <w:numId w:val="41"/>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多条件查询，可根据考生分组、专业、编号、身份证号、姓名检索。</w:t>
            </w:r>
            <w:r>
              <w:rPr>
                <w:rFonts w:cs="宋体"/>
                <w:color w:val="000000"/>
                <w:sz w:val="28"/>
                <w:szCs w:val="28"/>
                <w:highlight w:val="none"/>
                <w:lang w:val="en-US" w:eastAsia="zh-CN"/>
              </w:rPr>
            </w:r>
            <w:r/>
          </w:p>
          <w:p>
            <w:pPr>
              <w:pStyle w:val="868"/>
              <w:numPr>
                <w:ilvl w:val="0"/>
                <w:numId w:val="41"/>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Excel批量导入、导出考生信息。</w:t>
            </w:r>
            <w:r>
              <w:rPr>
                <w:rFonts w:cs="宋体"/>
                <w:color w:val="000000"/>
                <w:sz w:val="28"/>
                <w:szCs w:val="28"/>
                <w:highlight w:val="none"/>
                <w:lang w:val="en-US"/>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考生分组管理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管理考生分组，可以根据管理需要对考生进行分组管理，可以新增、编辑、删除考生分组信息。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技能操作项管理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技能操作项目，包括新增技能操作项目、编辑技能操作项目、删除技能操作项目，系统内已包含中国医学生临床技能操作指南的基本操作项目，用户可以根据需要增加个性化的操作项目，系统自带的操作项目不能编辑与删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评分表管理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技能操作评分表，包括新增评分表、查看评分表详情、删除评分表，系统内已包含中国医学生临床技能操作指南的基本操作评分表，用户可以根据需要增加个性化的评分表，系统自带的评分表不能编辑与删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成绩查询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可以根据考试场次、考试时间及考生信息查询统计考试成绩，可以查看理论或实践考试中的得分明细。可以将考试成绩或得分明细导出为Excel文件。</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成绩统计</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考试场次（可选择多场）统计学生成绩，平均分、参考人数、成绩分布以柱状图、雷达图形式展现；明细列表显示：考试内容、参考人数、最高得分、最低得分、平均得分、高于平均、低于平均、0~20分、20~40分、40~60分、60~80分、80~100分各个分数段考生分布；</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评分表分析</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评分表和考试场次分析某站考试整体情况，包括：参考人数、最高得分、最低得分、平均得分、高于平均人数、低于平均分人数以及评分表每项的得分、最低得分、平均得分、平均失分率、高于平均、低于平均；以柱状图、雷达图形式展现；</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OSCE考官端</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考前文书签字确认</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结合签字确认功能，完成安全保密责任书等需要考官签字确认的文书。</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评分表预览</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考官可以在进入考站后，通过评分表预览的功能，提前熟悉评分表内容。</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叫号</w:t>
            </w:r>
            <w:r>
              <w:rPr>
                <w:rFonts w:ascii="宋体" w:hAnsi="宋体" w:cs="宋体"/>
                <w:color w:val="000000"/>
                <w:sz w:val="28"/>
                <w:szCs w:val="28"/>
                <w:highlight w:val="none"/>
              </w:rPr>
            </w:r>
            <w:r/>
          </w:p>
        </w:tc>
        <w:tc>
          <w:tcPr>
            <w:tcW w:w="2196" w:type="dxa"/>
            <w:vAlign w:val="center"/>
            <w:textDirection w:val="lrTb"/>
            <w:noWrap w:val="false"/>
          </w:tcPr>
          <w:p>
            <w:pPr>
              <w:pStyle w:val="868"/>
              <w:numPr>
                <w:ilvl w:val="0"/>
                <w:numId w:val="42"/>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呼叫下一位考生。</w:t>
            </w:r>
            <w:r>
              <w:rPr>
                <w:rFonts w:cs="宋体"/>
                <w:color w:val="000000"/>
                <w:sz w:val="28"/>
                <w:szCs w:val="28"/>
                <w:highlight w:val="none"/>
                <w:lang w:val="en-US"/>
              </w:rPr>
            </w:r>
            <w:r/>
          </w:p>
          <w:p>
            <w:pPr>
              <w:pStyle w:val="868"/>
              <w:numPr>
                <w:ilvl w:val="0"/>
                <w:numId w:val="42"/>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自动填入考生信息。</w:t>
            </w:r>
            <w:r>
              <w:rPr>
                <w:rFonts w:cs="宋体"/>
                <w:color w:val="000000"/>
                <w:sz w:val="28"/>
                <w:szCs w:val="28"/>
                <w:highlight w:val="none"/>
                <w:lang w:val="en-US"/>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考生验证</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支持显示考生信息，包括照片、姓名、身份证号、准考证号等。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在线评分</w:t>
            </w:r>
            <w:r>
              <w:rPr>
                <w:rFonts w:ascii="宋体" w:hAnsi="宋体" w:cs="宋体"/>
                <w:color w:val="000000"/>
                <w:sz w:val="28"/>
                <w:szCs w:val="28"/>
                <w:highlight w:val="none"/>
              </w:rPr>
            </w:r>
            <w:r/>
          </w:p>
        </w:tc>
        <w:tc>
          <w:tcPr>
            <w:tcW w:w="2196" w:type="dxa"/>
            <w:vAlign w:val="center"/>
            <w:textDirection w:val="lrTb"/>
            <w:noWrap w:val="false"/>
          </w:tcPr>
          <w:p>
            <w:pPr>
              <w:pStyle w:val="868"/>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支持显示考官指引，提示考站的相关注意事项。</w:t>
            </w:r>
            <w:r>
              <w:rPr>
                <w:rFonts w:cs="宋体"/>
                <w:color w:val="000000"/>
                <w:sz w:val="28"/>
                <w:szCs w:val="28"/>
                <w:highlight w:val="none"/>
                <w:lang w:val="en-US" w:eastAsia="zh-CN"/>
              </w:rPr>
            </w:r>
            <w:r/>
          </w:p>
          <w:p>
            <w:pPr>
              <w:pStyle w:val="868"/>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考官可以在Pad上进入指定的考场场次与考站，使用考试安排中指定的评分表为考生进行在线评分。</w:t>
            </w:r>
            <w:r>
              <w:rPr>
                <w:rFonts w:cs="宋体"/>
                <w:color w:val="000000"/>
                <w:sz w:val="28"/>
                <w:szCs w:val="28"/>
                <w:highlight w:val="none"/>
                <w:lang w:val="en-US" w:eastAsia="zh-CN"/>
              </w:rPr>
            </w:r>
            <w:r/>
          </w:p>
          <w:p>
            <w:pPr>
              <w:pStyle w:val="868"/>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评分表支持：基本技能操作、专科技能操作、病史采集、体格检查、首程书写、病例分析、病人接诊、SP打分等评分表。</w:t>
            </w:r>
            <w:r>
              <w:rPr>
                <w:rFonts w:cs="宋体"/>
                <w:color w:val="000000"/>
                <w:sz w:val="28"/>
                <w:szCs w:val="28"/>
                <w:highlight w:val="none"/>
                <w:lang w:val="en-US" w:eastAsia="zh-CN"/>
              </w:rPr>
            </w:r>
            <w:r/>
          </w:p>
          <w:p>
            <w:pPr>
              <w:pStyle w:val="868"/>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评分中的功能：检查必填项、自动计算得分、得分大纲、切换评分表、倒计时提示、显示病例内容。</w:t>
            </w:r>
            <w:r>
              <w:rPr>
                <w:rFonts w:cs="宋体"/>
                <w:color w:val="000000"/>
                <w:sz w:val="28"/>
                <w:szCs w:val="28"/>
                <w:highlight w:val="none"/>
                <w:lang w:val="en-US" w:eastAsia="zh-CN"/>
              </w:rPr>
            </w:r>
            <w:r/>
          </w:p>
          <w:p>
            <w:pPr>
              <w:pStyle w:val="868"/>
              <w:numPr>
                <w:ilvl w:val="0"/>
                <w:numId w:val="43"/>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支持多人同时评分。</w:t>
            </w:r>
            <w:r>
              <w:rPr>
                <w:rFonts w:cs="宋体"/>
                <w:color w:val="000000"/>
                <w:sz w:val="28"/>
                <w:szCs w:val="28"/>
                <w:highlight w:val="none"/>
                <w:lang w:val="en-US"/>
              </w:rPr>
            </w:r>
            <w:r/>
          </w:p>
          <w:p>
            <w:pPr>
              <w:pStyle w:val="868"/>
              <w:numPr>
                <w:ilvl w:val="0"/>
                <w:numId w:val="43"/>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支持考官电子签名。</w:t>
            </w:r>
            <w:r>
              <w:rPr>
                <w:rFonts w:cs="宋体"/>
                <w:color w:val="000000"/>
                <w:sz w:val="28"/>
                <w:szCs w:val="28"/>
                <w:highlight w:val="none"/>
                <w:lang w:val="en-US"/>
              </w:rPr>
            </w:r>
            <w:r/>
          </w:p>
          <w:p>
            <w:pPr>
              <w:pStyle w:val="868"/>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支持考官对考试的综合评价。</w:t>
            </w:r>
            <w:r>
              <w:rPr>
                <w:rFonts w:cs="宋体"/>
                <w:color w:val="000000"/>
                <w:sz w:val="28"/>
                <w:szCs w:val="28"/>
                <w:highlight w:val="none"/>
                <w:lang w:val="en-US" w:eastAsia="zh-CN"/>
              </w:rPr>
            </w:r>
            <w:r/>
          </w:p>
          <w:p>
            <w:pPr>
              <w:pStyle w:val="868"/>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在考试没有结束前，考官可以修改打分内容。</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OSCE主考官端</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考生管理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查看考试考生的考试安排。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考卷预览</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预览当前考试的评分表。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查看考生当前考试中，考官提交的评分表。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考生成绩</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查看考生成绩。</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考官状态</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查看考官登录考官端的时间、退出系统的时间、房间号、签名等信息。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考试监测</w:t>
            </w:r>
            <w:r>
              <w:rPr>
                <w:rFonts w:ascii="宋体" w:hAnsi="宋体" w:cs="宋体"/>
                <w:color w:val="000000"/>
                <w:sz w:val="28"/>
                <w:szCs w:val="28"/>
                <w:highlight w:val="none"/>
              </w:rPr>
            </w:r>
            <w:r/>
          </w:p>
        </w:tc>
        <w:tc>
          <w:tcPr>
            <w:tcW w:w="2196" w:type="dxa"/>
            <w:vAlign w:val="center"/>
            <w:textDirection w:val="lrTb"/>
            <w:noWrap w:val="false"/>
          </w:tcPr>
          <w:p>
            <w:pPr>
              <w:pStyle w:val="868"/>
              <w:numPr>
                <w:ilvl w:val="0"/>
                <w:numId w:val="44"/>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查看各房间完成考试的考生数量，两位考官提交分数的差异分、平均分，提示主考官评分不及格、差异过大的情况，可对不及格、差异的情况进行处理。</w:t>
            </w:r>
            <w:r>
              <w:rPr>
                <w:rFonts w:cs="宋体"/>
                <w:color w:val="000000"/>
                <w:sz w:val="28"/>
                <w:szCs w:val="28"/>
                <w:highlight w:val="none"/>
                <w:lang w:val="en-US" w:eastAsia="zh-CN"/>
              </w:rPr>
            </w:r>
            <w:r/>
          </w:p>
          <w:p>
            <w:pPr>
              <w:pStyle w:val="868"/>
              <w:numPr>
                <w:ilvl w:val="0"/>
                <w:numId w:val="44"/>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开始、结束考试状态。</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OSCE考核签到及叫号</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签到管理</w:t>
            </w:r>
            <w:r>
              <w:rPr>
                <w:rFonts w:ascii="宋体" w:hAnsi="宋体" w:cs="宋体"/>
                <w:color w:val="000000"/>
                <w:sz w:val="28"/>
                <w:szCs w:val="28"/>
                <w:highlight w:val="none"/>
              </w:rPr>
            </w:r>
            <w:r/>
          </w:p>
        </w:tc>
        <w:tc>
          <w:tcPr>
            <w:tcW w:w="2196" w:type="dxa"/>
            <w:vAlign w:val="center"/>
            <w:textDirection w:val="lrTb"/>
            <w:noWrap w:val="false"/>
          </w:tcPr>
          <w:p>
            <w:pPr>
              <w:pStyle w:val="868"/>
              <w:numPr>
                <w:ilvl w:val="0"/>
                <w:numId w:val="45"/>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支持人工输入准考证、身份证或手机号进行签到。</w:t>
            </w:r>
            <w:r>
              <w:rPr>
                <w:rFonts w:cs="宋体"/>
                <w:color w:val="000000"/>
                <w:sz w:val="28"/>
                <w:szCs w:val="28"/>
                <w:highlight w:val="none"/>
                <w:lang w:val="en-US" w:eastAsia="zh-CN"/>
              </w:rPr>
            </w:r>
            <w:r/>
          </w:p>
          <w:p>
            <w:pPr>
              <w:pStyle w:val="868"/>
              <w:numPr>
                <w:ilvl w:val="0"/>
                <w:numId w:val="45"/>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需要硬件支持：支持扫二维码、身份证识别、指纹签到。</w:t>
            </w:r>
            <w:r>
              <w:rPr>
                <w:rFonts w:cs="宋体"/>
                <w:color w:val="000000"/>
                <w:sz w:val="28"/>
                <w:szCs w:val="28"/>
                <w:highlight w:val="none"/>
                <w:lang w:val="en-US" w:eastAsia="zh-CN"/>
              </w:rPr>
            </w:r>
            <w:r/>
          </w:p>
          <w:p>
            <w:pPr>
              <w:pStyle w:val="868"/>
              <w:numPr>
                <w:ilvl w:val="0"/>
                <w:numId w:val="45"/>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记录签到的场次、签到时间。</w:t>
            </w:r>
            <w:r>
              <w:rPr>
                <w:rFonts w:cs="宋体"/>
                <w:color w:val="000000"/>
                <w:sz w:val="28"/>
                <w:szCs w:val="28"/>
                <w:highlight w:val="none"/>
                <w:lang w:val="en-US" w:eastAsia="zh-CN"/>
              </w:rPr>
            </w:r>
            <w:r/>
          </w:p>
          <w:p>
            <w:pPr>
              <w:pStyle w:val="868"/>
              <w:numPr>
                <w:ilvl w:val="0"/>
                <w:numId w:val="45"/>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支持随机分配考号、人工调整考号。</w:t>
            </w:r>
            <w:r>
              <w:rPr>
                <w:rFonts w:cs="宋体"/>
                <w:color w:val="000000"/>
                <w:sz w:val="28"/>
                <w:szCs w:val="28"/>
                <w:highlight w:val="none"/>
                <w:lang w:val="en-US" w:eastAsia="zh-CN"/>
              </w:rPr>
            </w:r>
            <w:r/>
          </w:p>
          <w:p>
            <w:pPr>
              <w:pStyle w:val="868"/>
              <w:numPr>
                <w:ilvl w:val="0"/>
                <w:numId w:val="45"/>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随机分配考站，适用一站有多个操作可选的情况，同时支持人工指定考站。</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叫号大屏显示</w:t>
            </w:r>
            <w:r>
              <w:rPr>
                <w:rFonts w:hint="eastAsia" w:ascii="宋体" w:hAnsi="宋体" w:cs="宋体"/>
                <w:color w:val="000000"/>
                <w:sz w:val="28"/>
                <w:szCs w:val="28"/>
                <w:highlight w:val="none"/>
              </w:rPr>
            </w:r>
            <w:r/>
          </w:p>
        </w:tc>
        <w:tc>
          <w:tcPr>
            <w:tcW w:w="2196" w:type="dxa"/>
            <w:vAlign w:val="center"/>
            <w:textDirection w:val="lrTb"/>
            <w:noWrap w:val="false"/>
          </w:tcPr>
          <w:p>
            <w:pPr>
              <w:pStyle w:val="868"/>
              <w:numPr>
                <w:ilvl w:val="0"/>
                <w:numId w:val="4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支持多种叫号场景，包括：大候考区、考间走廊。</w:t>
            </w:r>
            <w:r>
              <w:rPr>
                <w:rFonts w:cs="宋体"/>
                <w:color w:val="000000"/>
                <w:sz w:val="28"/>
                <w:szCs w:val="28"/>
                <w:highlight w:val="none"/>
                <w:lang w:val="en-US" w:eastAsia="zh-CN"/>
              </w:rPr>
            </w:r>
            <w:r/>
          </w:p>
          <w:p>
            <w:pPr>
              <w:pStyle w:val="868"/>
              <w:numPr>
                <w:ilvl w:val="0"/>
                <w:numId w:val="46"/>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支持指定专业叫号。</w:t>
            </w:r>
            <w:r>
              <w:rPr>
                <w:rFonts w:cs="宋体"/>
                <w:color w:val="000000"/>
                <w:sz w:val="28"/>
                <w:szCs w:val="28"/>
                <w:highlight w:val="none"/>
                <w:lang w:val="en-US"/>
              </w:rPr>
            </w:r>
            <w:r/>
          </w:p>
          <w:p>
            <w:pPr>
              <w:pStyle w:val="868"/>
              <w:numPr>
                <w:ilvl w:val="0"/>
                <w:numId w:val="4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支持多种设备：电脑、智能电视、电子门牌等。</w:t>
            </w:r>
            <w:r>
              <w:rPr>
                <w:rFonts w:cs="宋体"/>
                <w:color w:val="000000"/>
                <w:sz w:val="28"/>
                <w:szCs w:val="28"/>
                <w:highlight w:val="none"/>
                <w:lang w:val="en-US" w:eastAsia="zh-CN"/>
              </w:rPr>
            </w:r>
            <w:r/>
          </w:p>
          <w:p>
            <w:pPr>
              <w:pStyle w:val="868"/>
              <w:numPr>
                <w:ilvl w:val="0"/>
                <w:numId w:val="4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支持语音播报，显示考生信息、考站和房间信息等提示内容。</w:t>
            </w:r>
            <w:r>
              <w:rPr>
                <w:rFonts w:cs="宋体"/>
                <w:color w:val="000000"/>
                <w:sz w:val="28"/>
                <w:szCs w:val="28"/>
                <w:highlight w:val="none"/>
                <w:lang w:val="en-US" w:eastAsia="zh-CN"/>
              </w:rPr>
            </w:r>
            <w:r/>
          </w:p>
        </w:tc>
      </w:tr>
      <w:tr>
        <w:trPr/>
        <w:tc>
          <w:tcPr>
            <w:tcW w:w="916"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师资管理与师资绩效</w:t>
            </w: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建立师资档案</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建立师资档案。可注册新建也可导入。档案标签包括基本信息、担任角色、带教经历、历史评价、教学活动记录。担任角色、带教经历、历史评价、教学活动记录与系统的角色管理、入科分配、评价管理、教学活动管理互相关联，相关信息自动汇总到档案中的对应标签。档案中可记录师资人员参加过的各级师资培训，可上传培训证明。扩展性的档案配置功能，可以根据院方要求配置档案项目，并指定是否可由师资自行维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师资档案查询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向多个管理角色开放师资档案的查询。可根据姓名、工号、职称、师资类型、状态筛选需要查询的师资人员。</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档案审核</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可设置档案维护内容是否需要审核，管理部门对设置为需要审核的内容进行审核，确认填报数据的准确性。</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师资绩效</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绩效模型配置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模型配置可自定义系统内相关业务模块及其核算方式。绩效标准系数值可调整。绩效数据支持导入及系统提取等生成方式。可配置纳入绩效计算的数据类型，如师资的类别、带教人次、授课课时、学员考核成绩、获得的评价等。可配置每一项纳入绩效计算的数据在最终的绩效计算结果中的权重。系统根据绩效计算公式自动获取相关数据进行计算。也可通过系统填报绩效计算所需的相关数据。如：论文课题、获得奖项。系统根据计算公式，结合自动获取及人工填报的数据自动计算绩效结果。可自动生成津贴发放表和师资评分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带教费报表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根据带教费发放规则，系统自动生成绩效明细报表，可展示绩效计算结果，可回溯得出绩效结果的相关数据。系统可根据绩效计算结果生成人员绩效津贴发放明细。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师资评分表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可根据客户提供师资评分表，进行绩效配置，查询师资某时间段教学工作评分并导出。</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科室绩效</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绩效模型配置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模型配置可自定义系统内相关业务模块及其核算方式。绩效标准系数值可调整。绩效数据支持导入及系统提取等生成方式。绩效上报确认可设置系统内角色，且支持多个角色逐级上报，最终上报给教学管理部门。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人员可按年度、季度、月度等时间范围创建绩效项目，根据预设的绩效模型设置要求统计绩效数据。绩效开启发布功能或教学管理人员审批不通过时，科室上报相关角色均可接收消息通知。实时展示科室针对绩效明细数据的确认上报情况。支持自定义报表导出绩效内容。</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绩效生成</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绩效项目发布后，绩效模型设置的上报角色可查阅绩效明细数据。模型设置的可调整指标，支持上报角色修改后，将全部绩效数据结果进行确认上报操作。支持自定义报表导出科室绩效内容。</w:t>
            </w:r>
            <w:r>
              <w:rPr>
                <w:rFonts w:ascii="宋体" w:hAnsi="宋体" w:cs="宋体"/>
                <w:color w:val="000000"/>
                <w:sz w:val="28"/>
                <w:szCs w:val="28"/>
                <w:highlight w:val="none"/>
              </w:rPr>
            </w:r>
            <w:r/>
          </w:p>
        </w:tc>
      </w:tr>
      <w:tr>
        <w:trPr/>
        <w:tc>
          <w:tcPr>
            <w:tcW w:w="916"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w:t>
            </w: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用户管理</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用户管理</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按照人员角色进行用户分组管理，支持按照用户组进行人员权限批量设置。支持添加督导组，设置督导组名称，管理各组成员。督导信息与师资管理平台师资信息相关联，可维护督导老师个人信息，包括一般基本信息、所在督导组、承担职务、负责的科室（可多选）等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基础设置</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督导工作计划</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管理员支持为各督导分配年度督导任务，包括理论教学督导任务量、临床教学督导任务量、考核督导任务量等。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评分表单配置</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支持按照不同的督导类别设置不同的评分表，包括评分指标、分值、分制，打分模式（数字、等级等），评分表支持与督导任务类别关联，关联的评分表在督导打分时自动匹配。保证督导执行任务时评分表的一致性。</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范围</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范围</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与各业务模块督导内容对接，提供独立入口：（1）住院医师规范化培训督导；（2）实习督导；（3）本科理论及见习督导；（4）进修督导；（5）模拟教学督导</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督导反馈</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督导反馈</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督导专家督导完成督导工作后，在系统里填写督导评分表和意见，上报给管理部门，管理部门整理审核后从系统反馈给专业基地、科室、教学管理人员，专业基地、科室进行整改并上传结果。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督导意见查询</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督导意见查询</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支持自动汇总查询，管理员、科室以及带教老师皆可查询自己权限范围内的内容，管理员支持查询全院督导反馈的内容，督导意见查询支持按照多种方式查询汇总，支持按照督导查询，查询督导老师历次的督导情况。</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督导工作量</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督导工作量</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支持督导工作量分类统计，用于发放督导绩效和考评。</w:t>
            </w:r>
            <w:r>
              <w:rPr>
                <w:rFonts w:ascii="宋体" w:hAnsi="宋体" w:cs="宋体"/>
                <w:color w:val="000000"/>
                <w:sz w:val="28"/>
                <w:szCs w:val="28"/>
                <w:highlight w:val="none"/>
              </w:rPr>
            </w:r>
            <w:r/>
          </w:p>
        </w:tc>
      </w:tr>
      <w:tr>
        <w:trPr/>
        <w:tc>
          <w:tcPr>
            <w:tcW w:w="916"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智慧数据</w:t>
            </w: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月度报表</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月度报表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以专业基地、科室生成教学工作月报表，通过月报形式自动告知 专业基地主任、科室教学主任，本专业学员或本月本科室教学情况，内容包括：入科进度及带教老师分配情况、入科教育完 成及时性、各类教学活动的组织及完成情况、教学师生互评情况、出科考核完成及时性等。并对特殊情况进行预警。</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年度报表</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年度报表</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可结合学员各类成绩，生成年度报表。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智能分析</w:t>
            </w:r>
            <w:r>
              <w:rPr>
                <w:rFonts w:ascii="宋体" w:hAnsi="宋体" w:cs="宋体"/>
                <w:color w:val="000000"/>
                <w:sz w:val="28"/>
                <w:szCs w:val="28"/>
                <w:highlight w:val="none"/>
              </w:rPr>
            </w:r>
            <w:r/>
          </w:p>
        </w:tc>
        <w:tc>
          <w:tcPr>
            <w:tcW w:w="9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智能分析</w:t>
            </w:r>
            <w:r>
              <w:rPr>
                <w:rFonts w:ascii="宋体" w:hAnsi="宋体" w:cs="宋体"/>
                <w:color w:val="000000"/>
                <w:sz w:val="28"/>
                <w:szCs w:val="28"/>
                <w:highlight w:val="none"/>
              </w:rPr>
            </w:r>
            <w:r/>
          </w:p>
        </w:tc>
        <w:tc>
          <w:tcPr>
            <w:tcW w:w="2196"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系统使用情况分析可视化动态呈现：登录用户、在用用户、在线排名、使用详情等。（2）住培管理数据平台可视化动态呈现：入科分配情况、出科考核情况、轮转手册填写情况、教学活动发布及参与情况、考勤签 到情况、审核管理情况、评估情况等。（3）教学情况数据平台可视化动态呈现：课程属性、课程数量、课程开发、科目课程、课程培训情况统计分析等。（4）物资数据平台可视化动态呈现：技能中心空间使用情况、设备物资使用情况、教学模型使用情况、耗材库存及损耗情况。</w:t>
            </w:r>
            <w:r>
              <w:rPr>
                <w:rFonts w:ascii="宋体" w:hAnsi="宋体" w:cs="宋体"/>
                <w:color w:val="000000"/>
                <w:sz w:val="28"/>
                <w:szCs w:val="28"/>
                <w:highlight w:val="none"/>
              </w:rPr>
            </w:r>
            <w:r/>
          </w:p>
        </w:tc>
      </w:tr>
    </w:tbl>
    <w:p>
      <w:pPr>
        <w:pStyle w:val="748"/>
        <w:rPr>
          <w:rFonts w:ascii="宋体" w:hAnsi="宋体" w:cs="宋体"/>
          <w:color w:val="000000"/>
          <w:sz w:val="28"/>
          <w:szCs w:val="28"/>
          <w:highlight w:val="none"/>
        </w:rPr>
      </w:pPr>
      <w:r>
        <w:rPr>
          <w:rFonts w:ascii="宋体" w:hAnsi="宋体" w:cs="宋体"/>
          <w:color w:val="000000"/>
          <w:sz w:val="28"/>
          <w:szCs w:val="28"/>
          <w:highlight w:val="none"/>
        </w:rPr>
      </w:r>
      <w:r/>
    </w:p>
    <w:p>
      <w:pPr>
        <w:pStyle w:val="748"/>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（2）</w:t>
      </w:r>
      <w:r>
        <w:rPr>
          <w:rFonts w:hint="eastAsia" w:ascii="宋体" w:hAnsi="宋体" w:cs="宋体"/>
          <w:b/>
          <w:color w:val="000000"/>
          <w:sz w:val="28"/>
          <w:szCs w:val="28"/>
          <w:highlight w:val="none"/>
        </w:rPr>
        <w:t xml:space="preserve">临床技能中心配套设备</w:t>
      </w:r>
      <w:r>
        <w:rPr>
          <w:rFonts w:ascii="宋体" w:hAnsi="宋体" w:cs="宋体"/>
          <w:color w:val="000000"/>
          <w:sz w:val="28"/>
          <w:szCs w:val="28"/>
          <w:highlight w:val="none"/>
        </w:rPr>
      </w:r>
      <w:r/>
    </w:p>
    <w:tbl>
      <w:tblPr>
        <w:tblW w:w="508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203"/>
        <w:gridCol w:w="6533"/>
        <w:gridCol w:w="691"/>
      </w:tblGrid>
      <w:tr>
        <w:trPr/>
        <w:tc>
          <w:tcPr>
            <w:tcW w:w="6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类别</w:t>
            </w: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硬件名称</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技术参数</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数量</w:t>
            </w:r>
            <w:r>
              <w:rPr>
                <w:rFonts w:ascii="宋体" w:hAnsi="宋体" w:cs="宋体"/>
                <w:color w:val="000000"/>
                <w:sz w:val="28"/>
                <w:szCs w:val="28"/>
                <w:highlight w:val="none"/>
              </w:rPr>
            </w:r>
            <w:r/>
          </w:p>
        </w:tc>
      </w:tr>
      <w:tr>
        <w:trPr/>
        <w:tc>
          <w:tcPr>
            <w:tcW w:w="647"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视频监控系统</w:t>
            </w: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全景摄像机</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400万海螺型网络摄像机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最高分辨率可达2688 × 1520 @25 fps，在该分辨率下可输出实时图像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越界侦测：场景变更侦测，区域入侵侦测，越界侦测，进入区域侦测，离开区域侦测，物品遗留侦测，物品拿取侦测，徘徊侦测，停车侦测，人员聚集侦测，快速移动侦测，音频异常侦测，音频抖升侦测，音频抖降侦测</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支持背光补偿，强光抑制，3D数字降噪，120 dB宽动态</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支持与医院现有平台对接。</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采用高效阵列红外灯，使用寿命长，红外照射距离最远可达30 m</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支持最大256 GB卡本地存储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1个内置麦克风，高清拾音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1路报警输入，1路报警输出（报警输出最大支持DC12 V，30 mA），1路音频输入，1路音频输出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支持电源输出，支持DC12 V，100 mA电源输出，可用于拾音器供电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符合IP66防尘防水设计，</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可靠性高网络：1个RJ45 10 M/100 M自适应以太网口</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20</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高保真拾音器</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模拟拾音器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采用高灵敏度高保真麦克风，全向拾音、声音清晰、抗干扰能力强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内置输出级驱动电路，可直接驱动耳机等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适合近距离拾音，最佳拾音范围在3米之内</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自带拾音距离调节旋钮，可根据现场需要调节音量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适用于柜台，收银，谈话桌，会议录音等场所</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拾音头内置雷击保护、电源极性反转保护和电源保护模块</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创新电路设计，内容清晰，音效高保真</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支持吸顶安装、桌面安装和壁装</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支持音量调节功能，与主机级联后可通过后台软件切换通道并调节音量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支持集中供电、摄像机供电、直流电源供电，无需专用电源</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麦克风: 一个高灵敏度全指向驻极体麦</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40</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6T硬盘</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6TB容量，3.5英寸 SATA 3.0接口，5400RPM</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高达256MiB缓冲区，流畅存储视频有效防止丢帧</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24×7全天候高效稳定运行年度工作负载等级为180TB/年</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MTBF可达1,000,000小时</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高级格式（AF）512e扇区技术，保障硬盘扇区4K对齐</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支持3年质保服务</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24</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视频分配器</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输入:HDMI:4 输出HDMI:2;</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65寸液晶监视器</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支持3840*2160@60Hz超高清显示</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采用金属外壳；</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支持远程集中控制</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内置喇叭及功放，支持音频输入支持U盘点播，含文本、图片、音频、视频等多种格式多媒体播放</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支持7 × 24 小时工作模式</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★需提供CNAS、CMA标识的第三方检测报告、CCC认证、节能产品认证证书、环境标志产品认证证书。</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HDMI线</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12米</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HDMI线</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3米</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人脸识别签到机</w:t>
            </w:r>
            <w:r>
              <w:rPr>
                <w:rFonts w:ascii="宋体" w:hAnsi="宋体" w:cs="宋体"/>
                <w:color w:val="000000"/>
                <w:sz w:val="28"/>
                <w:szCs w:val="28"/>
                <w:highlight w:val="none"/>
              </w:rPr>
            </w:r>
            <w:r/>
          </w:p>
        </w:tc>
        <w:tc>
          <w:tcPr>
            <w:tcW w:w="3018" w:type="dxa"/>
            <w:vAlign w:val="center"/>
            <w:textDirection w:val="lrTb"/>
            <w:noWrap w:val="false"/>
          </w:tcPr>
          <w:p>
            <w:pPr>
              <w:pStyle w:val="748"/>
              <w:numPr>
                <w:ilvl w:val="0"/>
                <w:numId w:val="47"/>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设备外观：触摸显示屏，屏幕分辨率800×480，200万像素双目宽动态摄像头，支持照片视频防假；</w:t>
            </w:r>
            <w:r>
              <w:rPr>
                <w:rFonts w:ascii="宋体" w:hAnsi="宋体" w:cs="宋体"/>
                <w:color w:val="000000"/>
                <w:sz w:val="28"/>
                <w:szCs w:val="28"/>
                <w:highlight w:val="none"/>
              </w:rPr>
            </w:r>
            <w:r/>
          </w:p>
          <w:p>
            <w:pPr>
              <w:pStyle w:val="748"/>
              <w:numPr>
                <w:ilvl w:val="0"/>
                <w:numId w:val="47"/>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认证方式：内置身份证阅读模块，支持人证（身份证）比对功能，即将现场抓拍的人脸照片与身份证芯片内人脸小图进行比对，比对时间1s/人；</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3）设备容量≥10000条事件记录，≥10000张证件抓拍照；通讯方式：支持USB接口输出身份证信息、比对结果及抓拍照片。</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11寸平板电脑</w:t>
            </w:r>
            <w:r>
              <w:rPr>
                <w:rFonts w:ascii="宋体" w:hAnsi="宋体" w:cs="宋体"/>
                <w:color w:val="000000"/>
                <w:sz w:val="28"/>
                <w:szCs w:val="28"/>
                <w:highlight w:val="none"/>
              </w:rPr>
            </w:r>
            <w:r/>
          </w:p>
        </w:tc>
        <w:tc>
          <w:tcPr>
            <w:tcW w:w="3018"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尺寸:11 英寸, 分辨率:2560 × 1600, 机身内存（ROM）:128 GB,运行内存（RAM）:6 GB.</w:t>
            </w:r>
            <w:r>
              <w:rPr>
                <w:rFonts w:hint="eastAsia" w:ascii="宋体" w:hAnsi="宋体" w:cs="宋体"/>
                <w:color w:val="000000"/>
                <w:sz w:val="28"/>
                <w:szCs w:val="28"/>
                <w:highlight w:val="none"/>
              </w:rPr>
            </w:r>
            <w:r/>
          </w:p>
          <w:p>
            <w:pPr>
              <w:pStyle w:val="748"/>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★需提供节能产品认证证书。</w:t>
            </w:r>
            <w:r>
              <w:rPr>
                <w:rFonts w:hint="eastAsia"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30</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40位充电柜</w:t>
            </w:r>
            <w:r>
              <w:rPr>
                <w:rFonts w:ascii="宋体" w:hAnsi="宋体" w:cs="宋体"/>
                <w:color w:val="000000"/>
                <w:sz w:val="28"/>
                <w:szCs w:val="28"/>
                <w:highlight w:val="none"/>
              </w:rPr>
            </w:r>
            <w:r/>
          </w:p>
        </w:tc>
        <w:tc>
          <w:tcPr>
            <w:tcW w:w="3018" w:type="dxa"/>
            <w:vAlign w:val="center"/>
            <w:textDirection w:val="lrTb"/>
            <w:noWrap w:val="false"/>
          </w:tcPr>
          <w:p>
            <w:pPr>
              <w:pStyle w:val="748"/>
              <w:numPr>
                <w:ilvl w:val="0"/>
                <w:numId w:val="48"/>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内置USB 5V2.4A直流充电口48个并对应配48条绿色数据线（充电IC芯片智能识别平板、手机等设备所需要的电流，安全、稳定、高效）；</w:t>
            </w:r>
            <w:r>
              <w:rPr>
                <w:rFonts w:ascii="宋体" w:hAnsi="宋体" w:cs="宋体"/>
                <w:color w:val="000000"/>
                <w:sz w:val="28"/>
                <w:szCs w:val="28"/>
                <w:highlight w:val="none"/>
              </w:rPr>
            </w:r>
            <w:r/>
          </w:p>
          <w:p>
            <w:pPr>
              <w:pStyle w:val="748"/>
              <w:numPr>
                <w:ilvl w:val="0"/>
                <w:numId w:val="48"/>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每口独立充电并具备智能LED转灯功能（红灯：充电状态 中，绿灯：充满/未连接），且有对应的数字序号；</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3、金属按钮开关，可过15A以上大电流，兼具电源开关和通电指示功能，单120mm风扇，搭配智能温控系统，30℃±8自动启停</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网络系统</w:t>
            </w: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无线AP</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无电源及注入模块；802.11ac Wave2双频四流，3000Mbps；推荐用户数60-80；支持云端远程管理、监控、云认证、云运维、网络优化的能力。支持可视化配置与监控；支持丰富的认证方式</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AC控制器授权</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授权数量：32路；要求能够匹配医院现有AC控制器</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31</w:t>
            </w:r>
            <w:r>
              <w:rPr>
                <w:rFonts w:ascii="宋体" w:hAnsi="宋体" w:cs="宋体"/>
                <w:color w:val="000000"/>
                <w:sz w:val="28"/>
                <w:szCs w:val="28"/>
                <w:highlight w:val="none"/>
              </w:rPr>
            </w:r>
            <w:r/>
          </w:p>
        </w:tc>
      </w:tr>
      <w:tr>
        <w:trPr/>
        <w:tc>
          <w:tcPr>
            <w:tcW w:w="647"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有线广播系统</w:t>
            </w: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IP吸顶音响</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1.具有1个10/100MRJ45网络交换机接口，支持局域网与广域网</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t xml:space="preserve">.内置≥</w:t>
            </w:r>
            <w:r>
              <w:rPr>
                <w:rFonts w:ascii="宋体" w:hAnsi="宋体" w:cs="宋体"/>
                <w:color w:val="000000"/>
                <w:sz w:val="28"/>
                <w:szCs w:val="28"/>
                <w:highlight w:val="none"/>
              </w:rPr>
              <w:t xml:space="preserve">8</w:t>
            </w:r>
            <w:r>
              <w:rPr>
                <w:rFonts w:hint="eastAsia" w:ascii="宋体" w:hAnsi="宋体" w:cs="宋体"/>
                <w:color w:val="000000"/>
                <w:sz w:val="28"/>
                <w:szCs w:val="28"/>
                <w:highlight w:val="none"/>
              </w:rPr>
              <w:t xml:space="preserve">W数字功放，低功耗设置</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4.提供符合以太网供电（POE）系统IEEE802.3af/at标准的接口和DC供电接口。</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44</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IP云网络广播控制中心</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1.IP网络广播系统软件运行载体，是网络广播系统管理控制中心，对整套广播系统进行实时有效的管理</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2.防震抗干扰，加能静音，耐高低温，适应各种环境</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3.17寸大幅彩屏，触摸屏和鼠标两种操控方式，操作更便利</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4.面板设有2路3.0的USB接口，方便于用户拷贝资料和扩展连接设备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5.设有2路话筒输入，2路线路输入，每路输入具有独立音量调节，1路线路输出，1路短路触发接口，用于扩展自动或手动打开主机，设有5路232串口选配输出，方于用户扩展使用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6.内置PC播放器，能自动或手动播放多种音频格式文件，具有同步广播，分区广播，终端广播，设备控制，终端控制，编辑程序，下载程序等功能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7.支持安卓手机端软件控制分区实时喊话.选择手机本地文件进行分区文件广播</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技术参数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处理器：≥CPUi3；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显示屏：≥17寸高分辨率触摸LED液晶屏，1920*1080分辨率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内存：≥DDR3代8G台式机内存，可扩展至16G</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硬盘：≥128GSSD固态硬盘，内置硬盘盒</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键鼠：抽拉式键盘+触控板</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显卡：集成显卡</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扩展槽：1*PCIEx16，1*PCIEx4，2*PCI</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网络接口：2*10/100/1000Mbps自适应网口，支持远程唤醒</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接口数量：1*VGA，1*DVI，6*COM，6*USB</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网络化、智能化广播控制软件</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产品功能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1.采用B/S架构，用户可随时通过web客户端访问，无需安装专用客户端，安全灵活。</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2.平台显示终端的：设备ID.设备名称.网络信息及在线状态.通话编码.默认音量和设置图标，平台可随时监测和查询各终端即时工作状态。</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3.支持Android操作系统手机APP管理和操作，简单方便</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4.支持单点播放：可以对任意单点.组群.分区或全部广播。系统可以在同一时间设定任意多个组播放制定的音频节目，或对任意指定的区域进行广播讲话。</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5.支持自动音乐打铃：支持多套定时打铃方案同时运行，能够设置个性化的音乐铃声，自动按照编排好的作息时间表播放铃声。播放音频可定义自动打开电源时间，播放结束后自动关闭。</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6.远程分控讲话：无需到广播中心，通过与服务器连接的任意一台电脑，便可以实现广播的远程控制从而实现领导通过电脑远程对全区.分区.分组讲话。</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7.音频实时采播：能够将自用电台.录音机卡座.CD播放器.MP3播放器.麦克风等节目实时采播实时压缩成高音质数据流，并可按要求同时转播到指定的广播终端，用于播放外接设备广播及广播通知等。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8.分区自由点播：可控制分布在每个广播点的广播终端完成服务器中资料库的任意点播。</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9.定时节目播放功能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10.支持一键呼叫.一键对讲.一键求助.一键报警等通话模式，支持自动接听.手动接听，支持自定义接听提示音。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11.寻呼对讲录音功能：终端可以对其他单个或多个终端实现呼叫，终端与终端之间还可以双向对讲（多个终端对讲，会议模式）。系统提供终端对讲按指定时长分多个文件保存的录音功能，从而实现控制室对任意区域的广播点讲话并同时进行录音功能，办公室之间.广播点之间.办公室与广播点之间的呼叫对讲及录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12.广播监听：在广播管理中心或者领导办公室，可以实时监听到所有的广播节目。</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13.本地扩音：广播点内IP广播.本地扩音共用音箱，实现广播点内声音的智能切换。</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14.报警联动：结合网络报警主机接收报警信号，在服务器软件上预先设置报警模式，即可进行报警联动功能。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15.支持多种呼叫策略，包括呼叫等待.无人接听提醒，支持时间策略。支持设置对讲终端呼叫策略，可自定义通话时间，可选择是否自动接听，支持自定义选择来电铃声与等待铃声。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16.节目源和数据不受限制：系统采用采集.编码.压缩技术，使各类节目源均不受限制。节目源包括诸如话筒.卡座.CD.调谐器等模拟音源。IP网络广播在不同终端所播出的不同节目数量亦不受限。IP网络广播终端安装多少，同时播出的节目数量就可达到多少。</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17.站点无限，扩容简便：基于IP数据网络每个终端都有独立的IP地址，只需将分控电脑或网络终端接入IP数据网络，就成功扩容了新的站点。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19.管理员可对系统当前正在执行的任务进行管理。（任务监听，任务查看，任务控制）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20.软件注册，支持序列号或加密狗方式对系统进行授权使用。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21.用户管理，管理员可以对系统下辖账号的管理，终端授权，优先级设置。</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22.考试模式，针对校园使用场景，优化广播备份的切换方式在300ms内由网络切换到100v定压备份。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23.系统备份，备份系统数据，进行本地保存，提高系统的容错。在系统发生不可逆问题时，恢复备份数据，快速修复系统。</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24.系统日志，实时记录系统的操作和任务执行，同时记录对讲和呼叫任务的通话记录，便于管理人员的维护和数据调取。</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7寸IP网络寻呼话筒</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1.桌面式设计，自带≥7英寸电容触摸屏控制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2.采用高速工业级芯片，采用嵌入式计算机技术和DSP音频处理技术设计</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3.支持呼叫分区及多个分区，呼叫全区广播，支持直接操作呼叫或对讲任意终端，支持直接操作监听（环境监听）</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4.内置3W全频高保真扬声器，支持全双工双向对讲功能，自带网络回声消除模块，实现双向通话和网络监听</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5.内置MP3解码模块，能接入U盘直接在本地播放音频文件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6.支持网络搜索IP配置，无需知道终端IP地址，可直接寻址配置，支持静态IP和DHCP两种方式配置，可跨网段跨路由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7.内置1路网络硬件音频解码模块，支持TCP/IP、UDP、IGMP(组播)协议，实现网络化传输16bit，CD音质的音频信号</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8.终端带有1路RJ45网口、1路音频线路输出、1路音频线路输入、1路USB接口</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9.支持网络远程在线升级</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10.具有U-KEY接口，支持对用户操作进行授权（选配）</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11.具有1路线路输入、1路线路输出及1路MIC输入，支持外接耳机、便携式麦克风或有音源音箱进行外放功能。</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窗口双向对讲机</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窗口对讲（非可视）；</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采用嵌入式Linux操作系统, 高性能嵌入式SOC处理器，系统运行稳定可靠；</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支持内机与外机之间全双工对讲。</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支持和管理中心双向对讲，支持中心主动预览与广播；</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支持音频扩展，3.5mm标准音频接口可外接有源音箱；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内置全频段优质扬声器和拾音器，采用防破音技术，声音响亮清晰；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音频输入：内机：1路外接高灵敏度超心型指向鹅颈咪杆，拾音距离≥50厘米；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外机：1路内置高灵敏度全指向麦克风，拾音距离≥1米；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音频输出：内机：1路内置2W扬声器，1路3.5mm音频输出；外机：1路内置3W扬声器</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电子班牌系统</w:t>
            </w: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19寸电子门牌</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18.5"Android 触摸一体机CPU：四核处理器，RAM：2+16G</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20</w:t>
            </w:r>
            <w:r>
              <w:rPr>
                <w:rFonts w:ascii="宋体" w:hAnsi="宋体" w:cs="宋体"/>
                <w:color w:val="000000"/>
                <w:sz w:val="28"/>
                <w:szCs w:val="28"/>
                <w:highlight w:val="none"/>
              </w:rPr>
            </w:r>
            <w:r/>
          </w:p>
        </w:tc>
      </w:tr>
      <w:tr>
        <w:trPr/>
        <w:tc>
          <w:tcPr>
            <w:tcW w:w="647"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多媒体会议系统</w:t>
            </w: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投影仪</w:t>
            </w:r>
            <w:r>
              <w:rPr>
                <w:rFonts w:ascii="宋体" w:hAnsi="宋体" w:cs="宋体"/>
                <w:color w:val="000000"/>
                <w:sz w:val="28"/>
                <w:szCs w:val="28"/>
                <w:highlight w:val="none"/>
              </w:rPr>
            </w:r>
            <w:r/>
          </w:p>
        </w:tc>
        <w:tc>
          <w:tcPr>
            <w:tcW w:w="3018" w:type="dxa"/>
            <w:vAlign w:val="center"/>
            <w:textDirection w:val="lrTb"/>
            <w:noWrap w:val="false"/>
          </w:tcPr>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采用新型MCL复合式激光光源，色域更广，画质细腻，分辨率≥1920*1200</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显示技术采用Liquid Crystal Display显示技术，显示面板尺寸3X0.64英寸</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镜头投射比至少涵盖1.22~1.98 </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支持镜头位移，镜头位移范围至少涵盖：V:＋60%～0%、 H:±29%</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亮度≥6200流明，对比度≥5000000:1；寿命≥20000小时；支持7*24小时不间断运行；</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在投影菜单中可以对画面进行4角调整、6角调整、11*17点格点拉伸以及水平和垂直梯形矫正等功能，更便于投影机画面调节；</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投影机支持2x360度灵活投影，且吊装时会自动旋转画面至正常观影角度。</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菜单中可调节画面模式为DICOM图像模式以及黑板模式</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采用内循环密闭散热系统，高效冷却和低噪音优势并存；</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可通过智能手机或平板电脑控制投影机机运行状态、支持Crestron、PJlink等网络控制投影机;</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在菜单中可以调节画面比例为16:9，16:10，4：3</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输入接口具备：VGA*1，HDMI 1.4B(IN) *2，USB，R</w:t>
            </w:r>
            <w:r>
              <w:rPr>
                <w:rFonts w:ascii="宋体" w:hAnsi="宋体" w:cs="宋体"/>
                <w:color w:val="000000"/>
                <w:sz w:val="28"/>
                <w:szCs w:val="28"/>
                <w:highlight w:val="none"/>
              </w:rPr>
              <w:t xml:space="preserve">J45 </w:t>
            </w:r>
            <w:r>
              <w:rPr>
                <w:rFonts w:hint="eastAsia" w:ascii="宋体" w:hAnsi="宋体" w:cs="宋体"/>
                <w:color w:val="000000"/>
                <w:sz w:val="28"/>
                <w:szCs w:val="28"/>
                <w:highlight w:val="none"/>
              </w:rPr>
              <w:t xml:space="preserve">音频口</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输出接口具备：VGA*1，Audio out*1，RS232*1，RJ45*1，USB</w:t>
            </w:r>
            <w:r>
              <w:rPr>
                <w:rFonts w:ascii="宋体" w:hAnsi="宋体" w:cs="宋体"/>
                <w:color w:val="000000"/>
                <w:sz w:val="28"/>
                <w:szCs w:val="28"/>
                <w:highlight w:val="none"/>
              </w:rPr>
            </w:r>
            <w:r/>
          </w:p>
          <w:p>
            <w:pPr>
              <w:pStyle w:val="748"/>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支持红外控制、支持RS232串口控制</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t xml:space="preserve">5</w:t>
            </w:r>
            <w:r>
              <w:rPr>
                <w:rFonts w:hint="eastAsia" w:ascii="宋体" w:hAnsi="宋体" w:cs="宋体"/>
                <w:color w:val="000000"/>
                <w:sz w:val="28"/>
                <w:szCs w:val="28"/>
                <w:highlight w:val="none"/>
              </w:rPr>
              <w:t xml:space="preserve">.提供投影机3C证书、节能环保证书并加盖生产商公章；</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t xml:space="preserve">6</w:t>
            </w:r>
            <w:r>
              <w:rPr>
                <w:rFonts w:hint="eastAsia" w:ascii="宋体" w:hAnsi="宋体" w:cs="宋体"/>
                <w:color w:val="000000"/>
                <w:sz w:val="28"/>
                <w:szCs w:val="28"/>
                <w:highlight w:val="none"/>
              </w:rPr>
              <w:t xml:space="preserve">.所投激光投影机品牌方和工厂均通过ISO9001,IOS14001认证</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无线投屏器</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1无线连接方式:插入按键安装程序，自动运行，一键分享</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2、无需在PC上安装软件，无需占用电脑WI-FI；无线投屏主机自带Wifi无线桥接局域网保证手机连接主机同时可上网</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3、单USB接口设计，无需额外供电线及其他端口</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4、兼容Windows 7/8.1/10 32位和64位，MAC OS X 10,10/10.11/10.12/10.13,兼容IOS9,OS X 10.10/10.11和以上版本，Android 5.0</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5、传屏不占用电脑wifi，电脑仍可以上网</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6、无线传输距离:可达30米视距，主机和按键之间</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ascii="宋体" w:hAnsi="宋体" w:cs="宋体"/>
                <w:color w:val="000000"/>
                <w:sz w:val="28"/>
                <w:szCs w:val="28"/>
                <w:highlight w:val="none"/>
              </w:rPr>
              <w:t xml:space="preserve">7</w:t>
            </w:r>
            <w:r>
              <w:rPr>
                <w:rFonts w:hint="eastAsia" w:ascii="宋体" w:hAnsi="宋体" w:cs="宋体"/>
                <w:color w:val="000000"/>
                <w:sz w:val="28"/>
                <w:szCs w:val="28"/>
                <w:highlight w:val="none"/>
              </w:rPr>
              <w:t xml:space="preserve">,无线传输速率:可达867Mbps </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8、传输延时：延时小于120ms</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9、视频输出分辨率：HDMI ;1024x768、1280x720、1280x800、1280x1024、1366x768、1920x1080、1920X1200. 4K</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支持4:3、16:9、16:10输出，便于连接各种显示终端</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t xml:space="preserve">0</w:t>
            </w:r>
            <w:r>
              <w:rPr>
                <w:rFonts w:hint="eastAsia" w:ascii="宋体" w:hAnsi="宋体" w:cs="宋体"/>
                <w:color w:val="000000"/>
                <w:sz w:val="28"/>
                <w:szCs w:val="28"/>
                <w:highlight w:val="none"/>
              </w:rPr>
              <w:t xml:space="preserve">、同时显示源端数量:最大1路</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ascii="宋体" w:hAnsi="宋体" w:cs="宋体"/>
                <w:color w:val="000000"/>
                <w:sz w:val="28"/>
                <w:szCs w:val="28"/>
                <w:highlight w:val="none"/>
              </w:rPr>
              <w:t xml:space="preserve">11</w:t>
            </w:r>
            <w:r>
              <w:rPr>
                <w:rFonts w:hint="eastAsia" w:ascii="宋体" w:hAnsi="宋体" w:cs="宋体"/>
                <w:color w:val="000000"/>
                <w:sz w:val="28"/>
                <w:szCs w:val="28"/>
                <w:highlight w:val="none"/>
              </w:rPr>
              <w:t xml:space="preserve">、支持扩展屏模式/支持屏幕旋转（竖屏）</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t xml:space="preserve">、默认情况下盒子支持10个USB按键1</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、支持安卓投屏时音视频同时输出，同时兼容Mirrcast无线投射</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幕布</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150寸16:9电动幕布；幕布宽3.32米，高1.86米；外壳3.6米；无线和有线双遥控；</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数字音频处理器</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1.2进4出矩阵式数字音频处理器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2.高达96KHz采样频率，32-bitDSP处理器，24-bitA/D及D/A转换器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每个输入和输出处理均有6段独立的全参量均衡，调节增益范围可达±20dB，同时还可选择参量、高调、低调、1阶全通、2阶全通5种均衡模式；均有延时和相位控制及哑音设置，延时最长可达1000ms，延时单位可选择毫秒(ms)、米(m)、英尺(ft)三种，延时可通过粗调及细调模式进行调节</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4.每个输入通道可调噪声门，并且每个输入通道有两段全参数可调的动态均衡（DEQ），自动增益控制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5.输出通道还可独立控制压缩、限幅及自由选择输入信号通道，并能将某通道的所有参数复制到另外一个通道同时进行联动控制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6.设备内每个功能支持单独锁定，可根据现场要求任意开放或锁定某一个单独的功能，防止误操作和数据保密</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7.可通过面板的功能键和拔轮进行功能设置，也可连接电脑通过PC控制软件来控制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8.提供USB2.0、USB3.0和RS485连接电脑或中控设备，其中RS485接口可级连250台设备设ID进行控制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9.设备软件内置中控代码生成器、可实现一键中英文切换</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10.设备内置网页版控制软件，可以通过TCP/IP网络控制接口实现网络远程控制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11.2x24LCD蓝色背光显示功能设置，8段LED精确显示输入/输出的数字电平表、哑音及编辑状态</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12.单机可存储30组用户程序数据</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8路专业调音台</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1.6路两用话筒输入，1组（2路）立体声输入</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2.具有数字显示屏，内置99种DSP效果</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3.1组主输出，1路效果输出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4.输入每路具有三段可调</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5.带48V幻像供电</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6.带录音功能的多功能MP3播放器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7.总输出7段均衡可调</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300W专业功放</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1.采用H类电路设计，具有高效率的功率转换和高动态表现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2.环牛电源变压器，10000UF超大电解电容，保证连续的功率输出和高负载特性</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3.系统采用计算机模拟仿真设计，通道输入输出之间零干扰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4.电源采用独立屏蔽方式，对信号的干扰减到最低，有更高的用电安全性</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5.独特的在线负载阻值检测，支持检测分析系统温度以调整输出累积功率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6.提供立体声、桥接、并联三种工作模式可选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7.XLR平衡接头输入和输出，提供纽崔克和接线柱两种扬声器连接方式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8.前面板带有精确的音量旋钮控制，并具有故障.削峰.信号和电源指示灯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9.配备延时启动系统，有效避免开机浪涌，保护音箱不受冲击而损坏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10.第五代散热架构，机器内部拥有从前到后的导风系统，风机会随机内的温度自动升高而加速排热</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11.提供全功能保护，包括直流保护、过载保护、短路保护、过热保护、软启动、失真限幅输出等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技术参数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立体声输出：2x300W/8Ω2x525W/4Ω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桥接输出：900W/8Ω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频率响应：20Hz～20KHz(±1dB)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输入灵敏度：0.775V</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谐波失真：&lt;0.1%(1KHz,8Ω)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信噪比：≥100dB(A计权)</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转换速率：25V/μS</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输入阻抗：平衡20KΩ/不平衡10KΩ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阻尼系数：≥300(1KHz,8Ω)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通道隔离度：60dB@8Ω1KHz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工作电源：AC190-220V~50/60Hz</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8寸多功能音箱（带支架）</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1.8"大功率低音+1"高能压缩高音构成的两分频专业音箱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2.不规则四面多用途箱体，适合不同场合与不同功能用途使用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3.H80°xV60°可90度旋转的恒指向方形号角适用于中短距离的投射使用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4.优质高效无源12dB倍频程及高音单元均衡处理分频器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5.多功能厅与中小型会场专用设计，高密度板材制作</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6.钢制面网贴有声学透声防水海绵，并具有良好的透声率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技术参数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系统类型：两分频无源音箱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扬声器单元：中低音单元1x8"，高音单元1x1"</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额定功率：200W</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节目功率：400W</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峰值功率：800W</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标称阻抗：8Ω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频响范围：70Hz～18KHz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灵敏度：94dB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最大声压：117dB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节目声压：120dB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峰值声压：123dB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辐射角度：80°x60°（可旋转）</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连接器：2xNeutrikNL4</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8路电源时序器</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1.8路电源时序控制，每路延时1秒</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2.采用多功能一体化设计，1U机箱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3.设备级联接口采用RJ45网头设计，通过网钳制作网线即可。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4.支持RS232.RS485串口输入控制。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5.支持串口指令独立控制以及串口独立控制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6.支持设备多台级联</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7.支持无源消防信号启动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技术参数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工作电压：AC220V/50~60HZ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最大负载：&lt;7000W（阻性负载）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单路负载：&lt;4000W</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可控路数：8路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外部控制：标准RS232/RS485串口控制</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一拖二无线话筒</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1.一拖二无线手持话筒，支持混合和独立输出，每个通道音频音量输出独立可控</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2.具有LED显示屏，可显示RF和AF信号强度，频率，频率组/频道等工作状态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3.具有IR红外线自动对频功能,一键自动对频锁定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4.使用距离理想环境达到80m，复杂环境使用距离可达50m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5.独立设计新型底座，是要求极高的高级会议工程的理想设备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6.全新概念的抗电磁干扰电路设计，杜绝手机等电子产品的电磁干扰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7.可多组同时使用互不干扰，适合多种复杂场合使用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8.金属外壳的1U标准机柜设计结构</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技术参数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频率范围：610MHz-670MHz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调制方式: FM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信道数目: 200个</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频率稳定度: ±0.005%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动态范围:  &gt;110dB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峰值频偏: ±45KHz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音频响应: 60HZ-18KHZ(±3dB)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综合信噪比: &gt;105dB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综合失真： &lt;0.5%</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86寸会议平板</w:t>
            </w:r>
            <w:r>
              <w:rPr>
                <w:rFonts w:ascii="宋体" w:hAnsi="宋体" w:cs="宋体"/>
                <w:color w:val="000000"/>
                <w:sz w:val="28"/>
                <w:szCs w:val="28"/>
                <w:highlight w:val="none"/>
              </w:rPr>
            </w:r>
            <w:r/>
          </w:p>
        </w:tc>
        <w:tc>
          <w:tcPr>
            <w:tcW w:w="3018" w:type="dxa"/>
            <w:vAlign w:val="center"/>
            <w:textDirection w:val="lrTb"/>
            <w:noWrap w:val="false"/>
          </w:tcPr>
          <w:p>
            <w:pPr>
              <w:pStyle w:val="864"/>
              <w:rPr>
                <w:rFonts w:ascii="宋体" w:hAnsi="宋体" w:cs="宋体"/>
                <w:color w:val="000000"/>
                <w:sz w:val="28"/>
                <w:szCs w:val="28"/>
                <w:highlight w:val="none"/>
              </w:rPr>
            </w:pPr>
            <w:r>
              <w:rPr>
                <w:rFonts w:hint="eastAsia" w:ascii="宋体" w:hAnsi="宋体" w:cs="宋体"/>
                <w:color w:val="000000"/>
                <w:sz w:val="28"/>
                <w:szCs w:val="28"/>
                <w:highlight w:val="none"/>
              </w:rPr>
              <w:t xml:space="preserve">86寸智能交互会议平板</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4K显示：4K分辨率，画面细节可见；防眩光抗指纹，不惧强光；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高速书写：1mm触摸精度，书写自然流畅；智能笔锋优化，字迹逼真；</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会议内容，一键分享：书写内容可通过扫码、邮件分享，精力集中于会议内容，提升效率；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自由批注，书写无边界</w:t>
            </w:r>
            <w:r>
              <w:rPr>
                <w:rFonts w:ascii="宋体" w:hAnsi="宋体" w:cs="宋体"/>
                <w:color w:val="000000"/>
                <w:sz w:val="28"/>
                <w:szCs w:val="28"/>
                <w:highlight w:val="none"/>
              </w:rPr>
            </w:r>
            <w:r/>
          </w:p>
          <w:p>
            <w:pPr>
              <w:pStyle w:val="864"/>
              <w:rPr>
                <w:rFonts w:ascii="宋体" w:hAnsi="宋体" w:cs="宋体"/>
                <w:color w:val="000000"/>
                <w:sz w:val="28"/>
                <w:szCs w:val="28"/>
                <w:highlight w:val="none"/>
              </w:rPr>
            </w:pPr>
            <w:r>
              <w:rPr>
                <w:rFonts w:hint="eastAsia" w:ascii="宋体" w:hAnsi="宋体" w:cs="宋体"/>
                <w:color w:val="000000"/>
                <w:sz w:val="28"/>
                <w:szCs w:val="28"/>
                <w:highlight w:val="none"/>
              </w:rPr>
              <w:t xml:space="preserve">无线投屏：笔记本/台式机/手机/pad无线投屏；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协同办公：支持软、硬件视频会议，远程协作零距离；大型场景多屏互动，触摸书写大屏同步显示。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显示尺寸：86 inch LED背光源</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背光源类型：DLED</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像素间距：0.164(H) × 0.493(V) mm</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物理分辨率：3840 × 2160 @60 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亮度：≥350 cd/m²</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色深度：≥10 bit</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对比度：1200：1（Typ.）</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响应时间：≤6 ms</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色域：90% NTSC（CIE1931）（Typ.）</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刷新率：60 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可视角：178°(H)/178°(V)</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连续使用时间：7*16小时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操作系统：Android</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CPU：≥4核主频1.5 GHz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内存：3 GB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内置存储：≥32 GB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网卡：内置百兆网卡，支持路由功能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触摸方式：红外触控</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玻璃：AG顺滑玻璃</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触控点：20点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触控响应速度：＜ 12 ms</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触摸精度：90%以上的触摸区域为 ±1 mm</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触摸工艺：零贴合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内部喇叭：2个内置16W音箱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蓝牙：内置BLE低功耗蓝牙模块，支持5.0及以下蓝牙版本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音视频输入接口：HDMI IN 2路，最大4K@60Hz；LINE IN 1路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音视频输出接口：LINE OUT 1路；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控制接口：RS-232 1个</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网络接口：RJ45(百兆网口) 2个</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数据传输接口：USB接口 2个前置接口，2个板载接口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电源：AC 100 V～240 V，50/60 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★需提供CNAS、CMA标识的第三方检测报告、CCC认证、节能产品认证证书、环境标志产品认证证书。 </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65寸会议平板</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面板类型：AU TFT-LCD，液晶屏</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面板尺寸：65寸</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显示比例:16：9</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分辩率:1920(RGB)×1080(FHD)</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触摸屏类型:65寸红外10点触摸屏</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触摸分辩率:4096×4096</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扫描率:50 scans/s</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透光率:钢化玻璃，透光率≥95%</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最小触摸体:2.5mm</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响应速度:＜16 ms</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触摸介质:手指、触摸笔等不透光物体</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耐久性承受超过6000万次以上的单点触摸</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供电方式:USB直接供电</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操作系统：</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Win7/Win8/Xp/VISTA/Linux/Android</w:t>
            </w:r>
            <w:r>
              <w:rPr>
                <w:rFonts w:ascii="宋体" w:hAnsi="宋体" w:cs="宋体"/>
                <w:color w:val="000000"/>
                <w:sz w:val="28"/>
                <w:szCs w:val="28"/>
                <w:highlight w:val="none"/>
              </w:rPr>
            </w:r>
            <w:r/>
          </w:p>
          <w:p>
            <w:pPr>
              <w:pStyle w:val="748"/>
              <w:jc w:val="left"/>
              <w:rPr>
                <w:rFonts w:ascii="宋体" w:hAnsi="宋体" w:cs="宋体"/>
                <w:color w:val="000000"/>
                <w:sz w:val="28"/>
                <w:szCs w:val="28"/>
                <w:highlight w:val="none"/>
              </w:rPr>
            </w:pPr>
            <w:r>
              <w:rPr>
                <w:rFonts w:hint="eastAsia" w:ascii="宋体" w:hAnsi="宋体" w:cs="宋体"/>
                <w:color w:val="000000"/>
                <w:sz w:val="28"/>
                <w:szCs w:val="28"/>
                <w:highlight w:val="none"/>
              </w:rPr>
              <w:t xml:space="preserve">中央处理器：</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四核架构， 主频≥1.8 GHz</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内置存储器：</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NAND FLASH 4G(可选8G/16G/32G)</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存储器扩展：</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最高支持32GB的SD卡扩展，同时支持SATA硬盘扩展</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内存：≥16g</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CPU：≥2G</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网络：</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支持以太网、WiFi</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支持板载≥3G模块功能（可选，默认无）蓝牙</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支持板载蓝牙功能（可选，默认无）</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电源电压</w:t>
            </w:r>
            <w:r>
              <w:rPr>
                <w:rFonts w:ascii="宋体" w:hAnsi="宋体" w:cs="宋体"/>
                <w:color w:val="000000"/>
                <w:sz w:val="28"/>
                <w:szCs w:val="28"/>
                <w:highlight w:val="none"/>
              </w:rPr>
            </w:r>
            <w:r/>
          </w:p>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12V DC-IN</w:t>
            </w:r>
            <w:r>
              <w:rPr>
                <w:rFonts w:hint="eastAsia" w:ascii="宋体" w:hAnsi="宋体" w:cs="宋体"/>
                <w:color w:val="000000"/>
                <w:sz w:val="28"/>
                <w:szCs w:val="28"/>
                <w:highlight w:val="none"/>
              </w:rPr>
            </w:r>
            <w:r/>
          </w:p>
          <w:p>
            <w:pPr>
              <w:pStyle w:val="748"/>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★需提供CNAS、CMA标识的第三方检测报告、CCC认证、节能产品认证证书、环境标志产品认证证书。</w:t>
            </w:r>
            <w:r>
              <w:rPr>
                <w:rFonts w:hint="eastAsia"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音频辅助耗材</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国标及以上</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restart"/>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移动推车</w:t>
            </w: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可视化示教培训综合管理软件</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支持一键将远端设备投屏到本地，便于开展手术示教；</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支持手术视频支持多路并发投屏，可同时观看多间手术室视频画面；</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支持静音投屏，远端声音可控，自由切换声音；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支持多路并发手术观摩，可同时支持多个示教室/报告厅/会议室观摩；</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支持视频预览画面选择，可全屏、画中画、二分屏、三分屏、四分屏等多种选择，提供最佳视觉观看比例；</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支持跨设备画面融合，支持画中画，画中画、二分屏、三分屏、四分屏等多种视频模式；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支持同时预览多台设备视频，便于控制室确认画面情况</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支持本地客户端预览、对讲音量的调节；</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支持设备视频录制，通道可配置，支持静音录制，保护隐私；</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支持预览画面抓图，便于术后分析、论文编写；</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支持画面调焦、变倍、云台，查看记录更多示教细节；</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支持语音对讲，便于导播台与手术室沟通；支持音频互动，满足手术与示教室直播通话需求；</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支持视频点播/图片查看，支持视频下载，便于示教后直接拷贝视频；</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支持设备IP自动更新，支持设备状态检测，支持设备时间校验；</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移动示教推车</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立柱材质：铝合金，阳极氧化</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工作台高度：工作台面距离地面700mm-1100mm可调；</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工作台最大载重：≤15kg</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机柜可用空间：≥7U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机柜材质：≥1.5mm厚冷轧钢板</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屏幕挂架载重：≤5kg</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屏幕挂架调节角度：左右旋转±90°，水平调节±90°，俯仰角度±45°，悬停范围±170mm，可悬停</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屏幕挂架升降类型：手动（螺钉紧固）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全景摄像机挂架载重：≤5kg</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全景摄像机挂架载重：1/4英制螺孔</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脚轮类型：万向及双轮全制动静音脚轮*4个</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电源：220VAC±20VAC，50Hz～60Hz，国标品字尾；内置8孔机柜PDU插排</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电源开关：1个</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外置输入接口：DVI-I*2；S-Video(4PIN)*1；BNC(video)*1；BNC(3G-SDI)*1；VGA*1；RJ45*1</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工作温度与湿度：-10℃ ~50℃，≤90％RH</w:t>
            </w:r>
            <w:r>
              <w:rPr>
                <w:rFonts w:hint="eastAsia" w:ascii="宋体" w:hAnsi="宋体" w:cs="宋体"/>
                <w:color w:val="000000"/>
                <w:sz w:val="28"/>
                <w:szCs w:val="28"/>
                <w:highlight w:val="none"/>
              </w:rPr>
              <w:br w:type="textWrapping" w:clear="all"/>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摄录主机</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 嵌入式硬件架构，linux操作系统，程序固化不受病毒威胁，可长期稳定运行；</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 支持3G-SDI、HDMI、VGA、DVI-I等4种高清视频接口，S-VIDEO、CVBS等2种标清视频接口，实现信号同步实时采集；</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 支持4路1080P@60fps输入及环通输出，环通输出信号无损无延时，其中HDMI输入支持4K；</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 支持画中画和多画面融合录播（可配置）；</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 支持HDMI2.0和VGA解码输出，HDMI最大支持4K；</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 内嵌5英寸720P彩色液晶显示屏，搭配前面板按键可进行本机UI操作，支持一键开启、暂停或停止视频录制等多项操作；</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 支持脚踏板开关控制录像、抓图；</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 支持红外遥控器操作控制；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9. 采用高品质AAC音频编码技术,支持音频3进1出，支持多路混音、回音消除、啸叫抑制等处理；</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 支持RS485通信接口， HIKVISION、PELCO-P 和   PELCO-D等通信协议，可实现PTZ控制；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11. 支持本地储存（硬盘、U盘、移动硬盘）；</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12. 支持1个SATA盘，最大可支持2TB硬盘；</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13. 支持USB3.0，可实现音视频的高速录制和拷贝；</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14. 支持录像/图片文件检索、回放，支持录像循环覆盖；</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15. 支持MP4格式录像大文件；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16. 支持按关键字搜索，提高检索效率；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17. 支持远程多设备间的音视频互动；</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全景相机</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支持H.265高效压缩算法，可较大节省存储空间</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支持超低照度，0.005Lux/F1.6(彩色),0.001Lux/F1.6(黑白)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支持20倍光学变倍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支持HDMI和3G-SDI视频输出接口，实现无损耗数字信号传输，最大支持1080p@60fps高帧率输出,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支持三码流技术，每路码流可独立配置分辨率及帧率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支持区域入侵侦测、越界侦测、移动侦测等智能侦测功能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支持断网续传功能保证录像不丢失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支持宽动态范围达120dB，适合逆光环境拍摄</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支持3D数字降噪、强光抑制、电子防抖</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支持水平0°～350°旋转，垂直方向-30°～90°</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支持300个预置位，8条巡航扫描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支持3D定位，可通过鼠标框选目标以实现目标的快速定位与捕捉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支持定时抓图与事件抓图功能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支持区域曝光与区域聚焦功能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支持定时任务、一键守望、一键巡航功能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支持1路音频输入和1路音频输出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支持1路报警输入和1路报警输出，支持报警联动功能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支持最大≥256G的卡存储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支持红外遥控器控制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防雷、防浪涌、防突波</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支持POE</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术野相机</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200万像素逐行扫描1/2.8”CMOS；</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10倍光学变焦；</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高清信号输出；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最大分辨率可达1920X1080@60；</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支持ND滤镜，多种场景模式可切换；</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支持画面冻结功能；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支持遥控器、按键面板、RS485等多种控制方式；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支持强光抑制、防闪烁，可在无影灯环境下提供图像清晰、色彩真实、细节丰富的</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术野相机吊臂</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最大臂展：≥1.8米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水平180°可调，垂直-45°～50°可调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悬力平衡范围：1.5-3.5kg</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内置数据线与DC电源线</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无线麦</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频率范围：740 790MHz</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调制方式：宽带FM</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可调范围：50MHz</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信道数量：200</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信道间隔：250KHz</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频率稳定度：±0.005%以内</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动态范围：90dB</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调制频偏：±45KHz</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音频响应：80Hz～15KHz</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综合信噪比：&gt;95dB</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综合失真：≤0.5%</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接收机方式：二次变频超外差</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中频频率：一中频：110MHz,</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二中频: 10.7MHz</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无线接口：TNC/50Ω</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灵敏度：12 dBμV (80dBS/N)</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灵敏度调节范围：12-32 dBμV</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杂散抑制：≥75dB</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接收机指标：</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输出功率：高功率10mW；低功率3mW</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杂散抑制：-60dB</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供电：两节AA 电池</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使用时间：≥10个小时</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音箱</w:t>
            </w:r>
            <w:r>
              <w:rPr>
                <w:rFonts w:ascii="宋体" w:hAnsi="宋体" w:cs="宋体"/>
                <w:color w:val="000000"/>
                <w:sz w:val="28"/>
                <w:szCs w:val="28"/>
                <w:highlight w:val="none"/>
              </w:rPr>
            </w:r>
            <w:r/>
          </w:p>
        </w:tc>
        <w:tc>
          <w:tcPr>
            <w:tcW w:w="3018"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有源无源：有源  </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功率：≥6w</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频率响应：80Hz —20kHz  </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信噪比：80db  </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调节形式：旋钮  </w:t>
            </w:r>
            <w:r>
              <w:rPr>
                <w:rFonts w:ascii="宋体" w:hAnsi="宋体" w:cs="宋体"/>
                <w:color w:val="000000"/>
                <w:sz w:val="28"/>
                <w:szCs w:val="28"/>
                <w:highlight w:val="none"/>
              </w:rPr>
            </w:r>
            <w:r/>
          </w:p>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输入接口：3.5毫米音频接口  </w:t>
            </w:r>
            <w:r>
              <w:rPr>
                <w:rFonts w:ascii="宋体" w:hAnsi="宋体" w:cs="宋体"/>
                <w:color w:val="000000"/>
                <w:sz w:val="28"/>
                <w:szCs w:val="28"/>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748"/>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24寸监视器</w:t>
            </w:r>
            <w:r>
              <w:rPr>
                <w:rFonts w:hint="eastAsia" w:ascii="宋体" w:hAnsi="宋体" w:cs="宋体"/>
                <w:color w:val="000000"/>
                <w:sz w:val="28"/>
                <w:szCs w:val="28"/>
                <w:highlight w:val="none"/>
              </w:rPr>
            </w:r>
            <w:r/>
          </w:p>
        </w:tc>
        <w:tc>
          <w:tcPr>
            <w:tcW w:w="3018" w:type="dxa"/>
            <w:vAlign w:val="center"/>
            <w:textDirection w:val="lrTb"/>
            <w:noWrap w:val="false"/>
          </w:tcPr>
          <w:p>
            <w:pPr>
              <w:pStyle w:val="74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24寸监视器FHD塑胶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三边超窄边框，纤薄机身</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支持8bit/10bit 双路LVDS(1920×1080)高清显示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采用3D数字梳状滤波器、3D降噪技术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采用可编程12-bit RGB gamma校正技术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采用Mstar ACE-5自动彩色及图像增强引擎，改善图像的对比度，细节，边缘等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内置喇叭，支持音频输入</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标准BNC接口，支持一路BNC视频输入</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支持文本、图片、音频、视频等多种格式多媒体播放</w:t>
            </w:r>
            <w:r>
              <w:rPr>
                <w:rFonts w:hint="eastAsia" w:ascii="宋体" w:hAnsi="宋体" w:cs="宋体"/>
                <w:color w:val="000000"/>
                <w:sz w:val="28"/>
                <w:szCs w:val="28"/>
                <w:highlight w:val="none"/>
              </w:rPr>
            </w:r>
            <w:r/>
          </w:p>
          <w:p>
            <w:pPr>
              <w:pStyle w:val="869"/>
              <w:rPr>
                <w:rFonts w:hint="eastAsia" w:eastAsia="宋体"/>
                <w:color w:val="000000"/>
                <w:highlight w:val="none"/>
              </w:rPr>
            </w:pPr>
            <w:r>
              <w:rPr>
                <w:rFonts w:hint="eastAsia" w:ascii="宋体" w:hAnsi="宋体" w:cs="宋体"/>
                <w:b/>
                <w:bCs/>
                <w:color w:val="000000"/>
                <w:sz w:val="28"/>
                <w:szCs w:val="28"/>
                <w:highlight w:val="none"/>
              </w:rPr>
              <w:t xml:space="preserve">★</w:t>
            </w:r>
            <w:r>
              <w:rPr>
                <w:rFonts w:hint="eastAsia" w:ascii="宋体" w:hAnsi="宋体" w:eastAsia="宋体" w:cs="宋体"/>
                <w:b/>
                <w:bCs/>
                <w:color w:val="000000"/>
                <w:sz w:val="28"/>
                <w:szCs w:val="28"/>
                <w:highlight w:val="none"/>
              </w:rPr>
              <w:t xml:space="preserve">需提供CNAS、CMA标识的第三方检测报告、CCC认证、节能产品认证证书、环境标志产品认证证书</w:t>
            </w:r>
            <w:r>
              <w:rPr>
                <w:rFonts w:hint="eastAsia" w:ascii="宋体" w:hAnsi="宋体" w:cs="宋体"/>
                <w:b/>
                <w:bCs/>
                <w:color w:val="000000"/>
                <w:sz w:val="28"/>
                <w:szCs w:val="28"/>
                <w:highlight w:val="none"/>
              </w:rPr>
              <w:t xml:space="preserve">。</w:t>
            </w:r>
            <w:r>
              <w:rPr>
                <w:rFonts w:hint="eastAsia" w:eastAsia="宋体"/>
                <w:color w:val="000000"/>
                <w:highlight w:val="none"/>
              </w:rPr>
            </w:r>
            <w:r/>
          </w:p>
        </w:tc>
        <w:tc>
          <w:tcPr>
            <w:tcW w:w="470" w:type="dxa"/>
            <w:vAlign w:val="center"/>
            <w:textDirection w:val="lrTb"/>
            <w:noWrap w:val="false"/>
          </w:tcPr>
          <w:p>
            <w:pPr>
              <w:pStyle w:val="748"/>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bl>
    <w:p>
      <w:pPr>
        <w:pStyle w:val="748"/>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1"/>
        <w:ind w:left="0" w:firstLine="0"/>
        <w:spacing w:before="120" w:after="120" w:line="360" w:lineRule="auto"/>
        <w:tabs>
          <w:tab w:val="left" w:pos="0" w:leader="none"/>
        </w:tabs>
        <w:rPr>
          <w:rFonts w:hint="eastAsia" w:hAnsi="宋体"/>
          <w:b/>
          <w:bCs/>
          <w:color w:val="000000"/>
          <w:szCs w:val="28"/>
          <w:lang w:eastAsia="zh-CN"/>
        </w:rPr>
      </w:pPr>
      <w:r>
        <w:rPr>
          <w:rFonts w:hint="eastAsia" w:hAnsi="宋体"/>
          <w:b/>
          <w:bCs/>
          <w:color w:val="000000"/>
          <w:szCs w:val="28"/>
          <w:lang w:eastAsia="zh-CN"/>
        </w:rPr>
        <w:t xml:space="preserve">三、</w:t>
      </w:r>
      <w:r>
        <w:rPr>
          <w:rFonts w:hint="eastAsia" w:hAnsi="宋体"/>
          <w:b/>
          <w:bCs/>
          <w:color w:val="000000"/>
          <w:szCs w:val="28"/>
        </w:rPr>
        <w:t xml:space="preserve">商务要求部分</w:t>
      </w:r>
      <w:r>
        <w:rPr>
          <w:rFonts w:hint="eastAsia" w:hAnsi="宋体"/>
          <w:b/>
          <w:bCs/>
          <w:color w:val="000000"/>
          <w:szCs w:val="28"/>
          <w:lang w:eastAsia="zh-CN"/>
        </w:rPr>
      </w:r>
      <w:r/>
    </w:p>
    <w:p>
      <w:pPr>
        <w:pStyle w:val="871"/>
        <w:ind w:left="0" w:firstLine="0"/>
        <w:spacing w:before="120" w:after="120" w:line="360" w:lineRule="auto"/>
        <w:tabs>
          <w:tab w:val="left" w:pos="0" w:leader="none"/>
        </w:tabs>
        <w:rPr>
          <w:rFonts w:ascii="宋体" w:hAnsi="宋体" w:eastAsia="宋体"/>
          <w:b/>
          <w:bCs/>
          <w:color w:val="000000"/>
          <w:sz w:val="28"/>
          <w:szCs w:val="28"/>
        </w:rPr>
      </w:pPr>
      <w:r>
        <w:rPr>
          <w:rFonts w:hint="eastAsia" w:hAnsi="宋体"/>
          <w:b/>
          <w:bCs/>
          <w:color w:val="000000"/>
          <w:szCs w:val="28"/>
          <w:lang w:eastAsia="zh-CN"/>
        </w:rPr>
        <w:t xml:space="preserve">1.</w:t>
      </w:r>
      <w:r>
        <w:rPr>
          <w:rFonts w:ascii="宋体" w:hAnsi="宋体" w:eastAsia="宋体"/>
          <w:b/>
          <w:bCs/>
          <w:color w:val="000000"/>
          <w:sz w:val="28"/>
          <w:szCs w:val="28"/>
        </w:rPr>
        <w:t xml:space="preserve">采购标的数量、采购项目交付或者实施的时间和地点</w:t>
      </w:r>
      <w:r>
        <w:rPr>
          <w:rFonts w:ascii="宋体" w:hAnsi="宋体" w:eastAsia="宋体"/>
          <w:b/>
          <w:bCs/>
          <w:color w:val="000000"/>
          <w:sz w:val="28"/>
          <w:szCs w:val="28"/>
        </w:rPr>
      </w:r>
      <w:r/>
    </w:p>
    <w:p>
      <w:pPr>
        <w:pStyle w:val="864"/>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1.1</w:t>
      </w:r>
      <w:r>
        <w:rPr>
          <w:rFonts w:hint="eastAsia" w:ascii="仿宋" w:hAnsi="仿宋" w:eastAsia="仿宋"/>
          <w:color w:val="000000"/>
          <w:sz w:val="28"/>
          <w:szCs w:val="28"/>
        </w:rPr>
        <w:t xml:space="preserve">交付时间：</w:t>
      </w:r>
      <w:r>
        <w:rPr>
          <w:rFonts w:hint="eastAsia" w:ascii="仿宋" w:hAnsi="仿宋" w:eastAsia="仿宋" w:cs="宋体"/>
          <w:color w:val="000000"/>
          <w:sz w:val="28"/>
          <w:szCs w:val="28"/>
        </w:rPr>
        <w:t xml:space="preserve">自合同签订之日起6个月内完成设备供货、安装及调试。</w:t>
      </w:r>
      <w:r>
        <w:rPr>
          <w:rFonts w:hint="eastAsia" w:ascii="仿宋" w:hAnsi="仿宋" w:eastAsia="仿宋"/>
          <w:color w:val="000000"/>
          <w:sz w:val="28"/>
          <w:szCs w:val="28"/>
        </w:rPr>
      </w:r>
      <w:r/>
    </w:p>
    <w:p>
      <w:pPr>
        <w:pStyle w:val="866"/>
        <w:jc w:val="both"/>
        <w:spacing w:before="0" w:beforeAutospacing="0" w:after="0" w:afterAutospacing="0" w:line="312" w:lineRule="auto"/>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1.2</w:t>
      </w:r>
      <w:r>
        <w:rPr>
          <w:rFonts w:hint="eastAsia" w:ascii="仿宋" w:hAnsi="仿宋" w:eastAsia="仿宋"/>
          <w:color w:val="000000"/>
          <w:sz w:val="28"/>
          <w:szCs w:val="28"/>
        </w:rPr>
        <w:t xml:space="preserve">交付地点：南通市第一人民医院。</w:t>
      </w:r>
      <w:r>
        <w:rPr>
          <w:rFonts w:hint="eastAsia" w:ascii="仿宋" w:hAnsi="仿宋" w:eastAsia="仿宋"/>
          <w:color w:val="000000"/>
          <w:sz w:val="28"/>
          <w:szCs w:val="28"/>
        </w:rPr>
      </w:r>
      <w:r/>
    </w:p>
    <w:p>
      <w:pPr>
        <w:pStyle w:val="866"/>
        <w:numPr>
          <w:ilvl w:val="0"/>
          <w:numId w:val="0"/>
        </w:numPr>
        <w:jc w:val="both"/>
        <w:spacing w:before="0" w:beforeAutospacing="0" w:after="0" w:afterAutospacing="0" w:line="312" w:lineRule="auto"/>
        <w:rPr>
          <w:rFonts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1.3</w:t>
      </w:r>
      <w:r>
        <w:rPr>
          <w:rFonts w:hint="eastAsia" w:ascii="仿宋" w:hAnsi="仿宋" w:eastAsia="仿宋" w:cs="Times New Roman"/>
          <w:color w:val="000000"/>
          <w:sz w:val="28"/>
          <w:szCs w:val="28"/>
        </w:rPr>
        <w:t xml:space="preserve">交货要求：所有货品必须原包装进场，运送及安装到用户指定地点。</w:t>
      </w:r>
      <w:r>
        <w:rPr>
          <w:rFonts w:ascii="仿宋" w:hAnsi="仿宋" w:eastAsia="仿宋" w:cs="Times New Roman"/>
          <w:color w:val="000000"/>
          <w:sz w:val="28"/>
          <w:szCs w:val="28"/>
        </w:rPr>
      </w:r>
      <w:r/>
    </w:p>
    <w:p>
      <w:pPr>
        <w:pStyle w:val="872"/>
        <w:spacing w:before="120" w:after="120" w:line="360" w:lineRule="auto"/>
        <w:tabs>
          <w:tab w:val="left" w:pos="0" w:leader="none"/>
        </w:tabs>
        <w:rPr>
          <w:rFonts w:hint="eastAsia" w:hAnsi="宋体"/>
          <w:b/>
          <w:bCs/>
          <w:color w:val="000000"/>
          <w:sz w:val="28"/>
          <w:szCs w:val="28"/>
        </w:rPr>
      </w:pPr>
      <w:r>
        <w:rPr>
          <w:rFonts w:hint="eastAsia" w:hAnsi="宋体"/>
          <w:b/>
          <w:bCs/>
          <w:color w:val="000000"/>
          <w:sz w:val="28"/>
          <w:szCs w:val="28"/>
          <w:lang w:eastAsia="zh-CN"/>
        </w:rPr>
        <w:t xml:space="preserve">2.</w:t>
      </w:r>
      <w:r>
        <w:rPr>
          <w:rFonts w:hAnsi="宋体"/>
          <w:b/>
          <w:bCs/>
          <w:color w:val="000000"/>
          <w:sz w:val="28"/>
          <w:szCs w:val="28"/>
        </w:rPr>
        <w:t xml:space="preserve">采购标的需满足的服务标准、期限、效率等要求</w:t>
      </w:r>
      <w:r>
        <w:rPr>
          <w:rFonts w:hint="eastAsia" w:hAnsi="宋体"/>
          <w:b/>
          <w:bCs/>
          <w:color w:val="000000"/>
          <w:sz w:val="28"/>
          <w:szCs w:val="28"/>
        </w:rPr>
      </w:r>
      <w:r/>
    </w:p>
    <w:p>
      <w:pPr>
        <w:pStyle w:val="872"/>
        <w:spacing w:before="120" w:after="120" w:line="360" w:lineRule="auto"/>
        <w:tabs>
          <w:tab w:val="left" w:pos="0" w:leader="none"/>
        </w:tabs>
        <w:rPr>
          <w:rFonts w:hint="eastAsia"/>
          <w:color w:val="000000"/>
          <w:sz w:val="28"/>
          <w:szCs w:val="28"/>
        </w:rPr>
      </w:pPr>
      <w:r>
        <w:rPr>
          <w:rFonts w:hint="eastAsia"/>
          <w:color w:val="000000"/>
          <w:sz w:val="28"/>
          <w:szCs w:val="28"/>
          <w:lang w:val="en-US" w:eastAsia="zh-CN"/>
        </w:rPr>
        <w:t xml:space="preserve">2.1</w:t>
      </w:r>
      <w:r>
        <w:rPr>
          <w:rFonts w:hint="eastAsia"/>
          <w:color w:val="000000"/>
          <w:sz w:val="28"/>
          <w:szCs w:val="28"/>
        </w:rPr>
        <w:t xml:space="preserve">质量保障要求</w:t>
      </w:r>
      <w:r>
        <w:rPr>
          <w:rFonts w:hint="eastAsia"/>
          <w:color w:val="000000"/>
          <w:sz w:val="28"/>
          <w:szCs w:val="28"/>
        </w:rPr>
      </w:r>
      <w:r/>
    </w:p>
    <w:p>
      <w:pPr>
        <w:pStyle w:val="872"/>
        <w:spacing w:before="120" w:after="120" w:line="360" w:lineRule="auto"/>
        <w:tabs>
          <w:tab w:val="left" w:pos="0" w:leader="none"/>
        </w:tabs>
        <w:rPr>
          <w:rFonts w:hAnsi="宋体"/>
          <w:b/>
          <w:bCs/>
          <w:color w:val="000000"/>
          <w:sz w:val="28"/>
          <w:szCs w:val="28"/>
        </w:rPr>
      </w:pPr>
      <w:r>
        <w:rPr>
          <w:rFonts w:hint="eastAsia"/>
          <w:color w:val="000000"/>
          <w:sz w:val="28"/>
          <w:szCs w:val="28"/>
          <w:lang w:val="en-US" w:eastAsia="zh-CN"/>
        </w:rPr>
        <w:t xml:space="preserve">2.</w:t>
      </w:r>
      <w:r>
        <w:rPr>
          <w:rFonts w:hint="eastAsia"/>
          <w:color w:val="000000"/>
          <w:sz w:val="28"/>
          <w:szCs w:val="28"/>
        </w:rPr>
        <w:t xml:space="preserve">1.1中标人必须有针对本项目的质量保证体系和组织，并制订质量保证计划，列出项目开工过程中质量监督和保证执行的措施，要记录质量保证活动，并保存和维护这些记录。</w:t>
      </w:r>
      <w:r>
        <w:rPr>
          <w:rFonts w:hAnsi="宋体"/>
          <w:b/>
          <w:bCs/>
          <w:color w:val="000000"/>
          <w:sz w:val="28"/>
          <w:szCs w:val="28"/>
        </w:rPr>
      </w:r>
      <w:r/>
    </w:p>
    <w:p>
      <w:pPr>
        <w:pStyle w:val="866"/>
        <w:jc w:val="both"/>
        <w:spacing w:before="0" w:beforeAutospacing="0" w:after="0" w:afterAutospacing="0" w:line="312" w:lineRule="auto"/>
        <w:tabs>
          <w:tab w:val="left" w:pos="0" w:leader="none"/>
        </w:tabs>
        <w:rPr>
          <w:rFonts w:cs="Times New Roman"/>
          <w:color w:val="000000"/>
          <w:sz w:val="28"/>
          <w:szCs w:val="28"/>
        </w:rPr>
      </w:pPr>
      <w:r>
        <w:rPr>
          <w:rFonts w:hint="eastAsia" w:cs="Times New Roman"/>
          <w:color w:val="000000"/>
          <w:sz w:val="28"/>
          <w:szCs w:val="28"/>
          <w:lang w:val="en-US" w:eastAsia="zh-CN"/>
        </w:rPr>
        <w:t xml:space="preserve">2.</w:t>
      </w:r>
      <w:r>
        <w:rPr>
          <w:rFonts w:hint="eastAsia" w:cs="Times New Roman"/>
          <w:color w:val="000000"/>
          <w:sz w:val="28"/>
          <w:szCs w:val="28"/>
        </w:rPr>
        <w:t xml:space="preserve">1.2中标人提供的货物必须达到或优于招标文件</w:t>
      </w:r>
      <w:r>
        <w:rPr>
          <w:rFonts w:cs="Times New Roman"/>
          <w:color w:val="000000"/>
          <w:sz w:val="28"/>
          <w:szCs w:val="28"/>
        </w:rPr>
        <w:t xml:space="preserve">“</w:t>
      </w:r>
      <w:r>
        <w:rPr>
          <w:rFonts w:hint="eastAsia" w:cs="Times New Roman"/>
          <w:color w:val="000000"/>
          <w:sz w:val="28"/>
          <w:szCs w:val="28"/>
        </w:rPr>
        <w:t xml:space="preserve">采购清单</w:t>
      </w:r>
      <w:r>
        <w:rPr>
          <w:rFonts w:cs="Times New Roman"/>
          <w:color w:val="000000"/>
          <w:sz w:val="28"/>
          <w:szCs w:val="28"/>
        </w:rPr>
        <w:t xml:space="preserve">”</w:t>
      </w:r>
      <w:r>
        <w:rPr>
          <w:rFonts w:hint="eastAsia" w:cs="Times New Roman"/>
          <w:color w:val="000000"/>
          <w:sz w:val="28"/>
          <w:szCs w:val="28"/>
        </w:rPr>
        <w:t xml:space="preserve">技术需求中各项指标参数。</w:t>
      </w:r>
      <w:r>
        <w:rPr>
          <w:rFonts w:cs="Times New Roman"/>
          <w:color w:val="000000"/>
          <w:sz w:val="28"/>
          <w:szCs w:val="28"/>
        </w:rPr>
      </w:r>
      <w:r/>
    </w:p>
    <w:p>
      <w:pPr>
        <w:pStyle w:val="866"/>
        <w:jc w:val="both"/>
        <w:spacing w:before="0" w:beforeAutospacing="0" w:after="0" w:afterAutospacing="0" w:line="312" w:lineRule="auto"/>
        <w:tabs>
          <w:tab w:val="left" w:pos="0" w:leader="none"/>
        </w:tabs>
        <w:rPr>
          <w:rFonts w:cs="Times New Roman"/>
          <w:color w:val="000000"/>
          <w:sz w:val="28"/>
          <w:szCs w:val="28"/>
        </w:rPr>
      </w:pPr>
      <w:r>
        <w:rPr>
          <w:rFonts w:hint="eastAsia" w:cs="Times New Roman"/>
          <w:color w:val="000000"/>
          <w:sz w:val="28"/>
          <w:szCs w:val="28"/>
          <w:lang w:val="en-US" w:eastAsia="zh-CN"/>
        </w:rPr>
        <w:t xml:space="preserve">2.</w:t>
      </w:r>
      <w:r>
        <w:rPr>
          <w:rFonts w:hint="eastAsia" w:cs="Times New Roman"/>
          <w:color w:val="000000"/>
          <w:sz w:val="28"/>
          <w:szCs w:val="28"/>
        </w:rPr>
        <w:t xml:space="preserve">1.3中标人保证所供应的产品质量标准按照国家标准、行业标准或制造厂家企业标准确定，上述标准不一致的，以高等级的标准为准。没有国家标准、行业标准和企业标准的，按照通常标准、合同目的的特定标准或者采购人提供的标准。</w:t>
      </w:r>
      <w:r>
        <w:rPr>
          <w:rFonts w:cs="Times New Roman"/>
          <w:color w:val="000000"/>
          <w:sz w:val="28"/>
          <w:szCs w:val="28"/>
        </w:rPr>
      </w:r>
      <w:r/>
    </w:p>
    <w:p>
      <w:pPr>
        <w:pStyle w:val="866"/>
        <w:jc w:val="both"/>
        <w:spacing w:before="0" w:beforeAutospacing="0" w:after="0" w:afterAutospacing="0" w:line="312" w:lineRule="auto"/>
        <w:tabs>
          <w:tab w:val="left" w:pos="0" w:leader="none"/>
        </w:tabs>
        <w:rPr>
          <w:rFonts w:cs="Times New Roman"/>
          <w:color w:val="000000"/>
          <w:sz w:val="28"/>
          <w:szCs w:val="28"/>
        </w:rPr>
      </w:pPr>
      <w:r>
        <w:rPr>
          <w:rFonts w:hint="eastAsia" w:cs="Times New Roman"/>
          <w:color w:val="000000"/>
          <w:sz w:val="28"/>
          <w:szCs w:val="28"/>
          <w:lang w:val="en-US" w:eastAsia="zh-CN"/>
        </w:rPr>
        <w:t xml:space="preserve">2.</w:t>
      </w:r>
      <w:r>
        <w:rPr>
          <w:rFonts w:hint="eastAsia" w:cs="Times New Roman"/>
          <w:color w:val="000000"/>
          <w:sz w:val="28"/>
          <w:szCs w:val="28"/>
        </w:rPr>
        <w:t xml:space="preserve">1.4中标人提供的货物必须是正规渠道生产的全新正品原装</w:t>
      </w:r>
      <w:r>
        <w:rPr>
          <w:rFonts w:cs="Times New Roman"/>
          <w:color w:val="000000"/>
          <w:sz w:val="28"/>
          <w:szCs w:val="28"/>
        </w:rPr>
        <w:t xml:space="preserve">(</w:t>
      </w:r>
      <w:r>
        <w:rPr>
          <w:rFonts w:hint="eastAsia" w:cs="Times New Roman"/>
          <w:color w:val="000000"/>
          <w:sz w:val="28"/>
          <w:szCs w:val="28"/>
        </w:rPr>
        <w:t xml:space="preserve">包括零部件</w:t>
      </w:r>
      <w:r>
        <w:rPr>
          <w:rFonts w:cs="Times New Roman"/>
          <w:color w:val="000000"/>
          <w:sz w:val="28"/>
          <w:szCs w:val="28"/>
        </w:rPr>
        <w:t xml:space="preserve">)</w:t>
      </w:r>
      <w:r>
        <w:rPr>
          <w:rFonts w:hint="eastAsia" w:cs="Times New Roman"/>
          <w:color w:val="000000"/>
          <w:sz w:val="28"/>
          <w:szCs w:val="28"/>
        </w:rPr>
        <w:t xml:space="preserve">，完全符合国家技术标准和国家质量检测标准，所有货物必须标识清晰，相关质保、合格证书齐全。</w:t>
      </w:r>
      <w:r>
        <w:rPr>
          <w:rFonts w:cs="Times New Roman"/>
          <w:color w:val="000000"/>
          <w:sz w:val="28"/>
          <w:szCs w:val="28"/>
        </w:rPr>
      </w:r>
      <w:r/>
    </w:p>
    <w:p>
      <w:pPr>
        <w:pStyle w:val="866"/>
        <w:jc w:val="both"/>
        <w:spacing w:before="0" w:beforeAutospacing="0" w:after="0" w:afterAutospacing="0" w:line="312" w:lineRule="auto"/>
        <w:tabs>
          <w:tab w:val="left" w:pos="0" w:leader="none"/>
        </w:tabs>
        <w:rPr>
          <w:rFonts w:cs="Times New Roman"/>
          <w:color w:val="000000"/>
          <w:sz w:val="28"/>
          <w:szCs w:val="28"/>
        </w:rPr>
      </w:pPr>
      <w:r>
        <w:rPr>
          <w:rFonts w:hint="eastAsia" w:cs="Times New Roman"/>
          <w:color w:val="000000"/>
          <w:sz w:val="28"/>
          <w:szCs w:val="28"/>
          <w:lang w:val="en-US" w:eastAsia="zh-CN"/>
        </w:rPr>
        <w:t xml:space="preserve">2.</w:t>
      </w:r>
      <w:r>
        <w:rPr>
          <w:rFonts w:hint="eastAsia" w:cs="Times New Roman"/>
          <w:color w:val="000000"/>
          <w:sz w:val="28"/>
          <w:szCs w:val="28"/>
        </w:rPr>
        <w:t xml:space="preserve">1.5中标人应保证所提供的产品或其任何一部分均不会侵犯任何第三方的知识产权，否则由乙方承担由此对甲方造成的所有损失。包括但不限于甲方因第三方权利主张产生的差旅费用、鉴定费用、诉讼费用、律师费用及赔偿金。</w:t>
      </w:r>
      <w:r>
        <w:rPr>
          <w:rFonts w:cs="Times New Roman"/>
          <w:color w:val="000000"/>
          <w:sz w:val="28"/>
          <w:szCs w:val="28"/>
        </w:rPr>
      </w:r>
      <w:r/>
    </w:p>
    <w:p>
      <w:pPr>
        <w:pStyle w:val="866"/>
        <w:jc w:val="both"/>
        <w:spacing w:before="0" w:beforeAutospacing="0" w:after="0" w:afterAutospacing="0" w:line="312" w:lineRule="auto"/>
        <w:tabs>
          <w:tab w:val="left" w:pos="0" w:leader="none"/>
        </w:tabs>
        <w:rPr>
          <w:rFonts w:cs="Times New Roman"/>
          <w:color w:val="000000"/>
          <w:sz w:val="28"/>
          <w:szCs w:val="28"/>
        </w:rPr>
      </w:pPr>
      <w:r>
        <w:rPr>
          <w:rFonts w:hint="eastAsia" w:cs="Times New Roman"/>
          <w:color w:val="000000"/>
          <w:sz w:val="28"/>
          <w:szCs w:val="28"/>
          <w:lang w:val="en-US" w:eastAsia="zh-CN"/>
        </w:rPr>
        <w:t xml:space="preserve">2.</w:t>
      </w:r>
      <w:r>
        <w:rPr>
          <w:rFonts w:hint="eastAsia" w:cs="Times New Roman"/>
          <w:color w:val="000000"/>
          <w:sz w:val="28"/>
          <w:szCs w:val="28"/>
        </w:rPr>
        <w:t xml:space="preserve">1.6中标人保证所交付的产品的所有权完全属于中标人且无任何抵押、查封等产权瑕疵，否则由中标人承担由此对采购人造成的所有损失。</w:t>
      </w:r>
      <w:r>
        <w:rPr>
          <w:rFonts w:cs="Times New Roman"/>
          <w:color w:val="000000"/>
          <w:sz w:val="28"/>
          <w:szCs w:val="28"/>
        </w:rPr>
      </w:r>
      <w:r/>
    </w:p>
    <w:p>
      <w:pPr>
        <w:pStyle w:val="748"/>
        <w:spacing w:line="480" w:lineRule="exact"/>
        <w:rPr>
          <w:rFonts w:hint="eastAsia" w:hAnsi="宋体"/>
          <w:b/>
          <w:bCs/>
          <w:color w:val="000000"/>
          <w:sz w:val="28"/>
          <w:szCs w:val="28"/>
        </w:rPr>
      </w:pPr>
      <w:r>
        <w:rPr>
          <w:rFonts w:hint="eastAsia" w:hAnsi="宋体"/>
          <w:b/>
          <w:bCs/>
          <w:color w:val="000000"/>
          <w:sz w:val="28"/>
          <w:szCs w:val="28"/>
        </w:rPr>
        <w:t xml:space="preserve">3</w:t>
      </w:r>
      <w:r>
        <w:rPr>
          <w:rFonts w:hint="eastAsia" w:hAnsi="宋体"/>
          <w:b/>
          <w:bCs/>
          <w:color w:val="000000"/>
          <w:sz w:val="28"/>
          <w:szCs w:val="28"/>
          <w:lang w:eastAsia="zh-CN"/>
        </w:rPr>
        <w:t xml:space="preserve">.</w:t>
      </w:r>
      <w:r>
        <w:rPr>
          <w:rFonts w:hAnsi="宋体"/>
          <w:b/>
          <w:bCs/>
          <w:color w:val="000000"/>
          <w:sz w:val="28"/>
          <w:szCs w:val="28"/>
        </w:rPr>
        <w:t xml:space="preserve">采购标的其他技术、服务等要求</w:t>
      </w:r>
      <w:r>
        <w:rPr>
          <w:rFonts w:hint="eastAsia" w:hAnsi="宋体"/>
          <w:b/>
          <w:bCs/>
          <w:color w:val="000000"/>
          <w:sz w:val="28"/>
          <w:szCs w:val="28"/>
        </w:rPr>
      </w:r>
      <w:r/>
    </w:p>
    <w:p>
      <w:pPr>
        <w:pStyle w:val="748"/>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3.1</w:t>
      </w:r>
      <w:r>
        <w:rPr>
          <w:rFonts w:hint="eastAsia" w:ascii="仿宋" w:hAnsi="仿宋" w:eastAsia="仿宋"/>
          <w:color w:val="000000"/>
          <w:sz w:val="28"/>
          <w:szCs w:val="28"/>
        </w:rPr>
        <w:t xml:space="preserve">质保期：整体质保至少3年。</w:t>
      </w:r>
      <w:r>
        <w:rPr>
          <w:rFonts w:hint="eastAsia" w:ascii="仿宋" w:hAnsi="仿宋" w:eastAsia="仿宋"/>
          <w:color w:val="000000"/>
          <w:sz w:val="28"/>
          <w:szCs w:val="28"/>
        </w:rPr>
      </w:r>
      <w:r/>
    </w:p>
    <w:p>
      <w:pPr>
        <w:pStyle w:val="748"/>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3.1</w:t>
      </w:r>
      <w:r>
        <w:rPr>
          <w:rFonts w:hint="eastAsia" w:ascii="仿宋" w:hAnsi="仿宋" w:eastAsia="仿宋"/>
          <w:color w:val="000000"/>
          <w:sz w:val="28"/>
          <w:szCs w:val="28"/>
        </w:rPr>
        <w:t xml:space="preserve">服务要求：（一）中标单位需安排项目实施服务人员，提供专业的实施交付及售后服务。（二）项目交付后，乙方提供7×24小时售后服务响应。对甲方提出的问题，乙方技术人员应即时响应和处理，1小时内处理故障。对于远程无法解决的问题，4</w:t>
      </w:r>
      <w:r>
        <w:rPr>
          <w:rFonts w:ascii="仿宋" w:hAnsi="仿宋" w:eastAsia="仿宋"/>
          <w:color w:val="000000"/>
          <w:sz w:val="28"/>
          <w:szCs w:val="28"/>
        </w:rPr>
        <w:t xml:space="preserve">8</w:t>
      </w:r>
      <w:r>
        <w:rPr>
          <w:rFonts w:hint="eastAsia" w:ascii="仿宋" w:hAnsi="仿宋" w:eastAsia="仿宋"/>
          <w:color w:val="000000"/>
          <w:sz w:val="28"/>
          <w:szCs w:val="28"/>
        </w:rPr>
        <w:t xml:space="preserve">小时内到达现场提供售后服务。</w:t>
      </w:r>
      <w:r>
        <w:rPr>
          <w:rFonts w:hint="eastAsia" w:ascii="仿宋" w:hAnsi="仿宋" w:eastAsia="仿宋"/>
          <w:color w:val="000000"/>
          <w:sz w:val="28"/>
          <w:szCs w:val="28"/>
        </w:rPr>
      </w:r>
      <w:r/>
    </w:p>
    <w:p>
      <w:pPr>
        <w:pStyle w:val="748"/>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验收标准：采购方组织现场验收，采购方根据招标文件及项目合同的要求，对中标单位交付的软硬件产品逐项确认，验收合格后签署验收报告。</w:t>
      </w:r>
      <w:r>
        <w:rPr>
          <w:rFonts w:hint="eastAsia" w:ascii="仿宋" w:hAnsi="仿宋" w:eastAsia="仿宋"/>
          <w:color w:val="000000"/>
          <w:sz w:val="28"/>
          <w:szCs w:val="28"/>
        </w:rPr>
      </w:r>
      <w:r/>
    </w:p>
    <w:p>
      <w:pPr>
        <w:pStyle w:val="872"/>
        <w:spacing w:before="120" w:after="120" w:line="360" w:lineRule="auto"/>
        <w:tabs>
          <w:tab w:val="left" w:pos="0" w:leader="none"/>
        </w:tabs>
        <w:rPr>
          <w:rFonts w:hAnsi="宋体"/>
          <w:b/>
          <w:bCs/>
          <w:color w:val="000000"/>
          <w:sz w:val="28"/>
          <w:szCs w:val="28"/>
        </w:rPr>
      </w:pPr>
      <w:r>
        <w:rPr>
          <w:rFonts w:hint="eastAsia" w:hAnsi="宋体"/>
          <w:b/>
          <w:bCs/>
          <w:color w:val="000000"/>
          <w:sz w:val="28"/>
          <w:szCs w:val="28"/>
          <w:lang w:val="en-US" w:eastAsia="zh-CN"/>
        </w:rPr>
        <w:t xml:space="preserve">4.</w:t>
      </w:r>
      <w:r>
        <w:rPr>
          <w:rFonts w:hAnsi="宋体"/>
          <w:b/>
          <w:bCs/>
          <w:color w:val="000000"/>
          <w:sz w:val="28"/>
          <w:szCs w:val="28"/>
        </w:rPr>
        <w:t xml:space="preserve">非单一产品采购项目，采购标的中的核心产品</w:t>
      </w:r>
      <w:r>
        <w:rPr>
          <w:rFonts w:hAnsi="宋体"/>
          <w:b/>
          <w:bCs/>
          <w:color w:val="000000"/>
          <w:sz w:val="28"/>
          <w:szCs w:val="28"/>
        </w:rPr>
      </w:r>
      <w:r/>
    </w:p>
    <w:p>
      <w:pPr>
        <w:pStyle w:val="864"/>
        <w:rPr>
          <w:rFonts w:hint="eastAsia" w:ascii="仿宋" w:hAnsi="仿宋" w:eastAsia="仿宋"/>
          <w:color w:val="000000"/>
          <w:sz w:val="28"/>
          <w:szCs w:val="28"/>
        </w:rPr>
      </w:pPr>
      <w:r>
        <w:rPr>
          <w:rFonts w:hint="eastAsia" w:ascii="仿宋" w:hAnsi="仿宋" w:eastAsia="仿宋"/>
          <w:color w:val="000000"/>
          <w:sz w:val="28"/>
          <w:szCs w:val="28"/>
        </w:rPr>
        <w:t xml:space="preserve">本项目的核心产品为教学综合管理平台。</w:t>
      </w:r>
      <w:r>
        <w:rPr>
          <w:rFonts w:hint="eastAsia" w:ascii="仿宋" w:hAnsi="仿宋" w:eastAsia="仿宋"/>
          <w:color w:val="000000"/>
          <w:sz w:val="28"/>
          <w:szCs w:val="28"/>
        </w:rPr>
      </w:r>
      <w:r/>
    </w:p>
    <w:p>
      <w:pPr>
        <w:pStyle w:val="864"/>
        <w:rPr>
          <w:rFonts w:hint="eastAsia" w:hAnsi="宋体"/>
          <w:b/>
          <w:bCs/>
          <w:color w:val="000000"/>
          <w:sz w:val="28"/>
          <w:szCs w:val="28"/>
        </w:rPr>
      </w:pPr>
      <w:r>
        <w:rPr>
          <w:rFonts w:hint="eastAsia" w:hAnsi="宋体"/>
          <w:b/>
          <w:bCs/>
          <w:color w:val="000000"/>
          <w:sz w:val="28"/>
          <w:szCs w:val="28"/>
          <w:lang w:val="en-US" w:eastAsia="zh-CN"/>
        </w:rPr>
        <w:t xml:space="preserve">5.</w:t>
      </w:r>
      <w:r>
        <w:rPr>
          <w:rFonts w:hAnsi="宋体"/>
          <w:b/>
          <w:bCs/>
          <w:color w:val="000000"/>
          <w:sz w:val="28"/>
          <w:szCs w:val="28"/>
        </w:rPr>
        <w:t xml:space="preserve">付款条件</w:t>
      </w:r>
      <w:r>
        <w:rPr>
          <w:rFonts w:hint="eastAsia" w:hAnsi="宋体"/>
          <w:b/>
          <w:bCs/>
          <w:color w:val="000000"/>
          <w:sz w:val="28"/>
          <w:szCs w:val="28"/>
        </w:rPr>
      </w:r>
      <w:r/>
    </w:p>
    <w:p>
      <w:pPr>
        <w:pStyle w:val="864"/>
        <w:rPr>
          <w:rFonts w:hint="eastAsia" w:ascii="仿宋" w:hAnsi="仿宋" w:eastAsia="仿宋"/>
          <w:color w:val="000000"/>
          <w:sz w:val="28"/>
          <w:szCs w:val="28"/>
        </w:rPr>
      </w:pPr>
      <w:r>
        <w:rPr>
          <w:rFonts w:hint="eastAsia" w:ascii="仿宋" w:hAnsi="仿宋" w:eastAsia="仿宋"/>
          <w:color w:val="000000"/>
          <w:sz w:val="28"/>
          <w:szCs w:val="28"/>
        </w:rPr>
        <w:t xml:space="preserve">合同签订后甲方预付合同总价的30%作预付款；验收合格后3个月内甲方支付至合同总价的90%；免费服务期满后一次性不计息付清余款。</w:t>
      </w:r>
      <w:r>
        <w:rPr>
          <w:rFonts w:hint="eastAsia" w:ascii="仿宋" w:hAnsi="仿宋" w:eastAsia="仿宋"/>
          <w:color w:val="000000"/>
          <w:sz w:val="28"/>
          <w:szCs w:val="28"/>
        </w:rPr>
      </w:r>
      <w:r/>
    </w:p>
    <w:p>
      <w:pPr>
        <w:pStyle w:val="872"/>
        <w:numPr>
          <w:ilvl w:val="0"/>
          <w:numId w:val="0"/>
        </w:numPr>
        <w:spacing w:before="120" w:after="120" w:line="360" w:lineRule="auto"/>
        <w:tabs>
          <w:tab w:val="left" w:pos="0" w:leader="none"/>
        </w:tabs>
        <w:rPr>
          <w:rFonts w:hint="eastAsia" w:hAnsi="宋体" w:cs="Courier New"/>
          <w:b/>
          <w:bCs/>
          <w:color w:val="000000"/>
          <w:sz w:val="28"/>
          <w:szCs w:val="28"/>
        </w:rPr>
      </w:pPr>
      <w:r>
        <w:rPr>
          <w:rFonts w:hint="eastAsia" w:hAnsi="宋体" w:cs="Courier New"/>
          <w:b/>
          <w:bCs/>
          <w:color w:val="000000"/>
          <w:sz w:val="28"/>
          <w:szCs w:val="28"/>
          <w:lang w:val="en-US" w:eastAsia="zh-CN"/>
        </w:rPr>
        <w:t xml:space="preserve">6.</w:t>
      </w:r>
      <w:r>
        <w:rPr>
          <w:rFonts w:hint="eastAsia" w:hAnsi="宋体" w:cs="Courier New"/>
          <w:b/>
          <w:bCs/>
          <w:color w:val="000000"/>
          <w:sz w:val="28"/>
          <w:szCs w:val="28"/>
        </w:rPr>
        <w:t xml:space="preserve">履约</w:t>
      </w:r>
      <w:r>
        <w:rPr>
          <w:rFonts w:hAnsi="宋体" w:cs="Courier New"/>
          <w:b/>
          <w:bCs/>
          <w:color w:val="000000"/>
          <w:sz w:val="28"/>
          <w:szCs w:val="28"/>
        </w:rPr>
        <w:t xml:space="preserve">保证金</w:t>
      </w:r>
      <w:r>
        <w:rPr>
          <w:rFonts w:hint="eastAsia" w:hAnsi="宋体" w:cs="Courier New"/>
          <w:b/>
          <w:bCs/>
          <w:color w:val="000000"/>
          <w:sz w:val="28"/>
          <w:szCs w:val="28"/>
        </w:rPr>
      </w:r>
      <w:r/>
    </w:p>
    <w:p>
      <w:pPr>
        <w:pStyle w:val="865"/>
        <w:jc w:val="both"/>
        <w:spacing w:before="78" w:beforeAutospacing="0" w:after="78" w:afterAutospacing="0" w:line="360" w:lineRule="auto"/>
        <w:rPr>
          <w:rFonts w:hint="eastAsia" w:ascii="仿宋" w:hAnsi="仿宋" w:eastAsia="仿宋" w:cs="Courier New"/>
          <w:color w:val="000000"/>
          <w:sz w:val="28"/>
          <w:szCs w:val="28"/>
        </w:rPr>
      </w:pPr>
      <w:r>
        <w:rPr>
          <w:rFonts w:hint="eastAsia" w:ascii="仿宋" w:hAnsi="仿宋" w:eastAsia="仿宋" w:cs="Courier New"/>
          <w:color w:val="000000"/>
          <w:sz w:val="28"/>
          <w:szCs w:val="28"/>
          <w:lang w:val="en-US" w:eastAsia="zh-CN"/>
        </w:rPr>
        <w:t xml:space="preserve">6</w:t>
      </w:r>
      <w:r>
        <w:rPr>
          <w:rFonts w:hint="eastAsia" w:ascii="仿宋" w:hAnsi="仿宋" w:eastAsia="仿宋" w:cs="Courier New"/>
          <w:color w:val="000000"/>
          <w:sz w:val="28"/>
          <w:szCs w:val="28"/>
        </w:rPr>
        <w:t xml:space="preserve">.1履约保证金为合同价款的10%，中标人履约保证金须在中标通知书发出之日起至合同签订前汇入采购人账户，中标人凭中标通知书与采购人签订合同。超期或未有协商，则视为自动放弃成交资格；</w:t>
      </w:r>
      <w:r>
        <w:rPr>
          <w:rFonts w:hint="eastAsia" w:ascii="仿宋" w:hAnsi="仿宋" w:eastAsia="仿宋" w:cs="Courier New"/>
          <w:color w:val="000000"/>
          <w:sz w:val="28"/>
          <w:szCs w:val="28"/>
        </w:rPr>
      </w:r>
      <w:r/>
    </w:p>
    <w:p>
      <w:pPr>
        <w:pStyle w:val="865"/>
        <w:jc w:val="both"/>
        <w:spacing w:before="78" w:beforeAutospacing="0" w:after="78" w:afterAutospacing="0" w:line="360" w:lineRule="auto"/>
        <w:rPr>
          <w:rFonts w:hint="eastAsia" w:ascii="仿宋" w:hAnsi="仿宋" w:eastAsia="仿宋" w:cs="Courier New"/>
          <w:color w:val="000000"/>
          <w:sz w:val="28"/>
          <w:szCs w:val="28"/>
        </w:rPr>
      </w:pPr>
      <w:r>
        <w:rPr>
          <w:rFonts w:hint="eastAsia" w:ascii="仿宋" w:hAnsi="仿宋" w:eastAsia="仿宋" w:cs="Courier New"/>
          <w:color w:val="000000"/>
          <w:sz w:val="28"/>
          <w:szCs w:val="28"/>
        </w:rPr>
        <w:t xml:space="preserve">6.2采购人验收合格无质量、进度等问题的，履约保证金将在安装调试验收合格后20个工作日内全额（无息）退回或撤销履约保函；</w:t>
      </w:r>
      <w:r>
        <w:rPr>
          <w:rFonts w:hint="eastAsia" w:ascii="仿宋" w:hAnsi="仿宋" w:eastAsia="仿宋" w:cs="Courier New"/>
          <w:color w:val="000000"/>
          <w:sz w:val="28"/>
          <w:szCs w:val="28"/>
        </w:rPr>
      </w:r>
      <w:r/>
    </w:p>
    <w:p>
      <w:pPr>
        <w:pStyle w:val="748"/>
        <w:rPr>
          <w:rFonts w:hint="eastAsia" w:ascii="仿宋" w:hAnsi="仿宋" w:eastAsia="仿宋" w:cs="Courier New"/>
          <w:color w:val="000000"/>
          <w:sz w:val="28"/>
          <w:szCs w:val="28"/>
        </w:rPr>
      </w:pPr>
      <w:r>
        <w:rPr>
          <w:rFonts w:hint="eastAsia" w:ascii="仿宋" w:hAnsi="仿宋" w:eastAsia="仿宋" w:cs="Courier New"/>
          <w:color w:val="000000"/>
          <w:sz w:val="28"/>
          <w:szCs w:val="28"/>
        </w:rPr>
        <w:t xml:space="preserve">6.3发生以下情况的，履约保证金不予退还或部分退还：a.签订合同后，中标人不履行合同义务的，采购人有权全额扣除履约保证金，全额不予退还，同时采购人亦有权终止合同，中标人还须承担相应的法律赔偿责任。b. 中标人在履约过程中发生违约行为，给采购人造成损失的，采购人有权在中标供应商缴纳的履约保证金中予以扣除，以弥补采购人经济损失，不足的部分中标人另外补齐。 </w:t>
      </w:r>
      <w:r>
        <w:rPr>
          <w:rFonts w:hint="eastAsia" w:ascii="仿宋" w:hAnsi="仿宋" w:eastAsia="仿宋" w:cs="Courier New"/>
          <w:color w:val="000000"/>
          <w:sz w:val="28"/>
          <w:szCs w:val="28"/>
        </w:rPr>
      </w:r>
      <w:r/>
    </w:p>
    <w:p>
      <w:pPr>
        <w:pStyle w:val="748"/>
        <w:ind w:firstLine="560"/>
        <w:keepLines w:val="0"/>
        <w:keepNext w:val="0"/>
        <w:pageBreakBefore w:val="0"/>
        <w:widowControl w:val="off"/>
        <w:rPr>
          <w:rFonts w:hint="eastAsia" w:ascii="仿宋" w:hAnsi="仿宋" w:eastAsia="仿宋" w:cs="Courier New"/>
          <w:color w:val="000000"/>
          <w:sz w:val="28"/>
          <w:szCs w:val="28"/>
        </w:rPr>
      </w:pPr>
      <w:r>
        <w:rPr>
          <w:rFonts w:hint="eastAsia" w:ascii="仿宋" w:hAnsi="仿宋" w:eastAsia="仿宋" w:cs="Courier New"/>
          <w:color w:val="000000"/>
          <w:sz w:val="28"/>
          <w:szCs w:val="28"/>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 </w:t>
      </w:r>
      <w:r>
        <w:rPr>
          <w:rFonts w:hint="eastAsia" w:ascii="仿宋" w:hAnsi="仿宋" w:eastAsia="仿宋" w:cs="Courier New"/>
          <w:color w:val="000000"/>
          <w:sz w:val="28"/>
          <w:szCs w:val="28"/>
        </w:rPr>
      </w:r>
      <w:r/>
    </w:p>
    <w:p>
      <w:pPr>
        <w:pStyle w:val="748"/>
        <w:rPr>
          <w:rFonts w:ascii="仿宋" w:hAnsi="仿宋" w:eastAsia="仿宋"/>
          <w:b/>
          <w:color w:val="000000"/>
          <w:sz w:val="28"/>
          <w:szCs w:val="28"/>
        </w:rPr>
      </w:pPr>
      <w:r>
        <w:rPr>
          <w:rFonts w:hint="eastAsia" w:ascii="仿宋" w:hAnsi="仿宋" w:eastAsia="仿宋"/>
          <w:b/>
          <w:color w:val="000000"/>
          <w:sz w:val="28"/>
          <w:szCs w:val="28"/>
          <w:lang w:val="en-US" w:eastAsia="zh-CN"/>
        </w:rPr>
        <w:t xml:space="preserve">7.</w:t>
      </w:r>
      <w:r>
        <w:rPr>
          <w:rFonts w:hint="eastAsia" w:ascii="仿宋" w:hAnsi="仿宋" w:eastAsia="仿宋"/>
          <w:b/>
          <w:color w:val="000000"/>
          <w:sz w:val="28"/>
          <w:szCs w:val="28"/>
        </w:rPr>
        <w:t xml:space="preserve">本项目不接受进口产品参与。</w:t>
      </w:r>
      <w:r>
        <w:rPr>
          <w:rFonts w:ascii="仿宋" w:hAnsi="仿宋" w:eastAsia="仿宋"/>
          <w:b/>
          <w:color w:val="000000"/>
          <w:sz w:val="28"/>
          <w:szCs w:val="28"/>
        </w:rPr>
      </w:r>
      <w:r/>
    </w:p>
    <w:p>
      <w:pPr>
        <w:pStyle w:val="872"/>
        <w:spacing w:before="120" w:after="120" w:line="360" w:lineRule="auto"/>
        <w:tabs>
          <w:tab w:val="left" w:pos="0" w:leader="none"/>
        </w:tabs>
        <w:rPr>
          <w:rFonts w:hint="eastAsia" w:ascii="仿宋" w:hAnsi="仿宋" w:eastAsia="仿宋"/>
          <w:b/>
          <w:i/>
          <w:color w:val="000000"/>
          <w:sz w:val="28"/>
          <w:szCs w:val="28"/>
          <w:u w:val="single"/>
        </w:rPr>
      </w:pPr>
      <w:r>
        <w:rPr>
          <w:rFonts w:hint="eastAsia" w:ascii="Arial" w:hAnsi="宋体" w:eastAsia="仿宋_GB2312" w:cs="Times New Roman"/>
          <w:b/>
          <w:bCs/>
          <w:color w:val="000000"/>
          <w:sz w:val="32"/>
          <w:szCs w:val="28"/>
          <w:lang w:val="en-US" w:eastAsia="zh-CN" w:bidi="ar-SA"/>
        </w:rPr>
        <w:t xml:space="preserve">四、采购需求中必须满足的实质性要求</w:t>
      </w:r>
      <w:r>
        <w:rPr>
          <w:rFonts w:hint="eastAsia" w:ascii="仿宋" w:hAnsi="仿宋" w:eastAsia="仿宋"/>
          <w:b/>
          <w:i/>
          <w:color w:val="000000"/>
          <w:sz w:val="28"/>
          <w:szCs w:val="28"/>
          <w:u w:val="single"/>
        </w:rPr>
        <w:t xml:space="preserve">（请单独列出并加斜体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rPr>
          <w:rFonts w:hint="eastAsia" w:ascii="仿宋" w:hAnsi="仿宋" w:eastAsia="仿宋"/>
          <w:b/>
          <w:i/>
          <w:color w:val="000000"/>
          <w:sz w:val="28"/>
          <w:szCs w:val="28"/>
          <w:u w:val="single"/>
        </w:rPr>
      </w:r>
      <w:r/>
    </w:p>
    <w:p>
      <w:pPr>
        <w:pStyle w:val="748"/>
        <w:spacing w:line="480" w:lineRule="exact"/>
        <w:rPr>
          <w:rFonts w:ascii="仿宋" w:hAnsi="仿宋" w:eastAsia="仿宋"/>
          <w:b/>
          <w:bCs/>
          <w:i/>
          <w:color w:val="000000"/>
          <w:sz w:val="28"/>
          <w:szCs w:val="28"/>
          <w:u w:val="single"/>
        </w:rPr>
      </w:pPr>
      <w:r>
        <w:rPr>
          <w:rFonts w:hint="eastAsia" w:ascii="仿宋" w:hAnsi="仿宋" w:eastAsia="仿宋"/>
          <w:b/>
          <w:bCs/>
          <w:i/>
          <w:sz w:val="28"/>
          <w:szCs w:val="28"/>
          <w:u w:val="single"/>
        </w:rPr>
        <w:t xml:space="preserve">1</w:t>
      </w:r>
      <w:r>
        <w:rPr>
          <w:rFonts w:hint="eastAsia" w:ascii="仿宋" w:hAnsi="仿宋" w:eastAsia="仿宋"/>
          <w:b/>
          <w:bCs/>
          <w:i/>
          <w:sz w:val="28"/>
          <w:szCs w:val="28"/>
          <w:u w:val="single"/>
          <w:lang w:eastAsia="zh-CN"/>
        </w:rPr>
        <w:t xml:space="preserve">.</w:t>
      </w:r>
      <w:r>
        <w:rPr>
          <w:rFonts w:hint="eastAsia" w:ascii="仿宋" w:hAnsi="仿宋" w:eastAsia="仿宋"/>
          <w:b/>
          <w:bCs/>
          <w:i/>
          <w:sz w:val="28"/>
          <w:szCs w:val="28"/>
          <w:u w:val="single"/>
        </w:rPr>
        <w:t xml:space="preserve">技术部分实质性要求</w:t>
      </w:r>
      <w:r>
        <w:rPr>
          <w:rFonts w:hint="eastAsia" w:ascii="仿宋" w:hAnsi="仿宋" w:eastAsia="仿宋"/>
          <w:b/>
          <w:bCs/>
          <w:i/>
          <w:color w:val="000000"/>
          <w:sz w:val="28"/>
          <w:szCs w:val="28"/>
          <w:u w:val="single"/>
        </w:rPr>
        <w:t xml:space="preserve">（请单独列出并加斜体</w:t>
      </w:r>
      <w:r>
        <w:rPr>
          <w:rFonts w:ascii="仿宋" w:hAnsi="仿宋" w:eastAsia="仿宋"/>
          <w:b/>
          <w:bCs/>
          <w:i/>
          <w:color w:val="000000"/>
          <w:sz w:val="28"/>
          <w:szCs w:val="28"/>
          <w:u w:val="single"/>
        </w:rPr>
        <w:t xml:space="preserve">下划线</w:t>
      </w:r>
      <w:r>
        <w:rPr>
          <w:rFonts w:hint="eastAsia" w:ascii="仿宋" w:hAnsi="仿宋" w:eastAsia="仿宋"/>
          <w:b/>
          <w:bCs/>
          <w:i/>
          <w:color w:val="000000"/>
          <w:sz w:val="28"/>
          <w:szCs w:val="28"/>
          <w:u w:val="single"/>
        </w:rPr>
        <w:t xml:space="preserve">）</w:t>
      </w:r>
      <w:r>
        <w:rPr>
          <w:rFonts w:ascii="仿宋" w:hAnsi="仿宋" w:eastAsia="仿宋"/>
          <w:b/>
          <w:bCs/>
          <w:i/>
          <w:color w:val="000000"/>
          <w:sz w:val="28"/>
          <w:szCs w:val="28"/>
          <w:u w:val="single"/>
        </w:rPr>
      </w:r>
      <w:r/>
    </w:p>
    <w:p>
      <w:pPr>
        <w:pStyle w:val="748"/>
        <w:ind w:firstLine="701"/>
        <w:rPr>
          <w:rFonts w:ascii="宋体" w:hAnsi="宋体" w:cs="宋体"/>
          <w:b w:val="0"/>
          <w:bCs w:val="0"/>
          <w:i/>
          <w:iCs/>
          <w:color w:val="000000"/>
          <w:sz w:val="28"/>
          <w:szCs w:val="28"/>
          <w:u w:val="single"/>
        </w:rPr>
      </w:pPr>
      <w:r>
        <w:rPr>
          <w:rFonts w:hint="eastAsia" w:ascii="宋体" w:hAnsi="宋体" w:cs="宋体"/>
          <w:b w:val="0"/>
          <w:bCs w:val="0"/>
          <w:i/>
          <w:iCs/>
          <w:color w:val="000000"/>
          <w:sz w:val="28"/>
          <w:szCs w:val="28"/>
          <w:u w:val="single"/>
        </w:rPr>
        <w:fldChar w:fldCharType="begin"/>
      </w:r>
      <w:r>
        <w:rPr>
          <w:rFonts w:hint="eastAsia" w:ascii="宋体" w:hAnsi="宋体" w:cs="宋体"/>
          <w:b w:val="0"/>
          <w:bCs w:val="0"/>
          <w:i/>
          <w:iCs/>
          <w:color w:val="000000"/>
          <w:sz w:val="28"/>
          <w:szCs w:val="28"/>
          <w:u w:val="single"/>
        </w:rPr>
        <w:instrText xml:space="preserve"> = 1 \* GB3 \* MERGEFORMAT </w:instrText>
      </w:r>
      <w:r>
        <w:rPr>
          <w:rFonts w:hint="eastAsia" w:ascii="宋体" w:hAnsi="宋体" w:cs="宋体"/>
          <w:b w:val="0"/>
          <w:bCs w:val="0"/>
          <w:i/>
          <w:iCs/>
          <w:color w:val="000000"/>
          <w:sz w:val="28"/>
          <w:szCs w:val="28"/>
          <w:u w:val="single"/>
        </w:rPr>
        <w:fldChar w:fldCharType="separate"/>
      </w:r>
      <w:r>
        <w:rPr>
          <w:b w:val="0"/>
          <w:bCs w:val="0"/>
          <w:i/>
          <w:iCs/>
          <w:color w:val="000000"/>
          <w:u w:val="single"/>
        </w:rPr>
        <w:t xml:space="preserve">①</w:t>
      </w:r>
      <w:r>
        <w:rPr>
          <w:rFonts w:hint="eastAsia" w:ascii="宋体" w:hAnsi="宋体" w:cs="宋体"/>
          <w:b w:val="0"/>
          <w:bCs w:val="0"/>
          <w:i/>
          <w:iCs/>
          <w:color w:val="000000"/>
          <w:sz w:val="28"/>
          <w:szCs w:val="28"/>
          <w:u w:val="single"/>
        </w:rPr>
        <w:fldChar w:fldCharType="end"/>
      </w:r>
      <w:r>
        <w:rPr>
          <w:rFonts w:hint="eastAsia" w:ascii="宋体" w:hAnsi="宋体" w:cs="宋体"/>
          <w:b w:val="0"/>
          <w:bCs w:val="0"/>
          <w:i/>
          <w:iCs/>
          <w:color w:val="000000"/>
          <w:sz w:val="28"/>
          <w:szCs w:val="28"/>
          <w:u w:val="single"/>
        </w:rPr>
        <w:t xml:space="preserve">65寸液晶监视器、65寸会议平板、86寸会议平板、24寸监视器需要提供CNAS、CMA标识的第三方检测报告、CCC认证、节能产品认证证书、环境标志产品认证证书。</w:t>
      </w:r>
      <w:r>
        <w:rPr>
          <w:rFonts w:hint="eastAsia" w:ascii="宋体" w:hAnsi="宋体" w:cs="宋体"/>
          <w:b w:val="0"/>
          <w:bCs w:val="0"/>
          <w:i/>
          <w:iCs/>
          <w:color w:val="000000"/>
          <w:sz w:val="28"/>
          <w:szCs w:val="28"/>
          <w:u w:val="single"/>
        </w:rPr>
        <w:fldChar w:fldCharType="begin"/>
      </w:r>
      <w:r>
        <w:rPr>
          <w:rFonts w:hint="eastAsia" w:ascii="宋体" w:hAnsi="宋体" w:cs="宋体"/>
          <w:b w:val="0"/>
          <w:bCs w:val="0"/>
          <w:i/>
          <w:iCs/>
          <w:color w:val="000000"/>
          <w:sz w:val="28"/>
          <w:szCs w:val="28"/>
          <w:u w:val="single"/>
        </w:rPr>
        <w:instrText xml:space="preserve"> = 2 \* GB3 \* MERGEFORMAT </w:instrText>
      </w:r>
      <w:r>
        <w:rPr>
          <w:rFonts w:hint="eastAsia" w:ascii="宋体" w:hAnsi="宋体" w:cs="宋体"/>
          <w:b w:val="0"/>
          <w:bCs w:val="0"/>
          <w:i/>
          <w:iCs/>
          <w:color w:val="000000"/>
          <w:sz w:val="28"/>
          <w:szCs w:val="28"/>
          <w:u w:val="single"/>
        </w:rPr>
        <w:fldChar w:fldCharType="separate"/>
      </w:r>
      <w:r>
        <w:rPr>
          <w:rFonts w:hint="eastAsia" w:ascii="宋体" w:hAnsi="宋体" w:cs="宋体"/>
          <w:b w:val="0"/>
          <w:bCs w:val="0"/>
          <w:i/>
          <w:iCs/>
          <w:color w:val="000000"/>
          <w:sz w:val="28"/>
          <w:szCs w:val="28"/>
          <w:u w:val="single"/>
        </w:rPr>
        <w:t xml:space="preserve">②</w:t>
      </w:r>
      <w:r>
        <w:rPr>
          <w:rFonts w:hint="eastAsia" w:ascii="宋体" w:hAnsi="宋体" w:cs="宋体"/>
          <w:b w:val="0"/>
          <w:bCs w:val="0"/>
          <w:i/>
          <w:iCs/>
          <w:color w:val="000000"/>
          <w:sz w:val="28"/>
          <w:szCs w:val="28"/>
          <w:u w:val="single"/>
        </w:rPr>
        <w:fldChar w:fldCharType="end"/>
      </w:r>
      <w:r>
        <w:rPr>
          <w:rFonts w:hint="eastAsia" w:ascii="宋体" w:hAnsi="宋体" w:cs="宋体"/>
          <w:b w:val="0"/>
          <w:bCs w:val="0"/>
          <w:i/>
          <w:iCs/>
          <w:color w:val="000000"/>
          <w:sz w:val="28"/>
          <w:szCs w:val="28"/>
          <w:u w:val="single"/>
        </w:rPr>
        <w:t xml:space="preserve">11寸平板电脑需要提供节能产品认证证书。</w:t>
      </w:r>
      <w:r>
        <w:rPr>
          <w:rFonts w:ascii="宋体" w:hAnsi="宋体" w:cs="宋体"/>
          <w:b w:val="0"/>
          <w:bCs w:val="0"/>
          <w:i/>
          <w:iCs/>
          <w:color w:val="000000"/>
          <w:sz w:val="28"/>
          <w:szCs w:val="28"/>
          <w:u w:val="single"/>
        </w:rPr>
      </w:r>
      <w:r/>
    </w:p>
    <w:p>
      <w:pPr>
        <w:pStyle w:val="748"/>
        <w:spacing w:line="480" w:lineRule="exact"/>
        <w:rPr>
          <w:rFonts w:ascii="仿宋" w:hAnsi="仿宋" w:eastAsia="仿宋"/>
          <w:b/>
          <w:bCs/>
          <w:color w:val="000000"/>
          <w:sz w:val="28"/>
          <w:szCs w:val="28"/>
        </w:rPr>
      </w:pPr>
      <w:r>
        <w:rPr>
          <w:rFonts w:hint="eastAsia" w:ascii="仿宋" w:hAnsi="仿宋" w:eastAsia="仿宋"/>
          <w:b/>
          <w:bCs/>
          <w:i/>
          <w:sz w:val="28"/>
          <w:szCs w:val="28"/>
          <w:u w:val="single"/>
        </w:rPr>
        <w:t xml:space="preserve">2</w:t>
      </w:r>
      <w:r>
        <w:rPr>
          <w:rFonts w:hint="eastAsia" w:ascii="仿宋" w:hAnsi="仿宋" w:eastAsia="仿宋"/>
          <w:b/>
          <w:bCs/>
          <w:i/>
          <w:sz w:val="28"/>
          <w:szCs w:val="28"/>
          <w:u w:val="single"/>
          <w:lang w:eastAsia="zh-CN"/>
        </w:rPr>
        <w:t xml:space="preserve">.</w:t>
      </w:r>
      <w:r>
        <w:rPr>
          <w:rFonts w:hint="eastAsia" w:ascii="仿宋" w:hAnsi="仿宋" w:eastAsia="仿宋"/>
          <w:b/>
          <w:bCs/>
          <w:i/>
          <w:sz w:val="28"/>
          <w:szCs w:val="28"/>
          <w:u w:val="single"/>
        </w:rPr>
        <w:t xml:space="preserve">商务部分实质性要求</w:t>
      </w:r>
      <w:r>
        <w:rPr>
          <w:rFonts w:hint="eastAsia" w:ascii="仿宋" w:hAnsi="仿宋" w:eastAsia="仿宋"/>
          <w:b/>
          <w:bCs/>
          <w:i/>
          <w:color w:val="000000"/>
          <w:sz w:val="28"/>
          <w:szCs w:val="28"/>
          <w:u w:val="single"/>
        </w:rPr>
        <w:t xml:space="preserve">（请单独列出并加斜体</w:t>
      </w:r>
      <w:r>
        <w:rPr>
          <w:rFonts w:ascii="仿宋" w:hAnsi="仿宋" w:eastAsia="仿宋"/>
          <w:b/>
          <w:bCs/>
          <w:i/>
          <w:color w:val="000000"/>
          <w:sz w:val="28"/>
          <w:szCs w:val="28"/>
          <w:u w:val="single"/>
        </w:rPr>
        <w:t xml:space="preserve">下划线</w:t>
      </w:r>
      <w:r>
        <w:rPr>
          <w:rFonts w:hint="eastAsia" w:ascii="仿宋" w:hAnsi="仿宋" w:eastAsia="仿宋"/>
          <w:b/>
          <w:bCs/>
          <w:i/>
          <w:color w:val="000000"/>
          <w:sz w:val="28"/>
          <w:szCs w:val="28"/>
          <w:u w:val="single"/>
        </w:rPr>
        <w:t xml:space="preserve">）</w:t>
      </w:r>
      <w:r>
        <w:rPr>
          <w:rFonts w:ascii="仿宋" w:hAnsi="仿宋" w:eastAsia="仿宋"/>
          <w:b/>
          <w:bCs/>
          <w:color w:val="000000"/>
          <w:sz w:val="28"/>
          <w:szCs w:val="28"/>
        </w:rPr>
      </w:r>
      <w:r/>
    </w:p>
    <w:p>
      <w:pPr>
        <w:pStyle w:val="748"/>
        <w:ind w:firstLine="560"/>
        <w:keepLines w:val="0"/>
        <w:keepNext w:val="0"/>
        <w:pageBreakBefore w:val="0"/>
        <w:widowControl w:val="off"/>
        <w:rPr>
          <w:rFonts w:hint="eastAsia" w:ascii="宋体" w:hAnsi="宋体"/>
          <w:b w:val="0"/>
          <w:bCs/>
          <w:i/>
          <w:iCs/>
          <w:color w:val="000000"/>
          <w:sz w:val="28"/>
          <w:szCs w:val="28"/>
          <w:u w:val="single"/>
        </w:rPr>
      </w:pPr>
      <w:r>
        <w:rPr>
          <w:rFonts w:hint="eastAsia" w:ascii="宋体" w:hAnsi="宋体"/>
          <w:b w:val="0"/>
          <w:bCs/>
          <w:i/>
          <w:iCs/>
          <w:color w:val="000000"/>
          <w:sz w:val="28"/>
          <w:szCs w:val="28"/>
          <w:u w:val="single"/>
          <w:lang w:val="en-US" w:eastAsia="zh-CN"/>
        </w:rPr>
        <w:t xml:space="preserve">2</w:t>
      </w:r>
      <w:r>
        <w:rPr>
          <w:rFonts w:hint="eastAsia" w:ascii="宋体" w:hAnsi="宋体"/>
          <w:b w:val="0"/>
          <w:bCs/>
          <w:i/>
          <w:iCs/>
          <w:color w:val="000000"/>
          <w:sz w:val="28"/>
          <w:szCs w:val="28"/>
          <w:u w:val="single"/>
        </w:rPr>
        <w:t xml:space="preserve">.1服务要求：（一）中标单位需安排项目实施服务人员，提供专业的实施交付及售后服务。（二）项目交付后，乙方提供7×24小时售后服务响应。对甲方提出的问题，乙方技术人员应即时响应和处理，1小时内处理故障。对于远程无法解决的问题，48小时内到达现场提供售后服务。</w:t>
      </w:r>
      <w:r>
        <w:rPr>
          <w:rFonts w:hint="eastAsia" w:ascii="宋体" w:hAnsi="宋体"/>
          <w:b w:val="0"/>
          <w:bCs/>
          <w:i/>
          <w:iCs/>
          <w:color w:val="000000"/>
          <w:sz w:val="28"/>
          <w:szCs w:val="28"/>
          <w:u w:val="single"/>
        </w:rPr>
      </w:r>
      <w:r/>
    </w:p>
    <w:p>
      <w:pPr>
        <w:pStyle w:val="748"/>
        <w:ind w:firstLine="560"/>
        <w:keepLines w:val="0"/>
        <w:keepNext w:val="0"/>
        <w:pageBreakBefore w:val="0"/>
        <w:widowControl w:val="off"/>
        <w:rPr>
          <w:rFonts w:ascii="宋体" w:hAnsi="宋体"/>
          <w:b w:val="0"/>
          <w:bCs/>
          <w:i/>
          <w:iCs/>
          <w:color w:val="000000"/>
          <w:sz w:val="28"/>
          <w:szCs w:val="28"/>
          <w:u w:val="single"/>
        </w:rPr>
      </w:pPr>
      <w:r>
        <w:rPr>
          <w:rFonts w:hint="eastAsia" w:ascii="宋体" w:hAnsi="宋体"/>
          <w:b w:val="0"/>
          <w:bCs/>
          <w:i/>
          <w:iCs/>
          <w:color w:val="000000"/>
          <w:sz w:val="28"/>
          <w:szCs w:val="28"/>
          <w:u w:val="single"/>
        </w:rPr>
        <w:t xml:space="preserve">2.2验收标准：采购方组织现场验收，采购方根据招标文件及项目合同的要求，对中标单位交付的软硬件产品逐项确认，验收合格后签署验收报告。</w:t>
      </w:r>
      <w:r>
        <w:rPr>
          <w:rFonts w:ascii="宋体" w:hAnsi="宋体"/>
          <w:b w:val="0"/>
          <w:bCs/>
          <w:i/>
          <w:iCs/>
          <w:color w:val="000000"/>
          <w:sz w:val="28"/>
          <w:szCs w:val="28"/>
          <w:u w:val="single"/>
        </w:rPr>
      </w:r>
      <w:r/>
    </w:p>
    <w:p>
      <w:pPr>
        <w:pStyle w:val="748"/>
        <w:ind w:firstLine="560"/>
        <w:keepLines w:val="0"/>
        <w:keepNext w:val="0"/>
        <w:pageBreakBefore w:val="0"/>
        <w:widowControl w:val="off"/>
        <w:rPr>
          <w:rFonts w:hint="eastAsia" w:ascii="宋体" w:hAnsi="宋体"/>
          <w:b w:val="0"/>
          <w:bCs/>
          <w:i/>
          <w:iCs/>
          <w:color w:val="000000"/>
          <w:sz w:val="28"/>
          <w:szCs w:val="28"/>
          <w:u w:val="single"/>
        </w:rPr>
      </w:pPr>
      <w:r>
        <w:rPr>
          <w:rFonts w:hint="eastAsia" w:ascii="宋体" w:hAnsi="宋体"/>
          <w:b w:val="0"/>
          <w:bCs/>
          <w:i/>
          <w:iCs/>
          <w:color w:val="000000"/>
          <w:sz w:val="28"/>
          <w:szCs w:val="28"/>
          <w:u w:val="single"/>
        </w:rPr>
        <w:t xml:space="preserve">2.3质保期：整体质保至少3年。</w:t>
      </w:r>
      <w:r>
        <w:rPr>
          <w:rFonts w:hint="eastAsia" w:ascii="宋体" w:hAnsi="宋体"/>
          <w:b w:val="0"/>
          <w:bCs/>
          <w:i/>
          <w:iCs/>
          <w:color w:val="000000"/>
          <w:sz w:val="28"/>
          <w:szCs w:val="28"/>
          <w:u w:val="single"/>
        </w:rPr>
      </w:r>
      <w:r/>
    </w:p>
    <w:p>
      <w:pPr>
        <w:pStyle w:val="872"/>
        <w:ind w:firstLine="560"/>
        <w:keepLines w:val="0"/>
        <w:keepNext w:val="0"/>
        <w:pageBreakBefore w:val="0"/>
        <w:spacing w:before="120" w:after="120" w:line="360" w:lineRule="auto"/>
        <w:widowControl w:val="off"/>
        <w:tabs>
          <w:tab w:val="left" w:pos="0" w:leader="none"/>
        </w:tabs>
        <w:rPr>
          <w:rFonts w:hint="eastAsia" w:hAnsi="宋体"/>
          <w:b w:val="0"/>
          <w:bCs/>
          <w:color w:val="000000"/>
          <w:sz w:val="28"/>
          <w:szCs w:val="28"/>
        </w:rPr>
      </w:pPr>
      <w:r>
        <w:rPr>
          <w:rFonts w:hint="eastAsia" w:hAnsi="宋体"/>
          <w:b w:val="0"/>
          <w:bCs/>
          <w:i/>
          <w:iCs/>
          <w:color w:val="000000"/>
          <w:sz w:val="28"/>
          <w:szCs w:val="28"/>
          <w:u w:val="single"/>
        </w:rPr>
        <w:t xml:space="preserve">2.4南通市第一人民医院临床技能模拟中心信息化项目所需硬件除本项目规划的硬件部分，还包括老院技能中心的硬件设备的利旧，老院可二次利用的硬件设备的拆除、搬迁及安装的工程量由投标人承担</w:t>
      </w:r>
      <w:r>
        <w:rPr>
          <w:rFonts w:hint="eastAsia" w:hAnsi="宋体"/>
          <w:b w:val="0"/>
          <w:bCs/>
          <w:i/>
          <w:iCs/>
          <w:color w:val="000000"/>
          <w:sz w:val="28"/>
          <w:szCs w:val="28"/>
          <w:u w:val="single"/>
        </w:rPr>
        <w:t xml:space="preserve">。所涉及的费用包含在报价中，请供应商充分考虑。</w:t>
      </w:r>
      <w:r>
        <w:rPr>
          <w:rFonts w:hint="eastAsia" w:hAnsi="宋体"/>
          <w:b w:val="0"/>
          <w:bCs/>
          <w:color w:val="000000"/>
          <w:sz w:val="28"/>
          <w:szCs w:val="28"/>
        </w:rPr>
      </w:r>
      <w:r/>
    </w:p>
    <w:p>
      <w:pPr>
        <w:pStyle w:val="748"/>
        <w:ind w:firstLine="480"/>
        <w:rPr>
          <w:rFonts w:hint="eastAsia" w:ascii="宋体" w:hAnsi="宋体"/>
          <w:color w:val="000000"/>
          <w:sz w:val="24"/>
          <w:szCs w:val="24"/>
        </w:rPr>
      </w:pPr>
      <w:r>
        <w:rPr>
          <w:rFonts w:hint="eastAsia" w:ascii="宋体" w:hAnsi="宋体"/>
          <w:color w:val="000000"/>
          <w:sz w:val="24"/>
          <w:szCs w:val="24"/>
        </w:rPr>
      </w:r>
      <w:r/>
    </w:p>
    <w:p>
      <w:pPr>
        <w:pStyle w:val="748"/>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48"/>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748"/>
        <w:rPr>
          <w:rFonts w:hint="eastAsia" w:ascii="宋体" w:hAnsi="宋体"/>
          <w:b/>
          <w:color w:val="000000"/>
          <w:sz w:val="28"/>
          <w:szCs w:val="28"/>
        </w:rPr>
      </w:pPr>
      <w:r>
        <w:rPr>
          <w:rFonts w:hint="eastAsia" w:ascii="宋体" w:hAnsi="宋体"/>
          <w:b/>
          <w:color w:val="000000"/>
          <w:sz w:val="28"/>
          <w:szCs w:val="28"/>
        </w:rPr>
      </w:r>
      <w:r/>
    </w:p>
    <w:p>
      <w:pPr>
        <w:pStyle w:val="748"/>
        <w:jc w:val="center"/>
        <w:keepNext/>
        <w:rPr>
          <w:rFonts w:hint="eastAsia" w:ascii="黑体" w:hAnsi="Times New Roman" w:eastAsia="黑体"/>
          <w:bCs/>
          <w:color w:val="000000"/>
          <w:sz w:val="44"/>
          <w:szCs w:val="28"/>
        </w:rPr>
        <w:outlineLvl w:val="9"/>
      </w:pPr>
      <w:r/>
      <w:bookmarkStart w:id="220" w:name="_Toc120614281"/>
      <w:r>
        <w:rPr>
          <w:rFonts w:hint="eastAsia" w:ascii="黑体" w:hAnsi="Times New Roman" w:eastAsia="黑体"/>
          <w:bCs/>
          <w:color w:val="000000"/>
          <w:sz w:val="44"/>
          <w:szCs w:val="28"/>
        </w:rPr>
      </w:r>
      <w:r/>
    </w:p>
    <w:p>
      <w:pPr>
        <w:pStyle w:val="750"/>
        <w:keepLines/>
        <w:keepNext/>
        <w:pageBreakBefore/>
        <w:spacing w:line="416" w:lineRule="auto"/>
        <w:widowControl w:val="off"/>
        <w:rPr>
          <w:rFonts w:hint="eastAsia" w:ascii="黑体" w:hAnsi="Times New Roman" w:eastAsia="黑体"/>
          <w:bCs w:val="0"/>
          <w:color w:val="000000"/>
          <w:sz w:val="44"/>
          <w:szCs w:val="28"/>
        </w:rPr>
        <w:outlineLvl w:val="0"/>
      </w:pPr>
      <w:r/>
      <w:bookmarkStart w:id="221" w:name="_Toc26058"/>
      <w:r/>
      <w:bookmarkStart w:id="222" w:name="_Toc15528"/>
      <w:r/>
      <w:bookmarkStart w:id="223" w:name="_Toc6719"/>
      <w:r/>
      <w:bookmarkStart w:id="224" w:name="_Toc16219"/>
      <w:r>
        <w:rPr>
          <w:rFonts w:hint="eastAsia" w:ascii="黑体" w:hAnsi="Times New Roman" w:eastAsia="黑体"/>
          <w:bCs w:val="0"/>
          <w:color w:val="000000"/>
          <w:sz w:val="44"/>
          <w:szCs w:val="28"/>
        </w:rPr>
        <w:t xml:space="preserve">第五章  </w:t>
      </w:r>
      <w:r>
        <w:rPr>
          <w:rFonts w:hint="eastAsia" w:ascii="黑体" w:hAnsi="Times New Roman" w:eastAsia="黑体"/>
          <w:b w:val="0"/>
          <w:bCs w:val="0"/>
          <w:color w:val="000000"/>
          <w:sz w:val="44"/>
          <w:szCs w:val="28"/>
        </w:rPr>
        <w:t xml:space="preserve">评标方法与评标标准</w:t>
      </w:r>
      <w:bookmarkEnd w:id="221"/>
      <w:r/>
      <w:bookmarkEnd w:id="222"/>
      <w:r/>
      <w:bookmarkEnd w:id="223"/>
      <w:r/>
      <w:bookmarkEnd w:id="224"/>
      <w:r>
        <w:rPr>
          <w:rFonts w:hint="eastAsia" w:ascii="黑体" w:hAnsi="Times New Roman" w:eastAsia="黑体"/>
          <w:bCs w:val="0"/>
          <w:color w:val="000000"/>
          <w:sz w:val="44"/>
          <w:szCs w:val="28"/>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ind w:firstLine="512"/>
        <w:jc w:val="left"/>
        <w:spacing w:before="120" w:after="120" w:line="480" w:lineRule="exact"/>
        <w:rPr>
          <w:rFonts w:hint="eastAsia" w:ascii="仿宋" w:hAnsi="仿宋" w:eastAsia="仿宋" w:cs="Arial"/>
          <w:color w:val="000000"/>
          <w:sz w:val="28"/>
          <w:szCs w:val="28"/>
        </w:rPr>
      </w:pPr>
      <w:r>
        <w:rPr>
          <w:rFonts w:hint="eastAsia" w:ascii="仿宋" w:hAnsi="仿宋" w:eastAsia="仿宋" w:cs="Arial"/>
          <w:color w:val="000000"/>
          <w:sz w:val="28"/>
          <w:szCs w:val="28"/>
          <w:lang w:val="en-US" w:eastAsia="zh-CN"/>
        </w:rPr>
        <w:t xml:space="preserve">本项目</w:t>
      </w:r>
      <w:r>
        <w:rPr>
          <w:rFonts w:ascii="仿宋" w:hAnsi="仿宋" w:eastAsia="仿宋" w:cs="Arial"/>
          <w:color w:val="000000"/>
          <w:sz w:val="28"/>
          <w:szCs w:val="28"/>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8"/>
        <w:gridCol w:w="5912"/>
      </w:tblGrid>
      <w:tr>
        <w:trPr/>
        <w:tc>
          <w:tcPr>
            <w:tcW w:w="2888"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5912"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888" w:type="dxa"/>
            <w:vAlign w:val="top"/>
            <w:textDirection w:val="lrTb"/>
            <w:noWrap w:val="false"/>
          </w:tcPr>
          <w:p>
            <w:pPr>
              <w:pStyle w:val="748"/>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912" w:type="dxa"/>
            <w:vAlign w:val="top"/>
            <w:textDirection w:val="lrTb"/>
            <w:noWrap w:val="false"/>
          </w:tcPr>
          <w:p>
            <w:pPr>
              <w:pStyle w:val="748"/>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748"/>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748"/>
        <w:ind w:firstLine="560"/>
        <w:jc w:val="left"/>
        <w:spacing w:before="120" w:after="120"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1、小微型企业价格扣除</w:t>
      </w:r>
      <w:r>
        <w:rPr>
          <w:rFonts w:ascii="仿宋" w:hAnsi="仿宋" w:eastAsia="仿宋"/>
          <w:color w:val="000000"/>
          <w:sz w:val="28"/>
          <w:szCs w:val="28"/>
          <w:lang w:val="en-US" w:eastAsia="zh-CN"/>
        </w:rPr>
      </w:r>
      <w:r/>
    </w:p>
    <w:p>
      <w:pPr>
        <w:pStyle w:val="748"/>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的扣除价格，用扣除后的价格参与评审。</w:t>
      </w:r>
      <w:r>
        <w:rPr>
          <w:rFonts w:hint="eastAsia" w:ascii="仿宋" w:hAnsi="仿宋" w:eastAsia="仿宋"/>
          <w:color w:val="000000"/>
          <w:sz w:val="28"/>
          <w:szCs w:val="28"/>
        </w:rPr>
      </w:r>
      <w:r/>
    </w:p>
    <w:p>
      <w:pPr>
        <w:pStyle w:val="748"/>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rPr>
          <w:rFonts w:hint="eastAsia" w:ascii="仿宋" w:hAnsi="仿宋" w:eastAsia="仿宋"/>
          <w:color w:val="000000"/>
          <w:sz w:val="28"/>
          <w:szCs w:val="28"/>
        </w:rPr>
      </w:r>
      <w:r/>
    </w:p>
    <w:p>
      <w:pPr>
        <w:pStyle w:val="748"/>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（3）企业标准请参照《关于印发中小企业划型标准规定的通知》（工信部联企业[2011]300号）文件规定自行填写。</w:t>
      </w:r>
      <w:r>
        <w:rPr>
          <w:rFonts w:hint="eastAsia" w:ascii="仿宋" w:hAnsi="仿宋" w:eastAsia="仿宋"/>
          <w:color w:val="000000"/>
          <w:sz w:val="28"/>
          <w:szCs w:val="28"/>
        </w:rPr>
      </w:r>
      <w:r/>
    </w:p>
    <w:p>
      <w:pPr>
        <w:pStyle w:val="748"/>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2、残疾人福利单位价格扣除</w:t>
      </w:r>
      <w:r>
        <w:rPr>
          <w:rFonts w:hint="eastAsia" w:ascii="仿宋" w:hAnsi="仿宋" w:eastAsia="仿宋"/>
          <w:color w:val="000000"/>
          <w:sz w:val="28"/>
          <w:szCs w:val="28"/>
        </w:rPr>
      </w:r>
      <w:r/>
    </w:p>
    <w:p>
      <w:pPr>
        <w:pStyle w:val="748"/>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的价格扣除，用扣除后的价格参与评审。</w:t>
      </w:r>
      <w:r>
        <w:rPr>
          <w:rFonts w:hint="eastAsia" w:ascii="仿宋" w:hAnsi="仿宋" w:eastAsia="仿宋"/>
          <w:color w:val="000000"/>
          <w:sz w:val="28"/>
          <w:szCs w:val="28"/>
        </w:rPr>
      </w:r>
      <w:r/>
    </w:p>
    <w:p>
      <w:pPr>
        <w:pStyle w:val="748"/>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（2）残疾人福利单位需按照采购文件的要求提供《残疾人福利性单位声明函》。</w:t>
      </w:r>
      <w:r>
        <w:rPr>
          <w:rFonts w:hint="eastAsia" w:ascii="仿宋" w:hAnsi="仿宋" w:eastAsia="仿宋"/>
          <w:color w:val="000000"/>
          <w:sz w:val="28"/>
          <w:szCs w:val="28"/>
        </w:rPr>
      </w:r>
      <w:r/>
    </w:p>
    <w:p>
      <w:pPr>
        <w:pStyle w:val="748"/>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rPr>
          <w:rFonts w:hint="eastAsia" w:ascii="仿宋" w:hAnsi="仿宋" w:eastAsia="仿宋"/>
          <w:color w:val="000000"/>
          <w:sz w:val="28"/>
          <w:szCs w:val="28"/>
        </w:rPr>
      </w:r>
      <w:r/>
    </w:p>
    <w:p>
      <w:pPr>
        <w:pStyle w:val="748"/>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3、监狱和戒毒企业价格扣除</w:t>
      </w:r>
      <w:r>
        <w:rPr>
          <w:rFonts w:hint="eastAsia" w:ascii="仿宋" w:hAnsi="仿宋" w:eastAsia="仿宋"/>
          <w:color w:val="000000"/>
          <w:sz w:val="28"/>
          <w:szCs w:val="28"/>
        </w:rPr>
      </w:r>
      <w:r/>
    </w:p>
    <w:p>
      <w:pPr>
        <w:pStyle w:val="748"/>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的价格扣除，用扣除后的价格参与评审。</w:t>
      </w:r>
      <w:r>
        <w:rPr>
          <w:rFonts w:hint="eastAsia" w:ascii="仿宋" w:hAnsi="仿宋" w:eastAsia="仿宋"/>
          <w:color w:val="000000"/>
          <w:sz w:val="28"/>
          <w:szCs w:val="28"/>
        </w:rPr>
      </w:r>
      <w:r/>
    </w:p>
    <w:p>
      <w:pPr>
        <w:pStyle w:val="748"/>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8"/>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8"/>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748"/>
        <w:ind w:firstLine="551"/>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、根据《江苏省政府采购信用管理暂行办法》的规定，供应商信用评价结果为三星的扣2分，评价结果为二星的扣3分，评价结果为一星的扣4分。</w:t>
      </w:r>
      <w:r>
        <w:rPr>
          <w:rFonts w:hint="eastAsia" w:ascii="仿宋" w:hAnsi="仿宋" w:eastAsia="仿宋"/>
          <w:color w:val="000000"/>
          <w:sz w:val="28"/>
          <w:szCs w:val="28"/>
        </w:rPr>
      </w:r>
      <w:r/>
    </w:p>
    <w:p>
      <w:pPr>
        <w:pStyle w:val="748"/>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836"/>
        <w:numPr>
          <w:ilvl w:val="0"/>
          <w:numId w:val="50"/>
        </w:numPr>
        <w:ind w:firstLine="562"/>
        <w:spacing w:line="480" w:lineRule="exact"/>
        <w:tabs>
          <w:tab w:val="left" w:pos="312" w:leader="none"/>
        </w:tabs>
        <w:rPr>
          <w:rFonts w:hint="eastAsia" w:ascii="仿宋" w:hAnsi="仿宋" w:eastAsia="仿宋"/>
          <w:b/>
          <w:sz w:val="28"/>
          <w:szCs w:val="28"/>
          <w:highlight w:val="none"/>
        </w:rPr>
      </w:pP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836"/>
        <w:numPr>
          <w:ilvl w:val="0"/>
          <w:numId w:val="0"/>
        </w:numPr>
        <w:ind w:firstLine="562"/>
        <w:keepLines w:val="0"/>
        <w:keepNext w:val="0"/>
        <w:pageBreakBefore w:val="0"/>
        <w:spacing w:line="480" w:lineRule="exact"/>
        <w:widowControl w:val="off"/>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Times New Roman"/>
          <w:b/>
          <w:sz w:val="28"/>
          <w:szCs w:val="28"/>
          <w:highlight w:val="none"/>
        </w:rPr>
      </w:r>
      <w:r/>
    </w:p>
    <w:p>
      <w:pPr>
        <w:pStyle w:val="836"/>
        <w:numPr>
          <w:ilvl w:val="0"/>
          <w:numId w:val="0"/>
        </w:numPr>
        <w:ind w:firstLine="562"/>
        <w:keepLines w:val="0"/>
        <w:keepNext w:val="0"/>
        <w:pageBreakBefore w:val="0"/>
        <w:spacing w:line="480" w:lineRule="exact"/>
        <w:widowControl w:val="off"/>
        <w:rPr>
          <w:rFonts w:hint="eastAsia" w:ascii="仿宋" w:hAnsi="仿宋" w:eastAsia="仿宋"/>
          <w:b/>
          <w:sz w:val="28"/>
          <w:szCs w:val="28"/>
          <w:highlight w:val="none"/>
        </w:rPr>
      </w:pPr>
      <w:r>
        <w:rPr>
          <w:rFonts w:hint="eastAsia" w:ascii="仿宋" w:hAnsi="仿宋" w:eastAsia="仿宋" w:cs="Times New Roman"/>
          <w:b/>
          <w:sz w:val="28"/>
          <w:szCs w:val="28"/>
          <w:highlight w:val="none"/>
        </w:rPr>
        <w:t xml:space="preserve">投标报价得分=（评标基准价/投标报价）×价格权值×100</w:t>
      </w:r>
      <w:r>
        <w:rPr>
          <w:rFonts w:hint="eastAsia" w:ascii="仿宋" w:hAnsi="仿宋" w:eastAsia="仿宋"/>
          <w:b/>
          <w:sz w:val="28"/>
          <w:szCs w:val="28"/>
          <w:highlight w:val="none"/>
        </w:rPr>
      </w:r>
      <w:r/>
    </w:p>
    <w:p>
      <w:pPr>
        <w:pStyle w:val="748"/>
        <w:numPr>
          <w:ilvl w:val="0"/>
          <w:numId w:val="50"/>
        </w:numPr>
        <w:ind w:firstLine="562"/>
        <w:jc w:val="left"/>
        <w:spacing w:before="120" w:after="120" w:line="480" w:lineRule="exact"/>
        <w:tabs>
          <w:tab w:val="left" w:pos="312" w:leader="none"/>
        </w:tabs>
        <w:rPr>
          <w:rFonts w:ascii="仿宋" w:hAnsi="仿宋" w:eastAsia="仿宋"/>
          <w:b/>
          <w:sz w:val="28"/>
          <w:szCs w:val="28"/>
        </w:rPr>
      </w:pP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ascii="仿宋" w:hAnsi="仿宋" w:eastAsia="仿宋"/>
          <w:b/>
          <w:sz w:val="28"/>
          <w:szCs w:val="28"/>
        </w:rPr>
      </w:r>
      <w:r/>
    </w:p>
    <w:tbl>
      <w:tblPr>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val="false"/>
          </w:tcPr>
          <w:p>
            <w:pPr>
              <w:pStyle w:val="748"/>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1701" w:type="dxa"/>
            <w:vAlign w:val="center"/>
            <w:textDirection w:val="lrTb"/>
            <w:noWrap w:val="false"/>
          </w:tcPr>
          <w:p>
            <w:pPr>
              <w:pStyle w:val="748"/>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rPr>
                <w:rFonts w:ascii="仿宋" w:hAnsi="仿宋" w:eastAsia="仿宋"/>
                <w:b/>
                <w:sz w:val="28"/>
                <w:szCs w:val="28"/>
              </w:rPr>
            </w:r>
            <w:r/>
          </w:p>
        </w:tc>
        <w:tc>
          <w:tcPr>
            <w:tcW w:w="2835" w:type="dxa"/>
            <w:vAlign w:val="center"/>
            <w:textDirection w:val="lrTb"/>
            <w:noWrap w:val="false"/>
          </w:tcPr>
          <w:p>
            <w:pPr>
              <w:pStyle w:val="748"/>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rPr>
                <w:rFonts w:ascii="仿宋" w:hAnsi="仿宋" w:eastAsia="仿宋"/>
                <w:b/>
                <w:sz w:val="28"/>
                <w:szCs w:val="28"/>
              </w:rPr>
            </w:r>
            <w:r/>
          </w:p>
        </w:tc>
        <w:tc>
          <w:tcPr>
            <w:tcW w:w="1241" w:type="dxa"/>
            <w:vAlign w:val="center"/>
            <w:textDirection w:val="lrTb"/>
            <w:noWrap w:val="false"/>
          </w:tcPr>
          <w:p>
            <w:pPr>
              <w:pStyle w:val="748"/>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rPr>
                <w:rFonts w:ascii="仿宋" w:hAnsi="仿宋" w:eastAsia="仿宋"/>
                <w:b/>
                <w:sz w:val="28"/>
                <w:szCs w:val="28"/>
              </w:rPr>
            </w:r>
            <w:r/>
          </w:p>
        </w:tc>
        <w:tc>
          <w:tcPr>
            <w:tcW w:w="1110" w:type="dxa"/>
            <w:vAlign w:val="center"/>
            <w:textDirection w:val="lrTb"/>
            <w:noWrap w:val="false"/>
          </w:tcPr>
          <w:p>
            <w:pPr>
              <w:pStyle w:val="748"/>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rPr>
                <w:rFonts w:ascii="仿宋" w:hAnsi="仿宋" w:eastAsia="仿宋"/>
                <w:b/>
                <w:sz w:val="28"/>
                <w:szCs w:val="28"/>
              </w:rPr>
            </w:r>
            <w:r/>
          </w:p>
        </w:tc>
        <w:tc>
          <w:tcPr>
            <w:tcW w:w="1618" w:type="dxa"/>
            <w:vAlign w:val="center"/>
            <w:textDirection w:val="lrTb"/>
            <w:noWrap w:val="false"/>
          </w:tcPr>
          <w:p>
            <w:pPr>
              <w:pStyle w:val="748"/>
              <w:jc w:val="center"/>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959"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w:t>
            </w:r>
            <w:r>
              <w:rPr>
                <w:rFonts w:hint="eastAsia" w:ascii="仿宋" w:hAnsi="仿宋" w:eastAsia="仿宋"/>
                <w:b/>
                <w:color w:val="000000"/>
                <w:sz w:val="28"/>
                <w:szCs w:val="28"/>
              </w:rPr>
            </w:r>
            <w:r/>
          </w:p>
        </w:tc>
        <w:tc>
          <w:tcPr>
            <w:tcW w:w="170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宋体" w:hAnsi="宋体" w:cs="宋体"/>
                <w:color w:val="000000"/>
                <w:sz w:val="28"/>
                <w:szCs w:val="28"/>
              </w:rPr>
              <w:t xml:space="preserve">需求响应</w:t>
            </w:r>
            <w:r>
              <w:rPr>
                <w:rFonts w:ascii="仿宋" w:hAnsi="仿宋" w:eastAsia="仿宋"/>
                <w:b/>
                <w:color w:val="000000"/>
                <w:sz w:val="28"/>
                <w:szCs w:val="28"/>
              </w:rPr>
            </w:r>
            <w:r/>
          </w:p>
        </w:tc>
        <w:tc>
          <w:tcPr>
            <w:tcW w:w="2835" w:type="dxa"/>
            <w:vAlign w:val="center"/>
            <w:textDirection w:val="lrTb"/>
            <w:noWrap w:val="false"/>
          </w:tcPr>
          <w:p>
            <w:pPr>
              <w:pStyle w:val="748"/>
              <w:numPr>
                <w:ilvl w:val="0"/>
                <w:numId w:val="51"/>
              </w:numPr>
              <w:rPr>
                <w:rFonts w:hint="eastAsia" w:ascii="宋体" w:hAnsi="宋体" w:cs="宋体"/>
                <w:color w:val="000000"/>
                <w:szCs w:val="21"/>
              </w:rPr>
            </w:pPr>
            <w:r>
              <w:rPr>
                <w:rFonts w:hint="eastAsia" w:ascii="宋体" w:hAnsi="宋体" w:cs="宋体"/>
                <w:color w:val="000000"/>
                <w:szCs w:val="21"/>
              </w:rPr>
              <w:t xml:space="preserve">完全满足招标文件“采购需求”中技术规格要求的得30分；</w:t>
            </w:r>
            <w:r>
              <w:rPr>
                <w:rFonts w:hint="eastAsia" w:ascii="宋体" w:hAnsi="宋体" w:cs="宋体"/>
                <w:color w:val="000000"/>
                <w:szCs w:val="21"/>
              </w:rPr>
            </w:r>
            <w:r/>
          </w:p>
          <w:p>
            <w:pPr>
              <w:pStyle w:val="748"/>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pacing w:val="-16"/>
                <w:szCs w:val="21"/>
              </w:rPr>
              <w:t xml:space="preserve">参数中不带</w:t>
            </w:r>
            <w:r>
              <w:rPr>
                <w:rFonts w:hint="eastAsia" w:ascii="宋体" w:hAnsi="宋体" w:cs="宋体"/>
                <w:color w:val="000000"/>
                <w:szCs w:val="21"/>
              </w:rPr>
              <w:t xml:space="preserve">▲</w:t>
            </w:r>
            <w:r>
              <w:rPr>
                <w:rFonts w:hint="eastAsia" w:ascii="宋体" w:hAnsi="宋体" w:cs="宋体"/>
                <w:color w:val="000000"/>
                <w:spacing w:val="-16"/>
                <w:szCs w:val="21"/>
              </w:rPr>
              <w:t xml:space="preserve">项的为基本技术参数，每有一项负偏离扣1</w:t>
            </w:r>
            <w:r>
              <w:rPr>
                <w:rFonts w:hint="eastAsia" w:ascii="宋体" w:hAnsi="宋体" w:cs="宋体"/>
                <w:color w:val="000000"/>
                <w:szCs w:val="21"/>
              </w:rPr>
              <w:t xml:space="preserve">分，扣完为止；</w:t>
            </w:r>
            <w:r>
              <w:rPr>
                <w:rFonts w:hint="eastAsia" w:ascii="宋体" w:hAnsi="宋体" w:cs="宋体"/>
                <w:color w:val="000000"/>
                <w:szCs w:val="21"/>
              </w:rPr>
            </w:r>
            <w:r/>
          </w:p>
          <w:p>
            <w:pPr>
              <w:pStyle w:val="748"/>
              <w:jc w:val="left"/>
              <w:spacing w:before="120" w:after="120" w:line="480" w:lineRule="exact"/>
              <w:rPr>
                <w:rFonts w:ascii="仿宋" w:hAnsi="仿宋" w:eastAsia="仿宋"/>
                <w:b/>
                <w:color w:val="000000"/>
                <w:sz w:val="28"/>
                <w:szCs w:val="28"/>
              </w:rPr>
            </w:pPr>
            <w:r>
              <w:rPr>
                <w:rFonts w:hint="eastAsia" w:ascii="宋体" w:hAnsi="宋体" w:cs="宋体"/>
                <w:color w:val="000000"/>
                <w:spacing w:val="-1"/>
                <w:szCs w:val="21"/>
              </w:rPr>
              <w:t xml:space="preserve">3、技术参数中带“</w:t>
            </w:r>
            <w:r>
              <w:rPr>
                <w:rFonts w:hint="eastAsia" w:ascii="宋体" w:hAnsi="宋体" w:cs="宋体"/>
                <w:color w:val="000000"/>
                <w:szCs w:val="21"/>
              </w:rPr>
              <w:t xml:space="preserve">▲</w:t>
            </w:r>
            <w:r>
              <w:rPr>
                <w:rFonts w:hint="eastAsia" w:ascii="宋体" w:hAnsi="宋体" w:cs="宋体"/>
                <w:color w:val="000000"/>
                <w:spacing w:val="-1"/>
                <w:szCs w:val="21"/>
              </w:rPr>
              <w:t xml:space="preserve">”项为重要参数，若出现负偏离的，每一项扣</w:t>
            </w:r>
            <w:r>
              <w:rPr>
                <w:rFonts w:hint="eastAsia" w:ascii="宋体" w:hAnsi="宋体" w:cs="宋体"/>
                <w:color w:val="000000"/>
                <w:spacing w:val="-27"/>
                <w:szCs w:val="21"/>
              </w:rPr>
              <w:t xml:space="preserve">除2</w:t>
            </w:r>
            <w:r>
              <w:rPr>
                <w:rFonts w:hint="eastAsia" w:ascii="宋体" w:hAnsi="宋体" w:cs="宋体"/>
                <w:color w:val="000000"/>
                <w:spacing w:val="-8"/>
                <w:szCs w:val="21"/>
              </w:rPr>
              <w:t xml:space="preserve">分，扣完为止。</w:t>
            </w:r>
            <w:r>
              <w:rPr>
                <w:rFonts w:hint="eastAsia" w:ascii="宋体" w:hAnsi="宋体" w:eastAsia="宋体" w:cs="宋体"/>
                <w:b/>
                <w:bCs/>
                <w:color w:val="000000"/>
                <w:spacing w:val="-1"/>
                <w:szCs w:val="21"/>
                <w:lang w:val="zh-CN"/>
              </w:rPr>
              <w:t xml:space="preserve">（</w:t>
            </w:r>
            <w:r>
              <w:rPr>
                <w:rFonts w:hint="eastAsia" w:ascii="宋体" w:hAnsi="宋体" w:eastAsia="宋体" w:cs="宋体"/>
                <w:b/>
                <w:bCs/>
                <w:color w:val="000000"/>
                <w:spacing w:val="-1"/>
                <w:szCs w:val="21"/>
                <w:lang w:val="en-US" w:eastAsia="zh-CN"/>
              </w:rPr>
              <w:t xml:space="preserve">注：</w:t>
            </w:r>
            <w:r>
              <w:rPr>
                <w:rFonts w:hint="eastAsia" w:ascii="宋体" w:hAnsi="宋体" w:eastAsia="宋体" w:cs="宋体"/>
                <w:b/>
                <w:bCs/>
                <w:color w:val="000000"/>
                <w:spacing w:val="-1"/>
                <w:szCs w:val="21"/>
                <w:lang w:val="zh-CN"/>
              </w:rPr>
              <w:t xml:space="preserve">标记“</w:t>
            </w:r>
            <w:r>
              <w:rPr>
                <w:rFonts w:hint="eastAsia" w:ascii="宋体" w:hAnsi="宋体" w:eastAsia="宋体" w:cs="宋体"/>
                <w:b/>
                <w:bCs/>
                <w:color w:val="000000"/>
                <w:spacing w:val="-1"/>
                <w:szCs w:val="21"/>
              </w:rPr>
              <w:t xml:space="preserve">▲</w:t>
            </w:r>
            <w:r>
              <w:rPr>
                <w:rFonts w:hint="eastAsia" w:ascii="宋体" w:hAnsi="宋体" w:eastAsia="宋体" w:cs="宋体"/>
                <w:b/>
                <w:bCs/>
                <w:color w:val="000000"/>
                <w:spacing w:val="-1"/>
                <w:szCs w:val="21"/>
                <w:lang w:val="zh-CN"/>
              </w:rPr>
              <w:t xml:space="preserve">”为重点参数，</w:t>
            </w:r>
            <w:r>
              <w:rPr>
                <w:rFonts w:hint="eastAsia" w:ascii="宋体" w:hAnsi="宋体" w:eastAsia="宋体" w:cs="宋体"/>
                <w:b/>
                <w:bCs/>
                <w:color w:val="000000"/>
                <w:spacing w:val="-1"/>
                <w:szCs w:val="21"/>
              </w:rPr>
              <w:t xml:space="preserve">须根据要求提供功能证明截图。）</w:t>
            </w:r>
            <w:r>
              <w:rPr>
                <w:rFonts w:ascii="仿宋" w:hAnsi="仿宋" w:eastAsia="仿宋"/>
                <w:b/>
                <w:color w:val="000000"/>
                <w:sz w:val="28"/>
                <w:szCs w:val="28"/>
              </w:rPr>
            </w:r>
            <w:r/>
          </w:p>
        </w:tc>
        <w:tc>
          <w:tcPr>
            <w:tcW w:w="124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30</w:t>
            </w:r>
            <w:r>
              <w:rPr>
                <w:rFonts w:ascii="仿宋" w:hAnsi="仿宋" w:eastAsia="仿宋"/>
                <w:b/>
                <w:color w:val="000000"/>
                <w:sz w:val="28"/>
                <w:szCs w:val="28"/>
              </w:rPr>
            </w:r>
            <w:r/>
          </w:p>
        </w:tc>
        <w:tc>
          <w:tcPr>
            <w:tcW w:w="1110"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客观</w:t>
            </w:r>
            <w:r>
              <w:rPr>
                <w:rFonts w:hint="eastAsia" w:ascii="仿宋" w:hAnsi="仿宋" w:eastAsia="仿宋"/>
                <w:b/>
                <w:color w:val="000000"/>
                <w:sz w:val="28"/>
                <w:szCs w:val="28"/>
              </w:rPr>
            </w:r>
            <w:r/>
          </w:p>
        </w:tc>
      </w:tr>
    </w:tbl>
    <w:p>
      <w:pPr>
        <w:pStyle w:val="748"/>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748"/>
        <w:numPr>
          <w:ilvl w:val="0"/>
          <w:numId w:val="50"/>
        </w:numPr>
        <w:ind w:firstLine="562"/>
        <w:jc w:val="left"/>
        <w:spacing w:before="120" w:after="120" w:line="480" w:lineRule="exact"/>
        <w:tabs>
          <w:tab w:val="left" w:pos="312" w:leader="none"/>
        </w:tabs>
        <w:rPr>
          <w:rFonts w:hint="eastAsia" w:ascii="仿宋" w:hAnsi="仿宋" w:eastAsia="仿宋"/>
          <w:sz w:val="28"/>
          <w:szCs w:val="28"/>
          <w:highlight w:val="none"/>
        </w:rPr>
      </w:pP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8</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val="false"/>
          </w:tcPr>
          <w:p>
            <w:pPr>
              <w:pStyle w:val="748"/>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1701" w:type="dxa"/>
            <w:vAlign w:val="center"/>
            <w:textDirection w:val="lrTb"/>
            <w:noWrap w:val="false"/>
          </w:tcPr>
          <w:p>
            <w:pPr>
              <w:pStyle w:val="748"/>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rPr>
                <w:rFonts w:ascii="仿宋" w:hAnsi="仿宋" w:eastAsia="仿宋"/>
                <w:b/>
                <w:sz w:val="28"/>
                <w:szCs w:val="28"/>
              </w:rPr>
            </w:r>
            <w:r/>
          </w:p>
        </w:tc>
        <w:tc>
          <w:tcPr>
            <w:tcW w:w="2835" w:type="dxa"/>
            <w:vAlign w:val="center"/>
            <w:textDirection w:val="lrTb"/>
            <w:noWrap w:val="false"/>
          </w:tcPr>
          <w:p>
            <w:pPr>
              <w:pStyle w:val="748"/>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rPr>
                <w:rFonts w:ascii="仿宋" w:hAnsi="仿宋" w:eastAsia="仿宋"/>
                <w:b/>
                <w:sz w:val="28"/>
                <w:szCs w:val="28"/>
              </w:rPr>
            </w:r>
            <w:r/>
          </w:p>
        </w:tc>
        <w:tc>
          <w:tcPr>
            <w:tcW w:w="1241" w:type="dxa"/>
            <w:vAlign w:val="center"/>
            <w:textDirection w:val="lrTb"/>
            <w:noWrap w:val="false"/>
          </w:tcPr>
          <w:p>
            <w:pPr>
              <w:pStyle w:val="748"/>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rPr>
                <w:rFonts w:ascii="仿宋" w:hAnsi="仿宋" w:eastAsia="仿宋"/>
                <w:b/>
                <w:sz w:val="28"/>
                <w:szCs w:val="28"/>
              </w:rPr>
            </w:r>
            <w:r/>
          </w:p>
        </w:tc>
        <w:tc>
          <w:tcPr>
            <w:tcW w:w="1110" w:type="dxa"/>
            <w:vAlign w:val="center"/>
            <w:textDirection w:val="lrTb"/>
            <w:noWrap w:val="false"/>
          </w:tcPr>
          <w:p>
            <w:pPr>
              <w:pStyle w:val="748"/>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rPr>
                <w:rFonts w:ascii="仿宋" w:hAnsi="仿宋" w:eastAsia="仿宋"/>
                <w:b/>
                <w:sz w:val="28"/>
                <w:szCs w:val="28"/>
              </w:rPr>
            </w:r>
            <w:r/>
          </w:p>
        </w:tc>
        <w:tc>
          <w:tcPr>
            <w:tcW w:w="1618" w:type="dxa"/>
            <w:vAlign w:val="center"/>
            <w:textDirection w:val="lrTb"/>
            <w:noWrap w:val="false"/>
          </w:tcPr>
          <w:p>
            <w:pPr>
              <w:pStyle w:val="748"/>
              <w:jc w:val="center"/>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959" w:type="dxa"/>
            <w:vAlign w:val="center"/>
            <w:textDirection w:val="lrTb"/>
            <w:noWrap w:val="false"/>
          </w:tcPr>
          <w:p>
            <w:pPr>
              <w:pStyle w:val="748"/>
              <w:jc w:val="center"/>
              <w:spacing w:before="120" w:after="120" w:line="480" w:lineRule="exact"/>
              <w:rPr>
                <w:rFonts w:hint="eastAsia" w:ascii="仿宋" w:hAnsi="仿宋" w:eastAsia="仿宋"/>
                <w:b/>
                <w:color w:val="0000ff"/>
                <w:sz w:val="28"/>
                <w:szCs w:val="28"/>
              </w:rPr>
            </w:pPr>
            <w:r>
              <w:rPr>
                <w:rFonts w:hint="eastAsia" w:ascii="仿宋" w:hAnsi="仿宋" w:eastAsia="仿宋"/>
                <w:b/>
                <w:color w:val="000000"/>
                <w:sz w:val="28"/>
                <w:szCs w:val="28"/>
              </w:rPr>
              <w:t xml:space="preserve">1</w:t>
            </w:r>
            <w:r>
              <w:rPr>
                <w:rFonts w:hint="eastAsia" w:ascii="仿宋" w:hAnsi="仿宋" w:eastAsia="仿宋"/>
                <w:b/>
                <w:color w:val="0000ff"/>
                <w:sz w:val="28"/>
                <w:szCs w:val="28"/>
              </w:rPr>
            </w:r>
            <w:r/>
          </w:p>
        </w:tc>
        <w:tc>
          <w:tcPr>
            <w:tcW w:w="170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宋体" w:hAnsi="宋体" w:cs="宋体"/>
                <w:color w:val="000000"/>
                <w:sz w:val="28"/>
                <w:szCs w:val="28"/>
              </w:rPr>
              <w:t xml:space="preserve">设计方案</w:t>
            </w:r>
            <w:r>
              <w:rPr>
                <w:rFonts w:ascii="仿宋" w:hAnsi="仿宋" w:eastAsia="仿宋"/>
                <w:b/>
                <w:color w:val="000000"/>
                <w:sz w:val="28"/>
                <w:szCs w:val="28"/>
              </w:rPr>
            </w:r>
            <w:r/>
          </w:p>
        </w:tc>
        <w:tc>
          <w:tcPr>
            <w:tcW w:w="2835" w:type="dxa"/>
            <w:vAlign w:val="center"/>
            <w:textDirection w:val="lrTb"/>
            <w:noWrap w:val="false"/>
          </w:tcPr>
          <w:p>
            <w:pPr>
              <w:pStyle w:val="748"/>
              <w:jc w:val="left"/>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748"/>
              <w:jc w:val="left"/>
              <w:spacing w:before="120" w:after="120" w:line="480" w:lineRule="exact"/>
              <w:rPr>
                <w:rFonts w:hint="eastAsia" w:ascii="宋体" w:hAnsi="宋体" w:cs="宋体"/>
                <w:color w:val="000000"/>
                <w:szCs w:val="21"/>
              </w:rPr>
            </w:pPr>
            <w:r>
              <w:rPr>
                <w:rFonts w:hint="eastAsia" w:ascii="宋体" w:hAnsi="宋体" w:cs="宋体"/>
                <w:color w:val="000000"/>
                <w:szCs w:val="21"/>
              </w:rPr>
              <w:t xml:space="preserve">投标供应商根据本项目的具体情况提供针对本项目设计方案（①需求调研，②功能设计，③系统架构，④实现思路，⑤关键技术)，评委会根据投标人提供的方案进行综合评审；</w:t>
            </w:r>
            <w:r>
              <w:rPr>
                <w:rFonts w:hint="eastAsia" w:ascii="宋体" w:hAnsi="宋体" w:cs="宋体"/>
                <w:color w:val="000000"/>
                <w:szCs w:val="21"/>
              </w:rPr>
              <w:br w:type="textWrapping" w:clear="all"/>
            </w:r>
            <w:r>
              <w:rPr>
                <w:rFonts w:hint="eastAsia" w:ascii="宋体" w:hAnsi="宋体" w:cs="宋体"/>
                <w:color w:val="000000"/>
                <w:szCs w:val="21"/>
              </w:rPr>
              <w:t xml:space="preserve">响应方案包含上述所列全部内容，且阐述清晰完整、科学合理、相关内容符合国家或行业规范标准的得8分；响应方案中上述内容缺项或表述模糊、方案执行措施不足的得4分；没有提供设计方案，得0分。</w:t>
            </w:r>
            <w:r>
              <w:rPr>
                <w:rFonts w:hint="eastAsia" w:ascii="宋体" w:hAnsi="宋体" w:cs="宋体"/>
                <w:color w:val="000000"/>
                <w:szCs w:val="21"/>
              </w:rPr>
            </w:r>
            <w:r/>
          </w:p>
          <w:p>
            <w:pPr>
              <w:pStyle w:val="869"/>
              <w:rPr>
                <w:rFonts w:hint="eastAsia" w:eastAsia="宋体"/>
                <w:color w:val="000000"/>
              </w:rPr>
            </w:pPr>
            <w:r>
              <w:rPr>
                <w:rFonts w:hint="eastAsia" w:eastAsia="宋体"/>
                <w:color w:val="000000"/>
              </w:rPr>
            </w:r>
            <w:r/>
          </w:p>
        </w:tc>
        <w:tc>
          <w:tcPr>
            <w:tcW w:w="1241"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8</w:t>
            </w:r>
            <w:r>
              <w:rPr>
                <w:rFonts w:hint="eastAsia" w:ascii="仿宋" w:hAnsi="仿宋" w:eastAsia="仿宋"/>
                <w:b/>
                <w:color w:val="000000"/>
                <w:sz w:val="28"/>
                <w:szCs w:val="28"/>
              </w:rPr>
            </w:r>
            <w:r/>
          </w:p>
        </w:tc>
        <w:tc>
          <w:tcPr>
            <w:tcW w:w="1110"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主观</w:t>
            </w:r>
            <w:r>
              <w:rPr>
                <w:rFonts w:ascii="仿宋" w:hAnsi="仿宋" w:eastAsia="仿宋"/>
                <w:b/>
                <w:color w:val="000000"/>
                <w:sz w:val="28"/>
                <w:szCs w:val="28"/>
              </w:rPr>
            </w:r>
            <w:r/>
          </w:p>
        </w:tc>
      </w:tr>
      <w:tr>
        <w:trPr>
          <w:trHeight w:val="4175"/>
        </w:trPr>
        <w:tc>
          <w:tcPr>
            <w:tcW w:w="959"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hint="eastAsia" w:ascii="仿宋" w:hAnsi="仿宋" w:eastAsia="仿宋"/>
                <w:b/>
                <w:color w:val="000000"/>
                <w:sz w:val="28"/>
                <w:szCs w:val="28"/>
              </w:rPr>
            </w:r>
            <w:r/>
          </w:p>
        </w:tc>
        <w:tc>
          <w:tcPr>
            <w:tcW w:w="170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宋体" w:hAnsi="宋体" w:cs="宋体"/>
                <w:color w:val="000000"/>
                <w:sz w:val="28"/>
                <w:szCs w:val="28"/>
              </w:rPr>
              <w:t xml:space="preserve">实施方案</w:t>
            </w:r>
            <w:r>
              <w:rPr>
                <w:rFonts w:ascii="仿宋" w:hAnsi="仿宋" w:eastAsia="仿宋"/>
                <w:b/>
                <w:color w:val="000000"/>
                <w:sz w:val="28"/>
                <w:szCs w:val="28"/>
              </w:rPr>
            </w:r>
            <w:r/>
          </w:p>
        </w:tc>
        <w:tc>
          <w:tcPr>
            <w:tcW w:w="2835" w:type="dxa"/>
            <w:vAlign w:val="center"/>
            <w:textDirection w:val="lrTb"/>
            <w:noWrap w:val="false"/>
          </w:tcPr>
          <w:p>
            <w:pPr>
              <w:pStyle w:val="748"/>
              <w:jc w:val="left"/>
              <w:spacing w:before="120" w:after="120" w:line="480" w:lineRule="exact"/>
              <w:rPr>
                <w:rFonts w:hint="eastAsia" w:ascii="宋体" w:hAnsi="宋体" w:cs="宋体"/>
                <w:color w:val="000000"/>
                <w:szCs w:val="21"/>
              </w:rPr>
            </w:pPr>
            <w:r>
              <w:rPr>
                <w:rFonts w:hint="eastAsia" w:ascii="宋体" w:hAnsi="宋体" w:cs="宋体"/>
                <w:color w:val="000000"/>
                <w:szCs w:val="21"/>
              </w:rPr>
              <w:t xml:space="preserve">投标供应商根据本项目的具体情况提供针对本项目实施方案（必须包含以下内容：①项目进度计划，②项目实施方案，③拟投入本项目的主要技术人员情况、④安全生产管理制度，⑤货物安装、调试及验收⑥产品安装使用说明书），响应方案包含上述所列全部内容，且阐述清晰完整、科学合理、相关内容符合国家或行业规范标准的得6分；响应方案中上述内容缺项或表述模糊、方案执行措施不足的得4分；没有提供实施及培训方案，得0分。</w:t>
            </w:r>
            <w:r>
              <w:rPr>
                <w:rFonts w:hint="eastAsia" w:ascii="宋体" w:hAnsi="宋体" w:cs="宋体"/>
                <w:color w:val="000000"/>
                <w:szCs w:val="21"/>
              </w:rPr>
            </w:r>
            <w:r/>
          </w:p>
          <w:p>
            <w:pPr>
              <w:pStyle w:val="748"/>
              <w:jc w:val="left"/>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r>
            <w:r/>
          </w:p>
        </w:tc>
        <w:tc>
          <w:tcPr>
            <w:tcW w:w="1241"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ascii="仿宋" w:hAnsi="仿宋" w:eastAsia="仿宋"/>
                <w:b/>
                <w:color w:val="000000"/>
                <w:sz w:val="28"/>
                <w:szCs w:val="28"/>
              </w:rPr>
              <w:t xml:space="preserve">6</w:t>
            </w:r>
            <w:r>
              <w:rPr>
                <w:rFonts w:hint="eastAsia" w:ascii="仿宋" w:hAnsi="仿宋" w:eastAsia="仿宋"/>
                <w:b/>
                <w:color w:val="000000"/>
                <w:sz w:val="28"/>
                <w:szCs w:val="28"/>
              </w:rPr>
            </w:r>
            <w:r/>
          </w:p>
        </w:tc>
        <w:tc>
          <w:tcPr>
            <w:tcW w:w="1110"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主观</w:t>
            </w:r>
            <w:r>
              <w:rPr>
                <w:rFonts w:ascii="仿宋" w:hAnsi="仿宋" w:eastAsia="仿宋"/>
                <w:b/>
                <w:color w:val="000000"/>
                <w:sz w:val="28"/>
                <w:szCs w:val="28"/>
              </w:rPr>
            </w:r>
            <w:r/>
          </w:p>
        </w:tc>
      </w:tr>
      <w:tr>
        <w:trPr/>
        <w:tc>
          <w:tcPr>
            <w:tcW w:w="959"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3</w:t>
            </w:r>
            <w:r>
              <w:rPr>
                <w:rFonts w:hint="eastAsia" w:ascii="仿宋" w:hAnsi="仿宋" w:eastAsia="仿宋"/>
                <w:b/>
                <w:color w:val="000000"/>
                <w:sz w:val="28"/>
                <w:szCs w:val="28"/>
              </w:rPr>
            </w:r>
            <w:r/>
          </w:p>
        </w:tc>
        <w:tc>
          <w:tcPr>
            <w:tcW w:w="170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宋体" w:hAnsi="宋体" w:cs="宋体"/>
                <w:color w:val="000000"/>
                <w:sz w:val="28"/>
                <w:szCs w:val="28"/>
              </w:rPr>
              <w:t xml:space="preserve">项目人员资质</w:t>
            </w:r>
            <w:r>
              <w:rPr>
                <w:rFonts w:ascii="仿宋" w:hAnsi="仿宋" w:eastAsia="仿宋"/>
                <w:b/>
                <w:color w:val="000000"/>
                <w:sz w:val="28"/>
                <w:szCs w:val="28"/>
              </w:rPr>
            </w:r>
            <w:r/>
          </w:p>
        </w:tc>
        <w:tc>
          <w:tcPr>
            <w:tcW w:w="2835" w:type="dxa"/>
            <w:vAlign w:val="center"/>
            <w:textDirection w:val="lrTb"/>
            <w:noWrap w:val="false"/>
          </w:tcPr>
          <w:p>
            <w:pPr>
              <w:pStyle w:val="748"/>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项目团队人员中有具备中级或中级以上系统架构设计师证书得1.5分；注册信息安全专业人员（CISP）证书得1.5分。</w:t>
            </w:r>
            <w:r>
              <w:rPr>
                <w:rFonts w:hint="eastAsia" w:ascii="宋体" w:hAnsi="宋体" w:eastAsia="宋体" w:cs="宋体"/>
                <w:color w:val="000000"/>
                <w:szCs w:val="21"/>
              </w:rPr>
            </w:r>
            <w:r/>
          </w:p>
          <w:p>
            <w:pPr>
              <w:pStyle w:val="748"/>
              <w:jc w:val="left"/>
              <w:spacing w:before="120" w:after="120" w:line="480" w:lineRule="exact"/>
              <w:rPr>
                <w:rFonts w:ascii="仿宋" w:hAnsi="仿宋" w:eastAsia="仿宋"/>
                <w:b/>
                <w:color w:val="000000"/>
                <w:sz w:val="28"/>
                <w:szCs w:val="28"/>
              </w:rPr>
            </w:pPr>
            <w:r>
              <w:rPr>
                <w:rFonts w:hint="eastAsia" w:ascii="宋体" w:hAnsi="宋体" w:eastAsia="宋体" w:cs="宋体"/>
                <w:color w:val="000000"/>
                <w:szCs w:val="21"/>
              </w:rPr>
              <w:t xml:space="preserve">(需在投标文件中提供证书电子扫描件及近一年内任意一个月内的投标人为持证人缴纳社保的证明)</w:t>
            </w:r>
            <w:r>
              <w:rPr>
                <w:rFonts w:ascii="仿宋" w:hAnsi="仿宋" w:eastAsia="仿宋"/>
                <w:b/>
                <w:color w:val="000000"/>
                <w:sz w:val="28"/>
                <w:szCs w:val="28"/>
              </w:rPr>
            </w:r>
            <w:r/>
          </w:p>
        </w:tc>
        <w:tc>
          <w:tcPr>
            <w:tcW w:w="1241"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3</w:t>
            </w:r>
            <w:r>
              <w:rPr>
                <w:rFonts w:hint="eastAsia" w:ascii="仿宋" w:hAnsi="仿宋" w:eastAsia="仿宋"/>
                <w:b/>
                <w:color w:val="000000"/>
                <w:sz w:val="28"/>
                <w:szCs w:val="28"/>
              </w:rPr>
            </w:r>
            <w:r/>
          </w:p>
        </w:tc>
        <w:tc>
          <w:tcPr>
            <w:tcW w:w="1110"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客观</w:t>
            </w:r>
            <w:r>
              <w:rPr>
                <w:rFonts w:hint="eastAsia" w:ascii="仿宋" w:hAnsi="仿宋" w:eastAsia="仿宋"/>
                <w:b/>
                <w:color w:val="000000"/>
                <w:sz w:val="28"/>
                <w:szCs w:val="28"/>
              </w:rPr>
            </w:r>
            <w:r/>
          </w:p>
        </w:tc>
      </w:tr>
      <w:tr>
        <w:trPr/>
        <w:tc>
          <w:tcPr>
            <w:tcW w:w="959"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4</w:t>
            </w:r>
            <w:r>
              <w:rPr>
                <w:rFonts w:hint="eastAsia" w:ascii="仿宋" w:hAnsi="仿宋" w:eastAsia="仿宋"/>
                <w:b/>
                <w:color w:val="000000"/>
                <w:sz w:val="28"/>
                <w:szCs w:val="28"/>
              </w:rPr>
            </w:r>
            <w:r/>
          </w:p>
        </w:tc>
        <w:tc>
          <w:tcPr>
            <w:tcW w:w="170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宋体" w:hAnsi="宋体" w:cs="宋体"/>
                <w:color w:val="000000"/>
                <w:sz w:val="28"/>
                <w:szCs w:val="28"/>
              </w:rPr>
              <w:t xml:space="preserve">公司及产品实力</w:t>
            </w:r>
            <w:r>
              <w:rPr>
                <w:rFonts w:ascii="仿宋" w:hAnsi="仿宋" w:eastAsia="仿宋"/>
                <w:b/>
                <w:color w:val="000000"/>
                <w:sz w:val="28"/>
                <w:szCs w:val="28"/>
              </w:rPr>
            </w:r>
            <w:r/>
          </w:p>
        </w:tc>
        <w:tc>
          <w:tcPr>
            <w:tcW w:w="2835" w:type="dxa"/>
            <w:vAlign w:val="center"/>
            <w:textDirection w:val="lrTb"/>
            <w:noWrap w:val="false"/>
          </w:tcPr>
          <w:p>
            <w:pPr>
              <w:pStyle w:val="748"/>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（1）投标人具备ISO9001质量管理体系证书得1分。（需在投标文件中提供证书的电子扫描件）</w:t>
            </w:r>
            <w:r>
              <w:rPr>
                <w:rFonts w:hint="eastAsia" w:ascii="宋体" w:hAnsi="宋体" w:eastAsia="宋体" w:cs="宋体"/>
                <w:color w:val="000000"/>
                <w:szCs w:val="21"/>
              </w:rPr>
            </w:r>
            <w:r/>
          </w:p>
          <w:p>
            <w:pPr>
              <w:pStyle w:val="748"/>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（2）投标人具备ISO20000信息技术服务管理体系认证证书得1分（需在投标文件中提供证书的电子扫描件）</w:t>
            </w:r>
            <w:r>
              <w:rPr>
                <w:rFonts w:hint="eastAsia" w:ascii="宋体" w:hAnsi="宋体" w:eastAsia="宋体" w:cs="宋体"/>
                <w:color w:val="000000"/>
                <w:szCs w:val="21"/>
              </w:rPr>
            </w:r>
            <w:r/>
          </w:p>
          <w:p>
            <w:pPr>
              <w:pStyle w:val="748"/>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（3）投标人具备CCRC信息安全服务资质认证证书得2分（需在投标文件中提供证书的电子扫描件）</w:t>
            </w:r>
            <w:r>
              <w:rPr>
                <w:rFonts w:hint="eastAsia" w:ascii="宋体" w:hAnsi="宋体" w:eastAsia="宋体" w:cs="宋体"/>
                <w:color w:val="000000"/>
                <w:szCs w:val="21"/>
              </w:rPr>
            </w:r>
            <w:r/>
          </w:p>
          <w:p>
            <w:pPr>
              <w:pStyle w:val="748"/>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（4）投标人的投标产品中有具备信息技术应用创新适配报告的得2分（需在投标文件中提供证书电子扫描件的关键页，包括封面、首页、测试结果和适配结论页、报告信息查询的二维码页）</w:t>
            </w:r>
            <w:r>
              <w:rPr>
                <w:rFonts w:hint="eastAsia" w:ascii="宋体" w:hAnsi="宋体" w:eastAsia="宋体" w:cs="宋体"/>
                <w:color w:val="000000"/>
                <w:szCs w:val="21"/>
              </w:rPr>
            </w:r>
            <w:r/>
          </w:p>
          <w:p>
            <w:pPr>
              <w:pStyle w:val="748"/>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5）投标人具备住院医生规范化培训管理系统的网络安全等级保护评测报告（云服务模式IaaS）的，得2分。（需在投标文件中提供评测报告关键页的电子扫描件，可证明保护等级为三级，且符合云服务模式IaaS）。</w:t>
            </w:r>
            <w:r>
              <w:rPr>
                <w:rFonts w:hint="eastAsia" w:ascii="宋体" w:hAnsi="宋体" w:eastAsia="宋体" w:cs="宋体"/>
                <w:color w:val="000000"/>
                <w:szCs w:val="21"/>
              </w:rPr>
            </w:r>
            <w:r/>
          </w:p>
          <w:p>
            <w:pPr>
              <w:pStyle w:val="748"/>
              <w:jc w:val="left"/>
              <w:spacing w:before="120" w:after="120" w:line="480" w:lineRule="exact"/>
              <w:rPr>
                <w:rFonts w:ascii="仿宋" w:hAnsi="仿宋" w:eastAsia="仿宋"/>
                <w:b/>
                <w:color w:val="000000"/>
                <w:sz w:val="28"/>
                <w:szCs w:val="28"/>
              </w:rPr>
            </w:pPr>
            <w:r>
              <w:rPr>
                <w:rFonts w:hint="eastAsia" w:ascii="宋体" w:hAnsi="宋体" w:eastAsia="宋体" w:cs="宋体"/>
                <w:color w:val="000000"/>
                <w:szCs w:val="21"/>
              </w:rPr>
              <w:t xml:space="preserve">（6）投标人具备公安部门出具的住院医师规范化培训管理系统的信息系统安全等级（第三级）保护备案证明的，得2分（需在投标文件中提供备案证明的电子扫描件）</w:t>
            </w:r>
            <w:r>
              <w:rPr>
                <w:rFonts w:ascii="仿宋" w:hAnsi="仿宋" w:eastAsia="仿宋"/>
                <w:b/>
                <w:color w:val="000000"/>
                <w:sz w:val="28"/>
                <w:szCs w:val="28"/>
              </w:rPr>
            </w:r>
            <w:r/>
          </w:p>
        </w:tc>
        <w:tc>
          <w:tcPr>
            <w:tcW w:w="124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10</w:t>
            </w:r>
            <w:r>
              <w:rPr>
                <w:rFonts w:ascii="仿宋" w:hAnsi="仿宋" w:eastAsia="仿宋"/>
                <w:b/>
                <w:color w:val="000000"/>
                <w:sz w:val="28"/>
                <w:szCs w:val="28"/>
              </w:rPr>
            </w:r>
            <w:r/>
          </w:p>
        </w:tc>
        <w:tc>
          <w:tcPr>
            <w:tcW w:w="1110"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客观</w:t>
            </w:r>
            <w:r>
              <w:rPr>
                <w:rFonts w:hint="eastAsia" w:ascii="仿宋" w:hAnsi="仿宋" w:eastAsia="仿宋"/>
                <w:b/>
                <w:color w:val="000000"/>
                <w:sz w:val="28"/>
                <w:szCs w:val="28"/>
              </w:rPr>
            </w:r>
            <w:r/>
          </w:p>
        </w:tc>
      </w:tr>
      <w:tr>
        <w:trPr/>
        <w:tc>
          <w:tcPr>
            <w:tcW w:w="959"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5</w:t>
            </w:r>
            <w:r>
              <w:rPr>
                <w:rFonts w:ascii="仿宋" w:hAnsi="仿宋" w:eastAsia="仿宋"/>
                <w:b/>
                <w:color w:val="000000"/>
                <w:sz w:val="28"/>
                <w:szCs w:val="28"/>
              </w:rPr>
            </w:r>
            <w:r/>
          </w:p>
        </w:tc>
        <w:tc>
          <w:tcPr>
            <w:tcW w:w="1701" w:type="dxa"/>
            <w:vAlign w:val="center"/>
            <w:textDirection w:val="lrTb"/>
            <w:noWrap w:val="false"/>
          </w:tcPr>
          <w:p>
            <w:pPr>
              <w:pStyle w:val="748"/>
              <w:jc w:val="center"/>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t xml:space="preserve">售后服务方案</w:t>
            </w:r>
            <w:r>
              <w:rPr>
                <w:rFonts w:hint="eastAsia" w:ascii="宋体" w:hAnsi="宋体" w:cs="宋体"/>
                <w:color w:val="000000"/>
                <w:sz w:val="28"/>
                <w:szCs w:val="28"/>
              </w:rPr>
            </w:r>
            <w:r/>
          </w:p>
        </w:tc>
        <w:tc>
          <w:tcPr>
            <w:tcW w:w="2835" w:type="dxa"/>
            <w:vAlign w:val="center"/>
            <w:textDirection w:val="lrTb"/>
            <w:noWrap w:val="false"/>
          </w:tcPr>
          <w:p>
            <w:pPr>
              <w:pStyle w:val="748"/>
              <w:jc w:val="left"/>
              <w:spacing w:before="120" w:after="120" w:line="480" w:lineRule="exact"/>
              <w:widowControl/>
              <w:rPr>
                <w:rFonts w:ascii="宋体" w:hAnsi="宋体" w:cs="宋体"/>
                <w:color w:val="000000"/>
                <w:sz w:val="28"/>
                <w:szCs w:val="28"/>
              </w:rPr>
            </w:pPr>
            <w:r>
              <w:rPr>
                <w:rFonts w:hint="eastAsia" w:ascii="宋体" w:hAnsi="宋体" w:eastAsia="宋体" w:cs="宋体"/>
                <w:color w:val="000000"/>
                <w:szCs w:val="21"/>
              </w:rPr>
              <w:t xml:space="preserve">提供详细售后服务方案，内容中明确包括售后服务内容、服务体系及服务范围、响应时间及处理措施、售后服务队伍、应急预案、培训方案等得4分，内容不明确、不全的的2分，内容不合理或未有内容体现的不得分。</w:t>
            </w:r>
            <w:r>
              <w:rPr>
                <w:rFonts w:ascii="宋体" w:hAnsi="宋体" w:cs="宋体"/>
                <w:color w:val="000000"/>
                <w:sz w:val="28"/>
                <w:szCs w:val="28"/>
              </w:rPr>
            </w:r>
            <w:r/>
          </w:p>
        </w:tc>
        <w:tc>
          <w:tcPr>
            <w:tcW w:w="124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4</w:t>
            </w:r>
            <w:r>
              <w:rPr>
                <w:rFonts w:ascii="仿宋" w:hAnsi="仿宋" w:eastAsia="仿宋"/>
                <w:b/>
                <w:color w:val="000000"/>
                <w:sz w:val="28"/>
                <w:szCs w:val="28"/>
              </w:rPr>
            </w:r>
            <w:r/>
          </w:p>
        </w:tc>
        <w:tc>
          <w:tcPr>
            <w:tcW w:w="1110"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0</w:t>
            </w:r>
            <w:r>
              <w:rPr>
                <w:rFonts w:ascii="仿宋" w:hAnsi="仿宋" w:eastAsia="仿宋"/>
                <w:b/>
                <w:color w:val="000000"/>
                <w:sz w:val="28"/>
                <w:szCs w:val="28"/>
              </w:rPr>
            </w:r>
            <w:r/>
          </w:p>
        </w:tc>
        <w:tc>
          <w:tcPr>
            <w:tcW w:w="1618"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主观</w:t>
            </w:r>
            <w:r>
              <w:rPr>
                <w:rFonts w:ascii="仿宋" w:hAnsi="仿宋" w:eastAsia="仿宋"/>
                <w:b/>
                <w:color w:val="000000"/>
                <w:sz w:val="28"/>
                <w:szCs w:val="28"/>
              </w:rPr>
            </w:r>
            <w:r/>
          </w:p>
        </w:tc>
      </w:tr>
      <w:tr>
        <w:trPr/>
        <w:tc>
          <w:tcPr>
            <w:tcW w:w="959"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6</w:t>
            </w:r>
            <w:r>
              <w:rPr>
                <w:rFonts w:hint="eastAsia" w:ascii="仿宋" w:hAnsi="仿宋" w:eastAsia="仿宋"/>
                <w:b/>
                <w:color w:val="000000"/>
                <w:sz w:val="28"/>
                <w:szCs w:val="28"/>
              </w:rPr>
            </w:r>
            <w:r/>
          </w:p>
        </w:tc>
        <w:tc>
          <w:tcPr>
            <w:tcW w:w="1701" w:type="dxa"/>
            <w:vAlign w:val="center"/>
            <w:textDirection w:val="lrTb"/>
            <w:noWrap w:val="false"/>
          </w:tcPr>
          <w:p>
            <w:pPr>
              <w:pStyle w:val="748"/>
              <w:jc w:val="center"/>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t xml:space="preserve">质保期</w:t>
            </w:r>
            <w:r>
              <w:rPr>
                <w:rFonts w:hint="eastAsia" w:ascii="宋体" w:hAnsi="宋体" w:cs="宋体"/>
                <w:color w:val="000000"/>
                <w:sz w:val="28"/>
                <w:szCs w:val="28"/>
              </w:rPr>
            </w:r>
            <w:r/>
          </w:p>
        </w:tc>
        <w:tc>
          <w:tcPr>
            <w:tcW w:w="2835" w:type="dxa"/>
            <w:vAlign w:val="center"/>
            <w:textDirection w:val="lrTb"/>
            <w:noWrap w:val="false"/>
          </w:tcPr>
          <w:p>
            <w:pPr>
              <w:pStyle w:val="748"/>
              <w:jc w:val="left"/>
              <w:spacing w:before="120" w:after="120" w:line="480" w:lineRule="exact"/>
              <w:widowControl/>
              <w:rPr>
                <w:rFonts w:hint="eastAsia" w:ascii="仿宋" w:hAnsi="仿宋" w:eastAsia="仿宋" w:cs="仿宋"/>
                <w:color w:val="000000"/>
                <w:sz w:val="28"/>
                <w:szCs w:val="28"/>
              </w:rPr>
            </w:pPr>
            <w:r>
              <w:rPr>
                <w:rFonts w:hint="eastAsia" w:ascii="宋体" w:hAnsi="宋体" w:eastAsia="宋体" w:cs="宋体"/>
                <w:color w:val="000000"/>
                <w:szCs w:val="21"/>
              </w:rPr>
              <w:t xml:space="preserve">供应商在免费服务期须满足采购文件要求，在此基础上供应商承诺每增加一年免费服务期的得0.5分，最高得1分。提供承诺函并加盖公章。</w:t>
            </w:r>
            <w:r>
              <w:rPr>
                <w:rFonts w:hint="eastAsia" w:ascii="仿宋" w:hAnsi="仿宋" w:eastAsia="仿宋" w:cs="仿宋"/>
                <w:color w:val="000000"/>
                <w:sz w:val="28"/>
                <w:szCs w:val="28"/>
              </w:rPr>
            </w:r>
            <w:r/>
          </w:p>
        </w:tc>
        <w:tc>
          <w:tcPr>
            <w:tcW w:w="124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r>
            <w:r/>
          </w:p>
        </w:tc>
        <w:tc>
          <w:tcPr>
            <w:tcW w:w="1110"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748"/>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客观</w:t>
            </w:r>
            <w:r>
              <w:rPr>
                <w:rFonts w:hint="eastAsia" w:ascii="仿宋" w:hAnsi="仿宋" w:eastAsia="仿宋"/>
                <w:b/>
                <w:color w:val="000000"/>
                <w:sz w:val="28"/>
                <w:szCs w:val="28"/>
              </w:rPr>
            </w:r>
            <w:r/>
          </w:p>
        </w:tc>
      </w:tr>
      <w:tr>
        <w:trPr/>
        <w:tc>
          <w:tcPr>
            <w:tcW w:w="959"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7</w:t>
            </w:r>
            <w:r>
              <w:rPr>
                <w:rFonts w:ascii="仿宋" w:hAnsi="仿宋" w:eastAsia="仿宋"/>
                <w:b/>
                <w:color w:val="000000"/>
                <w:sz w:val="28"/>
                <w:szCs w:val="28"/>
              </w:rPr>
            </w:r>
            <w:r/>
          </w:p>
        </w:tc>
        <w:tc>
          <w:tcPr>
            <w:tcW w:w="1701" w:type="dxa"/>
            <w:vAlign w:val="center"/>
            <w:textDirection w:val="lrTb"/>
            <w:noWrap w:val="false"/>
          </w:tcPr>
          <w:p>
            <w:pPr>
              <w:pStyle w:val="748"/>
              <w:jc w:val="center"/>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t xml:space="preserve">项目案例</w:t>
            </w:r>
            <w:r>
              <w:rPr>
                <w:rFonts w:hint="eastAsia" w:ascii="宋体" w:hAnsi="宋体" w:cs="宋体"/>
                <w:color w:val="000000"/>
                <w:sz w:val="28"/>
                <w:szCs w:val="28"/>
              </w:rPr>
            </w:r>
            <w:r/>
          </w:p>
        </w:tc>
        <w:tc>
          <w:tcPr>
            <w:tcW w:w="2835" w:type="dxa"/>
            <w:vAlign w:val="center"/>
            <w:textDirection w:val="lrTb"/>
            <w:noWrap w:val="false"/>
          </w:tcPr>
          <w:p>
            <w:pPr>
              <w:pStyle w:val="748"/>
              <w:jc w:val="left"/>
              <w:spacing w:before="120" w:after="120" w:line="480" w:lineRule="exact"/>
              <w:rPr>
                <w:rFonts w:hint="eastAsia" w:ascii="宋体" w:hAnsi="宋体" w:cs="宋体"/>
                <w:color w:val="000000"/>
                <w:sz w:val="28"/>
                <w:szCs w:val="28"/>
              </w:rPr>
            </w:pPr>
            <w:r>
              <w:rPr>
                <w:rFonts w:hint="eastAsia" w:ascii="宋体" w:hAnsi="宋体" w:eastAsia="宋体" w:cs="宋体"/>
                <w:color w:val="000000"/>
                <w:szCs w:val="21"/>
              </w:rPr>
              <w:t xml:space="preserve">根据各投标人2021年起至本次投标截止时间为止（以投标人提供的项目合同时间为准）的同类项目经验情况进行评分。投标人需在投标文件中提供项目合同或中标通知书。每提供1份案例证明材料得1分，满分3分。</w:t>
            </w:r>
            <w:r>
              <w:rPr>
                <w:rFonts w:hint="eastAsia" w:ascii="宋体" w:hAnsi="宋体" w:cs="宋体"/>
                <w:color w:val="000000"/>
                <w:sz w:val="28"/>
                <w:szCs w:val="28"/>
              </w:rPr>
            </w:r>
            <w:r/>
          </w:p>
        </w:tc>
        <w:tc>
          <w:tcPr>
            <w:tcW w:w="124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3</w:t>
            </w:r>
            <w:r>
              <w:rPr>
                <w:rFonts w:ascii="仿宋" w:hAnsi="仿宋" w:eastAsia="仿宋"/>
                <w:b/>
                <w:color w:val="000000"/>
                <w:sz w:val="28"/>
                <w:szCs w:val="28"/>
              </w:rPr>
            </w:r>
            <w:r/>
          </w:p>
        </w:tc>
        <w:tc>
          <w:tcPr>
            <w:tcW w:w="1110"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0</w:t>
            </w:r>
            <w:r>
              <w:rPr>
                <w:rFonts w:ascii="仿宋" w:hAnsi="仿宋" w:eastAsia="仿宋"/>
                <w:b/>
                <w:color w:val="000000"/>
                <w:sz w:val="28"/>
                <w:szCs w:val="28"/>
              </w:rPr>
            </w:r>
            <w:r/>
          </w:p>
        </w:tc>
        <w:tc>
          <w:tcPr>
            <w:tcW w:w="1618"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客观</w:t>
            </w:r>
            <w:r>
              <w:rPr>
                <w:rFonts w:ascii="仿宋" w:hAnsi="仿宋" w:eastAsia="仿宋"/>
                <w:b/>
                <w:color w:val="000000"/>
                <w:sz w:val="28"/>
                <w:szCs w:val="28"/>
              </w:rPr>
            </w:r>
            <w:r/>
          </w:p>
        </w:tc>
      </w:tr>
      <w:tr>
        <w:trPr/>
        <w:tc>
          <w:tcPr>
            <w:tcW w:w="959"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8</w:t>
            </w:r>
            <w:r>
              <w:rPr>
                <w:rFonts w:ascii="仿宋" w:hAnsi="仿宋" w:eastAsia="仿宋"/>
                <w:b/>
                <w:color w:val="000000"/>
                <w:sz w:val="28"/>
                <w:szCs w:val="28"/>
              </w:rPr>
            </w:r>
            <w:r/>
          </w:p>
        </w:tc>
        <w:tc>
          <w:tcPr>
            <w:tcW w:w="1701" w:type="dxa"/>
            <w:vAlign w:val="center"/>
            <w:textDirection w:val="lrTb"/>
            <w:noWrap w:val="false"/>
          </w:tcPr>
          <w:p>
            <w:pPr>
              <w:pStyle w:val="748"/>
              <w:jc w:val="center"/>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t xml:space="preserve">用户满意度</w:t>
            </w:r>
            <w:r>
              <w:rPr>
                <w:rFonts w:hint="eastAsia" w:ascii="宋体" w:hAnsi="宋体" w:cs="宋体"/>
                <w:color w:val="000000"/>
                <w:sz w:val="28"/>
                <w:szCs w:val="28"/>
              </w:rPr>
            </w:r>
            <w:r/>
          </w:p>
        </w:tc>
        <w:tc>
          <w:tcPr>
            <w:tcW w:w="2835" w:type="dxa"/>
            <w:vAlign w:val="center"/>
            <w:textDirection w:val="lrTb"/>
            <w:noWrap w:val="false"/>
          </w:tcPr>
          <w:p>
            <w:pPr>
              <w:pStyle w:val="748"/>
              <w:jc w:val="left"/>
              <w:spacing w:before="120" w:after="120" w:line="480" w:lineRule="exact"/>
              <w:rPr>
                <w:rFonts w:hint="eastAsia" w:ascii="宋体" w:hAnsi="宋体" w:cs="宋体"/>
                <w:color w:val="000000"/>
                <w:sz w:val="28"/>
                <w:szCs w:val="28"/>
              </w:rPr>
            </w:pPr>
            <w:r>
              <w:rPr>
                <w:rFonts w:hint="eastAsia" w:ascii="宋体" w:hAnsi="宋体" w:eastAsia="宋体" w:cs="宋体"/>
                <w:color w:val="000000"/>
                <w:szCs w:val="21"/>
              </w:rPr>
              <w:t xml:space="preserve">投标人提供与本项目类似的教学管理信息化项目的相关用户出具的满意度报告或工作反馈报告，可证明用户对投标人工作满意认可的，每提供1份报告的得1分，最高得3分。</w:t>
            </w:r>
            <w:r>
              <w:rPr>
                <w:rFonts w:hint="eastAsia" w:ascii="宋体" w:hAnsi="宋体" w:cs="宋体"/>
                <w:color w:val="000000"/>
                <w:sz w:val="28"/>
                <w:szCs w:val="28"/>
              </w:rPr>
            </w:r>
            <w:r/>
          </w:p>
        </w:tc>
        <w:tc>
          <w:tcPr>
            <w:tcW w:w="1241"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3</w:t>
            </w:r>
            <w:r>
              <w:rPr>
                <w:rFonts w:ascii="仿宋" w:hAnsi="仿宋" w:eastAsia="仿宋"/>
                <w:b/>
                <w:color w:val="000000"/>
                <w:sz w:val="28"/>
                <w:szCs w:val="28"/>
              </w:rPr>
            </w:r>
            <w:r/>
          </w:p>
        </w:tc>
        <w:tc>
          <w:tcPr>
            <w:tcW w:w="1110"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0</w:t>
            </w:r>
            <w:r>
              <w:rPr>
                <w:rFonts w:ascii="仿宋" w:hAnsi="仿宋" w:eastAsia="仿宋"/>
                <w:b/>
                <w:color w:val="000000"/>
                <w:sz w:val="28"/>
                <w:szCs w:val="28"/>
              </w:rPr>
            </w:r>
            <w:r/>
          </w:p>
        </w:tc>
        <w:tc>
          <w:tcPr>
            <w:tcW w:w="1618" w:type="dxa"/>
            <w:vAlign w:val="center"/>
            <w:textDirection w:val="lrTb"/>
            <w:noWrap w:val="false"/>
          </w:tcPr>
          <w:p>
            <w:pPr>
              <w:pStyle w:val="748"/>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客观</w:t>
            </w:r>
            <w:r>
              <w:rPr>
                <w:rFonts w:ascii="仿宋" w:hAnsi="仿宋" w:eastAsia="仿宋"/>
                <w:b/>
                <w:color w:val="000000"/>
                <w:sz w:val="28"/>
                <w:szCs w:val="28"/>
              </w:rPr>
            </w:r>
            <w:r/>
          </w:p>
        </w:tc>
      </w:tr>
    </w:tbl>
    <w:p>
      <w:pPr>
        <w:pStyle w:val="748"/>
        <w:ind w:firstLine="560"/>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（六）节能环保（2分）</w:t>
      </w:r>
      <w:r>
        <w:rPr>
          <w:rFonts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仿宋" w:hAnsi="仿宋" w:eastAsia="仿宋"/>
          <w:color w:val="000000"/>
          <w:sz w:val="28"/>
          <w:szCs w:val="28"/>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pStyle w:val="748"/>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748"/>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748"/>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748"/>
        <w:keepNext/>
        <w:rPr>
          <w:rFonts w:ascii="黑体" w:hAnsi="Times New Roman" w:eastAsia="黑体"/>
          <w:bCs/>
          <w:color w:val="000000"/>
          <w:sz w:val="44"/>
          <w:szCs w:val="28"/>
        </w:rPr>
        <w:outlineLvl w:val="9"/>
      </w:pPr>
      <w:r>
        <w:rPr>
          <w:rFonts w:ascii="黑体" w:hAnsi="Times New Roman" w:eastAsia="黑体"/>
          <w:bCs/>
          <w:color w:val="000000"/>
          <w:sz w:val="44"/>
          <w:szCs w:val="28"/>
        </w:rPr>
      </w:r>
      <w:r/>
    </w:p>
    <w:p>
      <w:pPr>
        <w:pStyle w:val="750"/>
        <w:keepLines/>
        <w:keepNext/>
        <w:pageBreakBefore/>
        <w:spacing w:line="416" w:lineRule="auto"/>
        <w:widowControl w:val="off"/>
        <w:rPr>
          <w:rFonts w:hint="eastAsia"/>
        </w:rPr>
        <w:outlineLvl w:val="0"/>
      </w:pPr>
      <w:r/>
      <w:bookmarkStart w:id="225" w:name="_Toc13794"/>
      <w:r/>
      <w:bookmarkStart w:id="226" w:name="_Toc20703"/>
      <w:r/>
      <w:bookmarkStart w:id="227" w:name="_Toc21150"/>
      <w:r/>
      <w:bookmarkStart w:id="228" w:name="_Toc15799"/>
      <w:r>
        <w:rPr>
          <w:rFonts w:hint="eastAsia"/>
        </w:rPr>
        <w:t xml:space="preserve">第六章  投标</w:t>
      </w:r>
      <w:bookmarkEnd w:id="218"/>
      <w:r/>
      <w:bookmarkEnd w:id="219"/>
      <w:r/>
      <w:bookmarkEnd w:id="220"/>
      <w:r>
        <w:rPr>
          <w:rFonts w:hint="eastAsia"/>
        </w:rPr>
        <w:t xml:space="preserve">文件格式</w:t>
      </w:r>
      <w:bookmarkEnd w:id="225"/>
      <w:r/>
      <w:bookmarkEnd w:id="226"/>
      <w:r/>
      <w:bookmarkEnd w:id="227"/>
      <w:r/>
      <w:bookmarkEnd w:id="228"/>
      <w:r>
        <w:rPr>
          <w:rFonts w:hint="eastAsia"/>
        </w:rPr>
        <w:t xml:space="preserve"> </w:t>
      </w:r>
      <w:r>
        <w:rPr>
          <w:rFonts w:hint="eastAsia"/>
        </w:rPr>
      </w:r>
      <w:r/>
    </w:p>
    <w:p>
      <w:pPr>
        <w:pStyle w:val="748"/>
        <w:jc w:val="center"/>
        <w:rPr>
          <w:rFonts w:hint="eastAsia" w:ascii="宋体" w:hAnsi="宋体"/>
          <w:b/>
          <w:color w:val="000000"/>
          <w:sz w:val="72"/>
          <w:szCs w:val="21"/>
        </w:rPr>
      </w:pPr>
      <w:r/>
      <w:bookmarkStart w:id="229" w:name="_Hlt26955039"/>
      <w:r/>
      <w:bookmarkEnd w:id="229"/>
      <w:r/>
      <w:bookmarkStart w:id="230" w:name="_Hlt26671244"/>
      <w:r/>
      <w:bookmarkEnd w:id="230"/>
      <w:r/>
      <w:bookmarkStart w:id="231" w:name="_Toc120614282"/>
      <w:r/>
      <w:bookmarkStart w:id="232" w:name="_Toc49090576"/>
      <w:r/>
      <w:bookmarkStart w:id="233" w:name="_Toc26554094"/>
      <w:r>
        <w:rPr>
          <w:rFonts w:hint="eastAsia" w:ascii="宋体" w:hAnsi="宋体"/>
          <w:b/>
          <w:color w:val="000000"/>
          <w:sz w:val="72"/>
          <w:szCs w:val="21"/>
        </w:rPr>
      </w:r>
      <w:r/>
    </w:p>
    <w:p>
      <w:pPr>
        <w:pStyle w:val="748"/>
        <w:jc w:val="center"/>
        <w:rPr>
          <w:rFonts w:hint="eastAsia" w:ascii="宋体" w:hAnsi="宋体"/>
          <w:b/>
          <w:color w:val="000000"/>
          <w:sz w:val="72"/>
          <w:szCs w:val="21"/>
        </w:rPr>
        <w:outlineLvl w:val="0"/>
      </w:pPr>
      <w:r/>
      <w:bookmarkStart w:id="234" w:name="_Toc32129"/>
      <w:r/>
      <w:bookmarkStart w:id="235" w:name="_Toc10578"/>
      <w:r/>
      <w:bookmarkStart w:id="236" w:name="_Toc21505"/>
      <w:r/>
      <w:bookmarkStart w:id="237" w:name="_Toc2120"/>
      <w:r/>
      <w:bookmarkStart w:id="238" w:name="_Toc29543"/>
      <w:r>
        <w:rPr>
          <w:rFonts w:hint="eastAsia" w:ascii="宋体" w:hAnsi="宋体"/>
          <w:b/>
          <w:color w:val="000000"/>
          <w:sz w:val="72"/>
          <w:szCs w:val="21"/>
        </w:rPr>
        <w:t xml:space="preserve">投  标  文  件</w:t>
      </w:r>
      <w:bookmarkEnd w:id="234"/>
      <w:r/>
      <w:bookmarkEnd w:id="235"/>
      <w:r/>
      <w:bookmarkEnd w:id="236"/>
      <w:r/>
      <w:bookmarkEnd w:id="237"/>
      <w:r/>
      <w:bookmarkEnd w:id="238"/>
      <w:r>
        <w:rPr>
          <w:rFonts w:hint="eastAsia" w:ascii="宋体" w:hAnsi="宋体"/>
          <w:b/>
          <w:color w:val="000000"/>
          <w:sz w:val="72"/>
          <w:szCs w:val="21"/>
        </w:rPr>
      </w:r>
      <w:r/>
    </w:p>
    <w:p>
      <w:pPr>
        <w:pStyle w:val="748"/>
        <w:jc w:val="center"/>
        <w:rPr>
          <w:rFonts w:hint="eastAsia" w:ascii="宋体" w:hAnsi="宋体"/>
          <w:b/>
          <w:color w:val="000000"/>
          <w:sz w:val="72"/>
          <w:szCs w:val="21"/>
        </w:rPr>
      </w:pPr>
      <w:r>
        <w:rPr>
          <w:rFonts w:hint="eastAsia" w:ascii="宋体" w:hAnsi="宋体"/>
          <w:b/>
          <w:color w:val="000000"/>
          <w:sz w:val="72"/>
          <w:szCs w:val="21"/>
        </w:rPr>
      </w:r>
      <w:r/>
    </w:p>
    <w:p>
      <w:pPr>
        <w:pStyle w:val="748"/>
        <w:jc w:val="center"/>
        <w:rPr>
          <w:rFonts w:hint="eastAsia" w:ascii="宋体" w:hAnsi="宋体"/>
          <w:b/>
          <w:color w:val="000000"/>
          <w:sz w:val="72"/>
          <w:szCs w:val="21"/>
        </w:rPr>
      </w:pPr>
      <w:r>
        <w:rPr>
          <w:rFonts w:hint="eastAsia" w:ascii="宋体" w:hAnsi="宋体"/>
          <w:b/>
          <w:color w:val="000000"/>
          <w:sz w:val="72"/>
          <w:szCs w:val="21"/>
        </w:rPr>
      </w:r>
      <w:r/>
    </w:p>
    <w:p>
      <w:pPr>
        <w:pStyle w:val="748"/>
        <w:jc w:val="center"/>
        <w:rPr>
          <w:rFonts w:hint="eastAsia" w:ascii="宋体" w:hAnsi="宋体"/>
          <w:b/>
          <w:color w:val="000000"/>
          <w:sz w:val="36"/>
          <w:szCs w:val="21"/>
        </w:rPr>
      </w:pPr>
      <w:r>
        <w:rPr>
          <w:rFonts w:hint="eastAsia" w:ascii="宋体" w:hAnsi="宋体"/>
          <w:b/>
          <w:color w:val="000000"/>
          <w:sz w:val="36"/>
          <w:szCs w:val="21"/>
        </w:rPr>
      </w:r>
      <w:r/>
    </w:p>
    <w:p>
      <w:pPr>
        <w:pStyle w:val="748"/>
        <w:jc w:val="center"/>
        <w:rPr>
          <w:rFonts w:hint="eastAsia" w:ascii="宋体" w:hAnsi="宋体"/>
          <w:b/>
          <w:color w:val="000000"/>
          <w:sz w:val="36"/>
          <w:szCs w:val="21"/>
        </w:rPr>
      </w:pPr>
      <w:r>
        <w:rPr>
          <w:rFonts w:hint="eastAsia" w:ascii="宋体" w:hAnsi="宋体"/>
          <w:b/>
          <w:color w:val="000000"/>
          <w:sz w:val="36"/>
          <w:szCs w:val="21"/>
        </w:rPr>
      </w:r>
      <w:r/>
    </w:p>
    <w:p>
      <w:pPr>
        <w:pStyle w:val="748"/>
        <w:jc w:val="center"/>
        <w:rPr>
          <w:rFonts w:hint="eastAsia" w:ascii="宋体" w:hAnsi="宋体"/>
          <w:b/>
          <w:color w:val="000000"/>
          <w:sz w:val="36"/>
          <w:szCs w:val="21"/>
        </w:rPr>
      </w:pPr>
      <w:r>
        <w:rPr>
          <w:rFonts w:hint="eastAsia" w:ascii="宋体" w:hAnsi="宋体"/>
          <w:b/>
          <w:color w:val="000000"/>
          <w:sz w:val="36"/>
          <w:szCs w:val="21"/>
        </w:rPr>
      </w:r>
      <w:r/>
    </w:p>
    <w:p>
      <w:pPr>
        <w:pStyle w:val="748"/>
        <w:ind w:firstLine="1084"/>
        <w:rPr>
          <w:rFonts w:hint="eastAsia" w:ascii="宋体" w:hAnsi="宋体"/>
          <w:b/>
          <w:color w:val="000000"/>
          <w:sz w:val="36"/>
          <w:szCs w:val="21"/>
        </w:rPr>
        <w:outlineLvl w:val="0"/>
      </w:pPr>
      <w:r/>
      <w:bookmarkStart w:id="239" w:name="_Toc12248"/>
      <w:r/>
      <w:bookmarkStart w:id="240" w:name="_Toc24026"/>
      <w:r/>
      <w:bookmarkStart w:id="241" w:name="_Toc21721"/>
      <w:r/>
      <w:bookmarkStart w:id="242" w:name="_Toc3333"/>
      <w:r/>
      <w:bookmarkStart w:id="243" w:name="_Toc21484"/>
      <w:r>
        <w:rPr>
          <w:rFonts w:hint="eastAsia" w:ascii="宋体" w:hAnsi="宋体"/>
          <w:b/>
          <w:color w:val="000000"/>
          <w:sz w:val="36"/>
          <w:szCs w:val="21"/>
        </w:rPr>
        <w:t xml:space="preserve">项 目 名 称：</w:t>
      </w:r>
      <w:bookmarkEnd w:id="239"/>
      <w:r/>
      <w:bookmarkEnd w:id="240"/>
      <w:r/>
      <w:bookmarkEnd w:id="241"/>
      <w:r/>
      <w:bookmarkEnd w:id="242"/>
      <w:r/>
      <w:bookmarkEnd w:id="243"/>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48"/>
        <w:ind w:firstLine="1084"/>
        <w:rPr>
          <w:rFonts w:hint="eastAsia" w:ascii="宋体" w:hAnsi="宋体"/>
          <w:b/>
          <w:color w:val="000000"/>
          <w:sz w:val="36"/>
          <w:szCs w:val="21"/>
          <w:u w:val="single"/>
        </w:rPr>
        <w:outlineLvl w:val="0"/>
      </w:pPr>
      <w:r/>
      <w:bookmarkStart w:id="244" w:name="_Toc10236"/>
      <w:r/>
      <w:bookmarkStart w:id="245" w:name="_Toc20267"/>
      <w:r/>
      <w:bookmarkStart w:id="246" w:name="_Toc18631"/>
      <w:r/>
      <w:bookmarkStart w:id="247" w:name="_Toc16308"/>
      <w:r/>
      <w:bookmarkStart w:id="248" w:name="_Toc7779"/>
      <w:r>
        <w:rPr>
          <w:rFonts w:hint="eastAsia" w:ascii="宋体" w:hAnsi="宋体"/>
          <w:b/>
          <w:color w:val="000000"/>
          <w:sz w:val="36"/>
          <w:szCs w:val="21"/>
        </w:rPr>
        <w:t xml:space="preserve">项 目 编 号：</w:t>
      </w:r>
      <w:bookmarkEnd w:id="244"/>
      <w:r/>
      <w:bookmarkEnd w:id="245"/>
      <w:r/>
      <w:bookmarkEnd w:id="246"/>
      <w:r/>
      <w:bookmarkEnd w:id="247"/>
      <w:r/>
      <w:bookmarkEnd w:id="248"/>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48"/>
        <w:rPr>
          <w:rFonts w:hint="eastAsia" w:ascii="宋体" w:hAnsi="宋体"/>
          <w:b/>
          <w:color w:val="000000"/>
          <w:sz w:val="36"/>
          <w:szCs w:val="21"/>
          <w:u w:val="single"/>
        </w:rPr>
        <w:outlineLvl w:val="0"/>
      </w:pPr>
      <w:r>
        <w:rPr>
          <w:rFonts w:hint="eastAsia" w:ascii="宋体" w:hAnsi="宋体"/>
          <w:b/>
          <w:color w:val="000000"/>
          <w:sz w:val="36"/>
          <w:szCs w:val="21"/>
        </w:rPr>
        <w:t xml:space="preserve">      </w:t>
      </w:r>
      <w:bookmarkStart w:id="249" w:name="_Toc6457"/>
      <w:r/>
      <w:bookmarkStart w:id="250" w:name="_Toc23599"/>
      <w:r/>
      <w:bookmarkStart w:id="251" w:name="_Toc25415"/>
      <w:r/>
      <w:bookmarkStart w:id="252" w:name="_Toc30216"/>
      <w:r/>
      <w:bookmarkStart w:id="253" w:name="_Toc1226"/>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（加盖CA电子公章）</w:t>
      </w:r>
      <w:bookmarkEnd w:id="249"/>
      <w:r/>
      <w:bookmarkEnd w:id="250"/>
      <w:r/>
      <w:bookmarkEnd w:id="251"/>
      <w:r/>
      <w:bookmarkEnd w:id="252"/>
      <w:r/>
      <w:bookmarkEnd w:id="253"/>
      <w:r>
        <w:rPr>
          <w:rFonts w:hint="eastAsia" w:ascii="宋体" w:hAnsi="宋体"/>
          <w:b/>
          <w:color w:val="000000"/>
          <w:sz w:val="36"/>
          <w:szCs w:val="21"/>
          <w:u w:val="single"/>
        </w:rPr>
      </w:r>
      <w:r/>
    </w:p>
    <w:p>
      <w:pPr>
        <w:pStyle w:val="748"/>
        <w:rPr>
          <w:rFonts w:hint="eastAsia" w:ascii="宋体" w:hAnsi="宋体"/>
          <w:b/>
          <w:color w:val="000000"/>
          <w:sz w:val="36"/>
          <w:szCs w:val="21"/>
          <w:u w:val="single"/>
        </w:rPr>
        <w:outlineLvl w:val="0"/>
      </w:pPr>
      <w:r>
        <w:rPr>
          <w:rFonts w:hint="eastAsia" w:ascii="宋体" w:hAnsi="宋体"/>
          <w:b/>
          <w:color w:val="000000"/>
          <w:sz w:val="36"/>
          <w:szCs w:val="21"/>
        </w:rPr>
        <w:t xml:space="preserve">      </w:t>
      </w:r>
      <w:bookmarkStart w:id="254" w:name="_Toc22267"/>
      <w:r/>
      <w:bookmarkStart w:id="255" w:name="_Toc31918"/>
      <w:r/>
      <w:bookmarkStart w:id="256" w:name="_Toc23374"/>
      <w:r/>
      <w:bookmarkStart w:id="257" w:name="_Toc12124"/>
      <w:r/>
      <w:bookmarkStart w:id="258" w:name="_Toc10536"/>
      <w:r>
        <w:rPr>
          <w:rFonts w:hint="eastAsia" w:ascii="宋体" w:hAnsi="宋体"/>
          <w:b/>
          <w:color w:val="000000"/>
          <w:sz w:val="36"/>
          <w:szCs w:val="21"/>
        </w:rPr>
        <w:t xml:space="preserve">日      期 ：</w:t>
      </w:r>
      <w:bookmarkEnd w:id="254"/>
      <w:r/>
      <w:bookmarkEnd w:id="255"/>
      <w:r/>
      <w:bookmarkEnd w:id="256"/>
      <w:r/>
      <w:bookmarkEnd w:id="257"/>
      <w:r/>
      <w:bookmarkEnd w:id="258"/>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4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48"/>
        <w:spacing w:line="440" w:lineRule="exact"/>
        <w:rPr>
          <w:rFonts w:ascii="宋体" w:hAnsi="宋体"/>
          <w:color w:val="000000"/>
          <w:szCs w:val="21"/>
        </w:rPr>
      </w:pPr>
      <w:r>
        <w:rPr>
          <w:rFonts w:ascii="宋体" w:hAnsi="宋体"/>
          <w:color w:val="000000"/>
          <w:szCs w:val="21"/>
        </w:rPr>
      </w:r>
      <w:r/>
    </w:p>
    <w:p>
      <w:pPr>
        <w:pStyle w:val="748"/>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48"/>
        <w:jc w:val="center"/>
        <w:spacing w:line="440" w:lineRule="exact"/>
        <w:rPr>
          <w:rFonts w:ascii="宋体" w:hAnsi="宋体" w:eastAsia="宋体"/>
          <w:b/>
          <w:bCs/>
          <w:color w:val="000000"/>
          <w:sz w:val="32"/>
          <w:szCs w:val="32"/>
          <w:lang w:val="en-US" w:eastAsia="zh-CN"/>
        </w:rPr>
        <w:outlineLvl w:val="0"/>
      </w:pPr>
      <w:r/>
      <w:bookmarkStart w:id="259" w:name="_Toc586"/>
      <w:r/>
      <w:bookmarkStart w:id="260" w:name="_Toc24928"/>
      <w:r/>
      <w:bookmarkStart w:id="261" w:name="_Toc6606"/>
      <w:r/>
      <w:bookmarkStart w:id="262" w:name="_Toc24242"/>
      <w:r/>
      <w:bookmarkStart w:id="263" w:name="_Toc26371"/>
      <w:r>
        <w:rPr>
          <w:rFonts w:hint="eastAsia" w:ascii="宋体" w:hAnsi="宋体"/>
          <w:b/>
          <w:bCs/>
          <w:color w:val="000000"/>
          <w:sz w:val="32"/>
          <w:szCs w:val="32"/>
        </w:rPr>
        <w:t xml:space="preserve">投标文件目录</w:t>
      </w:r>
      <w:bookmarkEnd w:id="259"/>
      <w:r/>
      <w:bookmarkEnd w:id="260"/>
      <w:r/>
      <w:bookmarkEnd w:id="261"/>
      <w:r/>
      <w:bookmarkEnd w:id="262"/>
      <w:r/>
      <w:bookmarkEnd w:id="263"/>
      <w:r>
        <w:rPr>
          <w:rFonts w:ascii="宋体" w:hAnsi="宋体" w:eastAsia="宋体"/>
          <w:b/>
          <w:bCs/>
          <w:color w:val="000000"/>
          <w:sz w:val="32"/>
          <w:szCs w:val="32"/>
          <w:lang w:val="en-US" w:eastAsia="zh-CN"/>
        </w:rPr>
      </w:r>
      <w:r/>
    </w:p>
    <w:p>
      <w:pPr>
        <w:pStyle w:val="74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48"/>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748"/>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8"/>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48"/>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48"/>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748"/>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8"/>
        <w:ind w:left="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2、3</w:t>
      </w:r>
      <w:r>
        <w:rPr>
          <w:rFonts w:hint="eastAsia" w:ascii="仿宋" w:hAnsi="仿宋" w:eastAsia="仿宋"/>
          <w:color w:val="000000"/>
          <w:sz w:val="28"/>
          <w:szCs w:val="28"/>
        </w:rPr>
        <w:t xml:space="preserve">条投标人必须在投标文件中提供相关材料，否则作无效投标处理。</w:t>
      </w:r>
      <w:r>
        <w:rPr>
          <w:rFonts w:ascii="仿宋" w:hAnsi="仿宋" w:eastAsia="仿宋"/>
          <w:color w:val="000000"/>
          <w:sz w:val="28"/>
          <w:szCs w:val="28"/>
        </w:rPr>
      </w:r>
      <w:r/>
    </w:p>
    <w:p>
      <w:pPr>
        <w:pStyle w:val="748"/>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748"/>
        <w:ind w:firstLine="560"/>
        <w:spacing w:line="480" w:lineRule="exact"/>
        <w:rPr>
          <w:rFonts w:hint="eastAsia" w:ascii="仿宋" w:hAnsi="仿宋" w:eastAsia="仿宋"/>
          <w:b/>
          <w:bCs/>
          <w:color w:val="000000"/>
          <w:sz w:val="28"/>
          <w:szCs w:val="28"/>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，否则做无效投标处理。</w:t>
      </w:r>
      <w:r>
        <w:rPr>
          <w:rFonts w:hint="eastAsia" w:ascii="仿宋" w:hAnsi="仿宋" w:eastAsia="仿宋"/>
          <w:b/>
          <w:bCs/>
          <w:color w:val="000000"/>
          <w:sz w:val="28"/>
          <w:szCs w:val="28"/>
        </w:rPr>
      </w:r>
      <w:r/>
    </w:p>
    <w:p>
      <w:pPr>
        <w:pStyle w:val="748"/>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16"/>
        <w:rPr>
          <w:rFonts w:eastAsia="仿宋"/>
          <w:lang w:val="en-US" w:eastAsia="zh-CN"/>
        </w:rPr>
      </w:pPr>
      <w:r>
        <w:rPr>
          <w:rFonts w:hint="eastAsia" w:ascii="仿宋" w:hAnsi="仿宋" w:eastAsia="仿宋"/>
          <w:color w:val="000000"/>
          <w:sz w:val="28"/>
          <w:szCs w:val="28"/>
          <w:lang w:val="en-US" w:eastAsia="zh-CN"/>
        </w:rPr>
        <w:t xml:space="preserve">3.监狱和戒毒企业证明材料</w:t>
      </w:r>
      <w:r>
        <w:rPr>
          <w:rFonts w:eastAsia="仿宋"/>
          <w:lang w:val="en-US" w:eastAsia="zh-CN"/>
        </w:rPr>
      </w:r>
      <w:r/>
    </w:p>
    <w:p>
      <w:pPr>
        <w:pStyle w:val="816"/>
        <w:rPr>
          <w:rFonts w:hint="eastAsia"/>
        </w:rPr>
      </w:pPr>
      <w:r>
        <w:rPr>
          <w:rFonts w:hint="eastAsia"/>
        </w:rPr>
      </w:r>
      <w:r/>
    </w:p>
    <w:p>
      <w:pPr>
        <w:pStyle w:val="748"/>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bookmarkStart w:id="264" w:name="_Toc10851"/>
      <w:r/>
      <w:bookmarkStart w:id="265" w:name="_Toc8752"/>
      <w:r/>
      <w:bookmarkStart w:id="266" w:name="_Toc28457"/>
      <w:r/>
      <w:bookmarkStart w:id="267" w:name="_Toc25833"/>
      <w:r/>
      <w:bookmarkStart w:id="268" w:name="_Toc10693"/>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both"/>
        <w:spacing w:line="480" w:lineRule="exact"/>
        <w:rPr>
          <w:rFonts w:hint="eastAsia" w:ascii="仿宋" w:hAnsi="仿宋" w:eastAsia="仿宋"/>
          <w:b/>
          <w:color w:val="000000"/>
          <w:sz w:val="28"/>
          <w:szCs w:val="28"/>
          <w:lang w:val="en-US" w:eastAsia="zh-CN"/>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w:t>
      </w:r>
      <w:bookmarkEnd w:id="264"/>
      <w:r/>
      <w:bookmarkEnd w:id="265"/>
      <w:r/>
      <w:bookmarkEnd w:id="266"/>
      <w:r/>
      <w:bookmarkEnd w:id="267"/>
      <w:r/>
      <w:bookmarkEnd w:id="268"/>
      <w:r>
        <w:rPr>
          <w:rFonts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lang w:val="en-US" w:eastAsia="zh-CN"/>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开标一览表</w:t>
      </w:r>
      <w:r>
        <w:rPr>
          <w:rFonts w:hint="eastAsia" w:ascii="仿宋" w:hAnsi="仿宋" w:eastAsia="仿宋"/>
          <w:b/>
          <w:color w:val="000000"/>
          <w:sz w:val="28"/>
          <w:szCs w:val="28"/>
        </w:rPr>
      </w:r>
      <w:r/>
    </w:p>
    <w:p>
      <w:pPr>
        <w:pStyle w:val="760"/>
        <w:rPr>
          <w:rFonts w:hint="eastAsia"/>
        </w:rPr>
      </w:pPr>
      <w:r>
        <w:rPr>
          <w:rFonts w:hint="eastAsia"/>
        </w:rPr>
      </w:r>
      <w:r/>
    </w:p>
    <w:p>
      <w:pPr>
        <w:pStyle w:val="748"/>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748"/>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748"/>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48"/>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748"/>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748"/>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748"/>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748"/>
        <w:jc w:val="center"/>
        <w:spacing w:line="480" w:lineRule="exact"/>
        <w:rPr>
          <w:rFonts w:hint="eastAsia" w:ascii="宋体" w:hAnsi="宋体"/>
          <w:sz w:val="24"/>
          <w:szCs w:val="24"/>
        </w:rPr>
      </w:pPr>
      <w:r>
        <w:rPr>
          <w:rFonts w:hint="eastAsia" w:ascii="宋体" w:hAnsi="宋体"/>
          <w:sz w:val="24"/>
          <w:szCs w:val="24"/>
        </w:rPr>
      </w:r>
      <w:r/>
    </w:p>
    <w:p>
      <w:pPr>
        <w:pStyle w:val="748"/>
        <w:jc w:val="right"/>
        <w:spacing w:line="480" w:lineRule="exact"/>
        <w:rPr>
          <w:rFonts w:ascii="仿宋" w:hAnsi="仿宋" w:eastAsia="仿宋"/>
          <w:color w:val="000000"/>
          <w:sz w:val="28"/>
          <w:szCs w:val="28"/>
        </w:rPr>
      </w:pPr>
      <w:r>
        <w:rPr>
          <w:rFonts w:hint="eastAsia" w:ascii="宋体" w:hAnsi="宋体"/>
          <w:sz w:val="24"/>
          <w:szCs w:val="24"/>
        </w:rPr>
        <w:t xml:space="preserve">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仿宋" w:hAnsi="仿宋" w:eastAsia="仿宋"/>
          <w:color w:val="000000"/>
          <w:sz w:val="28"/>
          <w:szCs w:val="28"/>
        </w:rPr>
      </w:r>
      <w:r/>
    </w:p>
    <w:p>
      <w:pPr>
        <w:pStyle w:val="748"/>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48"/>
        <w:jc w:val="right"/>
        <w:spacing w:line="480" w:lineRule="exact"/>
        <w:rPr>
          <w:rFonts w:ascii="仿宋" w:hAnsi="仿宋" w:eastAsia="仿宋"/>
          <w:color w:val="000000"/>
          <w:sz w:val="28"/>
          <w:szCs w:val="28"/>
        </w:rPr>
      </w:pPr>
      <w:r/>
      <w:bookmarkStart w:id="269" w:name="_Toc30015"/>
      <w:r/>
      <w:bookmarkStart w:id="270" w:name="_Toc16084"/>
      <w:r/>
      <w:bookmarkStart w:id="271" w:name="_Toc6721"/>
      <w:r/>
      <w:bookmarkStart w:id="272" w:name="_Toc5739"/>
      <w:r/>
      <w:bookmarkStart w:id="273" w:name="_Toc22666"/>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60"/>
        <w:rPr>
          <w:rFonts w:ascii="仿宋" w:hAnsi="仿宋" w:eastAsia="仿宋"/>
          <w:color w:val="000000"/>
          <w:sz w:val="28"/>
          <w:szCs w:val="28"/>
        </w:rPr>
      </w:pPr>
      <w:r>
        <w:rPr>
          <w:rFonts w:ascii="仿宋" w:hAnsi="仿宋" w:eastAsia="仿宋"/>
          <w:color w:val="000000"/>
          <w:sz w:val="28"/>
          <w:szCs w:val="28"/>
        </w:rPr>
      </w:r>
      <w:r/>
    </w:p>
    <w:p>
      <w:pPr>
        <w:pStyle w:val="748"/>
        <w:jc w:val="both"/>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left"/>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bookmarkEnd w:id="269"/>
      <w:r/>
      <w:bookmarkEnd w:id="270"/>
      <w:r/>
      <w:bookmarkEnd w:id="271"/>
      <w:r/>
      <w:bookmarkEnd w:id="272"/>
      <w:r/>
      <w:bookmarkEnd w:id="273"/>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投标分项报价表</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货物</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eastAsia="zh-C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748"/>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748"/>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48"/>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48"/>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748"/>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tcW w:w="500"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gridSpan w:val="8"/>
            <w:tcW w:w="7797"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c>
          <w:tcPr>
            <w:tcW w:w="966" w:type="dxa"/>
            <w:vAlign w:val="top"/>
            <w:textDirection w:val="lrTb"/>
            <w:noWrap w:val="false"/>
          </w:tcPr>
          <w:p>
            <w:pPr>
              <w:pStyle w:val="748"/>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748"/>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748"/>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3.投标人需认真填写本报价表，尤其注意规格型号的准确填写。</w:t>
      </w:r>
      <w:r>
        <w:rPr>
          <w:rFonts w:hint="eastAsia" w:ascii="仿宋" w:hAnsi="仿宋" w:eastAsia="仿宋"/>
          <w:color w:val="000000"/>
          <w:sz w:val="28"/>
          <w:szCs w:val="28"/>
        </w:rPr>
      </w:r>
      <w:r/>
    </w:p>
    <w:p>
      <w:pPr>
        <w:pStyle w:val="816"/>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6"/>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748"/>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748"/>
        <w:jc w:val="left"/>
        <w:spacing w:line="480" w:lineRule="exact"/>
        <w:rPr>
          <w:rFonts w:hint="eastAsia" w:ascii="仿宋" w:hAnsi="仿宋" w:eastAsia="仿宋"/>
          <w:b/>
          <w:color w:val="000000"/>
          <w:sz w:val="28"/>
          <w:szCs w:val="28"/>
        </w:rPr>
        <w:outlineLvl w:val="0"/>
      </w:pPr>
      <w:r/>
      <w:bookmarkStart w:id="274" w:name="_Toc530"/>
      <w:r/>
      <w:bookmarkStart w:id="275" w:name="_Toc10016"/>
      <w:r/>
      <w:bookmarkStart w:id="276" w:name="_Toc2984"/>
      <w:r/>
      <w:bookmarkStart w:id="277" w:name="_Toc18597"/>
      <w:r/>
      <w:bookmarkStart w:id="278" w:name="_Toc18251"/>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w:t>
      </w:r>
      <w:bookmarkEnd w:id="274"/>
      <w:r/>
      <w:bookmarkEnd w:id="275"/>
      <w:r/>
      <w:bookmarkEnd w:id="276"/>
      <w:r/>
      <w:bookmarkEnd w:id="277"/>
      <w:r/>
      <w:bookmarkEnd w:id="278"/>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招标文件</w:t>
            </w: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748"/>
        <w:spacing w:line="480" w:lineRule="exact"/>
        <w:rPr>
          <w:rFonts w:hint="eastAsia" w:ascii="仿宋" w:hAnsi="仿宋" w:eastAsia="仿宋"/>
          <w:color w:val="000000"/>
          <w:sz w:val="28"/>
          <w:szCs w:val="28"/>
        </w:rPr>
        <w:outlineLvl w:val="0"/>
      </w:pPr>
      <w:r/>
      <w:bookmarkStart w:id="279" w:name="_Toc27942"/>
      <w:r/>
      <w:bookmarkStart w:id="280" w:name="_Toc11012"/>
      <w:r/>
      <w:bookmarkStart w:id="281" w:name="_Toc14066"/>
      <w:r/>
      <w:bookmarkStart w:id="282" w:name="_Toc17519"/>
      <w:r/>
      <w:bookmarkStart w:id="283" w:name="_Toc4145"/>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279"/>
      <w:r/>
      <w:bookmarkEnd w:id="280"/>
      <w:r/>
      <w:bookmarkEnd w:id="281"/>
      <w:r/>
      <w:bookmarkEnd w:id="282"/>
      <w:r/>
      <w:bookmarkEnd w:id="283"/>
      <w:r>
        <w:rPr>
          <w:rFonts w:hint="eastAsia"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748"/>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48"/>
        <w:jc w:val="center"/>
        <w:spacing w:line="480" w:lineRule="exact"/>
        <w:rPr>
          <w:rFonts w:hint="eastAsia" w:ascii="仿宋" w:hAnsi="仿宋" w:eastAsia="仿宋"/>
          <w:b/>
          <w:color w:val="000000"/>
          <w:sz w:val="28"/>
          <w:szCs w:val="28"/>
        </w:rPr>
        <w:outlineLvl w:val="0"/>
      </w:pPr>
      <w:r/>
      <w:bookmarkStart w:id="284" w:name="_Toc22480"/>
      <w:r/>
      <w:bookmarkStart w:id="285" w:name="_Toc24519"/>
      <w:r/>
      <w:bookmarkStart w:id="286" w:name="_Toc22885"/>
      <w:r/>
      <w:bookmarkStart w:id="287" w:name="_Toc20997"/>
      <w:r/>
      <w:bookmarkStart w:id="288" w:name="_Toc8957"/>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48"/>
        <w:jc w:val="left"/>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w:t>
      </w:r>
      <w:bookmarkEnd w:id="284"/>
      <w:r/>
      <w:bookmarkEnd w:id="285"/>
      <w:r/>
      <w:bookmarkEnd w:id="286"/>
      <w:r/>
      <w:bookmarkEnd w:id="287"/>
      <w:r/>
      <w:bookmarkEnd w:id="288"/>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招标文件</w:t>
            </w: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4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748"/>
        <w:spacing w:line="480" w:lineRule="exact"/>
        <w:rPr>
          <w:rFonts w:hint="eastAsia" w:ascii="仿宋" w:hAnsi="仿宋" w:eastAsia="仿宋"/>
          <w:color w:val="000000"/>
          <w:sz w:val="28"/>
          <w:szCs w:val="28"/>
        </w:rPr>
        <w:outlineLvl w:val="0"/>
      </w:pPr>
      <w:r/>
      <w:bookmarkStart w:id="289" w:name="_Toc24768"/>
      <w:r/>
      <w:bookmarkStart w:id="290" w:name="_Toc11985"/>
      <w:r/>
      <w:bookmarkStart w:id="291" w:name="_Toc8940"/>
      <w:r/>
      <w:bookmarkStart w:id="292" w:name="_Toc16927"/>
      <w:r/>
      <w:bookmarkStart w:id="293" w:name="_Toc3831"/>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289"/>
      <w:r/>
      <w:bookmarkEnd w:id="290"/>
      <w:r/>
      <w:bookmarkEnd w:id="291"/>
      <w:r/>
      <w:bookmarkEnd w:id="292"/>
      <w:r/>
      <w:bookmarkEnd w:id="293"/>
      <w:r>
        <w:rPr>
          <w:rFonts w:hint="eastAsia"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48"/>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748"/>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48"/>
        <w:ind w:left="480"/>
        <w:spacing w:line="480" w:lineRule="exact"/>
        <w:rPr>
          <w:rFonts w:hint="eastAsia" w:ascii="仿宋" w:hAnsi="仿宋" w:eastAsia="仿宋"/>
          <w:b/>
          <w:color w:val="000000"/>
          <w:sz w:val="28"/>
          <w:szCs w:val="28"/>
          <w:highlight w:val="green"/>
        </w:rPr>
        <w:outlineLvl w:val="0"/>
      </w:pPr>
      <w:r/>
      <w:bookmarkStart w:id="294" w:name="_Toc5624"/>
      <w:r/>
      <w:bookmarkStart w:id="295" w:name="_Toc22668"/>
      <w:r/>
      <w:bookmarkStart w:id="296" w:name="_Toc13278"/>
      <w:r/>
      <w:bookmarkStart w:id="297" w:name="_Toc11709"/>
      <w:r/>
      <w:bookmarkStart w:id="298" w:name="_Toc10386"/>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48"/>
        <w:ind w:left="480"/>
        <w:spacing w:line="480" w:lineRule="exact"/>
        <w:rPr>
          <w:rFonts w:hint="eastAsia" w:ascii="仿宋" w:hAnsi="仿宋" w:eastAsia="仿宋"/>
          <w:b/>
          <w:color w:val="000000"/>
          <w:sz w:val="28"/>
          <w:szCs w:val="28"/>
          <w:highlight w:val="none"/>
        </w:rPr>
        <w:outlineLvl w:val="0"/>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bookmarkEnd w:id="294"/>
      <w:r/>
      <w:bookmarkEnd w:id="295"/>
      <w:r/>
      <w:bookmarkEnd w:id="296"/>
      <w:r/>
      <w:bookmarkEnd w:id="297"/>
      <w:r/>
      <w:bookmarkEnd w:id="298"/>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748"/>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748"/>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748"/>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748"/>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748"/>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748"/>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748"/>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748"/>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748"/>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748"/>
        <w:ind w:firstLine="482"/>
        <w:spacing w:line="500" w:lineRule="exact"/>
        <w:rPr>
          <w:rFonts w:hint="eastAsia" w:ascii="宋体" w:hAnsi="宋体"/>
          <w:color w:val="000000"/>
          <w:sz w:val="24"/>
        </w:rPr>
      </w:pPr>
      <w:r>
        <w:rPr>
          <w:rFonts w:hint="eastAsia" w:ascii="宋体" w:hAnsi="宋体"/>
          <w:color w:val="000000"/>
          <w:sz w:val="24"/>
        </w:rPr>
      </w:r>
      <w:r/>
    </w:p>
    <w:p>
      <w:pPr>
        <w:pStyle w:val="748"/>
        <w:spacing w:line="500" w:lineRule="exact"/>
        <w:rPr>
          <w:rFonts w:hint="eastAsia" w:ascii="宋体" w:hAnsi="宋体"/>
          <w:color w:val="000000"/>
          <w:sz w:val="24"/>
        </w:rPr>
      </w:pPr>
      <w:r>
        <w:rPr>
          <w:rFonts w:hint="eastAsia" w:ascii="宋体" w:hAnsi="宋体"/>
          <w:color w:val="000000"/>
          <w:sz w:val="24"/>
        </w:rPr>
      </w:r>
      <w:r/>
    </w:p>
    <w:p>
      <w:pPr>
        <w:pStyle w:val="74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4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4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48"/>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748"/>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748"/>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748"/>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748"/>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48"/>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48"/>
        <w:ind w:firstLine="480"/>
        <w:spacing w:line="480" w:lineRule="exact"/>
        <w:rPr>
          <w:rFonts w:hint="eastAsia" w:ascii="仿宋" w:hAnsi="仿宋" w:eastAsia="仿宋"/>
          <w:b/>
          <w:color w:val="000000"/>
          <w:sz w:val="28"/>
          <w:szCs w:val="28"/>
        </w:rPr>
        <w:outlineLvl w:val="0"/>
      </w:pPr>
      <w:r/>
      <w:bookmarkStart w:id="299" w:name="_Toc17861"/>
      <w:r/>
      <w:bookmarkStart w:id="300" w:name="_Toc30562"/>
      <w:r/>
      <w:bookmarkStart w:id="301" w:name="_Toc30585"/>
      <w:r/>
      <w:bookmarkStart w:id="302" w:name="_Toc26787"/>
      <w:r/>
      <w:bookmarkStart w:id="303" w:name="_Toc24995"/>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bookmarkEnd w:id="299"/>
      <w:r/>
      <w:bookmarkEnd w:id="300"/>
      <w:r/>
      <w:bookmarkEnd w:id="301"/>
      <w:r/>
      <w:bookmarkEnd w:id="302"/>
      <w:r/>
      <w:bookmarkEnd w:id="303"/>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748"/>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748"/>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748"/>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748"/>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48"/>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48"/>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748"/>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48"/>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48"/>
        <w:keepLines/>
        <w:keepNext/>
        <w:spacing w:before="260" w:after="260" w:line="480" w:lineRule="exact"/>
        <w:rPr>
          <w:rFonts w:ascii="仿宋" w:hAnsi="仿宋" w:eastAsia="仿宋"/>
          <w:b/>
          <w:i/>
          <w:color w:val="000000"/>
          <w:sz w:val="28"/>
          <w:szCs w:val="28"/>
          <w:u w:val="single"/>
        </w:rPr>
        <w:outlineLvl w:val="0"/>
      </w:pPr>
      <w:r>
        <w:rPr>
          <w:rFonts w:ascii="仿宋" w:hAnsi="仿宋" w:eastAsia="仿宋" w:cs="Arial"/>
          <w:b/>
          <w:color w:val="000000"/>
          <w:sz w:val="28"/>
          <w:szCs w:val="28"/>
        </w:rPr>
        <w:br w:type="page" w:clear="all"/>
      </w:r>
      <w:bookmarkStart w:id="304" w:name="_Toc11506"/>
      <w:r/>
      <w:bookmarkStart w:id="305" w:name="_Toc26540"/>
      <w:r/>
      <w:bookmarkStart w:id="306" w:name="_Toc29115"/>
      <w:r/>
      <w:bookmarkStart w:id="307" w:name="_Toc20534"/>
      <w:r/>
      <w:bookmarkStart w:id="308" w:name="_Toc6030"/>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bookmarkEnd w:id="304"/>
      <w:r/>
      <w:bookmarkEnd w:id="305"/>
      <w:r/>
      <w:bookmarkEnd w:id="306"/>
      <w:r/>
      <w:bookmarkEnd w:id="307"/>
      <w:r/>
      <w:bookmarkEnd w:id="308"/>
      <w:r>
        <w:rPr>
          <w:rFonts w:ascii="仿宋" w:hAnsi="仿宋" w:eastAsia="仿宋"/>
          <w:b/>
          <w:i/>
          <w:color w:val="000000"/>
          <w:sz w:val="28"/>
          <w:szCs w:val="28"/>
          <w:u w:val="single"/>
        </w:rPr>
      </w:r>
      <w:r/>
    </w:p>
    <w:p>
      <w:pPr>
        <w:pStyle w:val="748"/>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致：南通市政府采购中心</w:t>
      </w:r>
      <w:r>
        <w:rPr>
          <w:rFonts w:ascii="仿宋" w:hAnsi="仿宋" w:eastAsia="仿宋"/>
          <w:color w:val="000000"/>
          <w:sz w:val="28"/>
          <w:szCs w:val="28"/>
        </w:rPr>
      </w:r>
      <w:r/>
    </w:p>
    <w:p>
      <w:pPr>
        <w:pStyle w:val="748"/>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号招标文件，正式授权_____(</w:t>
      </w:r>
      <w:r>
        <w:rPr>
          <w:rFonts w:hint="eastAsia" w:ascii="仿宋" w:hAnsi="仿宋" w:eastAsia="仿宋"/>
          <w:color w:val="000000"/>
          <w:sz w:val="28"/>
          <w:szCs w:val="28"/>
          <w:lang w:val="en-US" w:eastAsia="zh-CN"/>
        </w:rPr>
        <w:t xml:space="preserve">被授权人</w:t>
      </w:r>
      <w:r>
        <w:rPr>
          <w:rFonts w:hint="eastAsia" w:ascii="仿宋" w:hAnsi="仿宋" w:eastAsia="仿宋"/>
          <w:color w:val="000000"/>
          <w:sz w:val="28"/>
          <w:szCs w:val="28"/>
        </w:rPr>
        <w:t xml:space="preserve">姓名)代表我方_______（投标人的名称），全权处理本次项目投标的有关事宜。</w:t>
      </w:r>
      <w:r>
        <w:rPr>
          <w:rFonts w:hint="eastAsia" w:ascii="仿宋" w:hAnsi="仿宋" w:eastAsia="仿宋"/>
          <w:color w:val="000000"/>
          <w:sz w:val="28"/>
          <w:szCs w:val="28"/>
        </w:rPr>
      </w:r>
      <w:r/>
    </w:p>
    <w:p>
      <w:pPr>
        <w:pStyle w:val="748"/>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被授权人签字</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兹宣布同意如下：</w:t>
      </w:r>
      <w:r>
        <w:rPr>
          <w:rFonts w:hint="eastAsia" w:ascii="仿宋" w:hAnsi="仿宋" w:eastAsia="仿宋"/>
          <w:color w:val="000000"/>
          <w:sz w:val="28"/>
          <w:szCs w:val="28"/>
        </w:rPr>
      </w:r>
      <w:r/>
    </w:p>
    <w:p>
      <w:pPr>
        <w:pStyle w:val="748"/>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748"/>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748"/>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748"/>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748"/>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748"/>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748"/>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748"/>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748"/>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748"/>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748"/>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748"/>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748"/>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748"/>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748"/>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48"/>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48"/>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48"/>
        <w:ind w:firstLine="281"/>
        <w:jc w:val="left"/>
        <w:spacing w:line="480" w:lineRule="exact"/>
        <w:rPr>
          <w:rFonts w:hint="eastAsia" w:ascii="仿宋" w:hAnsi="仿宋" w:eastAsia="仿宋"/>
          <w:b/>
          <w:color w:val="000000"/>
          <w:sz w:val="28"/>
          <w:szCs w:val="28"/>
        </w:rPr>
        <w:outlineLvl w:val="0"/>
      </w:pPr>
      <w:r/>
      <w:bookmarkStart w:id="309" w:name="_Toc4043"/>
      <w:r/>
      <w:bookmarkStart w:id="310" w:name="_Toc9443"/>
      <w:r/>
      <w:bookmarkStart w:id="311" w:name="_Toc18124"/>
      <w:r/>
      <w:bookmarkStart w:id="312" w:name="_Toc12577"/>
      <w:r/>
      <w:bookmarkStart w:id="313" w:name="_Toc5906"/>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bookmarkEnd w:id="309"/>
      <w:r/>
      <w:bookmarkEnd w:id="310"/>
      <w:r/>
      <w:bookmarkEnd w:id="311"/>
      <w:r/>
      <w:bookmarkEnd w:id="312"/>
      <w:r/>
      <w:bookmarkEnd w:id="313"/>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748"/>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w:t>
      </w:r>
      <w:r>
        <w:rPr>
          <w:rFonts w:hint="eastAsia" w:ascii="仿宋" w:hAnsi="仿宋" w:eastAsia="仿宋"/>
          <w:b/>
          <w:color w:val="000000"/>
          <w:sz w:val="28"/>
          <w:szCs w:val="28"/>
        </w:rPr>
      </w:r>
      <w:r/>
    </w:p>
    <w:p>
      <w:pPr>
        <w:pStyle w:val="748"/>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本公司（联合体）郑重声明，根据《政府采购促进中小企业发展管理办法》(财库[2020]46号)的规定，本公司（联合体）参加南通市政府采购中心组织的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748"/>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748"/>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748"/>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8"/>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748"/>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748"/>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48"/>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748"/>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748"/>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748"/>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748"/>
        <w:ind w:left="560" w:hanging="14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w:t>
      </w:r>
      <w:r>
        <w:rPr>
          <w:rFonts w:ascii="仿宋" w:hAnsi="仿宋" w:eastAsia="仿宋"/>
          <w:color w:val="000000"/>
          <w:sz w:val="28"/>
          <w:szCs w:val="28"/>
        </w:rPr>
        <w:t xml:space="preserve">自行勾选</w:t>
      </w:r>
      <w:r>
        <w:rPr>
          <w:rFonts w:hint="eastAsia" w:ascii="仿宋" w:hAnsi="仿宋" w:eastAsia="仿宋"/>
          <w:color w:val="000000"/>
          <w:sz w:val="28"/>
          <w:szCs w:val="28"/>
        </w:rPr>
        <w:t xml:space="preserve">制造商</w:t>
      </w:r>
      <w:r>
        <w:rPr>
          <w:rFonts w:ascii="仿宋" w:hAnsi="仿宋" w:eastAsia="仿宋"/>
          <w:color w:val="000000"/>
          <w:sz w:val="28"/>
          <w:szCs w:val="28"/>
        </w:rPr>
        <w:t xml:space="preserve">的企业</w:t>
      </w:r>
      <w:r>
        <w:rPr>
          <w:rFonts w:hint="eastAsia" w:ascii="仿宋" w:hAnsi="仿宋" w:eastAsia="仿宋"/>
          <w:color w:val="000000"/>
          <w:sz w:val="28"/>
          <w:szCs w:val="28"/>
        </w:rPr>
        <w:t xml:space="preserve">规模类型</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748"/>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748"/>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748"/>
        <w:spacing w:line="480" w:lineRule="exact"/>
        <w:rPr>
          <w:rFonts w:hint="eastAsia" w:ascii="仿宋" w:hAnsi="仿宋" w:eastAsia="仿宋"/>
          <w:b/>
          <w:color w:val="ff0000"/>
          <w:sz w:val="28"/>
          <w:szCs w:val="28"/>
        </w:rPr>
        <w:outlineLvl w:val="0"/>
      </w:pPr>
      <w:r/>
      <w:bookmarkStart w:id="314" w:name="_Toc5708"/>
      <w:r/>
      <w:bookmarkStart w:id="315" w:name="_Toc4161"/>
      <w:r/>
      <w:bookmarkStart w:id="316" w:name="_Toc22116"/>
      <w:r/>
      <w:bookmarkStart w:id="317" w:name="_Toc24888"/>
      <w:r/>
      <w:bookmarkStart w:id="318" w:name="_Toc16661"/>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48"/>
        <w:spacing w:line="480" w:lineRule="exact"/>
        <w:rPr>
          <w:rFonts w:hint="eastAsia" w:ascii="仿宋" w:hAnsi="仿宋" w:eastAsia="仿宋"/>
          <w:b/>
          <w:color w:val="000000"/>
          <w:sz w:val="28"/>
          <w:szCs w:val="28"/>
          <w:lang w:eastAsia="zh-CN"/>
        </w:rPr>
        <w:outlineLvl w:val="0"/>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bookmarkEnd w:id="314"/>
      <w:r/>
      <w:bookmarkEnd w:id="315"/>
      <w:r/>
      <w:bookmarkEnd w:id="316"/>
      <w:r/>
      <w:bookmarkEnd w:id="317"/>
      <w:r/>
      <w:bookmarkEnd w:id="318"/>
      <w:r>
        <w:rPr>
          <w:rFonts w:hint="eastAsia" w:ascii="仿宋" w:hAnsi="仿宋" w:eastAsia="仿宋"/>
          <w:b/>
          <w:color w:val="000000"/>
          <w:sz w:val="28"/>
          <w:szCs w:val="28"/>
          <w:lang w:eastAsia="zh-CN"/>
        </w:rPr>
      </w:r>
      <w:r/>
    </w:p>
    <w:p>
      <w:pPr>
        <w:pStyle w:val="748"/>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748"/>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748"/>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748"/>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748"/>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748"/>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748"/>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748"/>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748"/>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48"/>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48"/>
        <w:spacing w:line="480" w:lineRule="exact"/>
        <w:rPr>
          <w:rFonts w:ascii="仿宋" w:hAnsi="仿宋" w:eastAsia="仿宋"/>
          <w:color w:val="000000"/>
          <w:sz w:val="28"/>
          <w:szCs w:val="28"/>
        </w:rPr>
      </w:pPr>
      <w:r>
        <w:rPr>
          <w:rFonts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ascii="仿宋" w:hAnsi="仿宋" w:eastAsia="仿宋"/>
          <w:color w:val="000000"/>
          <w:sz w:val="28"/>
          <w:szCs w:val="28"/>
        </w:rPr>
      </w:r>
      <w:r/>
    </w:p>
    <w:p>
      <w:pPr>
        <w:pStyle w:val="748"/>
        <w:spacing w:line="480" w:lineRule="exact"/>
        <w:rPr>
          <w:rFonts w:hint="eastAsia" w:ascii="仿宋" w:hAnsi="仿宋" w:eastAsia="仿宋" w:cs="仿宋"/>
          <w:b/>
          <w:bCs/>
          <w:color w:val="000000"/>
          <w:sz w:val="28"/>
          <w:szCs w:val="28"/>
        </w:rPr>
      </w:pPr>
      <w:r/>
      <w:bookmarkEnd w:id="215"/>
      <w:r/>
      <w:bookmarkEnd w:id="216"/>
      <w:r/>
      <w:bookmarkEnd w:id="231"/>
      <w:r/>
      <w:bookmarkEnd w:id="232"/>
      <w:r/>
      <w:bookmarkEnd w:id="233"/>
      <w:r>
        <w:rPr>
          <w:rFonts w:hint="eastAsia" w:ascii="仿宋" w:hAnsi="仿宋" w:eastAsia="仿宋" w:cs="仿宋"/>
          <w:b/>
          <w:bCs/>
          <w:color w:val="000000"/>
          <w:sz w:val="28"/>
          <w:szCs w:val="28"/>
        </w:rPr>
      </w:r>
      <w:r/>
    </w:p>
    <w:p>
      <w:pPr>
        <w:pStyle w:val="748"/>
        <w:jc w:val="center"/>
        <w:spacing w:line="480" w:lineRule="exact"/>
        <w:rPr>
          <w:rFonts w:ascii="仿宋" w:hAnsi="仿宋" w:eastAsia="仿宋" w:cs="仿宋"/>
          <w:b/>
          <w:bCs/>
          <w:color w:val="000000"/>
          <w:sz w:val="28"/>
          <w:szCs w:val="28"/>
        </w:rPr>
        <w:outlineLvl w:val="0"/>
      </w:pPr>
      <w:r/>
      <w:bookmarkStart w:id="319" w:name="_Toc22636"/>
      <w:r/>
      <w:bookmarkStart w:id="320" w:name="_Toc12891"/>
      <w:r/>
      <w:bookmarkStart w:id="321" w:name="_Toc21360"/>
      <w:r/>
      <w:bookmarkStart w:id="322" w:name="_Toc29393"/>
      <w:r/>
      <w:bookmarkStart w:id="323" w:name="_Toc3589"/>
      <w:r>
        <w:rPr>
          <w:rFonts w:hint="eastAsia" w:ascii="仿宋" w:hAnsi="仿宋" w:eastAsia="仿宋" w:cs="仿宋"/>
          <w:b/>
          <w:bCs/>
          <w:color w:val="000000"/>
          <w:sz w:val="28"/>
          <w:szCs w:val="28"/>
        </w:rPr>
        <w:t xml:space="preserve">质疑函范本</w:t>
      </w:r>
      <w:bookmarkEnd w:id="319"/>
      <w:r/>
      <w:bookmarkEnd w:id="320"/>
      <w:r/>
      <w:bookmarkEnd w:id="321"/>
      <w:r/>
      <w:bookmarkEnd w:id="322"/>
      <w:r/>
      <w:bookmarkEnd w:id="323"/>
      <w:r>
        <w:rPr>
          <w:rFonts w:ascii="仿宋" w:hAnsi="仿宋" w:eastAsia="仿宋" w:cs="仿宋"/>
          <w:b/>
          <w:bCs/>
          <w:color w:val="000000"/>
          <w:sz w:val="28"/>
          <w:szCs w:val="28"/>
        </w:rPr>
      </w:r>
      <w:r/>
    </w:p>
    <w:p>
      <w:pPr>
        <w:pStyle w:val="748"/>
        <w:spacing w:before="290" w:line="480" w:lineRule="exact"/>
        <w:rPr>
          <w:rFonts w:ascii="仿宋" w:hAnsi="仿宋" w:eastAsia="仿宋" w:cs="仿宋"/>
          <w:bCs/>
          <w:color w:val="000000"/>
          <w:sz w:val="28"/>
          <w:szCs w:val="28"/>
        </w:rPr>
        <w:outlineLvl w:val="0"/>
      </w:pPr>
      <w:r/>
      <w:bookmarkStart w:id="324" w:name="_Toc20940"/>
      <w:r/>
      <w:bookmarkStart w:id="325" w:name="_Toc13068"/>
      <w:r/>
      <w:bookmarkStart w:id="326" w:name="_Toc14544"/>
      <w:r/>
      <w:bookmarkStart w:id="327" w:name="_Toc9988"/>
      <w:r/>
      <w:bookmarkStart w:id="328" w:name="_Toc14457"/>
      <w:r>
        <w:rPr>
          <w:rFonts w:hint="eastAsia" w:ascii="仿宋" w:hAnsi="仿宋" w:eastAsia="仿宋" w:cs="仿宋"/>
          <w:bCs/>
          <w:color w:val="000000"/>
          <w:sz w:val="28"/>
          <w:szCs w:val="28"/>
        </w:rPr>
        <w:t xml:space="preserve">一、质疑供应商基本信息</w:t>
      </w:r>
      <w:bookmarkEnd w:id="324"/>
      <w:r/>
      <w:bookmarkEnd w:id="325"/>
      <w:r/>
      <w:bookmarkEnd w:id="326"/>
      <w:r/>
      <w:bookmarkEnd w:id="327"/>
      <w:r/>
      <w:bookmarkEnd w:id="328"/>
      <w:r>
        <w:rPr>
          <w:rFonts w:ascii="仿宋" w:hAnsi="仿宋" w:eastAsia="仿宋" w:cs="仿宋"/>
          <w:bCs/>
          <w:color w:val="000000"/>
          <w:sz w:val="28"/>
          <w:szCs w:val="28"/>
        </w:rPr>
      </w:r>
      <w:r/>
    </w:p>
    <w:p>
      <w:pPr>
        <w:pStyle w:val="748"/>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48"/>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48"/>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48"/>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48"/>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48"/>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48"/>
        <w:spacing w:line="480" w:lineRule="exact"/>
        <w:rPr>
          <w:rFonts w:ascii="仿宋" w:hAnsi="仿宋" w:eastAsia="仿宋" w:cs="仿宋"/>
          <w:bCs/>
          <w:color w:val="000000"/>
          <w:sz w:val="28"/>
          <w:szCs w:val="28"/>
        </w:rPr>
        <w:outlineLvl w:val="0"/>
      </w:pPr>
      <w:r/>
      <w:bookmarkStart w:id="329" w:name="_Toc7717"/>
      <w:r/>
      <w:bookmarkStart w:id="330" w:name="_Toc14260"/>
      <w:r/>
      <w:bookmarkStart w:id="331" w:name="_Toc6840"/>
      <w:r/>
      <w:bookmarkStart w:id="332" w:name="_Toc15652"/>
      <w:r/>
      <w:bookmarkStart w:id="333" w:name="_Toc15880"/>
      <w:r>
        <w:rPr>
          <w:rFonts w:hint="eastAsia" w:ascii="仿宋" w:hAnsi="仿宋" w:eastAsia="仿宋" w:cs="仿宋"/>
          <w:bCs/>
          <w:color w:val="000000"/>
          <w:sz w:val="28"/>
          <w:szCs w:val="28"/>
        </w:rPr>
        <w:t xml:space="preserve">二、质疑项目基本情况</w:t>
      </w:r>
      <w:bookmarkEnd w:id="329"/>
      <w:r/>
      <w:bookmarkEnd w:id="330"/>
      <w:r/>
      <w:bookmarkEnd w:id="331"/>
      <w:r/>
      <w:bookmarkEnd w:id="332"/>
      <w:r/>
      <w:bookmarkEnd w:id="333"/>
      <w:r>
        <w:rPr>
          <w:rFonts w:ascii="仿宋" w:hAnsi="仿宋" w:eastAsia="仿宋" w:cs="仿宋"/>
          <w:bCs/>
          <w:color w:val="000000"/>
          <w:sz w:val="28"/>
          <w:szCs w:val="28"/>
        </w:rPr>
      </w:r>
      <w:r/>
    </w:p>
    <w:p>
      <w:pPr>
        <w:pStyle w:val="748"/>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48"/>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48"/>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48"/>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48"/>
        <w:spacing w:line="480" w:lineRule="exact"/>
        <w:rPr>
          <w:rFonts w:ascii="仿宋" w:hAnsi="仿宋" w:eastAsia="仿宋" w:cs="仿宋"/>
          <w:bCs/>
          <w:color w:val="000000"/>
          <w:sz w:val="28"/>
          <w:szCs w:val="28"/>
        </w:rPr>
        <w:outlineLvl w:val="0"/>
      </w:pPr>
      <w:r/>
      <w:bookmarkStart w:id="334" w:name="_Toc10271"/>
      <w:r/>
      <w:bookmarkStart w:id="335" w:name="_Toc15182"/>
      <w:r/>
      <w:bookmarkStart w:id="336" w:name="_Toc8997"/>
      <w:r/>
      <w:bookmarkStart w:id="337" w:name="_Toc10885"/>
      <w:r/>
      <w:bookmarkStart w:id="338" w:name="_Toc31051"/>
      <w:r>
        <w:rPr>
          <w:rFonts w:hint="eastAsia" w:ascii="仿宋" w:hAnsi="仿宋" w:eastAsia="仿宋" w:cs="仿宋"/>
          <w:bCs/>
          <w:color w:val="000000"/>
          <w:sz w:val="28"/>
          <w:szCs w:val="28"/>
        </w:rPr>
        <w:t xml:space="preserve">三、质疑事项具体内容</w:t>
      </w:r>
      <w:bookmarkEnd w:id="334"/>
      <w:r/>
      <w:bookmarkEnd w:id="335"/>
      <w:r/>
      <w:bookmarkEnd w:id="336"/>
      <w:r/>
      <w:bookmarkEnd w:id="337"/>
      <w:r/>
      <w:bookmarkEnd w:id="338"/>
      <w:r>
        <w:rPr>
          <w:rFonts w:ascii="仿宋" w:hAnsi="仿宋" w:eastAsia="仿宋" w:cs="仿宋"/>
          <w:bCs/>
          <w:color w:val="000000"/>
          <w:sz w:val="28"/>
          <w:szCs w:val="28"/>
        </w:rPr>
      </w:r>
      <w:r/>
    </w:p>
    <w:p>
      <w:pPr>
        <w:pStyle w:val="748"/>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48"/>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48"/>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48"/>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48"/>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48"/>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748"/>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748"/>
        <w:spacing w:line="480" w:lineRule="exact"/>
        <w:rPr>
          <w:rFonts w:ascii="仿宋" w:hAnsi="仿宋" w:eastAsia="仿宋" w:cs="仿宋"/>
          <w:bCs/>
          <w:color w:val="000000"/>
          <w:sz w:val="28"/>
          <w:szCs w:val="28"/>
        </w:rPr>
        <w:outlineLvl w:val="0"/>
      </w:pPr>
      <w:r/>
      <w:bookmarkStart w:id="339" w:name="_Toc12478"/>
      <w:r/>
      <w:bookmarkStart w:id="340" w:name="_Toc20028"/>
      <w:r/>
      <w:bookmarkStart w:id="341" w:name="_Toc1865"/>
      <w:r/>
      <w:bookmarkStart w:id="342" w:name="_Toc11532"/>
      <w:r/>
      <w:bookmarkStart w:id="343" w:name="_Toc24269"/>
      <w:r>
        <w:rPr>
          <w:rFonts w:hint="eastAsia" w:ascii="仿宋" w:hAnsi="仿宋" w:eastAsia="仿宋" w:cs="仿宋"/>
          <w:bCs/>
          <w:color w:val="000000"/>
          <w:sz w:val="28"/>
          <w:szCs w:val="28"/>
        </w:rPr>
        <w:t xml:space="preserve">四、与质疑事项相关的质疑请求</w:t>
      </w:r>
      <w:bookmarkEnd w:id="339"/>
      <w:r/>
      <w:bookmarkEnd w:id="340"/>
      <w:r/>
      <w:bookmarkEnd w:id="341"/>
      <w:r/>
      <w:bookmarkEnd w:id="342"/>
      <w:r/>
      <w:bookmarkEnd w:id="343"/>
      <w:r>
        <w:rPr>
          <w:rFonts w:ascii="仿宋" w:hAnsi="仿宋" w:eastAsia="仿宋" w:cs="仿宋"/>
          <w:bCs/>
          <w:color w:val="000000"/>
          <w:sz w:val="28"/>
          <w:szCs w:val="28"/>
        </w:rPr>
      </w:r>
      <w:r/>
    </w:p>
    <w:p>
      <w:pPr>
        <w:pStyle w:val="748"/>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48"/>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748"/>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748"/>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748"/>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748"/>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748"/>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748"/>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748"/>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748"/>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748"/>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48"/>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enter" w:pos="4153" w:leader="none"/>
        <w:tab w:val="right" w:pos="8306" w:leader="none"/>
      </w:tabs>
      <w:rPr>
        <w:rStyle w:val="822"/>
        <w:rFonts w:ascii="宋体" w:hAnsi="宋体"/>
      </w:rPr>
      <w:framePr w:wrap="around" w:vAnchor="text" w:hAnchor="margin" w:xAlign="center" w:y="1"/>
    </w:pPr>
    <w:r>
      <w:rPr>
        <w:rFonts w:ascii="宋体" w:hAnsi="宋体"/>
      </w:rPr>
      <w:fldChar w:fldCharType="begin"/>
    </w:r>
    <w:r>
      <w:rPr>
        <w:rStyle w:val="822"/>
        <w:rFonts w:ascii="宋体" w:hAnsi="宋体"/>
      </w:rPr>
      <w:instrText xml:space="preserve">PAGE  </w:instrText>
    </w:r>
    <w:r>
      <w:rPr>
        <w:rFonts w:ascii="宋体" w:hAnsi="宋体"/>
      </w:rPr>
      <w:fldChar w:fldCharType="separate"/>
    </w:r>
    <w:r>
      <w:rPr>
        <w:rStyle w:val="822"/>
        <w:rFonts w:ascii="宋体" w:hAnsi="宋体"/>
      </w:rPr>
      <w:t xml:space="preserve">１７</w:t>
    </w:r>
    <w:r>
      <w:rPr>
        <w:rFonts w:ascii="宋体" w:hAnsi="宋体"/>
      </w:rPr>
      <w:fldChar w:fldCharType="end"/>
    </w:r>
    <w:r>
      <w:rPr>
        <w:rStyle w:val="822"/>
        <w:rFonts w:ascii="宋体" w:hAnsi="宋体"/>
      </w:rPr>
    </w:r>
    <w:r/>
  </w:p>
  <w:p>
    <w:pPr>
      <w:pStyle w:val="79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enter" w:pos="4153" w:leader="none"/>
        <w:tab w:val="right" w:pos="8306" w:leader="none"/>
      </w:tabs>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1</w:t>
    </w:r>
    <w:r>
      <w:fldChar w:fldCharType="end"/>
    </w:r>
    <w:r>
      <w:rPr>
        <w:rStyle w:val="822"/>
      </w:rPr>
    </w:r>
    <w:r/>
  </w:p>
  <w:p>
    <w:pPr>
      <w:pStyle w:val="7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8"/>
        <w:ind w:left="425" w:hanging="425"/>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48"/>
        <w:ind w:left="425" w:hanging="425"/>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748"/>
        <w:ind w:left="425" w:hanging="425"/>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4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48"/>
        <w:ind w:left="425" w:hanging="425"/>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48"/>
        <w:ind w:left="425" w:hanging="425"/>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3">
    <w:multiLevelType w:val="hybridMultilevel"/>
    <w:lvl w:ilvl="0">
      <w:start w:val="1"/>
      <w:numFmt w:val="decimal"/>
      <w:pStyle w:val="868"/>
      <w:isLgl w:val="false"/>
      <w:suff w:val="tab"/>
      <w:lvlText w:val="%1."/>
      <w:lvlJc w:val="left"/>
      <w:pPr>
        <w:pStyle w:val="748"/>
        <w:ind w:left="360" w:hanging="360"/>
      </w:pPr>
    </w:lvl>
    <w:lvl w:ilvl="1">
      <w:start w:val="1"/>
      <w:numFmt w:val="lowerLetter"/>
      <w:isLgl w:val="false"/>
      <w:suff w:val="tab"/>
      <w:lvlText w:val="%2)"/>
      <w:lvlJc w:val="left"/>
      <w:pPr>
        <w:pStyle w:val="748"/>
        <w:ind w:left="840" w:hanging="420"/>
      </w:pPr>
    </w:lvl>
    <w:lvl w:ilvl="2">
      <w:start w:val="1"/>
      <w:numFmt w:val="lowerRoman"/>
      <w:isLgl w:val="false"/>
      <w:suff w:val="tab"/>
      <w:lvlText w:val="%3."/>
      <w:lvlJc w:val="right"/>
      <w:pPr>
        <w:pStyle w:val="748"/>
        <w:ind w:left="1260" w:hanging="420"/>
      </w:pPr>
    </w:lvl>
    <w:lvl w:ilvl="3">
      <w:start w:val="1"/>
      <w:numFmt w:val="decimal"/>
      <w:isLgl w:val="false"/>
      <w:suff w:val="tab"/>
      <w:lvlText w:val="%4."/>
      <w:lvlJc w:val="left"/>
      <w:pPr>
        <w:pStyle w:val="748"/>
        <w:ind w:left="1680" w:hanging="420"/>
      </w:pPr>
    </w:lvl>
    <w:lvl w:ilvl="4">
      <w:start w:val="1"/>
      <w:numFmt w:val="lowerLetter"/>
      <w:isLgl w:val="false"/>
      <w:suff w:val="tab"/>
      <w:lvlText w:val="%5)"/>
      <w:lvlJc w:val="left"/>
      <w:pPr>
        <w:pStyle w:val="748"/>
        <w:ind w:left="2100" w:hanging="420"/>
      </w:pPr>
    </w:lvl>
    <w:lvl w:ilvl="5">
      <w:start w:val="1"/>
      <w:numFmt w:val="lowerRoman"/>
      <w:isLgl w:val="false"/>
      <w:suff w:val="tab"/>
      <w:lvlText w:val="%6."/>
      <w:lvlJc w:val="right"/>
      <w:pPr>
        <w:pStyle w:val="748"/>
        <w:ind w:left="2520" w:hanging="420"/>
      </w:pPr>
    </w:lvl>
    <w:lvl w:ilvl="6">
      <w:start w:val="1"/>
      <w:numFmt w:val="decimal"/>
      <w:isLgl w:val="false"/>
      <w:suff w:val="tab"/>
      <w:lvlText w:val="%7."/>
      <w:lvlJc w:val="left"/>
      <w:pPr>
        <w:pStyle w:val="748"/>
        <w:ind w:left="2940" w:hanging="420"/>
      </w:pPr>
    </w:lvl>
    <w:lvl w:ilvl="7">
      <w:start w:val="1"/>
      <w:numFmt w:val="lowerLetter"/>
      <w:isLgl w:val="false"/>
      <w:suff w:val="tab"/>
      <w:lvlText w:val="%8)"/>
      <w:lvlJc w:val="left"/>
      <w:pPr>
        <w:pStyle w:val="748"/>
        <w:ind w:left="3360" w:hanging="420"/>
      </w:pPr>
    </w:lvl>
    <w:lvl w:ilvl="8">
      <w:start w:val="1"/>
      <w:numFmt w:val="lowerRoman"/>
      <w:isLgl w:val="false"/>
      <w:suff w:val="tab"/>
      <w:lvlText w:val="%9."/>
      <w:lvlJc w:val="right"/>
      <w:pPr>
        <w:pStyle w:val="748"/>
        <w:ind w:left="3780" w:hanging="420"/>
      </w:pPr>
    </w:lvl>
  </w:abstractNum>
  <w:abstractNum w:abstractNumId="14">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8">
    <w:multiLevelType w:val="hybridMultilevel"/>
    <w:lvl w:ilvl="0">
      <w:start w:val="4"/>
      <w:numFmt w:val="decimal"/>
      <w:isLgl w:val="false"/>
      <w:suff w:val="space"/>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2">
    <w:multiLevelType w:val="hybridMultilevel"/>
    <w:lvl w:ilvl="0">
      <w:start w:val="1"/>
      <w:numFmt w:val="upperLetter"/>
      <w:pStyle w:val="828"/>
      <w:isLgl w:val="false"/>
      <w:suff w:val="tab"/>
      <w:lvlText w:val="附录%1."/>
      <w:lvlJc w:val="left"/>
      <w:pPr>
        <w:pStyle w:val="74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5">
    <w:multiLevelType w:val="hybridMultilevel"/>
    <w:lvl w:ilvl="0">
      <w:start w:val="1"/>
      <w:numFmt w:val="decimal"/>
      <w:isLgl w:val="false"/>
      <w:suff w:val="tab"/>
      <w:lvlText w:val="(%1)"/>
      <w:lvlJc w:val="left"/>
      <w:pPr>
        <w:pStyle w:val="748"/>
        <w:ind w:left="425" w:hanging="425"/>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9">
    <w:multiLevelType w:val="hybridMultilevel"/>
    <w:lvl w:ilvl="0">
      <w:start w:val="1"/>
      <w:numFmt w:val="decimal"/>
      <w:isLgl w:val="false"/>
      <w:suff w:val="tab"/>
      <w:lvlText w:val="(%1)"/>
      <w:lvlJc w:val="left"/>
      <w:pPr>
        <w:pStyle w:val="748"/>
        <w:ind w:left="1275" w:hanging="425"/>
      </w:pPr>
    </w:lvl>
    <w:lvl w:ilvl="1">
      <w:start w:val="1"/>
      <w:numFmt w:val="bullet"/>
      <w:isLgl w:val="false"/>
      <w:suff w:val="tab"/>
      <w:lvlText w:val="o"/>
      <w:lvlJc w:val="left"/>
      <w:pPr>
        <w:pStyle w:val="748"/>
        <w:ind w:left="2290" w:hanging="360"/>
      </w:pPr>
      <w:rPr>
        <w:rFonts w:ascii="Courier New" w:hAnsi="Courier New" w:eastAsia="Courier New" w:cs="Courier New"/>
      </w:rPr>
    </w:lvl>
    <w:lvl w:ilvl="2">
      <w:start w:val="1"/>
      <w:numFmt w:val="bullet"/>
      <w:isLgl w:val="false"/>
      <w:suff w:val="tab"/>
      <w:lvlText w:val="§"/>
      <w:lvlJc w:val="left"/>
      <w:pPr>
        <w:pStyle w:val="748"/>
        <w:ind w:left="3010" w:hanging="360"/>
      </w:pPr>
      <w:rPr>
        <w:rFonts w:ascii="Wingdings" w:hAnsi="Wingdings" w:eastAsia="Wingdings" w:cs="Wingdings"/>
      </w:rPr>
    </w:lvl>
    <w:lvl w:ilvl="3">
      <w:start w:val="1"/>
      <w:numFmt w:val="bullet"/>
      <w:isLgl w:val="false"/>
      <w:suff w:val="tab"/>
      <w:lvlText w:val="·"/>
      <w:lvlJc w:val="left"/>
      <w:pPr>
        <w:pStyle w:val="748"/>
        <w:ind w:left="3730" w:hanging="360"/>
      </w:pPr>
      <w:rPr>
        <w:rFonts w:ascii="Symbol" w:hAnsi="Symbol" w:eastAsia="Symbol" w:cs="Symbol"/>
      </w:rPr>
    </w:lvl>
    <w:lvl w:ilvl="4">
      <w:start w:val="1"/>
      <w:numFmt w:val="bullet"/>
      <w:isLgl w:val="false"/>
      <w:suff w:val="tab"/>
      <w:lvlText w:val="o"/>
      <w:lvlJc w:val="left"/>
      <w:pPr>
        <w:pStyle w:val="748"/>
        <w:ind w:left="4450" w:hanging="360"/>
      </w:pPr>
      <w:rPr>
        <w:rFonts w:ascii="Courier New" w:hAnsi="Courier New" w:eastAsia="Courier New" w:cs="Courier New"/>
      </w:rPr>
    </w:lvl>
    <w:lvl w:ilvl="5">
      <w:start w:val="1"/>
      <w:numFmt w:val="bullet"/>
      <w:isLgl w:val="false"/>
      <w:suff w:val="tab"/>
      <w:lvlText w:val="§"/>
      <w:lvlJc w:val="left"/>
      <w:pPr>
        <w:pStyle w:val="748"/>
        <w:ind w:left="5170" w:hanging="360"/>
      </w:pPr>
      <w:rPr>
        <w:rFonts w:ascii="Wingdings" w:hAnsi="Wingdings" w:eastAsia="Wingdings" w:cs="Wingdings"/>
      </w:rPr>
    </w:lvl>
    <w:lvl w:ilvl="6">
      <w:start w:val="1"/>
      <w:numFmt w:val="bullet"/>
      <w:isLgl w:val="false"/>
      <w:suff w:val="tab"/>
      <w:lvlText w:val="·"/>
      <w:lvlJc w:val="left"/>
      <w:pPr>
        <w:pStyle w:val="748"/>
        <w:ind w:left="5890" w:hanging="360"/>
      </w:pPr>
      <w:rPr>
        <w:rFonts w:ascii="Symbol" w:hAnsi="Symbol" w:eastAsia="Symbol" w:cs="Symbol"/>
      </w:rPr>
    </w:lvl>
    <w:lvl w:ilvl="7">
      <w:start w:val="1"/>
      <w:numFmt w:val="bullet"/>
      <w:isLgl w:val="false"/>
      <w:suff w:val="tab"/>
      <w:lvlText w:val="o"/>
      <w:lvlJc w:val="left"/>
      <w:pPr>
        <w:pStyle w:val="748"/>
        <w:ind w:left="6610" w:hanging="360"/>
      </w:pPr>
      <w:rPr>
        <w:rFonts w:ascii="Courier New" w:hAnsi="Courier New" w:eastAsia="Courier New" w:cs="Courier New"/>
      </w:rPr>
    </w:lvl>
    <w:lvl w:ilvl="8">
      <w:start w:val="1"/>
      <w:numFmt w:val="bullet"/>
      <w:isLgl w:val="false"/>
      <w:suff w:val="tab"/>
      <w:lvlText w:val="§"/>
      <w:lvlJc w:val="left"/>
      <w:pPr>
        <w:pStyle w:val="748"/>
        <w:ind w:left="7330" w:hanging="360"/>
      </w:pPr>
      <w:rPr>
        <w:rFonts w:ascii="Wingdings" w:hAnsi="Wingdings" w:eastAsia="Wingdings" w:cs="Wingdings"/>
      </w:rPr>
    </w:lvl>
  </w:abstractNum>
  <w:abstractNum w:abstractNumId="30">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2">
    <w:multiLevelType w:val="hybridMultilevel"/>
    <w:lvl w:ilvl="0">
      <w:start w:val="1"/>
      <w:numFmt w:val="decimal"/>
      <w:pStyle w:val="845"/>
      <w:isLgl w:val="false"/>
      <w:suff w:val="tab"/>
      <w:lvlText w:val="%1."/>
      <w:lvlJc w:val="left"/>
      <w:pPr>
        <w:pStyle w:val="748"/>
        <w:ind w:left="709" w:hanging="709"/>
        <w:tabs>
          <w:tab w:val="num" w:pos="709" w:leader="none"/>
        </w:tabs>
      </w:pPr>
      <w:rPr>
        <w:rFonts w:hint="eastAsia"/>
      </w:rPr>
    </w:lvl>
    <w:lvl w:ilvl="1">
      <w:start w:val="1"/>
      <w:numFmt w:val="decimal"/>
      <w:isLgl w:val="false"/>
      <w:suff w:val="tab"/>
      <w:lvlText w:val="%1.%2"/>
      <w:lvlJc w:val="left"/>
      <w:pPr>
        <w:pStyle w:val="748"/>
        <w:ind w:left="709" w:hanging="709"/>
        <w:tabs>
          <w:tab w:val="num" w:pos="709" w:leader="none"/>
        </w:tabs>
      </w:pPr>
      <w:rPr>
        <w:rFonts w:hint="eastAsia"/>
      </w:rPr>
    </w:lvl>
    <w:lvl w:ilvl="2">
      <w:start w:val="1"/>
      <w:numFmt w:val="decimal"/>
      <w:isLgl w:val="false"/>
      <w:suff w:val="tab"/>
      <w:lvlText w:val="%1.%2.%3."/>
      <w:lvlJc w:val="left"/>
      <w:pPr>
        <w:pStyle w:val="748"/>
        <w:ind w:left="425" w:hanging="425"/>
        <w:tabs>
          <w:tab w:val="num" w:pos="425"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abstractNum w:abstractNumId="33">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7">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8">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9">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0">
    <w:multiLevelType w:val="hybridMultilevel"/>
    <w:lvl w:ilvl="0">
      <w:start w:val="1"/>
      <w:numFmt w:val="chineseCountingThousand"/>
      <w:isLgl w:val="false"/>
      <w:suff w:val="nothing"/>
      <w:lvlText w:val="第%1章 "/>
      <w:lvlJc w:val="left"/>
      <w:pPr>
        <w:pStyle w:val="748"/>
        <w:ind w:left="0" w:firstLine="0"/>
      </w:pPr>
      <w:rPr>
        <w:rFonts w:hint="eastAsia"/>
      </w:rPr>
    </w:lvl>
    <w:lvl w:ilvl="1">
      <w:start w:val="1"/>
      <w:numFmt w:val="decimal"/>
      <w:isLgl w:val="false"/>
      <w:suff w:val="nothing"/>
      <w:lvlText w:val="%2、"/>
      <w:lvlJc w:val="left"/>
      <w:pPr>
        <w:pStyle w:val="748"/>
        <w:ind w:left="0" w:firstLine="0"/>
      </w:pPr>
      <w:rPr>
        <w:rFonts w:hint="eastAsia"/>
      </w:rPr>
    </w:lvl>
    <w:lvl w:ilvl="2">
      <w:start w:val="1"/>
      <w:numFmt w:val="decimal"/>
      <w:isLgl w:val="false"/>
      <w:suff w:val="nothing"/>
      <w:lvlText w:val="%2.%3 "/>
      <w:lvlJc w:val="left"/>
      <w:pPr>
        <w:pStyle w:val="748"/>
        <w:ind w:left="0" w:firstLine="0"/>
      </w:pPr>
      <w:rPr>
        <w:rFonts w:hint="eastAsia"/>
      </w:rPr>
    </w:lvl>
    <w:lvl w:ilvl="3">
      <w:start w:val="1"/>
      <w:numFmt w:val="decimal"/>
      <w:isLgl w:val="false"/>
      <w:suff w:val="nothing"/>
      <w:lvlText w:val="%2.%3.%4 "/>
      <w:lvlJc w:val="left"/>
      <w:pPr>
        <w:pStyle w:val="748"/>
        <w:ind w:left="0" w:firstLine="0"/>
      </w:pPr>
      <w:rPr>
        <w:rFonts w:hint="eastAsia"/>
      </w:rPr>
    </w:lvl>
    <w:lvl w:ilvl="4">
      <w:start w:val="1"/>
      <w:numFmt w:val="decimal"/>
      <w:isLgl w:val="false"/>
      <w:suff w:val="nothing"/>
      <w:lvlText w:val="%2.%3.%4.%5 "/>
      <w:lvlJc w:val="left"/>
      <w:pPr>
        <w:pStyle w:val="748"/>
        <w:ind w:left="0" w:firstLine="0"/>
      </w:pPr>
      <w:rPr>
        <w:rFonts w:hint="eastAsia"/>
      </w:rPr>
    </w:lvl>
    <w:lvl w:ilvl="5">
      <w:start w:val="1"/>
      <w:numFmt w:val="decimal"/>
      <w:pStyle w:val="754"/>
      <w:isLgl w:val="false"/>
      <w:suff w:val="nothing"/>
      <w:lvlText w:val=""/>
      <w:lvlJc w:val="left"/>
      <w:pPr>
        <w:pStyle w:val="748"/>
        <w:ind w:left="0" w:firstLine="0"/>
      </w:pPr>
      <w:rPr>
        <w:rFonts w:hint="eastAsia"/>
      </w:rPr>
    </w:lvl>
    <w:lvl w:ilvl="6">
      <w:start w:val="1"/>
      <w:numFmt w:val="decimal"/>
      <w:pStyle w:val="755"/>
      <w:isLgl w:val="false"/>
      <w:suff w:val="nothing"/>
      <w:lvlText w:val=""/>
      <w:lvlJc w:val="left"/>
      <w:pPr>
        <w:pStyle w:val="748"/>
        <w:ind w:left="0" w:firstLine="0"/>
      </w:pPr>
      <w:rPr>
        <w:rFonts w:hint="eastAsia"/>
      </w:rPr>
    </w:lvl>
    <w:lvl w:ilvl="7">
      <w:start w:val="1"/>
      <w:numFmt w:val="decimal"/>
      <w:pStyle w:val="756"/>
      <w:isLgl w:val="false"/>
      <w:suff w:val="nothing"/>
      <w:lvlText w:val=""/>
      <w:lvlJc w:val="left"/>
      <w:pPr>
        <w:pStyle w:val="748"/>
        <w:ind w:left="0" w:firstLine="0"/>
      </w:pPr>
      <w:rPr>
        <w:rFonts w:hint="eastAsia"/>
      </w:rPr>
    </w:lvl>
    <w:lvl w:ilvl="8">
      <w:start w:val="1"/>
      <w:numFmt w:val="decimal"/>
      <w:pStyle w:val="757"/>
      <w:isLgl w:val="false"/>
      <w:suff w:val="nothing"/>
      <w:lvlText w:val=""/>
      <w:lvlJc w:val="left"/>
      <w:pPr>
        <w:pStyle w:val="748"/>
        <w:ind w:left="0" w:firstLine="0"/>
      </w:pPr>
      <w:rPr>
        <w:rFonts w:hint="eastAsia"/>
      </w:rPr>
    </w:lvl>
  </w:abstractNum>
  <w:abstractNum w:abstractNumId="41">
    <w:multiLevelType w:val="hybridMultilevel"/>
    <w:lvl w:ilvl="0">
      <w:start w:val="1"/>
      <w:numFmt w:val="decimal"/>
      <w:isLgl w:val="false"/>
      <w:suff w:val="tab"/>
      <w:lvlText w:val="(%1)"/>
      <w:lvlJc w:val="left"/>
      <w:pPr>
        <w:pStyle w:val="748"/>
        <w:ind w:left="425" w:hanging="425"/>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2">
    <w:multiLevelType w:val="hybridMultilevel"/>
    <w:lvl w:ilvl="0">
      <w:start w:val="1"/>
      <w:numFmt w:val="decimal"/>
      <w:isLgl w:val="false"/>
      <w:suff w:val="tab"/>
      <w:lvlText w:val="(%1)"/>
      <w:lvlJc w:val="left"/>
      <w:pPr>
        <w:pStyle w:val="748"/>
        <w:ind w:left="425" w:hanging="425"/>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5">
    <w:multiLevelType w:val="hybridMultilevel"/>
    <w:lvl w:ilvl="0">
      <w:start w:val="1"/>
      <w:numFmt w:val="decimal"/>
      <w:isLgl w:val="false"/>
      <w:suff w:val="tab"/>
      <w:lvlText w:val="%1."/>
      <w:lvlJc w:val="left"/>
      <w:pPr>
        <w:pStyle w:val="748"/>
        <w:tabs>
          <w:tab w:val="num" w:pos="312" w:leader="none"/>
        </w:tabs>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6">
    <w:multiLevelType w:val="hybridMultilevel"/>
    <w:lvl w:ilvl="0">
      <w:start w:val="1"/>
      <w:numFmt w:val="decimal"/>
      <w:isLgl w:val="false"/>
      <w:suff w:val="tab"/>
      <w:lvlText w:val="(%1)"/>
      <w:lvlJc w:val="left"/>
      <w:pPr>
        <w:pStyle w:val="748"/>
        <w:ind w:left="425" w:hanging="425"/>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7">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8">
    <w:multiLevelType w:val="hybridMultilevel"/>
    <w:lvl w:ilvl="0">
      <w:start w:val="1"/>
      <w:numFmt w:val="decimal"/>
      <w:isLgl w:val="false"/>
      <w:suff w:val="tab"/>
      <w:lvlText w:val="(%1)"/>
      <w:lvlJc w:val="left"/>
      <w:pPr>
        <w:pStyle w:val="748"/>
        <w:ind w:left="425" w:hanging="425"/>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9">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50">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num w:numId="1">
    <w:abstractNumId w:val="40"/>
  </w:num>
  <w:num w:numId="2">
    <w:abstractNumId w:val="22"/>
  </w:num>
  <w:num w:numId="3">
    <w:abstractNumId w:val="32"/>
  </w:num>
  <w:num w:numId="4">
    <w:abstractNumId w:val="13"/>
  </w:num>
  <w:num w:numId="5">
    <w:abstractNumId w:val="18"/>
  </w:num>
  <w:num w:numId="6">
    <w:abstractNumId w:val="21"/>
  </w:num>
  <w:num w:numId="7">
    <w:abstractNumId w:val="5"/>
  </w:num>
  <w:num w:numId="8">
    <w:abstractNumId w:val="28"/>
  </w:num>
  <w:num w:numId="9">
    <w:abstractNumId w:val="39"/>
  </w:num>
  <w:num w:numId="10">
    <w:abstractNumId w:val="14"/>
  </w:num>
  <w:num w:numId="11">
    <w:abstractNumId w:val="36"/>
  </w:num>
  <w:num w:numId="12">
    <w:abstractNumId w:val="19"/>
  </w:num>
  <w:num w:numId="13">
    <w:abstractNumId w:val="27"/>
  </w:num>
  <w:num w:numId="14">
    <w:abstractNumId w:val="16"/>
  </w:num>
  <w:num w:numId="15">
    <w:abstractNumId w:val="15"/>
  </w:num>
  <w:num w:numId="16">
    <w:abstractNumId w:val="7"/>
  </w:num>
  <w:num w:numId="17">
    <w:abstractNumId w:val="34"/>
  </w:num>
  <w:num w:numId="18">
    <w:abstractNumId w:val="43"/>
  </w:num>
  <w:num w:numId="19">
    <w:abstractNumId w:val="24"/>
  </w:num>
  <w:num w:numId="20">
    <w:abstractNumId w:val="33"/>
  </w:num>
  <w:num w:numId="21">
    <w:abstractNumId w:val="9"/>
  </w:num>
  <w:num w:numId="22">
    <w:abstractNumId w:val="49"/>
  </w:num>
  <w:num w:numId="23">
    <w:abstractNumId w:val="47"/>
  </w:num>
  <w:num w:numId="24">
    <w:abstractNumId w:val="12"/>
  </w:num>
  <w:num w:numId="25">
    <w:abstractNumId w:val="44"/>
  </w:num>
  <w:num w:numId="26">
    <w:abstractNumId w:val="6"/>
  </w:num>
  <w:num w:numId="27">
    <w:abstractNumId w:val="31"/>
  </w:num>
  <w:num w:numId="28">
    <w:abstractNumId w:val="2"/>
  </w:num>
  <w:num w:numId="29">
    <w:abstractNumId w:val="38"/>
  </w:num>
  <w:num w:numId="30">
    <w:abstractNumId w:val="50"/>
  </w:num>
  <w:num w:numId="31">
    <w:abstractNumId w:val="0"/>
  </w:num>
  <w:num w:numId="32">
    <w:abstractNumId w:val="26"/>
  </w:num>
  <w:num w:numId="33">
    <w:abstractNumId w:val="37"/>
  </w:num>
  <w:num w:numId="34">
    <w:abstractNumId w:val="20"/>
  </w:num>
  <w:num w:numId="35">
    <w:abstractNumId w:val="17"/>
  </w:num>
  <w:num w:numId="36">
    <w:abstractNumId w:val="29"/>
  </w:num>
  <w:num w:numId="37">
    <w:abstractNumId w:val="48"/>
  </w:num>
  <w:num w:numId="38">
    <w:abstractNumId w:val="11"/>
  </w:num>
  <w:num w:numId="39">
    <w:abstractNumId w:val="4"/>
  </w:num>
  <w:num w:numId="40">
    <w:abstractNumId w:val="10"/>
  </w:num>
  <w:num w:numId="41">
    <w:abstractNumId w:val="41"/>
  </w:num>
  <w:num w:numId="42">
    <w:abstractNumId w:val="1"/>
  </w:num>
  <w:num w:numId="43">
    <w:abstractNumId w:val="25"/>
  </w:num>
  <w:num w:numId="44">
    <w:abstractNumId w:val="3"/>
  </w:num>
  <w:num w:numId="45">
    <w:abstractNumId w:val="42"/>
  </w:num>
  <w:num w:numId="46">
    <w:abstractNumId w:val="46"/>
  </w:num>
  <w:num w:numId="47">
    <w:abstractNumId w:val="35"/>
  </w:num>
  <w:num w:numId="48">
    <w:abstractNumId w:val="30"/>
  </w:num>
  <w:num w:numId="49">
    <w:abstractNumId w:val="45"/>
  </w:num>
  <w:num w:numId="50">
    <w:abstractNumId w:val="8"/>
  </w:num>
  <w:num w:numId="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8"/>
    <w:next w:val="7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8"/>
    <w:next w:val="7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8"/>
    <w:next w:val="7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8"/>
    <w:next w:val="7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8"/>
    <w:next w:val="7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8"/>
    <w:next w:val="7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8"/>
    <w:next w:val="7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8"/>
    <w:next w:val="7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8"/>
    <w:next w:val="7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8"/>
    <w:next w:val="7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8"/>
    <w:next w:val="748"/>
    <w:uiPriority w:val="39"/>
    <w:unhideWhenUsed/>
    <w:pPr>
      <w:ind w:left="0" w:right="0" w:firstLine="0"/>
      <w:spacing w:after="57"/>
    </w:pPr>
  </w:style>
  <w:style w:type="paragraph" w:styleId="181">
    <w:name w:val="toc 2"/>
    <w:basedOn w:val="748"/>
    <w:next w:val="748"/>
    <w:uiPriority w:val="39"/>
    <w:unhideWhenUsed/>
    <w:pPr>
      <w:ind w:left="283" w:right="0" w:firstLine="0"/>
      <w:spacing w:after="57"/>
    </w:pPr>
  </w:style>
  <w:style w:type="paragraph" w:styleId="182">
    <w:name w:val="toc 3"/>
    <w:basedOn w:val="748"/>
    <w:next w:val="748"/>
    <w:uiPriority w:val="39"/>
    <w:unhideWhenUsed/>
    <w:pPr>
      <w:ind w:left="567" w:right="0" w:firstLine="0"/>
      <w:spacing w:after="57"/>
    </w:pPr>
  </w:style>
  <w:style w:type="paragraph" w:styleId="183">
    <w:name w:val="toc 4"/>
    <w:basedOn w:val="748"/>
    <w:next w:val="748"/>
    <w:uiPriority w:val="39"/>
    <w:unhideWhenUsed/>
    <w:pPr>
      <w:ind w:left="850" w:right="0" w:firstLine="0"/>
      <w:spacing w:after="57"/>
    </w:pPr>
  </w:style>
  <w:style w:type="paragraph" w:styleId="184">
    <w:name w:val="toc 5"/>
    <w:basedOn w:val="748"/>
    <w:next w:val="748"/>
    <w:uiPriority w:val="39"/>
    <w:unhideWhenUsed/>
    <w:pPr>
      <w:ind w:left="1134" w:right="0" w:firstLine="0"/>
      <w:spacing w:after="57"/>
    </w:pPr>
  </w:style>
  <w:style w:type="paragraph" w:styleId="185">
    <w:name w:val="toc 6"/>
    <w:basedOn w:val="748"/>
    <w:next w:val="748"/>
    <w:uiPriority w:val="39"/>
    <w:unhideWhenUsed/>
    <w:pPr>
      <w:ind w:left="1417" w:right="0" w:firstLine="0"/>
      <w:spacing w:after="57"/>
    </w:pPr>
  </w:style>
  <w:style w:type="paragraph" w:styleId="186">
    <w:name w:val="toc 7"/>
    <w:basedOn w:val="748"/>
    <w:next w:val="748"/>
    <w:uiPriority w:val="39"/>
    <w:unhideWhenUsed/>
    <w:pPr>
      <w:ind w:left="1701" w:right="0" w:firstLine="0"/>
      <w:spacing w:after="57"/>
    </w:pPr>
  </w:style>
  <w:style w:type="paragraph" w:styleId="187">
    <w:name w:val="toc 8"/>
    <w:basedOn w:val="748"/>
    <w:next w:val="748"/>
    <w:uiPriority w:val="39"/>
    <w:unhideWhenUsed/>
    <w:pPr>
      <w:ind w:left="1984" w:right="0" w:firstLine="0"/>
      <w:spacing w:after="57"/>
    </w:pPr>
  </w:style>
  <w:style w:type="paragraph" w:styleId="188">
    <w:name w:val="toc 9"/>
    <w:basedOn w:val="748"/>
    <w:next w:val="7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8"/>
    <w:next w:val="748"/>
    <w:uiPriority w:val="99"/>
    <w:unhideWhenUsed/>
    <w:pPr>
      <w:spacing w:after="0" w:afterAutospacing="0"/>
    </w:pPr>
  </w:style>
  <w:style w:type="paragraph" w:styleId="748" w:default="1">
    <w:name w:val="Normal"/>
    <w:next w:val="760"/>
    <w:link w:val="748"/>
    <w:qFormat/>
    <w:pPr>
      <w:jc w:val="both"/>
      <w:widowControl w:val="off"/>
    </w:pPr>
    <w:rPr>
      <w:sz w:val="21"/>
      <w:szCs w:val="22"/>
      <w:lang w:val="en-US" w:eastAsia="zh-CN" w:bidi="ar-SA"/>
    </w:rPr>
  </w:style>
  <w:style w:type="paragraph" w:styleId="749">
    <w:name w:val="标题 1"/>
    <w:basedOn w:val="748"/>
    <w:next w:val="748"/>
    <w:link w:val="762"/>
    <w:qFormat/>
    <w:pPr>
      <w:jc w:val="center"/>
      <w:keepNext/>
      <w:outlineLvl w:val="0"/>
    </w:pPr>
    <w:rPr>
      <w:rFonts w:ascii="楷体_GB2312" w:hAnsi="Times New Roman" w:eastAsia="楷体_GB2312"/>
      <w:sz w:val="28"/>
      <w:szCs w:val="28"/>
    </w:rPr>
  </w:style>
  <w:style w:type="paragraph" w:styleId="750">
    <w:name w:val="标题 2"/>
    <w:basedOn w:val="748"/>
    <w:next w:val="764"/>
    <w:link w:val="763"/>
    <w:qFormat/>
    <w:pPr>
      <w:jc w:val="center"/>
      <w:keepLines/>
      <w:keepNext/>
      <w:spacing w:before="260" w:after="260" w:line="416" w:lineRule="auto"/>
      <w:outlineLvl w:val="1"/>
    </w:pPr>
    <w:rPr>
      <w:rFonts w:ascii="Arial" w:hAnsi="Arial" w:eastAsia="幼圆"/>
      <w:b/>
      <w:bCs/>
      <w:sz w:val="44"/>
      <w:szCs w:val="44"/>
    </w:rPr>
  </w:style>
  <w:style w:type="paragraph" w:styleId="751">
    <w:name w:val="标题 3"/>
    <w:basedOn w:val="748"/>
    <w:next w:val="764"/>
    <w:link w:val="766"/>
    <w:qFormat/>
    <w:pPr>
      <w:keepLines/>
      <w:keepNext/>
      <w:spacing w:before="260" w:after="260" w:line="416" w:lineRule="auto"/>
      <w:outlineLvl w:val="2"/>
    </w:pPr>
    <w:rPr>
      <w:rFonts w:ascii="Times New Roman" w:hAnsi="Times New Roman"/>
      <w:b/>
      <w:bCs/>
      <w:sz w:val="32"/>
      <w:szCs w:val="32"/>
    </w:rPr>
  </w:style>
  <w:style w:type="paragraph" w:styleId="752">
    <w:name w:val="标题 4"/>
    <w:basedOn w:val="748"/>
    <w:next w:val="764"/>
    <w:link w:val="767"/>
    <w:qFormat/>
    <w:pPr>
      <w:keepLines/>
      <w:keepNext/>
      <w:spacing w:before="280" w:after="290" w:line="376" w:lineRule="auto"/>
      <w:outlineLvl w:val="3"/>
    </w:pPr>
    <w:rPr>
      <w:rFonts w:ascii="Arial" w:hAnsi="Arial" w:eastAsia="黑体"/>
      <w:b/>
      <w:bCs/>
      <w:sz w:val="28"/>
      <w:szCs w:val="28"/>
    </w:rPr>
  </w:style>
  <w:style w:type="paragraph" w:styleId="753">
    <w:name w:val="标题 5"/>
    <w:basedOn w:val="748"/>
    <w:next w:val="764"/>
    <w:link w:val="768"/>
    <w:qFormat/>
    <w:pPr>
      <w:keepNext/>
      <w:outlineLvl w:val="4"/>
    </w:pPr>
    <w:rPr>
      <w:rFonts w:ascii="宋体" w:hAnsi="Times New Roman"/>
      <w:color w:val="000000"/>
      <w:sz w:val="28"/>
      <w:szCs w:val="28"/>
    </w:rPr>
  </w:style>
  <w:style w:type="paragraph" w:styleId="754">
    <w:name w:val="标题 6"/>
    <w:basedOn w:val="748"/>
    <w:next w:val="748"/>
    <w:link w:val="769"/>
    <w:qFormat/>
    <w:pPr>
      <w:numPr>
        <w:ilvl w:val="5"/>
        <w:numId w:val="1"/>
      </w:numPr>
      <w:keepLines/>
      <w:keepNext/>
      <w:spacing w:before="240" w:after="64" w:line="320" w:lineRule="auto"/>
      <w:outlineLvl w:val="5"/>
    </w:pPr>
    <w:rPr>
      <w:rFonts w:ascii="Arial" w:hAnsi="Arial" w:eastAsia="黑体"/>
      <w:b/>
      <w:bCs/>
      <w:sz w:val="24"/>
      <w:szCs w:val="24"/>
    </w:rPr>
  </w:style>
  <w:style w:type="paragraph" w:styleId="755">
    <w:name w:val="标题 7"/>
    <w:basedOn w:val="748"/>
    <w:next w:val="748"/>
    <w:link w:val="77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56">
    <w:name w:val="标题 8"/>
    <w:basedOn w:val="748"/>
    <w:next w:val="748"/>
    <w:link w:val="771"/>
    <w:qFormat/>
    <w:pPr>
      <w:numPr>
        <w:ilvl w:val="7"/>
        <w:numId w:val="1"/>
      </w:numPr>
      <w:keepLines/>
      <w:keepNext/>
      <w:spacing w:before="240" w:after="64" w:line="320" w:lineRule="auto"/>
      <w:outlineLvl w:val="7"/>
    </w:pPr>
    <w:rPr>
      <w:rFonts w:ascii="Arial" w:hAnsi="Arial" w:eastAsia="黑体"/>
      <w:sz w:val="24"/>
      <w:szCs w:val="24"/>
    </w:rPr>
  </w:style>
  <w:style w:type="paragraph" w:styleId="757">
    <w:name w:val="标题 9"/>
    <w:basedOn w:val="748"/>
    <w:next w:val="748"/>
    <w:link w:val="772"/>
    <w:qFormat/>
    <w:pPr>
      <w:numPr>
        <w:ilvl w:val="8"/>
        <w:numId w:val="1"/>
      </w:numPr>
      <w:keepLines/>
      <w:keepNext/>
      <w:spacing w:before="240" w:after="64" w:line="320" w:lineRule="auto"/>
      <w:outlineLvl w:val="8"/>
    </w:pPr>
    <w:rPr>
      <w:rFonts w:ascii="Arial" w:hAnsi="Arial" w:eastAsia="黑体"/>
      <w:sz w:val="20"/>
      <w:szCs w:val="21"/>
    </w:rPr>
  </w:style>
  <w:style w:type="character" w:styleId="758">
    <w:name w:val="默认段落字体"/>
    <w:next w:val="758"/>
    <w:link w:val="748"/>
    <w:uiPriority w:val="1"/>
    <w:unhideWhenUsed/>
  </w:style>
  <w:style w:type="table" w:styleId="759">
    <w:name w:val="普通表格"/>
    <w:next w:val="759"/>
    <w:link w:val="748"/>
    <w:uiPriority w:val="99"/>
    <w:unhideWhenUsed/>
    <w:tblPr/>
  </w:style>
  <w:style w:type="paragraph" w:styleId="760">
    <w:name w:val="正文首行缩进 21"/>
    <w:basedOn w:val="761"/>
    <w:next w:val="760"/>
    <w:link w:val="748"/>
    <w:qFormat/>
    <w:pPr>
      <w:ind w:left="0" w:firstLine="420"/>
      <w:spacing w:after="0" w:line="360" w:lineRule="auto"/>
    </w:pPr>
    <w:rPr>
      <w:rFonts w:ascii="宋体" w:hAnsi="宋体"/>
      <w:sz w:val="20"/>
      <w:szCs w:val="20"/>
    </w:rPr>
  </w:style>
  <w:style w:type="paragraph" w:styleId="761">
    <w:name w:val="正文文本缩进1"/>
    <w:basedOn w:val="748"/>
    <w:next w:val="761"/>
    <w:link w:val="748"/>
    <w:uiPriority w:val="99"/>
    <w:unhideWhenUsed/>
    <w:qFormat/>
    <w:pPr>
      <w:ind w:left="420"/>
      <w:spacing w:after="120"/>
    </w:pPr>
  </w:style>
  <w:style w:type="character" w:styleId="762">
    <w:name w:val="标题 1 Char"/>
    <w:next w:val="762"/>
    <w:link w:val="749"/>
    <w:rPr>
      <w:rFonts w:ascii="楷体_GB2312" w:hAnsi="Times New Roman" w:eastAsia="楷体_GB2312" w:cs="Times New Roman"/>
      <w:sz w:val="28"/>
      <w:szCs w:val="28"/>
    </w:rPr>
  </w:style>
  <w:style w:type="character" w:styleId="763">
    <w:name w:val="标题 2 Char"/>
    <w:next w:val="763"/>
    <w:link w:val="750"/>
    <w:rPr>
      <w:rFonts w:ascii="Arial" w:hAnsi="Arial" w:eastAsia="幼圆" w:cs="Arial"/>
      <w:b/>
      <w:bCs/>
      <w:sz w:val="44"/>
      <w:szCs w:val="44"/>
    </w:rPr>
  </w:style>
  <w:style w:type="paragraph" w:styleId="764">
    <w:name w:val="正文缩进"/>
    <w:basedOn w:val="748"/>
    <w:next w:val="764"/>
    <w:link w:val="765"/>
    <w:pPr>
      <w:ind w:firstLine="420"/>
    </w:pPr>
    <w:rPr>
      <w:sz w:val="20"/>
      <w:szCs w:val="21"/>
    </w:rPr>
  </w:style>
  <w:style w:type="character" w:styleId="765">
    <w:name w:val="正文缩进 Char"/>
    <w:next w:val="765"/>
    <w:link w:val="764"/>
    <w:rPr>
      <w:szCs w:val="21"/>
    </w:rPr>
  </w:style>
  <w:style w:type="character" w:styleId="766">
    <w:name w:val="标题 3 Char"/>
    <w:next w:val="766"/>
    <w:link w:val="751"/>
    <w:rPr>
      <w:rFonts w:ascii="Times New Roman" w:hAnsi="Times New Roman" w:eastAsia="宋体" w:cs="Times New Roman"/>
      <w:b/>
      <w:bCs/>
      <w:sz w:val="32"/>
      <w:szCs w:val="32"/>
    </w:rPr>
  </w:style>
  <w:style w:type="character" w:styleId="767">
    <w:name w:val="标题 4 Char"/>
    <w:next w:val="767"/>
    <w:link w:val="752"/>
    <w:rPr>
      <w:rFonts w:ascii="Arial" w:hAnsi="Arial" w:eastAsia="黑体" w:cs="Arial"/>
      <w:b/>
      <w:bCs/>
      <w:sz w:val="28"/>
      <w:szCs w:val="28"/>
    </w:rPr>
  </w:style>
  <w:style w:type="character" w:styleId="768">
    <w:name w:val="标题 5 Char"/>
    <w:next w:val="768"/>
    <w:link w:val="753"/>
    <w:rPr>
      <w:rFonts w:ascii="宋体" w:hAnsi="Times New Roman" w:eastAsia="宋体" w:cs="Times New Roman"/>
      <w:color w:val="000000"/>
      <w:sz w:val="28"/>
      <w:szCs w:val="28"/>
    </w:rPr>
  </w:style>
  <w:style w:type="character" w:styleId="769">
    <w:name w:val="标题 6 Char"/>
    <w:next w:val="769"/>
    <w:link w:val="754"/>
    <w:rPr>
      <w:rFonts w:ascii="Arial" w:hAnsi="Arial" w:eastAsia="黑体" w:cs="Times New Roman"/>
      <w:b/>
      <w:bCs/>
      <w:sz w:val="24"/>
      <w:szCs w:val="24"/>
    </w:rPr>
  </w:style>
  <w:style w:type="character" w:styleId="770">
    <w:name w:val="标题 7 Char"/>
    <w:next w:val="770"/>
    <w:link w:val="755"/>
    <w:rPr>
      <w:rFonts w:ascii="Times New Roman" w:hAnsi="Times New Roman" w:eastAsia="宋体" w:cs="Times New Roman"/>
      <w:b/>
      <w:bCs/>
      <w:sz w:val="24"/>
      <w:szCs w:val="24"/>
    </w:rPr>
  </w:style>
  <w:style w:type="character" w:styleId="771">
    <w:name w:val="标题 8 Char"/>
    <w:next w:val="771"/>
    <w:link w:val="756"/>
    <w:rPr>
      <w:rFonts w:ascii="Arial" w:hAnsi="Arial" w:eastAsia="黑体" w:cs="Times New Roman"/>
      <w:sz w:val="24"/>
      <w:szCs w:val="24"/>
    </w:rPr>
  </w:style>
  <w:style w:type="character" w:styleId="772">
    <w:name w:val="标题 9 Char"/>
    <w:next w:val="772"/>
    <w:link w:val="757"/>
    <w:rPr>
      <w:rFonts w:ascii="Arial" w:hAnsi="Arial" w:eastAsia="黑体" w:cs="Times New Roman"/>
      <w:szCs w:val="21"/>
    </w:rPr>
  </w:style>
  <w:style w:type="paragraph" w:styleId="773">
    <w:name w:val="列表 3"/>
    <w:basedOn w:val="748"/>
    <w:next w:val="773"/>
    <w:link w:val="748"/>
    <w:pPr>
      <w:ind w:left="100" w:hanging="200"/>
    </w:pPr>
    <w:rPr>
      <w:rFonts w:ascii="Times New Roman" w:hAnsi="Times New Roman" w:eastAsia="宋体" w:cs="Times New Roman"/>
      <w:szCs w:val="21"/>
    </w:rPr>
  </w:style>
  <w:style w:type="paragraph" w:styleId="774">
    <w:name w:val="目录 7"/>
    <w:basedOn w:val="748"/>
    <w:next w:val="748"/>
    <w:link w:val="748"/>
    <w:semiHidden/>
    <w:pPr>
      <w:ind w:left="1260"/>
      <w:jc w:val="left"/>
    </w:pPr>
    <w:rPr>
      <w:rFonts w:ascii="Times New Roman" w:hAnsi="Times New Roman" w:eastAsia="宋体" w:cs="Times New Roman"/>
      <w:szCs w:val="21"/>
    </w:rPr>
  </w:style>
  <w:style w:type="paragraph" w:styleId="775">
    <w:name w:val="文档结构图"/>
    <w:basedOn w:val="748"/>
    <w:next w:val="775"/>
    <w:link w:val="776"/>
    <w:semiHidden/>
    <w:pPr>
      <w:shd w:val="clear" w:color="auto" w:fill="000080"/>
    </w:pPr>
    <w:rPr>
      <w:rFonts w:ascii="Times New Roman" w:hAnsi="Times New Roman"/>
      <w:sz w:val="20"/>
      <w:szCs w:val="21"/>
    </w:rPr>
  </w:style>
  <w:style w:type="character" w:styleId="776">
    <w:name w:val="文档结构图 Char"/>
    <w:next w:val="776"/>
    <w:link w:val="775"/>
    <w:semiHidden/>
    <w:rPr>
      <w:rFonts w:ascii="Times New Roman" w:hAnsi="Times New Roman" w:eastAsia="宋体" w:cs="Times New Roman"/>
      <w:szCs w:val="21"/>
      <w:shd w:val="clear" w:color="auto" w:fill="000080"/>
    </w:rPr>
  </w:style>
  <w:style w:type="paragraph" w:styleId="777">
    <w:name w:val="批注文字"/>
    <w:basedOn w:val="748"/>
    <w:next w:val="777"/>
    <w:link w:val="778"/>
    <w:unhideWhenUsed/>
    <w:pPr>
      <w:jc w:val="left"/>
    </w:pPr>
  </w:style>
  <w:style w:type="character" w:styleId="778">
    <w:name w:val="批注文字 Char"/>
    <w:basedOn w:val="758"/>
    <w:next w:val="778"/>
    <w:link w:val="777"/>
    <w:uiPriority w:val="99"/>
    <w:semiHidden/>
  </w:style>
  <w:style w:type="paragraph" w:styleId="779">
    <w:name w:val="正文文本 3"/>
    <w:basedOn w:val="748"/>
    <w:next w:val="779"/>
    <w:link w:val="780"/>
    <w:rPr>
      <w:rFonts w:ascii="仿宋_GB2312" w:hAnsi="Arial" w:eastAsia="仿宋_GB2312"/>
      <w:sz w:val="32"/>
      <w:szCs w:val="32"/>
    </w:rPr>
  </w:style>
  <w:style w:type="character" w:styleId="780">
    <w:name w:val="正文文本 3 Char"/>
    <w:next w:val="780"/>
    <w:link w:val="779"/>
    <w:rPr>
      <w:rFonts w:ascii="仿宋_GB2312" w:hAnsi="Arial" w:eastAsia="仿宋_GB2312" w:cs="Times New Roman"/>
      <w:sz w:val="32"/>
      <w:szCs w:val="32"/>
    </w:rPr>
  </w:style>
  <w:style w:type="paragraph" w:styleId="781">
    <w:name w:val="正文文本"/>
    <w:basedOn w:val="748"/>
    <w:next w:val="748"/>
    <w:link w:val="782"/>
    <w:rPr>
      <w:rFonts w:ascii="楷体_GB2312" w:hAnsi="Arial" w:eastAsia="楷体_GB2312"/>
      <w:sz w:val="28"/>
      <w:szCs w:val="28"/>
    </w:rPr>
  </w:style>
  <w:style w:type="character" w:styleId="782">
    <w:name w:val="正文文本 Char"/>
    <w:next w:val="782"/>
    <w:link w:val="781"/>
    <w:rPr>
      <w:rFonts w:ascii="楷体_GB2312" w:hAnsi="Arial" w:eastAsia="楷体_GB2312" w:cs="Times New Roman"/>
      <w:sz w:val="28"/>
      <w:szCs w:val="28"/>
    </w:rPr>
  </w:style>
  <w:style w:type="paragraph" w:styleId="783">
    <w:name w:val="正文文本缩进"/>
    <w:basedOn w:val="748"/>
    <w:next w:val="783"/>
    <w:link w:val="784"/>
    <w:unhideWhenUsed/>
    <w:pPr>
      <w:ind w:left="420"/>
      <w:spacing w:after="120"/>
    </w:pPr>
  </w:style>
  <w:style w:type="character" w:styleId="784">
    <w:name w:val="正文文本缩进 Char"/>
    <w:basedOn w:val="758"/>
    <w:next w:val="784"/>
    <w:link w:val="783"/>
    <w:uiPriority w:val="99"/>
    <w:semiHidden/>
  </w:style>
  <w:style w:type="paragraph" w:styleId="785">
    <w:name w:val="列表 2"/>
    <w:basedOn w:val="748"/>
    <w:next w:val="785"/>
    <w:link w:val="748"/>
    <w:pPr>
      <w:ind w:left="100" w:hanging="200"/>
    </w:pPr>
    <w:rPr>
      <w:rFonts w:ascii="Times New Roman" w:hAnsi="Times New Roman" w:eastAsia="宋体" w:cs="Times New Roman"/>
      <w:szCs w:val="21"/>
    </w:rPr>
  </w:style>
  <w:style w:type="paragraph" w:styleId="786">
    <w:name w:val="目录 5"/>
    <w:basedOn w:val="748"/>
    <w:next w:val="748"/>
    <w:link w:val="748"/>
    <w:semiHidden/>
    <w:pPr>
      <w:ind w:left="840"/>
      <w:jc w:val="left"/>
    </w:pPr>
    <w:rPr>
      <w:rFonts w:ascii="Times New Roman" w:hAnsi="Times New Roman" w:eastAsia="宋体" w:cs="Times New Roman"/>
      <w:szCs w:val="21"/>
    </w:rPr>
  </w:style>
  <w:style w:type="paragraph" w:styleId="787">
    <w:name w:val="目录 3"/>
    <w:basedOn w:val="748"/>
    <w:next w:val="748"/>
    <w:link w:val="748"/>
    <w:semiHidden/>
    <w:pPr>
      <w:ind w:left="420"/>
      <w:jc w:val="left"/>
    </w:pPr>
    <w:rPr>
      <w:rFonts w:ascii="Times New Roman" w:hAnsi="Times New Roman" w:eastAsia="宋体" w:cs="Times New Roman"/>
      <w:i/>
      <w:iCs/>
      <w:szCs w:val="24"/>
    </w:rPr>
  </w:style>
  <w:style w:type="paragraph" w:styleId="788">
    <w:name w:val="纯文本"/>
    <w:basedOn w:val="748"/>
    <w:next w:val="788"/>
    <w:link w:val="789"/>
    <w:rPr>
      <w:rFonts w:ascii="宋体" w:hAnsi="Courier New"/>
      <w:sz w:val="20"/>
      <w:szCs w:val="21"/>
    </w:rPr>
  </w:style>
  <w:style w:type="character" w:styleId="789">
    <w:name w:val="纯文本 Char"/>
    <w:next w:val="789"/>
    <w:link w:val="788"/>
    <w:rPr>
      <w:rFonts w:ascii="宋体" w:hAnsi="Courier New" w:eastAsia="宋体" w:cs="Courier New"/>
      <w:szCs w:val="21"/>
    </w:rPr>
  </w:style>
  <w:style w:type="paragraph" w:styleId="790">
    <w:name w:val="目录 8"/>
    <w:basedOn w:val="748"/>
    <w:next w:val="748"/>
    <w:link w:val="748"/>
    <w:semiHidden/>
    <w:pPr>
      <w:ind w:left="1470"/>
      <w:jc w:val="left"/>
    </w:pPr>
    <w:rPr>
      <w:rFonts w:ascii="Times New Roman" w:hAnsi="Times New Roman" w:eastAsia="宋体" w:cs="Times New Roman"/>
      <w:szCs w:val="21"/>
    </w:rPr>
  </w:style>
  <w:style w:type="paragraph" w:styleId="791">
    <w:name w:val="日期"/>
    <w:basedOn w:val="748"/>
    <w:next w:val="748"/>
    <w:link w:val="792"/>
    <w:rPr>
      <w:rFonts w:ascii="Times New Roman" w:hAnsi="Times New Roman"/>
      <w:sz w:val="24"/>
      <w:szCs w:val="24"/>
    </w:rPr>
  </w:style>
  <w:style w:type="character" w:styleId="792">
    <w:name w:val="日期 Char"/>
    <w:next w:val="792"/>
    <w:link w:val="791"/>
    <w:rPr>
      <w:rFonts w:ascii="Times New Roman" w:hAnsi="Times New Roman" w:eastAsia="宋体" w:cs="Times New Roman"/>
      <w:sz w:val="24"/>
      <w:szCs w:val="24"/>
    </w:rPr>
  </w:style>
  <w:style w:type="paragraph" w:styleId="793">
    <w:name w:val="正文文本缩进 2"/>
    <w:basedOn w:val="748"/>
    <w:next w:val="793"/>
    <w:link w:val="794"/>
    <w:pPr>
      <w:ind w:left="630" w:firstLine="645"/>
    </w:pPr>
    <w:rPr>
      <w:rFonts w:ascii="Arial" w:hAnsi="Arial" w:eastAsia="仿宋_GB2312"/>
      <w:sz w:val="32"/>
      <w:szCs w:val="32"/>
    </w:rPr>
  </w:style>
  <w:style w:type="character" w:styleId="794">
    <w:name w:val="正文文本缩进 2 Char"/>
    <w:next w:val="794"/>
    <w:link w:val="793"/>
    <w:rPr>
      <w:rFonts w:ascii="Arial" w:hAnsi="Arial" w:eastAsia="仿宋_GB2312" w:cs="Arial"/>
      <w:sz w:val="32"/>
      <w:szCs w:val="32"/>
    </w:rPr>
  </w:style>
  <w:style w:type="paragraph" w:styleId="795">
    <w:name w:val="批注框文本"/>
    <w:basedOn w:val="748"/>
    <w:next w:val="795"/>
    <w:link w:val="796"/>
    <w:semiHidden/>
    <w:rPr>
      <w:rFonts w:ascii="Times New Roman" w:hAnsi="Times New Roman"/>
      <w:sz w:val="18"/>
      <w:szCs w:val="18"/>
    </w:rPr>
  </w:style>
  <w:style w:type="character" w:styleId="796">
    <w:name w:val="批注框文本 Char"/>
    <w:next w:val="796"/>
    <w:link w:val="795"/>
    <w:semiHidden/>
    <w:rPr>
      <w:rFonts w:ascii="Times New Roman" w:hAnsi="Times New Roman" w:eastAsia="宋体" w:cs="Times New Roman"/>
      <w:sz w:val="18"/>
      <w:szCs w:val="18"/>
    </w:rPr>
  </w:style>
  <w:style w:type="paragraph" w:styleId="797">
    <w:name w:val="页脚"/>
    <w:basedOn w:val="748"/>
    <w:next w:val="797"/>
    <w:link w:val="798"/>
    <w:pPr>
      <w:jc w:val="left"/>
      <w:tabs>
        <w:tab w:val="center" w:pos="4153" w:leader="none"/>
        <w:tab w:val="right" w:pos="8306" w:leader="none"/>
      </w:tabs>
    </w:pPr>
    <w:rPr>
      <w:rFonts w:ascii="Times New Roman" w:hAnsi="Times New Roman"/>
      <w:sz w:val="18"/>
      <w:szCs w:val="18"/>
    </w:rPr>
  </w:style>
  <w:style w:type="character" w:styleId="798">
    <w:name w:val="页脚 Char"/>
    <w:next w:val="798"/>
    <w:link w:val="797"/>
    <w:rPr>
      <w:rFonts w:ascii="Times New Roman" w:hAnsi="Times New Roman" w:eastAsia="宋体" w:cs="Times New Roman"/>
      <w:sz w:val="18"/>
      <w:szCs w:val="18"/>
    </w:rPr>
  </w:style>
  <w:style w:type="paragraph" w:styleId="799">
    <w:name w:val="页眉"/>
    <w:basedOn w:val="748"/>
    <w:next w:val="799"/>
    <w:link w:val="800"/>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00">
    <w:name w:val="页眉 Char"/>
    <w:next w:val="800"/>
    <w:link w:val="799"/>
    <w:rPr>
      <w:rFonts w:ascii="Times New Roman" w:hAnsi="Times New Roman" w:eastAsia="宋体" w:cs="Times New Roman"/>
      <w:sz w:val="18"/>
      <w:szCs w:val="18"/>
    </w:rPr>
  </w:style>
  <w:style w:type="paragraph" w:styleId="801">
    <w:name w:val="目录 1"/>
    <w:basedOn w:val="748"/>
    <w:next w:val="748"/>
    <w:link w:val="74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02">
    <w:name w:val="目录 4"/>
    <w:basedOn w:val="748"/>
    <w:next w:val="748"/>
    <w:link w:val="748"/>
    <w:semiHidden/>
    <w:pPr>
      <w:ind w:left="630"/>
      <w:jc w:val="left"/>
    </w:pPr>
    <w:rPr>
      <w:rFonts w:ascii="Times New Roman" w:hAnsi="Times New Roman" w:eastAsia="宋体" w:cs="Times New Roman"/>
      <w:szCs w:val="21"/>
    </w:rPr>
  </w:style>
  <w:style w:type="paragraph" w:styleId="803">
    <w:name w:val="列表"/>
    <w:basedOn w:val="748"/>
    <w:next w:val="803"/>
    <w:link w:val="748"/>
    <w:pPr>
      <w:ind w:left="200" w:hanging="200"/>
    </w:pPr>
    <w:rPr>
      <w:rFonts w:ascii="Times New Roman" w:hAnsi="Times New Roman" w:eastAsia="宋体" w:cs="Times New Roman"/>
      <w:szCs w:val="21"/>
    </w:rPr>
  </w:style>
  <w:style w:type="paragraph" w:styleId="804">
    <w:name w:val="目录 6"/>
    <w:basedOn w:val="748"/>
    <w:next w:val="748"/>
    <w:link w:val="748"/>
    <w:semiHidden/>
    <w:pPr>
      <w:ind w:left="1050"/>
      <w:jc w:val="left"/>
    </w:pPr>
    <w:rPr>
      <w:rFonts w:ascii="Times New Roman" w:hAnsi="Times New Roman" w:eastAsia="宋体" w:cs="Times New Roman"/>
      <w:szCs w:val="21"/>
    </w:rPr>
  </w:style>
  <w:style w:type="paragraph" w:styleId="805">
    <w:name w:val="正文文本缩进 3"/>
    <w:basedOn w:val="748"/>
    <w:next w:val="805"/>
    <w:link w:val="806"/>
    <w:pPr>
      <w:ind w:left="645" w:firstLine="645"/>
    </w:pPr>
    <w:rPr>
      <w:rFonts w:ascii="Arial" w:hAnsi="Arial" w:eastAsia="仿宋_GB2312"/>
      <w:color w:val="ffff00"/>
      <w:sz w:val="32"/>
      <w:szCs w:val="32"/>
    </w:rPr>
  </w:style>
  <w:style w:type="character" w:styleId="806">
    <w:name w:val="正文文本缩进 3 Char"/>
    <w:next w:val="806"/>
    <w:link w:val="805"/>
    <w:rPr>
      <w:rFonts w:ascii="Arial" w:hAnsi="Arial" w:eastAsia="仿宋_GB2312" w:cs="Arial"/>
      <w:color w:val="ffff00"/>
      <w:sz w:val="32"/>
      <w:szCs w:val="32"/>
    </w:rPr>
  </w:style>
  <w:style w:type="paragraph" w:styleId="807">
    <w:name w:val="图表目录"/>
    <w:basedOn w:val="748"/>
    <w:next w:val="748"/>
    <w:link w:val="748"/>
    <w:semiHidden/>
    <w:pPr>
      <w:ind w:left="840" w:hanging="420"/>
    </w:pPr>
    <w:rPr>
      <w:rFonts w:ascii="Times New Roman" w:hAnsi="Times New Roman" w:eastAsia="宋体" w:cs="Times New Roman"/>
      <w:szCs w:val="21"/>
    </w:rPr>
  </w:style>
  <w:style w:type="paragraph" w:styleId="808">
    <w:name w:val="目录 2"/>
    <w:basedOn w:val="748"/>
    <w:next w:val="748"/>
    <w:link w:val="748"/>
    <w:semiHidden/>
    <w:pPr>
      <w:ind w:left="210"/>
      <w:jc w:val="left"/>
    </w:pPr>
    <w:rPr>
      <w:rFonts w:ascii="Times New Roman" w:hAnsi="Times New Roman" w:eastAsia="宋体" w:cs="Times New Roman"/>
      <w:smallCaps/>
      <w:szCs w:val="24"/>
    </w:rPr>
  </w:style>
  <w:style w:type="paragraph" w:styleId="809">
    <w:name w:val="目录 9"/>
    <w:basedOn w:val="748"/>
    <w:next w:val="748"/>
    <w:link w:val="748"/>
    <w:semiHidden/>
    <w:pPr>
      <w:ind w:left="1680"/>
      <w:jc w:val="left"/>
    </w:pPr>
    <w:rPr>
      <w:rFonts w:ascii="Times New Roman" w:hAnsi="Times New Roman" w:eastAsia="宋体" w:cs="Times New Roman"/>
      <w:szCs w:val="21"/>
    </w:rPr>
  </w:style>
  <w:style w:type="paragraph" w:styleId="810">
    <w:name w:val="正文文本 2"/>
    <w:basedOn w:val="748"/>
    <w:next w:val="810"/>
    <w:link w:val="811"/>
    <w:pPr>
      <w:jc w:val="center"/>
      <w:widowControl/>
    </w:pPr>
    <w:rPr>
      <w:rFonts w:ascii="楷体_GB2312" w:hAnsi="Times New Roman" w:eastAsia="楷体_GB2312"/>
      <w:sz w:val="28"/>
      <w:szCs w:val="28"/>
    </w:rPr>
  </w:style>
  <w:style w:type="character" w:styleId="811">
    <w:name w:val="正文文本 2 Char"/>
    <w:next w:val="811"/>
    <w:link w:val="810"/>
    <w:rPr>
      <w:rFonts w:ascii="楷体_GB2312" w:hAnsi="Times New Roman" w:eastAsia="楷体_GB2312" w:cs="Times New Roman"/>
      <w:sz w:val="28"/>
      <w:szCs w:val="28"/>
    </w:rPr>
  </w:style>
  <w:style w:type="paragraph" w:styleId="812">
    <w:name w:val="普通(网站)"/>
    <w:basedOn w:val="748"/>
    <w:next w:val="812"/>
    <w:link w:val="748"/>
    <w:uiPriority w:val="99"/>
    <w:pPr>
      <w:jc w:val="left"/>
      <w:spacing w:before="100" w:beforeAutospacing="1" w:after="100" w:afterAutospacing="1"/>
      <w:widowControl/>
    </w:pPr>
    <w:rPr>
      <w:rFonts w:ascii="宋体" w:hAnsi="宋体" w:eastAsia="宋体" w:cs="宋体"/>
      <w:sz w:val="24"/>
      <w:szCs w:val="24"/>
    </w:rPr>
  </w:style>
  <w:style w:type="paragraph" w:styleId="813">
    <w:name w:val="索引 1"/>
    <w:basedOn w:val="748"/>
    <w:next w:val="748"/>
    <w:link w:val="748"/>
    <w:semiHidden/>
    <w:pPr>
      <w:spacing w:line="240" w:lineRule="atLeast"/>
    </w:pPr>
    <w:rPr>
      <w:rFonts w:ascii="Times New Roman" w:hAnsi="Times New Roman" w:eastAsia="宋体" w:cs="Times New Roman"/>
      <w:b/>
      <w:bCs/>
      <w:szCs w:val="21"/>
    </w:rPr>
  </w:style>
  <w:style w:type="paragraph" w:styleId="814">
    <w:name w:val="批注主题"/>
    <w:basedOn w:val="777"/>
    <w:next w:val="777"/>
    <w:link w:val="815"/>
    <w:semiHidden/>
    <w:rPr>
      <w:rFonts w:ascii="Times New Roman" w:hAnsi="Times New Roman"/>
      <w:b/>
      <w:bCs/>
      <w:sz w:val="20"/>
      <w:szCs w:val="21"/>
    </w:rPr>
  </w:style>
  <w:style w:type="character" w:styleId="815">
    <w:name w:val="批注主题 Char"/>
    <w:next w:val="815"/>
    <w:link w:val="814"/>
    <w:semiHidden/>
    <w:rPr>
      <w:rFonts w:ascii="Times New Roman" w:hAnsi="Times New Roman" w:eastAsia="宋体" w:cs="Times New Roman"/>
      <w:b/>
      <w:bCs/>
      <w:szCs w:val="21"/>
    </w:rPr>
  </w:style>
  <w:style w:type="paragraph" w:styleId="816">
    <w:name w:val="正文首行缩进"/>
    <w:basedOn w:val="781"/>
    <w:next w:val="816"/>
    <w:link w:val="817"/>
    <w:pPr>
      <w:ind w:firstLine="200"/>
      <w:spacing w:line="360" w:lineRule="auto"/>
    </w:pPr>
    <w:rPr>
      <w:rFonts w:ascii="仿宋_GB2312" w:hAnsi="Times New Roman" w:eastAsia="仿宋_GB2312"/>
      <w:sz w:val="30"/>
      <w:szCs w:val="30"/>
    </w:rPr>
  </w:style>
  <w:style w:type="character" w:styleId="817">
    <w:name w:val="正文首行缩进 Char"/>
    <w:next w:val="817"/>
    <w:link w:val="816"/>
    <w:rPr>
      <w:rFonts w:ascii="仿宋_GB2312" w:hAnsi="Times New Roman" w:eastAsia="仿宋_GB2312" w:cs="Times New Roman"/>
      <w:sz w:val="30"/>
      <w:szCs w:val="30"/>
    </w:rPr>
  </w:style>
  <w:style w:type="paragraph" w:styleId="818">
    <w:name w:val="正文首行缩进 2"/>
    <w:basedOn w:val="783"/>
    <w:next w:val="818"/>
    <w:link w:val="819"/>
    <w:pPr>
      <w:ind w:left="0" w:firstLine="420"/>
      <w:spacing w:after="0" w:line="360" w:lineRule="auto"/>
    </w:pPr>
    <w:rPr>
      <w:rFonts w:ascii="宋体" w:hAnsi="宋体"/>
      <w:sz w:val="20"/>
      <w:szCs w:val="20"/>
    </w:rPr>
  </w:style>
  <w:style w:type="character" w:styleId="819">
    <w:name w:val="正文首行缩进 2 Char"/>
    <w:next w:val="819"/>
    <w:link w:val="818"/>
    <w:rPr>
      <w:rFonts w:ascii="宋体" w:hAnsi="宋体" w:eastAsia="宋体" w:cs="Times New Roman"/>
      <w:szCs w:val="20"/>
    </w:rPr>
  </w:style>
  <w:style w:type="table" w:styleId="820">
    <w:name w:val="网格型"/>
    <w:basedOn w:val="759"/>
    <w:next w:val="820"/>
    <w:link w:val="748"/>
    <w:pPr>
      <w:jc w:val="both"/>
      <w:widowControl w:val="off"/>
    </w:pPr>
    <w:rPr>
      <w:rFonts w:ascii="Times New Roman" w:hAnsi="Times New Roman" w:eastAsia="宋体" w:cs="Times New Roman"/>
      <w:sz w:val="20"/>
      <w:szCs w:val="20"/>
    </w:rPr>
    <w:tblPr/>
  </w:style>
  <w:style w:type="character" w:styleId="821">
    <w:name w:val="要点"/>
    <w:next w:val="821"/>
    <w:link w:val="748"/>
    <w:qFormat/>
    <w:rPr>
      <w:b/>
      <w:bCs/>
    </w:rPr>
  </w:style>
  <w:style w:type="character" w:styleId="822">
    <w:name w:val="页码"/>
    <w:next w:val="822"/>
    <w:link w:val="748"/>
  </w:style>
  <w:style w:type="character" w:styleId="823">
    <w:name w:val="已访问的超链接"/>
    <w:next w:val="823"/>
    <w:link w:val="748"/>
    <w:rPr>
      <w:color w:val="800080"/>
      <w:u w:val="single"/>
    </w:rPr>
  </w:style>
  <w:style w:type="character" w:styleId="824">
    <w:name w:val="超链接"/>
    <w:next w:val="824"/>
    <w:link w:val="748"/>
    <w:rPr>
      <w:color w:val="0000ff"/>
      <w:u w:val="single"/>
    </w:rPr>
  </w:style>
  <w:style w:type="character" w:styleId="825">
    <w:name w:val="批注引用"/>
    <w:next w:val="825"/>
    <w:link w:val="748"/>
    <w:semiHidden/>
    <w:rPr>
      <w:sz w:val="21"/>
      <w:szCs w:val="21"/>
    </w:rPr>
  </w:style>
  <w:style w:type="character" w:styleId="826">
    <w:name w:val="font5 Char"/>
    <w:next w:val="826"/>
    <w:link w:val="748"/>
    <w:rPr>
      <w:rFonts w:ascii="宋体" w:hAnsi="宋体" w:eastAsia="宋体"/>
      <w:sz w:val="28"/>
      <w:szCs w:val="28"/>
      <w:lang w:val="en-US" w:eastAsia="zh-CN" w:bidi="ar-SA"/>
    </w:rPr>
  </w:style>
  <w:style w:type="character" w:styleId="827">
    <w:name w:val="二级目录 Char"/>
    <w:next w:val="827"/>
    <w:link w:val="828"/>
    <w:rPr>
      <w:b/>
      <w:sz w:val="30"/>
      <w:szCs w:val="28"/>
      <w:lang w:val="en-US" w:eastAsia="zh-CN" w:bidi="ar-SA"/>
    </w:rPr>
  </w:style>
  <w:style w:type="paragraph" w:styleId="828">
    <w:name w:val="二级目录"/>
    <w:next w:val="748"/>
    <w:link w:val="827"/>
    <w:pPr>
      <w:numPr>
        <w:ilvl w:val="0"/>
        <w:numId w:val="2"/>
      </w:numPr>
      <w:tabs>
        <w:tab w:val="left" w:pos="907" w:leader="none"/>
        <w:tab w:val="left" w:pos="1145" w:leader="none"/>
      </w:tabs>
      <w:outlineLvl w:val="1"/>
    </w:pPr>
    <w:rPr>
      <w:b/>
      <w:sz w:val="30"/>
      <w:szCs w:val="28"/>
      <w:lang w:val="en-US" w:eastAsia="zh-CN" w:bidi="ar-SA"/>
    </w:rPr>
  </w:style>
  <w:style w:type="character" w:styleId="829">
    <w:name w:val="列出段落 Char,Bullet List Char,numbered Char,FooterText Char,List Paragraph1 Char,Paragraphe de liste1 Char"/>
    <w:next w:val="829"/>
    <w:link w:val="830"/>
    <w:rPr>
      <w:rFonts w:ascii="Calibri" w:hAnsi="Calibri"/>
      <w:sz w:val="24"/>
      <w:szCs w:val="24"/>
      <w:lang w:eastAsia="en-US" w:bidi="en-US"/>
    </w:rPr>
  </w:style>
  <w:style w:type="paragraph" w:styleId="830">
    <w:name w:val="列出段落1"/>
    <w:basedOn w:val="748"/>
    <w:next w:val="830"/>
    <w:link w:val="829"/>
    <w:qFormat/>
    <w:pPr>
      <w:contextualSpacing/>
      <w:ind w:left="720"/>
      <w:jc w:val="left"/>
      <w:widowControl/>
    </w:pPr>
    <w:rPr>
      <w:sz w:val="24"/>
      <w:szCs w:val="24"/>
      <w:lang w:eastAsia="en-US" w:bidi="en-US"/>
    </w:rPr>
  </w:style>
  <w:style w:type="paragraph" w:styleId="831">
    <w:name w:val="Body Text(ch)"/>
    <w:basedOn w:val="748"/>
    <w:next w:val="781"/>
    <w:link w:val="748"/>
    <w:pPr>
      <w:spacing w:after="120"/>
    </w:pPr>
    <w:rPr>
      <w:rFonts w:ascii="宋体" w:hAnsi="Arial" w:eastAsia="宋体" w:cs="Times New Roman"/>
      <w:bCs/>
      <w:iCs/>
      <w:szCs w:val="24"/>
    </w:rPr>
  </w:style>
  <w:style w:type="paragraph" w:styleId="832">
    <w:name w:val="xl27"/>
    <w:basedOn w:val="748"/>
    <w:next w:val="832"/>
    <w:link w:val="7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3">
    <w:name w:val="xl26"/>
    <w:basedOn w:val="748"/>
    <w:next w:val="833"/>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4">
    <w:name w:val="Char"/>
    <w:basedOn w:val="748"/>
    <w:next w:val="834"/>
    <w:link w:val="748"/>
    <w:pPr>
      <w:ind w:firstLine="200"/>
      <w:tabs>
        <w:tab w:val="left" w:pos="360" w:leader="none"/>
      </w:tabs>
    </w:pPr>
    <w:rPr>
      <w:rFonts w:ascii="Times New Roman" w:hAnsi="Times New Roman" w:eastAsia="宋体" w:cs="Times New Roman"/>
      <w:sz w:val="28"/>
      <w:szCs w:val="30"/>
    </w:rPr>
  </w:style>
  <w:style w:type="paragraph" w:styleId="835">
    <w:name w:val=" Char"/>
    <w:basedOn w:val="775"/>
    <w:next w:val="835"/>
    <w:link w:val="748"/>
    <w:rPr>
      <w:rFonts w:ascii="Tahoma" w:hAnsi="Tahoma"/>
      <w:sz w:val="24"/>
      <w:szCs w:val="24"/>
    </w:rPr>
  </w:style>
  <w:style w:type="paragraph" w:styleId="836">
    <w:name w:val="普通正文"/>
    <w:basedOn w:val="748"/>
    <w:next w:val="836"/>
    <w:link w:val="748"/>
    <w:pPr>
      <w:ind w:firstLine="480"/>
      <w:jc w:val="left"/>
      <w:spacing w:before="120" w:after="120" w:line="360" w:lineRule="auto"/>
    </w:pPr>
    <w:rPr>
      <w:rFonts w:ascii="Arial" w:hAnsi="Arial" w:eastAsia="宋体" w:cs="Times New Roman"/>
      <w:sz w:val="24"/>
      <w:szCs w:val="24"/>
    </w:rPr>
  </w:style>
  <w:style w:type="paragraph" w:styleId="837">
    <w:name w:val="table_lines"/>
    <w:basedOn w:val="748"/>
    <w:next w:val="837"/>
    <w:link w:val="748"/>
    <w:pPr>
      <w:jc w:val="left"/>
      <w:widowControl/>
    </w:pPr>
    <w:rPr>
      <w:rFonts w:ascii="Times New Roman" w:hAnsi="Times New Roman" w:eastAsia="宋体" w:cs="Times New Roman"/>
      <w:sz w:val="20"/>
      <w:szCs w:val="20"/>
      <w:lang w:val="de-DE" w:eastAsia="de-DE"/>
    </w:rPr>
  </w:style>
  <w:style w:type="paragraph" w:styleId="838">
    <w:name w:val="附录1"/>
    <w:next w:val="838"/>
    <w:link w:val="748"/>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39">
    <w:name w:val="font7"/>
    <w:basedOn w:val="748"/>
    <w:next w:val="839"/>
    <w:link w:val="748"/>
    <w:pPr>
      <w:jc w:val="left"/>
      <w:spacing w:before="100" w:beforeAutospacing="1" w:after="100" w:afterAutospacing="1"/>
      <w:widowControl/>
    </w:pPr>
    <w:rPr>
      <w:rFonts w:hint="eastAsia" w:ascii="宋体" w:hAnsi="宋体" w:eastAsia="宋体" w:cs="Times New Roman"/>
      <w:sz w:val="18"/>
      <w:szCs w:val="18"/>
    </w:rPr>
  </w:style>
  <w:style w:type="paragraph" w:styleId="840">
    <w:name w:val=" Char Char Char Char"/>
    <w:basedOn w:val="775"/>
    <w:next w:val="840"/>
    <w:link w:val="748"/>
    <w:pPr>
      <w:spacing w:line="360" w:lineRule="auto"/>
    </w:pPr>
    <w:rPr>
      <w:rFonts w:ascii="Tahoma" w:hAnsi="Tahoma"/>
      <w:sz w:val="24"/>
      <w:szCs w:val="24"/>
    </w:rPr>
  </w:style>
  <w:style w:type="paragraph" w:styleId="841">
    <w:name w:val="列出段落"/>
    <w:basedOn w:val="748"/>
    <w:next w:val="841"/>
    <w:link w:val="748"/>
    <w:qFormat/>
    <w:pPr>
      <w:contextualSpacing/>
      <w:ind w:left="720"/>
      <w:jc w:val="left"/>
      <w:widowControl/>
    </w:pPr>
    <w:rPr>
      <w:rFonts w:ascii="Calibri" w:hAnsi="Calibri" w:eastAsia="宋体" w:cs="Times New Roman"/>
      <w:sz w:val="24"/>
      <w:szCs w:val="24"/>
      <w:lang w:eastAsia="en-US" w:bidi="en-US"/>
    </w:rPr>
  </w:style>
  <w:style w:type="paragraph" w:styleId="842">
    <w:name w:val="4"/>
    <w:basedOn w:val="748"/>
    <w:next w:val="805"/>
    <w:link w:val="748"/>
    <w:pPr>
      <w:ind w:firstLine="420"/>
      <w:spacing w:line="360" w:lineRule="auto"/>
    </w:pPr>
    <w:rPr>
      <w:rFonts w:ascii="Times New Roman" w:hAnsi="Times New Roman" w:eastAsia="宋体" w:cs="Times New Roman"/>
      <w:color w:val="ff0000"/>
      <w:sz w:val="24"/>
      <w:szCs w:val="24"/>
    </w:rPr>
  </w:style>
  <w:style w:type="paragraph" w:styleId="843">
    <w:name w:val="普通 (Web)"/>
    <w:basedOn w:val="748"/>
    <w:next w:val="843"/>
    <w:link w:val="748"/>
    <w:pPr>
      <w:jc w:val="left"/>
      <w:spacing w:before="100" w:beforeAutospacing="1" w:after="100" w:afterAutospacing="1"/>
      <w:widowControl/>
    </w:pPr>
    <w:rPr>
      <w:rFonts w:ascii="宋体" w:hAnsi="宋体" w:eastAsia="宋体" w:cs="Times New Roman"/>
      <w:sz w:val="24"/>
      <w:szCs w:val="24"/>
    </w:rPr>
  </w:style>
  <w:style w:type="paragraph" w:styleId="844">
    <w:name w:val=" Char Char Char Char Char Char Char Char Char Char"/>
    <w:basedOn w:val="748"/>
    <w:next w:val="844"/>
    <w:link w:val="748"/>
    <w:pPr>
      <w:spacing w:line="360" w:lineRule="auto"/>
    </w:pPr>
    <w:rPr>
      <w:rFonts w:ascii="Times New Roman" w:hAnsi="Times New Roman" w:eastAsia="宋体" w:cs="Times New Roman"/>
      <w:sz w:val="24"/>
      <w:szCs w:val="20"/>
    </w:rPr>
  </w:style>
  <w:style w:type="paragraph" w:styleId="845">
    <w:name w:val="样式1"/>
    <w:basedOn w:val="748"/>
    <w:next w:val="845"/>
    <w:link w:val="748"/>
    <w:pPr>
      <w:numPr>
        <w:ilvl w:val="0"/>
        <w:numId w:val="3"/>
      </w:numPr>
      <w:tabs>
        <w:tab w:val="left" w:pos="709" w:leader="none"/>
      </w:tabs>
    </w:pPr>
    <w:rPr>
      <w:rFonts w:ascii="宋体" w:hAnsi="宋体" w:eastAsia="宋体" w:cs="Times New Roman"/>
      <w:szCs w:val="21"/>
    </w:rPr>
  </w:style>
  <w:style w:type="paragraph" w:styleId="846">
    <w:name w:val="font6"/>
    <w:basedOn w:val="748"/>
    <w:next w:val="846"/>
    <w:link w:val="748"/>
    <w:pPr>
      <w:jc w:val="left"/>
      <w:spacing w:before="100" w:beforeAutospacing="1" w:after="100" w:afterAutospacing="1"/>
      <w:widowControl/>
    </w:pPr>
    <w:rPr>
      <w:rFonts w:hint="eastAsia" w:ascii="宋体" w:hAnsi="宋体" w:eastAsia="宋体" w:cs="Times New Roman"/>
      <w:sz w:val="28"/>
      <w:szCs w:val="28"/>
      <w:u w:val="single"/>
    </w:rPr>
  </w:style>
  <w:style w:type="paragraph" w:styleId="847">
    <w:name w:val="xl25"/>
    <w:basedOn w:val="748"/>
    <w:next w:val="847"/>
    <w:link w:val="74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8">
    <w:name w:val="图标"/>
    <w:basedOn w:val="748"/>
    <w:next w:val="748"/>
    <w:link w:val="74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49">
    <w:name w:val="标题3"/>
    <w:basedOn w:val="748"/>
    <w:next w:val="748"/>
    <w:link w:val="748"/>
    <w:pPr>
      <w:ind w:firstLine="624"/>
      <w:spacing w:line="590" w:lineRule="atLeast"/>
    </w:pPr>
    <w:rPr>
      <w:rFonts w:ascii="方正黑体_GBK" w:hAnsi="Times New Roman" w:eastAsia="方正黑体_GBK" w:cs="Times New Roman"/>
      <w:sz w:val="32"/>
      <w:szCs w:val="32"/>
    </w:rPr>
  </w:style>
  <w:style w:type="paragraph" w:styleId="850">
    <w:name w:val="xl24"/>
    <w:basedOn w:val="748"/>
    <w:next w:val="850"/>
    <w:link w:val="7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1">
    <w:name w:val="xl29"/>
    <w:basedOn w:val="748"/>
    <w:next w:val="851"/>
    <w:link w:val="74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52">
    <w:name w:val="Char Char Char Char Char Char Char Char"/>
    <w:basedOn w:val="748"/>
    <w:next w:val="852"/>
    <w:link w:val="748"/>
    <w:pPr>
      <w:jc w:val="left"/>
      <w:spacing w:after="160" w:line="240" w:lineRule="exact"/>
      <w:widowControl/>
    </w:pPr>
    <w:rPr>
      <w:rFonts w:ascii="Verdana" w:hAnsi="Verdana" w:eastAsia="宋体" w:cs="Times New Roman"/>
      <w:sz w:val="20"/>
      <w:szCs w:val="20"/>
      <w:lang w:eastAsia="en-US"/>
    </w:rPr>
  </w:style>
  <w:style w:type="paragraph" w:styleId="853">
    <w:name w:val="xl28"/>
    <w:basedOn w:val="748"/>
    <w:next w:val="853"/>
    <w:link w:val="74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54">
    <w:name w:val=" Char Char Char Char Char Char Char Char"/>
    <w:basedOn w:val="748"/>
    <w:next w:val="854"/>
    <w:link w:val="748"/>
    <w:pPr>
      <w:jc w:val="left"/>
      <w:spacing w:after="160" w:line="240" w:lineRule="exact"/>
      <w:widowControl/>
    </w:pPr>
    <w:rPr>
      <w:rFonts w:ascii="Verdana" w:hAnsi="Verdana" w:eastAsia="宋体" w:cs="Times New Roman"/>
      <w:sz w:val="20"/>
      <w:szCs w:val="20"/>
      <w:lang w:eastAsia="en-US"/>
    </w:rPr>
  </w:style>
  <w:style w:type="paragraph" w:styleId="855">
    <w:name w:val="xl30"/>
    <w:basedOn w:val="748"/>
    <w:next w:val="855"/>
    <w:link w:val="748"/>
    <w:pPr>
      <w:jc w:val="center"/>
      <w:spacing w:before="100" w:beforeAutospacing="1" w:after="100" w:afterAutospacing="1"/>
      <w:widowControl/>
    </w:pPr>
    <w:rPr>
      <w:rFonts w:ascii="宋体" w:hAnsi="宋体" w:eastAsia="宋体" w:cs="Times New Roman"/>
      <w:b/>
      <w:bCs/>
      <w:sz w:val="36"/>
      <w:szCs w:val="36"/>
    </w:rPr>
  </w:style>
  <w:style w:type="paragraph" w:styleId="856">
    <w:name w:val="Char Char Char Char"/>
    <w:basedOn w:val="775"/>
    <w:next w:val="856"/>
    <w:link w:val="748"/>
    <w:pPr>
      <w:spacing w:line="360" w:lineRule="auto"/>
    </w:pPr>
    <w:rPr>
      <w:rFonts w:ascii="Tahoma" w:hAnsi="Tahoma"/>
      <w:sz w:val="24"/>
      <w:szCs w:val="24"/>
    </w:rPr>
  </w:style>
  <w:style w:type="paragraph" w:styleId="857">
    <w:name w:val="table_1stline"/>
    <w:basedOn w:val="748"/>
    <w:next w:val="857"/>
    <w:link w:val="748"/>
    <w:pPr>
      <w:jc w:val="left"/>
      <w:spacing w:before="120"/>
      <w:widowControl/>
    </w:pPr>
    <w:rPr>
      <w:rFonts w:ascii="Times New Roman" w:hAnsi="Times New Roman" w:eastAsia="宋体" w:cs="Times New Roman"/>
      <w:bCs/>
      <w:sz w:val="20"/>
      <w:szCs w:val="20"/>
      <w:lang w:val="de-DE" w:eastAsia="de-DE"/>
    </w:rPr>
  </w:style>
  <w:style w:type="paragraph" w:styleId="858">
    <w:name w:val="font5"/>
    <w:basedOn w:val="748"/>
    <w:next w:val="858"/>
    <w:link w:val="748"/>
    <w:pPr>
      <w:jc w:val="left"/>
      <w:spacing w:before="100" w:beforeAutospacing="1" w:after="100" w:afterAutospacing="1"/>
      <w:widowControl/>
    </w:pPr>
    <w:rPr>
      <w:rFonts w:hint="eastAsia" w:ascii="宋体" w:hAnsi="宋体" w:eastAsia="宋体" w:cs="Times New Roman"/>
      <w:sz w:val="28"/>
      <w:szCs w:val="28"/>
    </w:rPr>
  </w:style>
  <w:style w:type="paragraph" w:styleId="859">
    <w:name w:val="标题1"/>
    <w:basedOn w:val="748"/>
    <w:next w:val="748"/>
    <w:link w:val="74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60">
    <w:name w:val="修订"/>
    <w:next w:val="860"/>
    <w:link w:val="748"/>
    <w:uiPriority w:val="99"/>
    <w:semiHidden/>
    <w:rPr>
      <w:rFonts w:ascii="Times New Roman" w:hAnsi="Times New Roman"/>
      <w:sz w:val="21"/>
      <w:szCs w:val="21"/>
      <w:lang w:val="en-US" w:eastAsia="zh-CN" w:bidi="ar-SA"/>
    </w:rPr>
  </w:style>
  <w:style w:type="paragraph" w:styleId="861">
    <w:name w:val="无间隔"/>
    <w:next w:val="861"/>
    <w:link w:val="748"/>
    <w:uiPriority w:val="99"/>
    <w:qFormat/>
    <w:pPr>
      <w:jc w:val="both"/>
      <w:widowControl w:val="off"/>
    </w:pPr>
    <w:rPr>
      <w:rFonts w:ascii="Times New Roman" w:hAnsi="Times New Roman"/>
      <w:sz w:val="21"/>
      <w:szCs w:val="21"/>
      <w:lang w:val="en-US" w:eastAsia="zh-CN" w:bidi="ar-SA"/>
    </w:rPr>
  </w:style>
  <w:style w:type="paragraph" w:styleId="862">
    <w:name w:val="引文目录标题1"/>
    <w:basedOn w:val="748"/>
    <w:next w:val="748"/>
    <w:link w:val="748"/>
    <w:qFormat/>
    <w:pPr>
      <w:spacing w:before="120"/>
    </w:pPr>
    <w:rPr>
      <w:rFonts w:ascii="Arial" w:hAnsi="Arial"/>
      <w:sz w:val="24"/>
    </w:rPr>
  </w:style>
  <w:style w:type="paragraph" w:styleId="863">
    <w:name w:val="WPSOffice手动目录 1"/>
    <w:next w:val="863"/>
    <w:link w:val="748"/>
    <w:rPr>
      <w:sz w:val="20"/>
      <w:szCs w:val="20"/>
    </w:rPr>
  </w:style>
  <w:style w:type="paragraph" w:styleId="864">
    <w:name w:val="批注文字1"/>
    <w:basedOn w:val="748"/>
    <w:next w:val="864"/>
    <w:link w:val="748"/>
    <w:uiPriority w:val="99"/>
    <w:unhideWhenUsed/>
    <w:qFormat/>
    <w:pPr>
      <w:jc w:val="left"/>
    </w:pPr>
  </w:style>
  <w:style w:type="paragraph" w:styleId="865">
    <w:name w:val="普通(网站) Char"/>
    <w:basedOn w:val="748"/>
    <w:next w:val="865"/>
    <w:link w:val="748"/>
    <w:qFormat/>
    <w:pPr>
      <w:jc w:val="left"/>
      <w:spacing w:before="100" w:beforeAutospacing="1" w:after="100" w:afterAutospacing="1"/>
      <w:widowControl/>
    </w:pPr>
    <w:rPr>
      <w:rFonts w:ascii="宋体" w:hAnsi="宋体" w:eastAsia="宋体" w:cs="宋体"/>
      <w:sz w:val="24"/>
      <w:szCs w:val="24"/>
    </w:rPr>
  </w:style>
  <w:style w:type="paragraph" w:styleId="866">
    <w:name w:val="普通(网站)1"/>
    <w:basedOn w:val="748"/>
    <w:next w:val="866"/>
    <w:link w:val="748"/>
    <w:qFormat/>
    <w:pPr>
      <w:jc w:val="left"/>
      <w:spacing w:before="100" w:beforeAutospacing="1" w:after="100" w:afterAutospacing="1"/>
      <w:widowControl/>
    </w:pPr>
    <w:rPr>
      <w:rFonts w:ascii="宋体" w:hAnsi="宋体" w:eastAsia="宋体" w:cs="宋体"/>
      <w:sz w:val="24"/>
      <w:szCs w:val="24"/>
    </w:rPr>
  </w:style>
  <w:style w:type="paragraph" w:styleId="867">
    <w:name w:val="Table Text"/>
    <w:basedOn w:val="748"/>
    <w:next w:val="867"/>
    <w:link w:val="748"/>
    <w:semiHidden/>
    <w:qFormat/>
    <w:rPr>
      <w:rFonts w:ascii="宋体" w:hAnsi="宋体" w:eastAsia="宋体" w:cs="宋体"/>
      <w:sz w:val="19"/>
      <w:szCs w:val="19"/>
      <w:lang w:val="en-US" w:eastAsia="en-US" w:bidi="ar-SA"/>
    </w:rPr>
  </w:style>
  <w:style w:type="paragraph" w:styleId="868">
    <w:name w:val="表格内的列表"/>
    <w:basedOn w:val="841"/>
    <w:next w:val="868"/>
    <w:link w:val="748"/>
    <w:qFormat/>
    <w:pPr>
      <w:numPr>
        <w:ilvl w:val="0"/>
        <w:numId w:val="4"/>
      </w:numPr>
      <w:ind w:firstLine="0"/>
      <w:spacing w:line="360" w:lineRule="auto"/>
    </w:pPr>
    <w:rPr>
      <w:rFonts w:ascii="宋体" w:hAnsi="宋体"/>
      <w:color w:val="000000"/>
      <w:sz w:val="20"/>
      <w:szCs w:val="20"/>
    </w:rPr>
  </w:style>
  <w:style w:type="paragraph" w:styleId="869">
    <w:name w:val="正文首行缩进1"/>
    <w:basedOn w:val="870"/>
    <w:next w:val="869"/>
    <w:link w:val="748"/>
    <w:qFormat/>
    <w:pPr>
      <w:ind w:firstLine="200"/>
      <w:spacing w:line="360" w:lineRule="auto"/>
    </w:pPr>
    <w:rPr>
      <w:rFonts w:ascii="仿宋_GB2312" w:hAnsi="Times New Roman" w:eastAsia="仿宋_GB2312"/>
      <w:sz w:val="30"/>
      <w:szCs w:val="30"/>
    </w:rPr>
  </w:style>
  <w:style w:type="paragraph" w:styleId="870">
    <w:name w:val="正文文本11"/>
    <w:basedOn w:val="748"/>
    <w:next w:val="748"/>
    <w:link w:val="748"/>
    <w:qFormat/>
    <w:rPr>
      <w:rFonts w:ascii="楷体_GB2312" w:hAnsi="Arial" w:eastAsia="楷体_GB2312"/>
      <w:sz w:val="28"/>
      <w:szCs w:val="28"/>
    </w:rPr>
  </w:style>
  <w:style w:type="paragraph" w:styleId="871">
    <w:name w:val="正文文本缩进 31"/>
    <w:basedOn w:val="748"/>
    <w:next w:val="871"/>
    <w:link w:val="748"/>
    <w:qFormat/>
    <w:pPr>
      <w:ind w:left="645" w:firstLine="645"/>
    </w:pPr>
    <w:rPr>
      <w:rFonts w:ascii="Arial" w:hAnsi="Arial" w:eastAsia="仿宋_GB2312"/>
      <w:color w:val="ffff00"/>
      <w:sz w:val="32"/>
      <w:szCs w:val="32"/>
    </w:rPr>
  </w:style>
  <w:style w:type="paragraph" w:styleId="872">
    <w:name w:val="纯文本1"/>
    <w:basedOn w:val="748"/>
    <w:next w:val="872"/>
    <w:link w:val="748"/>
    <w:qFormat/>
    <w:rPr>
      <w:rFonts w:ascii="宋体" w:hAnsi="Courier New"/>
      <w:sz w:val="20"/>
      <w:szCs w:val="21"/>
    </w:rPr>
  </w:style>
  <w:style w:type="character" w:styleId="25873" w:default="1">
    <w:name w:val="Default Paragraph Font"/>
    <w:uiPriority w:val="1"/>
    <w:semiHidden/>
    <w:unhideWhenUsed/>
  </w:style>
  <w:style w:type="numbering" w:styleId="25874" w:default="1">
    <w:name w:val="No List"/>
    <w:uiPriority w:val="99"/>
    <w:semiHidden/>
    <w:unhideWhenUsed/>
  </w:style>
  <w:style w:type="table" w:styleId="258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6</cp:revision>
  <dcterms:created xsi:type="dcterms:W3CDTF">2023-12-25T07:48:00Z</dcterms:created>
  <dcterms:modified xsi:type="dcterms:W3CDTF">2024-08-19T07:47:44Z</dcterms:modified>
</cp:coreProperties>
</file>