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2"/>
        <w:jc w:val="center"/>
        <w:spacing w:line="360" w:lineRule="auto"/>
        <w:rPr>
          <w:b/>
          <w:bCs/>
          <w:color w:val="auto"/>
          <w:sz w:val="100"/>
          <w:szCs w:val="100"/>
          <w:highlight w:val="none"/>
        </w:rPr>
        <w:outlineLvl w:val="0"/>
      </w:pPr>
      <w:r>
        <w:rPr>
          <w:color w:val="auto"/>
        </w:rPr>
      </w:r>
      <w:bookmarkStart w:id="0" w:name="_Toc22811"/>
      <w:r>
        <w:rPr>
          <w:color w:val="auto"/>
        </w:rPr>
      </w:r>
      <w:bookmarkStart w:id="1" w:name="_Toc31973"/>
      <w:r>
        <w:rPr>
          <w:color w:val="auto"/>
        </w:rPr>
      </w:r>
      <w:bookmarkStart w:id="2" w:name="_Toc58314323"/>
      <w:r>
        <w:rPr>
          <w:color w:val="auto"/>
        </w:rPr>
      </w:r>
      <w:bookmarkStart w:id="3" w:name="_Toc58314327"/>
      <w:r>
        <w:rPr>
          <w:color w:val="auto"/>
        </w:rPr>
      </w:r>
      <w:bookmarkStart w:id="4" w:name="_Toc58314325"/>
      <w:r>
        <w:rPr>
          <w:color w:val="auto"/>
        </w:rPr>
      </w:r>
      <w:bookmarkStart w:id="5" w:name="_Toc58314326"/>
      <w:r>
        <w:rPr>
          <w:b/>
          <w:bCs/>
          <w:color w:val="auto"/>
          <w:sz w:val="100"/>
          <w:szCs w:val="100"/>
          <w:highlight w:val="none"/>
        </w:rPr>
      </w:r>
      <w:r>
        <w:rPr>
          <w:color w:val="auto"/>
        </w:rPr>
      </w:r>
    </w:p>
    <w:p>
      <w:pPr>
        <w:pStyle w:val="702"/>
        <w:jc w:val="center"/>
        <w:spacing w:line="360" w:lineRule="auto"/>
        <w:rPr>
          <w:rFonts w:ascii="宋体"/>
          <w:b/>
          <w:bCs/>
          <w:color w:val="auto"/>
          <w:sz w:val="100"/>
          <w:szCs w:val="100"/>
          <w:highlight w:val="none"/>
        </w:rPr>
        <w:outlineLvl w:val="0"/>
      </w:pPr>
      <w:r>
        <w:rPr>
          <w:rFonts w:hint="eastAsia"/>
          <w:b/>
          <w:bCs/>
          <w:color w:val="auto"/>
          <w:sz w:val="80"/>
          <w:szCs w:val="80"/>
          <w:highlight w:val="none"/>
        </w:rPr>
        <w:t xml:space="preserve">苏州市相城区政府采购</w:t>
      </w:r>
      <w:bookmarkEnd w:id="0"/>
      <w:r>
        <w:rPr>
          <w:color w:val="auto"/>
        </w:rPr>
      </w:r>
      <w:bookmarkEnd w:id="1"/>
      <w:r>
        <w:rPr>
          <w:rFonts w:hint="eastAsia"/>
          <w:b/>
          <w:bCs/>
          <w:color w:val="auto"/>
          <w:sz w:val="80"/>
          <w:szCs w:val="80"/>
          <w:highlight w:val="none"/>
        </w:rPr>
        <w:t xml:space="preserve">招标文件</w:t>
      </w:r>
      <w:r>
        <w:rPr>
          <w:rFonts w:ascii="宋体"/>
          <w:b/>
          <w:bCs/>
          <w:color w:val="auto"/>
          <w:sz w:val="100"/>
          <w:szCs w:val="100"/>
          <w:highlight w:val="none"/>
        </w:rPr>
      </w:r>
      <w:r>
        <w:rPr>
          <w:color w:val="auto"/>
        </w:rPr>
      </w:r>
    </w:p>
    <w:p>
      <w:pPr>
        <w:pStyle w:val="702"/>
        <w:spacing w:line="360" w:lineRule="auto"/>
        <w:rPr>
          <w:rFonts w:hint="eastAsia" w:ascii="宋体" w:hAnsi="宋体"/>
          <w:color w:val="auto"/>
          <w:szCs w:val="21"/>
          <w:highlight w:val="none"/>
        </w:rPr>
      </w:pPr>
      <w:r>
        <w:rPr>
          <w:rFonts w:hint="eastAsia" w:ascii="宋体" w:hAnsi="宋体"/>
          <w:color w:val="auto"/>
          <w:szCs w:val="21"/>
          <w:highlight w:val="none"/>
        </w:rPr>
      </w:r>
      <w:r>
        <w:rPr>
          <w:color w:val="auto"/>
        </w:rPr>
      </w:r>
    </w:p>
    <w:p>
      <w:pPr>
        <w:pStyle w:val="702"/>
        <w:jc w:val="center"/>
        <w:spacing w:line="360" w:lineRule="auto"/>
        <w:rPr>
          <w:rFonts w:hint="eastAsia" w:ascii="宋体" w:hAnsi="宋体"/>
          <w:color w:val="auto"/>
          <w:szCs w:val="21"/>
          <w:highlight w:val="none"/>
        </w:rPr>
      </w:pPr>
      <w:r>
        <w:rPr>
          <w:rFonts w:hint="eastAsia" w:ascii="宋体" w:hAnsi="宋体"/>
          <w:color w:val="auto"/>
          <w:szCs w:val="21"/>
          <w:highlight w:val="none"/>
        </w:rPr>
      </w:r>
      <w:r>
        <w:rPr>
          <w:color w:val="auto"/>
        </w:rPr>
      </w:r>
    </w:p>
    <w:p>
      <w:pPr>
        <w:pStyle w:val="702"/>
        <w:ind w:left="420"/>
        <w:spacing w:line="480" w:lineRule="auto"/>
        <w:rPr>
          <w:rFonts w:hint="eastAsia" w:ascii="宋体" w:hAnsi="宋体" w:eastAsia="宋体"/>
          <w:b/>
          <w:bCs/>
          <w:color w:val="auto"/>
          <w:sz w:val="32"/>
          <w:szCs w:val="32"/>
          <w:highlight w:val="none"/>
        </w:rPr>
        <w:outlineLvl w:val="0"/>
      </w:pPr>
      <w:r>
        <w:rPr>
          <w:rFonts w:hint="eastAsia" w:ascii="宋体" w:hAnsi="宋体"/>
          <w:b/>
          <w:bCs/>
          <w:color w:val="auto"/>
          <w:sz w:val="32"/>
          <w:szCs w:val="32"/>
          <w:highlight w:val="none"/>
        </w:rPr>
        <w:t xml:space="preserve">     </w:t>
      </w:r>
      <w:bookmarkStart w:id="6" w:name="_Toc32372"/>
      <w:r>
        <w:rPr>
          <w:color w:val="auto"/>
        </w:rPr>
      </w:r>
      <w:bookmarkStart w:id="7" w:name="_Toc26865"/>
      <w:r>
        <w:rPr>
          <w:rFonts w:hint="eastAsia" w:ascii="宋体" w:hAnsi="宋体"/>
          <w:b/>
          <w:bCs/>
          <w:color w:val="auto"/>
          <w:sz w:val="32"/>
          <w:szCs w:val="32"/>
          <w:highlight w:val="none"/>
        </w:rPr>
        <w:t xml:space="preserve">招标编号：</w:t>
      </w:r>
      <w:bookmarkEnd w:id="6"/>
      <w:r>
        <w:rPr>
          <w:color w:val="auto"/>
        </w:rPr>
      </w:r>
      <w:bookmarkEnd w:id="7"/>
      <w:r>
        <w:rPr>
          <w:rFonts w:hint="eastAsia" w:ascii="宋体" w:hAnsi="宋体"/>
          <w:b/>
          <w:bCs/>
          <w:color w:val="auto"/>
          <w:sz w:val="32"/>
          <w:szCs w:val="32"/>
          <w:highlight w:val="none"/>
          <w:lang w:eastAsia="zh-CN"/>
        </w:rPr>
        <w:t xml:space="preserve">JSZC-320507-SZJX-G2024-0066</w:t>
      </w:r>
      <w:r>
        <w:rPr>
          <w:rFonts w:hint="eastAsia" w:ascii="宋体" w:hAnsi="宋体" w:eastAsia="宋体"/>
          <w:b/>
          <w:bCs/>
          <w:color w:val="auto"/>
          <w:sz w:val="32"/>
          <w:szCs w:val="32"/>
          <w:highlight w:val="none"/>
          <w:lang w:eastAsia="zh-CN"/>
        </w:rPr>
      </w:r>
      <w:r>
        <w:rPr>
          <w:color w:val="auto"/>
        </w:rPr>
      </w:r>
    </w:p>
    <w:p>
      <w:pPr>
        <w:pStyle w:val="702"/>
        <w:ind w:left="420"/>
        <w:spacing w:line="480" w:lineRule="auto"/>
        <w:rPr>
          <w:rFonts w:hint="eastAsia" w:ascii="宋体" w:hAnsi="宋体"/>
          <w:b/>
          <w:bCs/>
          <w:color w:val="auto"/>
          <w:sz w:val="32"/>
          <w:szCs w:val="32"/>
          <w:highlight w:val="none"/>
        </w:rPr>
        <w:outlineLvl w:val="0"/>
      </w:pPr>
      <w:r>
        <w:rPr>
          <w:rFonts w:hint="eastAsia" w:ascii="宋体" w:hAnsi="宋体"/>
          <w:b/>
          <w:bCs/>
          <w:color w:val="auto"/>
          <w:sz w:val="32"/>
          <w:szCs w:val="32"/>
          <w:highlight w:val="none"/>
        </w:rPr>
        <w:t xml:space="preserve">     </w:t>
      </w:r>
      <w:bookmarkStart w:id="8" w:name="_Toc23231"/>
      <w:r>
        <w:rPr>
          <w:color w:val="auto"/>
        </w:rPr>
      </w:r>
      <w:bookmarkStart w:id="9" w:name="_Toc18772"/>
      <w:r>
        <w:rPr>
          <w:rFonts w:hint="eastAsia" w:ascii="宋体" w:hAnsi="宋体"/>
          <w:b/>
          <w:bCs/>
          <w:color w:val="auto"/>
          <w:sz w:val="32"/>
          <w:szCs w:val="32"/>
          <w:highlight w:val="none"/>
        </w:rPr>
        <w:t xml:space="preserve">采购单位：</w:t>
      </w:r>
      <w:bookmarkEnd w:id="8"/>
      <w:r>
        <w:rPr>
          <w:color w:val="auto"/>
        </w:rPr>
      </w:r>
      <w:bookmarkEnd w:id="9"/>
      <w:r>
        <w:rPr>
          <w:rFonts w:hint="eastAsia" w:ascii="宋体" w:hAnsi="宋体"/>
          <w:b/>
          <w:bCs/>
          <w:color w:val="auto"/>
          <w:sz w:val="32"/>
          <w:szCs w:val="32"/>
          <w:highlight w:val="none"/>
        </w:rPr>
        <w:t xml:space="preserve">苏州市相城区人民政府黄桥街道办事处</w:t>
      </w:r>
      <w:r>
        <w:rPr>
          <w:rFonts w:hint="eastAsia" w:ascii="宋体" w:hAnsi="宋体"/>
          <w:b/>
          <w:bCs/>
          <w:color w:val="auto"/>
          <w:sz w:val="32"/>
          <w:szCs w:val="32"/>
          <w:highlight w:val="none"/>
        </w:rPr>
      </w:r>
      <w:r>
        <w:rPr>
          <w:color w:val="auto"/>
        </w:rPr>
      </w:r>
    </w:p>
    <w:p>
      <w:pPr>
        <w:pStyle w:val="702"/>
        <w:ind w:left="2064" w:hanging="1644"/>
        <w:spacing w:line="440" w:lineRule="exact"/>
        <w:rPr>
          <w:rFonts w:hint="eastAsia" w:ascii="宋体" w:hAnsi="宋体"/>
          <w:b/>
          <w:bCs/>
          <w:color w:val="auto"/>
          <w:sz w:val="32"/>
          <w:szCs w:val="32"/>
          <w:highlight w:val="none"/>
        </w:rPr>
        <w:outlineLvl w:val="0"/>
      </w:pPr>
      <w:r>
        <w:rPr>
          <w:rFonts w:hint="eastAsia" w:ascii="宋体" w:hAnsi="宋体"/>
          <w:b/>
          <w:bCs/>
          <w:color w:val="auto"/>
          <w:sz w:val="32"/>
          <w:szCs w:val="32"/>
          <w:highlight w:val="none"/>
        </w:rPr>
        <w:t xml:space="preserve">     </w:t>
      </w:r>
      <w:bookmarkStart w:id="10" w:name="_Toc4092"/>
      <w:r>
        <w:rPr>
          <w:color w:val="auto"/>
        </w:rPr>
      </w:r>
      <w:bookmarkStart w:id="11" w:name="_Toc32334"/>
      <w:r>
        <w:rPr>
          <w:rFonts w:hint="eastAsia" w:ascii="宋体" w:hAnsi="宋体"/>
          <w:b/>
          <w:bCs/>
          <w:color w:val="auto"/>
          <w:sz w:val="32"/>
          <w:szCs w:val="32"/>
          <w:highlight w:val="none"/>
        </w:rPr>
        <w:t xml:space="preserve">采购内容：</w:t>
      </w:r>
      <w:bookmarkEnd w:id="10"/>
      <w:r>
        <w:rPr>
          <w:color w:val="auto"/>
        </w:rPr>
      </w:r>
      <w:bookmarkEnd w:id="11"/>
      <w:r>
        <w:rPr>
          <w:rFonts w:hint="eastAsia" w:ascii="宋体" w:hAnsi="宋体"/>
          <w:b/>
          <w:bCs/>
          <w:color w:val="auto"/>
          <w:sz w:val="32"/>
          <w:szCs w:val="32"/>
          <w:highlight w:val="none"/>
        </w:rPr>
        <w:t xml:space="preserve">原苏州其安工艺品有限公司地块土壤</w:t>
      </w:r>
      <w:r>
        <w:rPr>
          <w:rFonts w:hint="eastAsia" w:ascii="宋体" w:hAnsi="宋体"/>
          <w:b/>
          <w:bCs/>
          <w:color w:val="auto"/>
          <w:sz w:val="32"/>
          <w:szCs w:val="32"/>
          <w:highlight w:val="none"/>
        </w:rPr>
      </w:r>
      <w:r>
        <w:rPr>
          <w:color w:val="auto"/>
        </w:rPr>
      </w:r>
    </w:p>
    <w:p>
      <w:pPr>
        <w:pStyle w:val="702"/>
        <w:ind w:left="2264" w:firstLine="707"/>
        <w:spacing w:line="440" w:lineRule="exact"/>
        <w:rPr>
          <w:rFonts w:hint="eastAsia" w:ascii="宋体" w:hAnsi="宋体"/>
          <w:b/>
          <w:bCs/>
          <w:color w:val="auto"/>
          <w:sz w:val="32"/>
          <w:szCs w:val="32"/>
          <w:highlight w:val="none"/>
        </w:rPr>
        <w:outlineLvl w:val="0"/>
      </w:pPr>
      <w:r>
        <w:rPr>
          <w:rFonts w:hint="eastAsia" w:ascii="宋体" w:hAnsi="宋体"/>
          <w:b/>
          <w:bCs/>
          <w:color w:val="auto"/>
          <w:sz w:val="32"/>
          <w:szCs w:val="32"/>
          <w:highlight w:val="none"/>
        </w:rPr>
        <w:t xml:space="preserve">污染状况调查及风险评估项目</w:t>
      </w:r>
      <w:r>
        <w:rPr>
          <w:rFonts w:hint="eastAsia" w:ascii="宋体" w:hAnsi="宋体"/>
          <w:b/>
          <w:bCs/>
          <w:color w:val="auto"/>
          <w:sz w:val="32"/>
          <w:szCs w:val="32"/>
          <w:highlight w:val="none"/>
        </w:rPr>
      </w:r>
      <w:r>
        <w:rPr>
          <w:color w:val="auto"/>
        </w:rPr>
      </w:r>
    </w:p>
    <w:p>
      <w:pPr>
        <w:pStyle w:val="702"/>
        <w:ind w:left="420"/>
        <w:spacing w:before="240" w:line="480" w:lineRule="auto"/>
        <w:rPr>
          <w:rFonts w:hint="eastAsia" w:ascii="宋体" w:hAnsi="宋体"/>
          <w:b/>
          <w:bCs/>
          <w:color w:val="auto"/>
          <w:sz w:val="32"/>
          <w:szCs w:val="32"/>
          <w:highlight w:val="none"/>
        </w:rPr>
        <w:outlineLvl w:val="0"/>
      </w:pPr>
      <w:r>
        <w:rPr>
          <w:rFonts w:hint="eastAsia" w:ascii="宋体" w:hAnsi="宋体"/>
          <w:b/>
          <w:bCs/>
          <w:color w:val="auto"/>
          <w:sz w:val="32"/>
          <w:szCs w:val="32"/>
          <w:highlight w:val="none"/>
        </w:rPr>
        <w:t xml:space="preserve">     </w:t>
      </w:r>
      <w:bookmarkStart w:id="12" w:name="_Toc17496"/>
      <w:r>
        <w:rPr>
          <w:color w:val="auto"/>
        </w:rPr>
      </w:r>
      <w:bookmarkStart w:id="13" w:name="_Toc20968"/>
      <w:r>
        <w:rPr>
          <w:rFonts w:hint="eastAsia" w:ascii="宋体" w:hAnsi="宋体"/>
          <w:b/>
          <w:bCs/>
          <w:color w:val="auto"/>
          <w:sz w:val="32"/>
          <w:szCs w:val="32"/>
          <w:highlight w:val="none"/>
        </w:rPr>
        <w:t xml:space="preserve">采购类别：服务类</w:t>
      </w:r>
      <w:bookmarkEnd w:id="12"/>
      <w:r>
        <w:rPr>
          <w:color w:val="auto"/>
        </w:rPr>
      </w:r>
      <w:bookmarkEnd w:id="13"/>
      <w:r>
        <w:rPr>
          <w:rFonts w:hint="eastAsia" w:ascii="宋体" w:hAnsi="宋体"/>
          <w:b/>
          <w:bCs/>
          <w:color w:val="auto"/>
          <w:sz w:val="32"/>
          <w:szCs w:val="32"/>
          <w:highlight w:val="none"/>
        </w:rPr>
      </w:r>
      <w:r>
        <w:rPr>
          <w:color w:val="auto"/>
        </w:rPr>
      </w:r>
    </w:p>
    <w:p>
      <w:pPr>
        <w:pStyle w:val="702"/>
        <w:spacing w:line="360" w:lineRule="auto"/>
        <w:rPr>
          <w:rFonts w:hint="eastAsia" w:ascii="宋体" w:hAnsi="宋体"/>
          <w:color w:val="auto"/>
          <w:szCs w:val="21"/>
          <w:highlight w:val="none"/>
        </w:rPr>
      </w:pPr>
      <w:r>
        <w:rPr>
          <w:rFonts w:hint="eastAsia" w:ascii="宋体" w:hAnsi="宋体"/>
          <w:color w:val="auto"/>
          <w:szCs w:val="21"/>
          <w:highlight w:val="none"/>
        </w:rPr>
      </w:r>
      <w:r>
        <w:rPr>
          <w:color w:val="auto"/>
        </w:rPr>
      </w:r>
    </w:p>
    <w:p>
      <w:pPr>
        <w:pStyle w:val="702"/>
        <w:spacing w:line="360" w:lineRule="auto"/>
        <w:rPr>
          <w:rFonts w:hint="eastAsia" w:ascii="宋体" w:hAnsi="宋体"/>
          <w:b/>
          <w:color w:val="auto"/>
          <w:szCs w:val="21"/>
          <w:highlight w:val="none"/>
        </w:rPr>
      </w:pPr>
      <w:r>
        <w:rPr>
          <w:rFonts w:hint="eastAsia" w:ascii="宋体" w:hAnsi="宋体"/>
          <w:b/>
          <w:color w:val="auto"/>
          <w:szCs w:val="21"/>
          <w:highlight w:val="none"/>
        </w:rPr>
      </w:r>
      <w:r>
        <w:rPr>
          <w:color w:val="auto"/>
        </w:rPr>
      </w:r>
    </w:p>
    <w:p>
      <w:pPr>
        <w:pStyle w:val="702"/>
        <w:spacing w:line="360" w:lineRule="auto"/>
        <w:rPr>
          <w:rFonts w:hint="eastAsia" w:ascii="宋体" w:hAnsi="宋体"/>
          <w:b/>
          <w:color w:val="auto"/>
          <w:szCs w:val="21"/>
          <w:highlight w:val="none"/>
        </w:rPr>
      </w:pPr>
      <w:r>
        <w:rPr>
          <w:rFonts w:hint="eastAsia" w:ascii="宋体" w:hAnsi="宋体"/>
          <w:b/>
          <w:color w:val="auto"/>
          <w:szCs w:val="21"/>
          <w:highlight w:val="none"/>
        </w:rPr>
      </w:r>
      <w:r>
        <w:rPr>
          <w:color w:val="auto"/>
        </w:rPr>
      </w:r>
    </w:p>
    <w:p>
      <w:pPr>
        <w:pStyle w:val="702"/>
        <w:jc w:val="center"/>
        <w:spacing w:line="360" w:lineRule="auto"/>
        <w:rPr>
          <w:rFonts w:hint="eastAsia" w:ascii="宋体" w:hAnsi="宋体"/>
          <w:b/>
          <w:bCs/>
          <w:color w:val="auto"/>
          <w:sz w:val="32"/>
          <w:szCs w:val="32"/>
          <w:highlight w:val="none"/>
        </w:rPr>
        <w:outlineLvl w:val="0"/>
      </w:pPr>
      <w:r>
        <w:rPr>
          <w:color w:val="auto"/>
        </w:rPr>
      </w:r>
      <w:bookmarkStart w:id="14" w:name="_Toc21435"/>
      <w:r>
        <w:rPr>
          <w:color w:val="auto"/>
        </w:rPr>
      </w:r>
      <w:bookmarkStart w:id="15" w:name="_Toc24759"/>
      <w:r>
        <w:rPr>
          <w:rFonts w:hint="eastAsia" w:ascii="宋体" w:hAnsi="宋体"/>
          <w:b/>
          <w:bCs/>
          <w:color w:val="auto"/>
          <w:sz w:val="32"/>
          <w:szCs w:val="32"/>
          <w:highlight w:val="none"/>
        </w:rPr>
        <w:t xml:space="preserve">苏州捷信招投标咨询有限公司</w:t>
      </w:r>
      <w:bookmarkEnd w:id="14"/>
      <w:r>
        <w:rPr>
          <w:color w:val="auto"/>
        </w:rPr>
      </w:r>
      <w:bookmarkEnd w:id="15"/>
      <w:r>
        <w:rPr>
          <w:rFonts w:hint="eastAsia" w:ascii="宋体" w:hAnsi="宋体"/>
          <w:b/>
          <w:bCs/>
          <w:color w:val="auto"/>
          <w:sz w:val="32"/>
          <w:szCs w:val="32"/>
          <w:highlight w:val="none"/>
        </w:rPr>
      </w:r>
      <w:r>
        <w:rPr>
          <w:color w:val="auto"/>
        </w:rPr>
      </w:r>
    </w:p>
    <w:p>
      <w:pPr>
        <w:pStyle w:val="702"/>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二零二四年</w:t>
      </w:r>
      <w:r>
        <w:rPr>
          <w:rFonts w:hint="eastAsia" w:ascii="宋体" w:hAnsi="宋体"/>
          <w:b/>
          <w:bCs/>
          <w:color w:val="auto"/>
          <w:sz w:val="32"/>
          <w:szCs w:val="32"/>
          <w:highlight w:val="none"/>
          <w:lang w:val="en-US" w:eastAsia="zh-CN"/>
        </w:rPr>
        <w:t xml:space="preserve">九</w:t>
      </w:r>
      <w:r>
        <w:rPr>
          <w:rFonts w:hint="eastAsia" w:ascii="宋体" w:hAnsi="宋体"/>
          <w:b/>
          <w:bCs/>
          <w:color w:val="auto"/>
          <w:sz w:val="32"/>
          <w:szCs w:val="32"/>
          <w:highlight w:val="none"/>
        </w:rPr>
        <w:t xml:space="preserve">月</w:t>
      </w:r>
      <w:r>
        <w:rPr>
          <w:rFonts w:hint="eastAsia" w:ascii="宋体" w:hAnsi="宋体"/>
          <w:b/>
          <w:bCs/>
          <w:color w:val="auto"/>
          <w:sz w:val="32"/>
          <w:szCs w:val="32"/>
          <w:highlight w:val="none"/>
        </w:rPr>
      </w:r>
      <w:r>
        <w:rPr>
          <w:color w:val="auto"/>
        </w:rPr>
      </w:r>
    </w:p>
    <w:p>
      <w:pPr>
        <w:pStyle w:val="702"/>
        <w:rPr>
          <w:color w:val="auto"/>
          <w:highlight w:val="none"/>
        </w:rPr>
      </w:pPr>
      <w:r>
        <w:rPr>
          <w:color w:val="auto"/>
          <w:highlight w:val="none"/>
        </w:rPr>
      </w:r>
      <w:r>
        <w:rPr>
          <w:color w:val="auto"/>
        </w:rPr>
      </w:r>
    </w:p>
    <w:p>
      <w:pPr>
        <w:pStyle w:val="702"/>
        <w:jc w:val="center"/>
        <w:widowControl/>
        <w:rPr>
          <w:rFonts w:hint="eastAsia" w:ascii="宋体" w:hAnsi="宋体"/>
          <w:b/>
          <w:color w:val="auto"/>
          <w:sz w:val="32"/>
          <w:szCs w:val="32"/>
          <w:highlight w:val="none"/>
        </w:rPr>
      </w:pPr>
      <w:r>
        <w:rPr>
          <w:rFonts w:hint="eastAsia" w:ascii="宋体" w:hAnsi="宋体"/>
          <w:b/>
          <w:color w:val="auto"/>
          <w:sz w:val="24"/>
          <w:highlight w:val="none"/>
        </w:rPr>
        <w:br w:type="page" w:clear="all"/>
      </w:r>
      <w:r>
        <w:rPr>
          <w:rFonts w:hint="eastAsia" w:ascii="宋体" w:hAnsi="宋体"/>
          <w:b/>
          <w:color w:val="auto"/>
          <w:sz w:val="32"/>
          <w:szCs w:val="32"/>
          <w:highlight w:val="none"/>
        </w:rPr>
        <w:t xml:space="preserve">前附表</w:t>
      </w:r>
      <w:r>
        <w:rPr>
          <w:rFonts w:hint="eastAsia" w:ascii="宋体" w:hAnsi="宋体"/>
          <w:b/>
          <w:color w:val="auto"/>
          <w:sz w:val="32"/>
          <w:szCs w:val="32"/>
          <w:highlight w:val="none"/>
        </w:rPr>
      </w:r>
      <w:r>
        <w:rPr>
          <w:color w:val="auto"/>
        </w:rP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60"/>
        <w:gridCol w:w="2176"/>
        <w:gridCol w:w="5685"/>
      </w:tblGrid>
      <w:tr>
        <w:trPr/>
        <w:tc>
          <w:tcPr>
            <w:tcW w:w="660" w:type="dxa"/>
            <w:vAlign w:val="center"/>
            <w:textDirection w:val="lrTb"/>
            <w:noWrap w:val="false"/>
          </w:tcPr>
          <w:p>
            <w:pPr>
              <w:pStyle w:val="702"/>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项号</w:t>
            </w:r>
            <w:r>
              <w:rPr>
                <w:rFonts w:hint="eastAsia" w:ascii="宋体" w:hAnsi="宋体"/>
                <w:b/>
                <w:color w:val="auto"/>
                <w:szCs w:val="21"/>
                <w:highlight w:val="none"/>
              </w:rPr>
            </w:r>
            <w:r>
              <w:rPr>
                <w:color w:val="auto"/>
              </w:rPr>
            </w:r>
          </w:p>
        </w:tc>
        <w:tc>
          <w:tcPr>
            <w:tcW w:w="2176" w:type="dxa"/>
            <w:vAlign w:val="center"/>
            <w:textDirection w:val="lrTb"/>
            <w:noWrap w:val="false"/>
          </w:tcPr>
          <w:p>
            <w:pPr>
              <w:pStyle w:val="702"/>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名称</w:t>
            </w:r>
            <w:r>
              <w:rPr>
                <w:rFonts w:hint="eastAsia" w:ascii="宋体" w:hAnsi="宋体"/>
                <w:b/>
                <w:color w:val="auto"/>
                <w:szCs w:val="21"/>
                <w:highlight w:val="none"/>
              </w:rPr>
            </w:r>
            <w:r>
              <w:rPr>
                <w:color w:val="auto"/>
              </w:rPr>
            </w:r>
          </w:p>
        </w:tc>
        <w:tc>
          <w:tcPr>
            <w:tcW w:w="5685" w:type="dxa"/>
            <w:vAlign w:val="center"/>
            <w:textDirection w:val="lrTb"/>
            <w:noWrap w:val="false"/>
          </w:tcPr>
          <w:p>
            <w:pPr>
              <w:pStyle w:val="702"/>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内容规定</w:t>
            </w:r>
            <w:r>
              <w:rPr>
                <w:rFonts w:hint="eastAsia" w:ascii="宋体" w:hAnsi="宋体"/>
                <w:b/>
                <w:color w:val="auto"/>
                <w:szCs w:val="21"/>
                <w:highlight w:val="none"/>
              </w:rPr>
            </w:r>
            <w:r>
              <w:rPr>
                <w:color w:val="auto"/>
              </w:rPr>
            </w:r>
          </w:p>
        </w:tc>
      </w:tr>
      <w:tr>
        <w:trPr/>
        <w:tc>
          <w:tcPr>
            <w:tcW w:w="660" w:type="dxa"/>
            <w:vAlign w:val="center"/>
            <w:textDirection w:val="lrTb"/>
            <w:noWrap w:val="false"/>
          </w:tcPr>
          <w:p>
            <w:pPr>
              <w:pStyle w:val="702"/>
              <w:jc w:val="center"/>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r>
            <w:r>
              <w:rPr>
                <w:color w:val="auto"/>
              </w:rPr>
            </w:r>
          </w:p>
        </w:tc>
        <w:tc>
          <w:tcPr>
            <w:tcW w:w="2176" w:type="dxa"/>
            <w:vAlign w:val="center"/>
            <w:textDirection w:val="lrTb"/>
            <w:noWrap w:val="false"/>
          </w:tcPr>
          <w:p>
            <w:pPr>
              <w:pStyle w:val="702"/>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招标内容</w:t>
            </w:r>
            <w:r>
              <w:rPr>
                <w:rFonts w:hint="eastAsia" w:ascii="宋体" w:hAnsi="宋体"/>
                <w:color w:val="auto"/>
                <w:szCs w:val="21"/>
                <w:highlight w:val="none"/>
              </w:rPr>
            </w:r>
            <w:r>
              <w:rPr>
                <w:color w:val="auto"/>
              </w:rPr>
            </w:r>
          </w:p>
        </w:tc>
        <w:tc>
          <w:tcPr>
            <w:tcW w:w="5685" w:type="dxa"/>
            <w:vAlign w:val="center"/>
            <w:textDirection w:val="lrTb"/>
            <w:noWrap w:val="false"/>
          </w:tcPr>
          <w:p>
            <w:pPr>
              <w:pStyle w:val="702"/>
              <w:spacing w:line="360" w:lineRule="auto"/>
              <w:rPr>
                <w:rFonts w:hint="eastAsia" w:ascii="宋体" w:hAnsi="宋体"/>
                <w:b/>
                <w:bCs/>
                <w:color w:val="auto"/>
                <w:szCs w:val="21"/>
                <w:highlight w:val="none"/>
              </w:rPr>
            </w:pPr>
            <w:r>
              <w:rPr>
                <w:rFonts w:hint="eastAsia" w:ascii="宋体" w:hAnsi="宋体" w:cs="宋体"/>
                <w:bCs/>
                <w:color w:val="auto"/>
                <w:szCs w:val="21"/>
                <w:highlight w:val="none"/>
              </w:rPr>
              <w:t xml:space="preserve">原苏州其安工艺品有限公司地块土壤污染状况调查及风险评估项目</w:t>
            </w:r>
            <w:r>
              <w:rPr>
                <w:rFonts w:hint="eastAsia" w:ascii="宋体" w:hAnsi="宋体"/>
                <w:b/>
                <w:bCs/>
                <w:color w:val="auto"/>
                <w:szCs w:val="21"/>
                <w:highlight w:val="none"/>
              </w:rPr>
            </w:r>
            <w:r>
              <w:rPr>
                <w:color w:val="auto"/>
              </w:rPr>
            </w:r>
          </w:p>
        </w:tc>
      </w:tr>
      <w:tr>
        <w:trPr/>
        <w:tc>
          <w:tcPr>
            <w:tcW w:w="660" w:type="dxa"/>
            <w:vAlign w:val="center"/>
            <w:textDirection w:val="lrTb"/>
            <w:noWrap w:val="false"/>
          </w:tcPr>
          <w:p>
            <w:pPr>
              <w:pStyle w:val="702"/>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rPr>
            </w:r>
            <w:r>
              <w:rPr>
                <w:color w:val="auto"/>
              </w:rPr>
            </w:r>
          </w:p>
        </w:tc>
        <w:tc>
          <w:tcPr>
            <w:tcW w:w="2176" w:type="dxa"/>
            <w:vAlign w:val="center"/>
            <w:textDirection w:val="lrTb"/>
            <w:noWrap w:val="false"/>
          </w:tcPr>
          <w:p>
            <w:pPr>
              <w:pStyle w:val="702"/>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招标编号</w:t>
            </w:r>
            <w:r>
              <w:rPr>
                <w:rFonts w:hint="eastAsia" w:ascii="宋体" w:hAnsi="宋体"/>
                <w:color w:val="auto"/>
                <w:szCs w:val="21"/>
                <w:highlight w:val="none"/>
              </w:rPr>
            </w:r>
            <w:r>
              <w:rPr>
                <w:color w:val="auto"/>
              </w:rPr>
            </w:r>
          </w:p>
        </w:tc>
        <w:tc>
          <w:tcPr>
            <w:tcW w:w="5685" w:type="dxa"/>
            <w:vAlign w:val="center"/>
            <w:textDirection w:val="lrTb"/>
            <w:noWrap w:val="false"/>
          </w:tcPr>
          <w:p>
            <w:pPr>
              <w:pStyle w:val="702"/>
              <w:spacing w:line="360" w:lineRule="auto"/>
              <w:rPr>
                <w:rFonts w:hint="eastAsia" w:ascii="宋体" w:hAnsi="宋体" w:eastAsia="宋体"/>
                <w:color w:val="auto"/>
                <w:szCs w:val="21"/>
                <w:highlight w:val="none"/>
              </w:rPr>
            </w:pPr>
            <w:r>
              <w:rPr>
                <w:rFonts w:hint="eastAsia" w:ascii="宋体" w:hAnsi="宋体"/>
                <w:color w:val="auto"/>
                <w:szCs w:val="21"/>
                <w:highlight w:val="none"/>
                <w:lang w:eastAsia="zh-CN"/>
              </w:rPr>
              <w:t xml:space="preserve">JSZC-320507-SZJX-G2024-0066</w:t>
            </w:r>
            <w:r>
              <w:rPr>
                <w:rFonts w:hint="eastAsia" w:ascii="宋体" w:hAnsi="宋体" w:eastAsia="宋体"/>
                <w:color w:val="auto"/>
                <w:szCs w:val="21"/>
                <w:highlight w:val="none"/>
                <w:lang w:eastAsia="zh-CN"/>
              </w:rPr>
            </w:r>
            <w:r>
              <w:rPr>
                <w:color w:val="auto"/>
              </w:rPr>
            </w:r>
          </w:p>
        </w:tc>
      </w:tr>
      <w:tr>
        <w:trPr/>
        <w:tc>
          <w:tcPr>
            <w:tcW w:w="660" w:type="dxa"/>
            <w:vAlign w:val="center"/>
            <w:textDirection w:val="lrTb"/>
            <w:noWrap w:val="false"/>
          </w:tcPr>
          <w:p>
            <w:pPr>
              <w:pStyle w:val="702"/>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rPr>
            </w:r>
            <w:r>
              <w:rPr>
                <w:color w:val="auto"/>
              </w:rPr>
            </w:r>
          </w:p>
        </w:tc>
        <w:tc>
          <w:tcPr>
            <w:tcW w:w="2176" w:type="dxa"/>
            <w:vAlign w:val="center"/>
            <w:textDirection w:val="lrTb"/>
            <w:noWrap w:val="false"/>
          </w:tcPr>
          <w:p>
            <w:pPr>
              <w:pStyle w:val="702"/>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投标有效期</w:t>
            </w:r>
            <w:r>
              <w:rPr>
                <w:rFonts w:hint="eastAsia" w:ascii="宋体" w:hAnsi="宋体"/>
                <w:color w:val="auto"/>
                <w:szCs w:val="21"/>
                <w:highlight w:val="none"/>
              </w:rPr>
            </w:r>
            <w:r>
              <w:rPr>
                <w:color w:val="auto"/>
              </w:rPr>
            </w:r>
          </w:p>
        </w:tc>
        <w:tc>
          <w:tcPr>
            <w:tcW w:w="5685" w:type="dxa"/>
            <w:vAlign w:val="center"/>
            <w:textDirection w:val="lrTb"/>
            <w:noWrap w:val="false"/>
          </w:tcPr>
          <w:p>
            <w:pPr>
              <w:pStyle w:val="702"/>
              <w:spacing w:line="360" w:lineRule="auto"/>
              <w:rPr>
                <w:rFonts w:hint="eastAsia" w:ascii="宋体" w:hAnsi="宋体"/>
                <w:color w:val="auto"/>
                <w:szCs w:val="21"/>
                <w:highlight w:val="none"/>
              </w:rPr>
            </w:pPr>
            <w:r>
              <w:rPr>
                <w:rFonts w:hint="eastAsia" w:ascii="宋体" w:hAnsi="宋体"/>
                <w:color w:val="auto"/>
                <w:szCs w:val="21"/>
                <w:highlight w:val="none"/>
              </w:rPr>
              <w:t xml:space="preserve">九十天（日历日）</w:t>
            </w:r>
            <w:r>
              <w:rPr>
                <w:rFonts w:hint="eastAsia" w:ascii="宋体" w:hAnsi="宋体"/>
                <w:color w:val="auto"/>
                <w:szCs w:val="21"/>
                <w:highlight w:val="none"/>
              </w:rPr>
            </w:r>
            <w:r>
              <w:rPr>
                <w:color w:val="auto"/>
              </w:rPr>
            </w:r>
          </w:p>
        </w:tc>
      </w:tr>
      <w:tr>
        <w:trPr/>
        <w:tc>
          <w:tcPr>
            <w:tcW w:w="660" w:type="dxa"/>
            <w:vAlign w:val="center"/>
            <w:textDirection w:val="lrTb"/>
            <w:noWrap w:val="false"/>
          </w:tcPr>
          <w:p>
            <w:pPr>
              <w:pStyle w:val="702"/>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rPr>
                <w:rFonts w:hint="eastAsia" w:ascii="宋体" w:hAnsi="宋体"/>
                <w:color w:val="auto"/>
                <w:szCs w:val="21"/>
                <w:highlight w:val="none"/>
              </w:rPr>
            </w:r>
            <w:r>
              <w:rPr>
                <w:color w:val="auto"/>
              </w:rPr>
            </w:r>
          </w:p>
        </w:tc>
        <w:tc>
          <w:tcPr>
            <w:tcW w:w="2176" w:type="dxa"/>
            <w:vAlign w:val="center"/>
            <w:textDirection w:val="lrTb"/>
            <w:noWrap w:val="false"/>
          </w:tcPr>
          <w:p>
            <w:pPr>
              <w:pStyle w:val="702"/>
              <w:jc w:val="center"/>
              <w:spacing w:line="360" w:lineRule="auto"/>
              <w:rPr>
                <w:rFonts w:hint="eastAsia" w:ascii="宋体" w:hAnsi="宋体"/>
                <w:color w:val="auto"/>
                <w:szCs w:val="21"/>
                <w:highlight w:val="none"/>
              </w:rPr>
            </w:pPr>
            <w:r>
              <w:rPr>
                <w:rFonts w:ascii="宋体" w:hAnsi="宋体"/>
                <w:color w:val="auto"/>
                <w:szCs w:val="21"/>
                <w:highlight w:val="none"/>
              </w:rPr>
              <w:t xml:space="preserve">现场</w:t>
            </w:r>
            <w:r>
              <w:rPr>
                <w:rFonts w:hint="eastAsia" w:ascii="宋体" w:hAnsi="宋体"/>
                <w:color w:val="auto"/>
                <w:szCs w:val="21"/>
                <w:highlight w:val="none"/>
              </w:rPr>
              <w:t xml:space="preserve">考察</w:t>
            </w:r>
            <w:r>
              <w:rPr>
                <w:rFonts w:hint="eastAsia" w:ascii="宋体" w:hAnsi="宋体"/>
                <w:color w:val="auto"/>
                <w:szCs w:val="21"/>
                <w:highlight w:val="none"/>
              </w:rPr>
            </w:r>
            <w:r>
              <w:rPr>
                <w:color w:val="auto"/>
              </w:rPr>
            </w:r>
          </w:p>
        </w:tc>
        <w:tc>
          <w:tcPr>
            <w:tcW w:w="5685" w:type="dxa"/>
            <w:vAlign w:val="center"/>
            <w:textDirection w:val="lrTb"/>
            <w:noWrap w:val="false"/>
          </w:tcPr>
          <w:p>
            <w:pPr>
              <w:pStyle w:val="702"/>
              <w:spacing w:line="360" w:lineRule="auto"/>
              <w:tabs>
                <w:tab w:val="left" w:pos="915" w:leader="none"/>
              </w:tabs>
              <w:rPr>
                <w:rFonts w:hint="eastAsia" w:ascii="宋体" w:hAnsi="宋体"/>
                <w:color w:val="auto"/>
                <w:szCs w:val="21"/>
                <w:highlight w:val="none"/>
              </w:rPr>
            </w:pPr>
            <w:r>
              <w:rPr>
                <w:rFonts w:hint="eastAsia" w:ascii="宋体" w:hAnsi="宋体"/>
                <w:color w:val="auto"/>
                <w:szCs w:val="21"/>
                <w:highlight w:val="none"/>
              </w:rPr>
              <w:t xml:space="preserve">不组织，自行考察。</w:t>
            </w:r>
            <w:r>
              <w:rPr>
                <w:rFonts w:hint="eastAsia" w:ascii="宋体" w:hAnsi="宋体"/>
                <w:color w:val="auto"/>
                <w:szCs w:val="21"/>
                <w:highlight w:val="none"/>
              </w:rPr>
            </w:r>
            <w:r>
              <w:rPr>
                <w:color w:val="auto"/>
              </w:rPr>
            </w:r>
          </w:p>
        </w:tc>
      </w:tr>
      <w:tr>
        <w:trPr/>
        <w:tc>
          <w:tcPr>
            <w:tcW w:w="660" w:type="dxa"/>
            <w:vAlign w:val="center"/>
            <w:textDirection w:val="lrTb"/>
            <w:noWrap w:val="false"/>
          </w:tcPr>
          <w:p>
            <w:pPr>
              <w:pStyle w:val="702"/>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rPr>
                <w:rFonts w:hint="eastAsia" w:ascii="宋体" w:hAnsi="宋体"/>
                <w:color w:val="auto"/>
                <w:szCs w:val="21"/>
                <w:highlight w:val="none"/>
              </w:rPr>
            </w:r>
            <w:r>
              <w:rPr>
                <w:color w:val="auto"/>
              </w:rPr>
            </w:r>
          </w:p>
        </w:tc>
        <w:tc>
          <w:tcPr>
            <w:tcW w:w="2176" w:type="dxa"/>
            <w:vAlign w:val="center"/>
            <w:textDirection w:val="lrTb"/>
            <w:noWrap w:val="false"/>
          </w:tcPr>
          <w:p>
            <w:pPr>
              <w:pStyle w:val="702"/>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投标保证金</w:t>
            </w:r>
            <w:r>
              <w:rPr>
                <w:rFonts w:hint="eastAsia" w:ascii="宋体" w:hAnsi="宋体"/>
                <w:color w:val="auto"/>
                <w:szCs w:val="21"/>
                <w:highlight w:val="none"/>
              </w:rPr>
            </w:r>
            <w:r>
              <w:rPr>
                <w:color w:val="auto"/>
              </w:rPr>
            </w:r>
          </w:p>
        </w:tc>
        <w:tc>
          <w:tcPr>
            <w:tcW w:w="5685" w:type="dxa"/>
            <w:vAlign w:val="bottom"/>
            <w:textDirection w:val="lrTb"/>
            <w:noWrap w:val="false"/>
          </w:tcPr>
          <w:p>
            <w:pPr>
              <w:pStyle w:val="702"/>
              <w:spacing w:line="360" w:lineRule="auto"/>
              <w:rPr>
                <w:rFonts w:hint="eastAsia" w:ascii="宋体" w:hAnsi="宋体"/>
                <w:color w:val="auto"/>
                <w:szCs w:val="21"/>
                <w:highlight w:val="none"/>
              </w:rPr>
            </w:pPr>
            <w:r>
              <w:rPr>
                <w:rFonts w:hint="eastAsia" w:ascii="宋体" w:hAnsi="宋体"/>
                <w:color w:val="auto"/>
                <w:szCs w:val="21"/>
                <w:highlight w:val="none"/>
              </w:rPr>
              <w:t xml:space="preserve">本项目不收取投标保证金。</w:t>
            </w:r>
            <w:r>
              <w:rPr>
                <w:rFonts w:hint="eastAsia" w:ascii="宋体" w:hAnsi="宋体"/>
                <w:color w:val="auto"/>
                <w:szCs w:val="21"/>
                <w:highlight w:val="none"/>
              </w:rPr>
            </w:r>
            <w:r>
              <w:rPr>
                <w:color w:val="auto"/>
              </w:rPr>
            </w:r>
          </w:p>
        </w:tc>
      </w:tr>
      <w:tr>
        <w:trPr/>
        <w:tc>
          <w:tcPr>
            <w:tcW w:w="660" w:type="dxa"/>
            <w:vAlign w:val="center"/>
            <w:textDirection w:val="lrTb"/>
            <w:noWrap w:val="false"/>
          </w:tcPr>
          <w:p>
            <w:pPr>
              <w:pStyle w:val="702"/>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rPr>
                <w:rFonts w:hint="eastAsia" w:ascii="宋体" w:hAnsi="宋体"/>
                <w:color w:val="auto"/>
                <w:szCs w:val="21"/>
                <w:highlight w:val="none"/>
              </w:rPr>
            </w:r>
            <w:r>
              <w:rPr>
                <w:color w:val="auto"/>
              </w:rPr>
            </w:r>
          </w:p>
        </w:tc>
        <w:tc>
          <w:tcPr>
            <w:tcW w:w="2176" w:type="dxa"/>
            <w:vAlign w:val="center"/>
            <w:textDirection w:val="lrTb"/>
            <w:noWrap w:val="false"/>
          </w:tcPr>
          <w:p>
            <w:pPr>
              <w:pStyle w:val="702"/>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疑问</w:t>
            </w:r>
            <w:r>
              <w:rPr>
                <w:rFonts w:hint="eastAsia" w:ascii="宋体" w:hAnsi="宋体"/>
                <w:color w:val="auto"/>
                <w:szCs w:val="21"/>
                <w:highlight w:val="none"/>
              </w:rPr>
            </w:r>
            <w:r>
              <w:rPr>
                <w:color w:val="auto"/>
              </w:rPr>
            </w:r>
          </w:p>
        </w:tc>
        <w:tc>
          <w:tcPr>
            <w:tcW w:w="5685" w:type="dxa"/>
            <w:vAlign w:val="bottom"/>
            <w:textDirection w:val="lrTb"/>
            <w:noWrap w:val="false"/>
          </w:tcPr>
          <w:p>
            <w:pPr>
              <w:pStyle w:val="702"/>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投标单位对采购文件如有疑问，请将疑问按网上报名相关流程提出。</w:t>
            </w:r>
            <w:r>
              <w:rPr>
                <w:rFonts w:hint="eastAsia" w:ascii="宋体" w:hAnsi="宋体"/>
                <w:color w:val="auto"/>
                <w:szCs w:val="21"/>
                <w:highlight w:val="none"/>
              </w:rPr>
            </w:r>
            <w:r>
              <w:rPr>
                <w:color w:val="auto"/>
              </w:rPr>
            </w:r>
          </w:p>
        </w:tc>
      </w:tr>
      <w:tr>
        <w:trPr/>
        <w:tc>
          <w:tcPr>
            <w:tcW w:w="660" w:type="dxa"/>
            <w:vAlign w:val="center"/>
            <w:textDirection w:val="lrTb"/>
            <w:noWrap w:val="false"/>
          </w:tcPr>
          <w:p>
            <w:pPr>
              <w:pStyle w:val="702"/>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rPr>
                <w:rFonts w:hint="eastAsia" w:ascii="宋体" w:hAnsi="宋体"/>
                <w:color w:val="auto"/>
                <w:szCs w:val="21"/>
                <w:highlight w:val="none"/>
              </w:rPr>
            </w:r>
            <w:r>
              <w:rPr>
                <w:color w:val="auto"/>
              </w:rPr>
            </w:r>
          </w:p>
        </w:tc>
        <w:tc>
          <w:tcPr>
            <w:tcW w:w="2176" w:type="dxa"/>
            <w:vAlign w:val="center"/>
            <w:textDirection w:val="lrTb"/>
            <w:noWrap w:val="false"/>
          </w:tcPr>
          <w:p>
            <w:pPr>
              <w:pStyle w:val="702"/>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投标文件</w:t>
            </w:r>
            <w:r>
              <w:rPr>
                <w:rFonts w:hint="eastAsia" w:ascii="宋体" w:hAnsi="宋体"/>
                <w:color w:val="auto"/>
                <w:szCs w:val="21"/>
                <w:highlight w:val="none"/>
              </w:rPr>
            </w:r>
            <w:r>
              <w:rPr>
                <w:color w:val="auto"/>
              </w:rPr>
            </w:r>
          </w:p>
        </w:tc>
        <w:tc>
          <w:tcPr>
            <w:tcW w:w="5685" w:type="dxa"/>
            <w:vAlign w:val="center"/>
            <w:textDirection w:val="lrTb"/>
            <w:noWrap w:val="false"/>
          </w:tcPr>
          <w:p>
            <w:pPr>
              <w:pStyle w:val="702"/>
              <w:spacing w:line="360" w:lineRule="auto"/>
              <w:rPr>
                <w:rFonts w:hint="eastAsia" w:ascii="宋体" w:hAnsi="宋体"/>
                <w:color w:val="auto"/>
                <w:szCs w:val="21"/>
                <w:highlight w:val="none"/>
              </w:rPr>
            </w:pPr>
            <w:r>
              <w:rPr>
                <w:rFonts w:hint="eastAsia" w:ascii="宋体" w:hAnsi="宋体"/>
                <w:color w:val="auto"/>
                <w:szCs w:val="21"/>
                <w:highlight w:val="none"/>
              </w:rPr>
              <w:t xml:space="preserve">本项目采用电子招投标方式，请供应商在“苏采云”系统中操作成功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请供应商按照《苏采云系统供应商操作手册》、招标文件要求进行制作、上传电子投标文件，投标单位无需提供纸质投标文件。</w:t>
            </w:r>
            <w:r>
              <w:rPr>
                <w:rFonts w:hint="eastAsia" w:ascii="宋体" w:hAnsi="宋体"/>
                <w:color w:val="auto"/>
                <w:szCs w:val="21"/>
                <w:highlight w:val="none"/>
              </w:rPr>
            </w:r>
            <w:r>
              <w:rPr>
                <w:color w:val="auto"/>
              </w:rPr>
            </w:r>
          </w:p>
        </w:tc>
      </w:tr>
      <w:tr>
        <w:trPr/>
        <w:tc>
          <w:tcPr>
            <w:tcW w:w="660" w:type="dxa"/>
            <w:vAlign w:val="center"/>
            <w:textDirection w:val="lrTb"/>
            <w:noWrap w:val="false"/>
          </w:tcPr>
          <w:p>
            <w:pPr>
              <w:pStyle w:val="702"/>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rPr>
                <w:rFonts w:hint="eastAsia" w:ascii="宋体" w:hAnsi="宋体"/>
                <w:color w:val="auto"/>
                <w:szCs w:val="21"/>
                <w:highlight w:val="none"/>
              </w:rPr>
            </w:r>
            <w:r>
              <w:rPr>
                <w:color w:val="auto"/>
              </w:rPr>
            </w:r>
          </w:p>
        </w:tc>
        <w:tc>
          <w:tcPr>
            <w:tcW w:w="2176" w:type="dxa"/>
            <w:vAlign w:val="center"/>
            <w:textDirection w:val="lrTb"/>
            <w:noWrap w:val="false"/>
          </w:tcPr>
          <w:p>
            <w:pPr>
              <w:pStyle w:val="702"/>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网上报名截止时间</w:t>
            </w:r>
            <w:r>
              <w:rPr>
                <w:rFonts w:hint="eastAsia" w:ascii="宋体" w:hAnsi="宋体"/>
                <w:color w:val="auto"/>
                <w:szCs w:val="21"/>
                <w:highlight w:val="none"/>
              </w:rPr>
            </w:r>
            <w:r>
              <w:rPr>
                <w:color w:val="auto"/>
              </w:rPr>
            </w:r>
          </w:p>
        </w:tc>
        <w:tc>
          <w:tcPr>
            <w:tcW w:w="5685" w:type="dxa"/>
            <w:vAlign w:val="center"/>
            <w:textDirection w:val="lrTb"/>
            <w:noWrap w:val="false"/>
          </w:tcPr>
          <w:p>
            <w:pPr>
              <w:pStyle w:val="702"/>
              <w:spacing w:line="360" w:lineRule="auto"/>
              <w:rPr>
                <w:color w:val="auto"/>
                <w:szCs w:val="21"/>
                <w:highlight w:val="none"/>
              </w:rPr>
            </w:pPr>
            <w:r>
              <w:rPr>
                <w:rFonts w:hint="eastAsia" w:ascii="宋体" w:hAnsi="宋体"/>
                <w:color w:val="auto"/>
                <w:szCs w:val="21"/>
                <w:highlight w:val="none"/>
              </w:rPr>
              <w:t xml:space="preserve">时间：</w:t>
            </w:r>
            <w:r>
              <w:rPr>
                <w:rFonts w:hint="eastAsia" w:ascii="宋体" w:hAnsi="宋体"/>
                <w:color w:val="auto"/>
                <w:szCs w:val="21"/>
                <w:highlight w:val="none"/>
              </w:rPr>
              <w:t xml:space="preserve">2024 年9月13日</w:t>
            </w:r>
            <w:r>
              <w:rPr>
                <w:color w:val="auto"/>
                <w:szCs w:val="21"/>
                <w:highlight w:val="none"/>
              </w:rPr>
            </w:r>
            <w:r>
              <w:rPr>
                <w:color w:val="auto"/>
              </w:rPr>
            </w:r>
          </w:p>
        </w:tc>
      </w:tr>
      <w:tr>
        <w:trPr/>
        <w:tc>
          <w:tcPr>
            <w:tcW w:w="660" w:type="dxa"/>
            <w:vAlign w:val="center"/>
            <w:textDirection w:val="lrTb"/>
            <w:noWrap w:val="false"/>
          </w:tcPr>
          <w:p>
            <w:pPr>
              <w:pStyle w:val="702"/>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rPr>
            </w:r>
            <w:r>
              <w:rPr>
                <w:color w:val="auto"/>
              </w:rPr>
            </w:r>
          </w:p>
        </w:tc>
        <w:tc>
          <w:tcPr>
            <w:tcW w:w="2176" w:type="dxa"/>
            <w:vAlign w:val="center"/>
            <w:textDirection w:val="lrTb"/>
            <w:noWrap w:val="false"/>
          </w:tcPr>
          <w:p>
            <w:pPr>
              <w:pStyle w:val="702"/>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开标时间及地点</w:t>
            </w:r>
            <w:r>
              <w:rPr>
                <w:rFonts w:hint="eastAsia" w:ascii="宋体" w:hAnsi="宋体"/>
                <w:color w:val="auto"/>
                <w:szCs w:val="21"/>
                <w:highlight w:val="none"/>
              </w:rPr>
            </w:r>
            <w:r>
              <w:rPr>
                <w:color w:val="auto"/>
              </w:rPr>
            </w:r>
          </w:p>
        </w:tc>
        <w:tc>
          <w:tcPr>
            <w:tcW w:w="5685" w:type="dxa"/>
            <w:vAlign w:val="center"/>
            <w:textDirection w:val="lrTb"/>
            <w:noWrap w:val="false"/>
          </w:tcPr>
          <w:p>
            <w:pPr>
              <w:pStyle w:val="702"/>
              <w:spacing w:line="360" w:lineRule="auto"/>
              <w:rPr>
                <w:rFonts w:hint="eastAsia" w:ascii="宋体" w:hAnsi="宋体"/>
                <w:color w:val="auto"/>
                <w:szCs w:val="21"/>
                <w:highlight w:val="none"/>
              </w:rPr>
            </w:pPr>
            <w:r>
              <w:rPr>
                <w:rFonts w:hint="eastAsia" w:ascii="宋体" w:hAnsi="宋体"/>
                <w:color w:val="auto"/>
                <w:szCs w:val="21"/>
                <w:highlight w:val="none"/>
              </w:rPr>
              <w:t xml:space="preserve">时间：</w:t>
            </w:r>
            <w:r>
              <w:rPr>
                <w:rFonts w:hint="eastAsia" w:ascii="宋体" w:hAnsi="宋体"/>
                <w:color w:val="auto"/>
                <w:szCs w:val="21"/>
                <w:highlight w:val="none"/>
              </w:rPr>
              <w:t xml:space="preserve">2024年9月27日9：30 </w:t>
            </w:r>
            <w:r>
              <w:rPr>
                <w:rFonts w:hint="eastAsia" w:ascii="宋体" w:hAnsi="宋体"/>
                <w:color w:val="auto"/>
                <w:szCs w:val="21"/>
                <w:highlight w:val="none"/>
              </w:rPr>
            </w:r>
            <w:r>
              <w:rPr>
                <w:color w:val="auto"/>
              </w:rPr>
            </w:r>
          </w:p>
          <w:p>
            <w:pPr>
              <w:pStyle w:val="702"/>
              <w:spacing w:line="360" w:lineRule="auto"/>
              <w:rPr>
                <w:rFonts w:hint="eastAsia" w:ascii="宋体" w:hAnsi="宋体"/>
                <w:color w:val="auto"/>
                <w:szCs w:val="21"/>
                <w:highlight w:val="none"/>
              </w:rPr>
            </w:pPr>
            <w:r>
              <w:rPr>
                <w:rFonts w:hint="eastAsia" w:ascii="宋体" w:hAnsi="宋体"/>
                <w:color w:val="auto"/>
                <w:szCs w:val="21"/>
                <w:highlight w:val="none"/>
              </w:rPr>
              <w:t xml:space="preserve">地点：“苏采云”系统（网址：http://jszfcg.jsczt.cn/） </w:t>
            </w:r>
            <w:r>
              <w:rPr>
                <w:rFonts w:hint="eastAsia" w:ascii="宋体" w:hAnsi="宋体"/>
                <w:color w:val="auto"/>
                <w:szCs w:val="21"/>
                <w:highlight w:val="none"/>
              </w:rPr>
            </w:r>
            <w:r>
              <w:rPr>
                <w:color w:val="auto"/>
              </w:rPr>
            </w:r>
          </w:p>
        </w:tc>
      </w:tr>
      <w:tr>
        <w:trPr/>
        <w:tc>
          <w:tcPr>
            <w:tcW w:w="660" w:type="dxa"/>
            <w:vAlign w:val="center"/>
            <w:textDirection w:val="lrTb"/>
            <w:noWrap w:val="false"/>
          </w:tcPr>
          <w:p>
            <w:pPr>
              <w:pStyle w:val="702"/>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10</w:t>
            </w:r>
            <w:r>
              <w:rPr>
                <w:rFonts w:hint="eastAsia" w:ascii="宋体" w:hAnsi="宋体"/>
                <w:color w:val="auto"/>
                <w:szCs w:val="21"/>
                <w:highlight w:val="none"/>
              </w:rPr>
            </w:r>
            <w:r>
              <w:rPr>
                <w:color w:val="auto"/>
              </w:rPr>
            </w:r>
          </w:p>
        </w:tc>
        <w:tc>
          <w:tcPr>
            <w:tcW w:w="2176" w:type="dxa"/>
            <w:vAlign w:val="center"/>
            <w:textDirection w:val="lrTb"/>
            <w:noWrap w:val="false"/>
          </w:tcPr>
          <w:p>
            <w:pPr>
              <w:pStyle w:val="702"/>
              <w:jc w:val="center"/>
              <w:spacing w:line="360" w:lineRule="auto"/>
              <w:tabs>
                <w:tab w:val="left" w:pos="720" w:leader="none"/>
              </w:tabs>
              <w:rPr>
                <w:rFonts w:hint="eastAsia" w:ascii="宋体" w:hAnsi="宋体"/>
                <w:color w:val="auto"/>
                <w:szCs w:val="21"/>
                <w:highlight w:val="none"/>
              </w:rPr>
            </w:pPr>
            <w:r>
              <w:rPr>
                <w:rFonts w:hint="eastAsia" w:ascii="宋体" w:hAnsi="宋体"/>
                <w:color w:val="auto"/>
                <w:szCs w:val="21"/>
                <w:highlight w:val="none"/>
              </w:rPr>
              <w:t xml:space="preserve">中标服务费</w:t>
            </w:r>
            <w:r>
              <w:rPr>
                <w:rFonts w:hint="eastAsia" w:ascii="宋体" w:hAnsi="宋体"/>
                <w:color w:val="auto"/>
                <w:szCs w:val="21"/>
                <w:highlight w:val="none"/>
              </w:rPr>
            </w:r>
            <w:r>
              <w:rPr>
                <w:color w:val="auto"/>
              </w:rPr>
            </w:r>
          </w:p>
        </w:tc>
        <w:tc>
          <w:tcPr>
            <w:tcW w:w="5685" w:type="dxa"/>
            <w:vAlign w:val="top"/>
            <w:textDirection w:val="lrTb"/>
            <w:noWrap w:val="false"/>
          </w:tcPr>
          <w:p>
            <w:pPr>
              <w:pStyle w:val="702"/>
              <w:spacing w:line="360" w:lineRule="auto"/>
              <w:rPr>
                <w:rFonts w:hint="eastAsia" w:ascii="宋体" w:hAnsi="宋体"/>
                <w:color w:val="auto"/>
                <w:szCs w:val="21"/>
                <w:highlight w:val="none"/>
              </w:rPr>
            </w:pPr>
            <w:r>
              <w:rPr>
                <w:rFonts w:hint="eastAsia" w:ascii="宋体" w:hAnsi="宋体"/>
                <w:color w:val="auto"/>
                <w:szCs w:val="21"/>
                <w:highlight w:val="none"/>
              </w:rPr>
              <w:t xml:space="preserve">收费标准：预算金额100万元以下部分，费率为该部分预算金额的1.5%；预算金额100万元（含）－500万元部分，费率为该部分预算金额的1.1%；预算金额500万元（含）-1000万元部分，费率为该部分预算金额的0.8%。</w:t>
            </w:r>
            <w:r>
              <w:rPr>
                <w:rFonts w:hint="eastAsia" w:ascii="宋体" w:hAnsi="宋体"/>
                <w:color w:val="auto"/>
                <w:szCs w:val="21"/>
                <w:highlight w:val="none"/>
              </w:rPr>
            </w:r>
            <w:r>
              <w:rPr>
                <w:color w:val="auto"/>
              </w:rPr>
            </w:r>
          </w:p>
          <w:p>
            <w:pPr>
              <w:pStyle w:val="702"/>
              <w:spacing w:line="360" w:lineRule="auto"/>
              <w:rPr>
                <w:rFonts w:hint="eastAsia" w:ascii="宋体" w:hAnsi="宋体"/>
                <w:color w:val="auto"/>
                <w:szCs w:val="21"/>
                <w:highlight w:val="none"/>
              </w:rPr>
            </w:pPr>
            <w:r>
              <w:rPr>
                <w:rFonts w:hint="eastAsia" w:ascii="宋体" w:hAnsi="宋体"/>
                <w:color w:val="auto"/>
                <w:szCs w:val="21"/>
                <w:highlight w:val="none"/>
              </w:rPr>
              <w:t xml:space="preserve">说明：代理服务费以采购预算金额为基数依据，按以上规定的标准和差额定率累进法进行计算收取。账户名：苏州捷信招投标咨询有限公司</w:t>
            </w:r>
            <w:r>
              <w:rPr>
                <w:rFonts w:hint="eastAsia" w:ascii="宋体" w:hAnsi="宋体"/>
                <w:color w:val="auto"/>
                <w:szCs w:val="21"/>
                <w:highlight w:val="none"/>
              </w:rPr>
            </w:r>
            <w:r>
              <w:rPr>
                <w:color w:val="auto"/>
              </w:rPr>
            </w:r>
          </w:p>
          <w:p>
            <w:pPr>
              <w:pStyle w:val="702"/>
              <w:spacing w:line="360" w:lineRule="auto"/>
              <w:rPr>
                <w:rFonts w:hint="eastAsia" w:ascii="宋体" w:hAnsi="宋体"/>
                <w:color w:val="auto"/>
                <w:szCs w:val="21"/>
                <w:highlight w:val="none"/>
              </w:rPr>
            </w:pPr>
            <w:r>
              <w:rPr>
                <w:rFonts w:hint="eastAsia" w:ascii="宋体" w:hAnsi="宋体"/>
                <w:color w:val="auto"/>
                <w:szCs w:val="21"/>
                <w:highlight w:val="none"/>
              </w:rPr>
              <w:t xml:space="preserve">账号：543058195260</w:t>
            </w:r>
            <w:r>
              <w:rPr>
                <w:rFonts w:hint="eastAsia" w:ascii="宋体" w:hAnsi="宋体"/>
                <w:color w:val="auto"/>
                <w:szCs w:val="21"/>
                <w:highlight w:val="none"/>
              </w:rPr>
            </w:r>
            <w:r>
              <w:rPr>
                <w:color w:val="auto"/>
              </w:rPr>
            </w:r>
          </w:p>
          <w:p>
            <w:pPr>
              <w:pStyle w:val="702"/>
              <w:spacing w:line="360" w:lineRule="auto"/>
              <w:rPr>
                <w:rFonts w:hint="eastAsia" w:ascii="宋体" w:hAnsi="宋体"/>
                <w:color w:val="auto"/>
                <w:szCs w:val="21"/>
                <w:highlight w:val="none"/>
              </w:rPr>
            </w:pPr>
            <w:r>
              <w:rPr>
                <w:rFonts w:hint="eastAsia" w:ascii="宋体" w:hAnsi="宋体"/>
                <w:color w:val="auto"/>
                <w:szCs w:val="21"/>
                <w:highlight w:val="none"/>
              </w:rPr>
              <w:t xml:space="preserve">开户银行：中国银行苏州南园支行</w:t>
            </w:r>
            <w:r>
              <w:rPr>
                <w:rFonts w:hint="eastAsia" w:ascii="宋体" w:hAnsi="宋体"/>
                <w:color w:val="auto"/>
                <w:szCs w:val="21"/>
                <w:highlight w:val="none"/>
              </w:rPr>
            </w:r>
            <w:r>
              <w:rPr>
                <w:color w:val="auto"/>
              </w:rPr>
            </w:r>
          </w:p>
        </w:tc>
      </w:tr>
      <w:tr>
        <w:trPr/>
        <w:tc>
          <w:tcPr>
            <w:tcW w:w="660" w:type="dxa"/>
            <w:vAlign w:val="center"/>
            <w:textDirection w:val="lrTb"/>
            <w:noWrap w:val="false"/>
          </w:tcPr>
          <w:p>
            <w:pPr>
              <w:pStyle w:val="702"/>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11</w:t>
            </w:r>
            <w:r>
              <w:rPr>
                <w:rFonts w:hint="eastAsia" w:ascii="宋体" w:hAnsi="宋体"/>
                <w:color w:val="auto"/>
                <w:szCs w:val="21"/>
                <w:highlight w:val="none"/>
              </w:rPr>
            </w:r>
            <w:r>
              <w:rPr>
                <w:color w:val="auto"/>
              </w:rPr>
            </w:r>
          </w:p>
        </w:tc>
        <w:tc>
          <w:tcPr>
            <w:tcW w:w="2176" w:type="dxa"/>
            <w:vAlign w:val="center"/>
            <w:textDirection w:val="lrTb"/>
            <w:noWrap w:val="false"/>
          </w:tcPr>
          <w:p>
            <w:pPr>
              <w:pStyle w:val="702"/>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导致废标因素</w:t>
            </w:r>
            <w:r>
              <w:rPr>
                <w:rFonts w:hint="eastAsia" w:ascii="宋体" w:hAnsi="宋体"/>
                <w:color w:val="auto"/>
                <w:szCs w:val="21"/>
                <w:highlight w:val="none"/>
              </w:rPr>
            </w:r>
            <w:r>
              <w:rPr>
                <w:color w:val="auto"/>
              </w:rPr>
            </w:r>
          </w:p>
        </w:tc>
        <w:tc>
          <w:tcPr>
            <w:tcW w:w="5685" w:type="dxa"/>
            <w:vAlign w:val="center"/>
            <w:textDirection w:val="lrTb"/>
            <w:noWrap w:val="false"/>
          </w:tcPr>
          <w:p>
            <w:pPr>
              <w:pStyle w:val="70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出现下列情形之一的，为废标： </w:t>
            </w:r>
            <w:r>
              <w:rPr>
                <w:rFonts w:hint="eastAsia" w:ascii="宋体" w:hAnsi="宋体" w:cs="宋体"/>
                <w:color w:val="auto"/>
                <w:szCs w:val="21"/>
                <w:highlight w:val="none"/>
              </w:rPr>
            </w:r>
            <w:r>
              <w:rPr>
                <w:color w:val="auto"/>
              </w:rPr>
            </w:r>
          </w:p>
          <w:p>
            <w:pPr>
              <w:pStyle w:val="70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（一）符合专业条件的供应商或者对招标文件作实质响应的供应商不足三家的； </w:t>
            </w:r>
            <w:r>
              <w:rPr>
                <w:rFonts w:hint="eastAsia" w:ascii="宋体" w:hAnsi="宋体" w:cs="宋体"/>
                <w:color w:val="auto"/>
                <w:szCs w:val="21"/>
                <w:highlight w:val="none"/>
              </w:rPr>
            </w:r>
            <w:r>
              <w:rPr>
                <w:color w:val="auto"/>
              </w:rPr>
            </w:r>
          </w:p>
          <w:p>
            <w:pPr>
              <w:pStyle w:val="70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（二）出现影响采购公正的违法、违规行为的； </w:t>
            </w:r>
            <w:r>
              <w:rPr>
                <w:rFonts w:hint="eastAsia" w:ascii="宋体" w:hAnsi="宋体" w:cs="宋体"/>
                <w:color w:val="auto"/>
                <w:szCs w:val="21"/>
                <w:highlight w:val="none"/>
              </w:rPr>
            </w:r>
            <w:r>
              <w:rPr>
                <w:color w:val="auto"/>
              </w:rPr>
            </w:r>
          </w:p>
          <w:p>
            <w:pPr>
              <w:pStyle w:val="70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（三）投标单位的报价均超过了采购预算或者最高限价，采购人不能支付的； </w:t>
            </w:r>
            <w:r>
              <w:rPr>
                <w:rFonts w:hint="eastAsia" w:ascii="宋体" w:hAnsi="宋体" w:cs="宋体"/>
                <w:color w:val="auto"/>
                <w:szCs w:val="21"/>
                <w:highlight w:val="none"/>
              </w:rPr>
            </w:r>
            <w:r>
              <w:rPr>
                <w:color w:val="auto"/>
              </w:rPr>
            </w:r>
          </w:p>
          <w:p>
            <w:pPr>
              <w:pStyle w:val="702"/>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（四）因重大变故，采购任务取消的。</w:t>
            </w:r>
            <w:r>
              <w:rPr>
                <w:rFonts w:hint="eastAsia" w:ascii="宋体" w:hAnsi="宋体"/>
                <w:color w:val="auto"/>
                <w:szCs w:val="21"/>
                <w:highlight w:val="none"/>
              </w:rPr>
            </w:r>
            <w:r>
              <w:rPr>
                <w:color w:val="auto"/>
              </w:rPr>
            </w:r>
          </w:p>
        </w:tc>
      </w:tr>
      <w:tr>
        <w:trPr/>
        <w:tc>
          <w:tcPr>
            <w:tcW w:w="660" w:type="dxa"/>
            <w:vAlign w:val="center"/>
            <w:textDirection w:val="lrTb"/>
            <w:noWrap w:val="false"/>
          </w:tcPr>
          <w:p>
            <w:pPr>
              <w:pStyle w:val="702"/>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12</w:t>
            </w:r>
            <w:r>
              <w:rPr>
                <w:rFonts w:hint="eastAsia" w:ascii="宋体" w:hAnsi="宋体"/>
                <w:color w:val="auto"/>
                <w:szCs w:val="21"/>
                <w:highlight w:val="none"/>
              </w:rPr>
            </w:r>
            <w:r>
              <w:rPr>
                <w:color w:val="auto"/>
              </w:rPr>
            </w:r>
          </w:p>
        </w:tc>
        <w:tc>
          <w:tcPr>
            <w:tcW w:w="2176" w:type="dxa"/>
            <w:vAlign w:val="center"/>
            <w:textDirection w:val="lrTb"/>
            <w:noWrap w:val="false"/>
          </w:tcPr>
          <w:p>
            <w:pPr>
              <w:pStyle w:val="702"/>
              <w:jc w:val="center"/>
              <w:spacing w:line="360" w:lineRule="auto"/>
              <w:rPr>
                <w:rFonts w:hint="eastAsia" w:ascii="宋体" w:hAnsi="宋体"/>
                <w:color w:val="auto"/>
                <w:szCs w:val="21"/>
                <w:highlight w:val="none"/>
              </w:rPr>
            </w:pPr>
            <w:r>
              <w:rPr>
                <w:rFonts w:ascii="宋体" w:hAnsi="宋体"/>
                <w:color w:val="auto"/>
                <w:szCs w:val="21"/>
                <w:highlight w:val="none"/>
              </w:rPr>
              <w:t xml:space="preserve">导致无效标</w:t>
            </w:r>
            <w:r>
              <w:rPr>
                <w:rFonts w:hint="eastAsia" w:ascii="宋体" w:hAnsi="宋体"/>
                <w:color w:val="auto"/>
                <w:szCs w:val="21"/>
                <w:highlight w:val="none"/>
              </w:rPr>
            </w:r>
            <w:r>
              <w:rPr>
                <w:color w:val="auto"/>
              </w:rPr>
            </w:r>
          </w:p>
          <w:p>
            <w:pPr>
              <w:pStyle w:val="702"/>
              <w:jc w:val="center"/>
              <w:spacing w:line="360" w:lineRule="auto"/>
              <w:rPr>
                <w:rFonts w:hint="eastAsia" w:ascii="宋体" w:hAnsi="宋体"/>
                <w:color w:val="auto"/>
                <w:szCs w:val="21"/>
                <w:highlight w:val="none"/>
              </w:rPr>
            </w:pPr>
            <w:r>
              <w:rPr>
                <w:rFonts w:ascii="宋体" w:hAnsi="宋体"/>
                <w:color w:val="auto"/>
                <w:szCs w:val="21"/>
                <w:highlight w:val="none"/>
              </w:rPr>
              <w:t xml:space="preserve">因素</w:t>
            </w:r>
            <w:r>
              <w:rPr>
                <w:rFonts w:hint="eastAsia" w:ascii="宋体" w:hAnsi="宋体"/>
                <w:color w:val="auto"/>
                <w:szCs w:val="21"/>
                <w:highlight w:val="none"/>
              </w:rPr>
            </w:r>
            <w:r>
              <w:rPr>
                <w:color w:val="auto"/>
              </w:rPr>
            </w:r>
          </w:p>
        </w:tc>
        <w:tc>
          <w:tcPr>
            <w:tcW w:w="5685" w:type="dxa"/>
            <w:vAlign w:val="center"/>
            <w:textDirection w:val="lrTb"/>
            <w:noWrap w:val="false"/>
          </w:tcPr>
          <w:p>
            <w:pPr>
              <w:pStyle w:val="702"/>
              <w:spacing w:line="360" w:lineRule="auto"/>
              <w:rPr>
                <w:color w:val="auto"/>
                <w:szCs w:val="21"/>
                <w:highlight w:val="none"/>
              </w:rPr>
            </w:pPr>
            <w:r>
              <w:rPr>
                <w:color w:val="auto"/>
                <w:szCs w:val="21"/>
                <w:highlight w:val="none"/>
              </w:rPr>
              <w:t xml:space="preserve">投标文件属下列情况之一的，在资格性、符合性检查时按照无效投标处理：</w:t>
            </w:r>
            <w:r>
              <w:rPr>
                <w:color w:val="auto"/>
                <w:szCs w:val="21"/>
                <w:highlight w:val="none"/>
              </w:rPr>
            </w:r>
            <w:r>
              <w:rPr>
                <w:color w:val="auto"/>
              </w:rPr>
            </w:r>
          </w:p>
          <w:p>
            <w:pPr>
              <w:pStyle w:val="702"/>
              <w:spacing w:line="360" w:lineRule="auto"/>
              <w:rPr>
                <w:color w:val="auto"/>
                <w:szCs w:val="21"/>
                <w:highlight w:val="none"/>
              </w:rPr>
            </w:pPr>
            <w:r>
              <w:rPr>
                <w:rFonts w:hint="eastAsia"/>
                <w:color w:val="auto"/>
                <w:szCs w:val="21"/>
                <w:highlight w:val="none"/>
              </w:rPr>
              <w:t xml:space="preserve">（一）投标文件未按采购文件要求制作电子投标文件及签章的；</w:t>
            </w:r>
            <w:r>
              <w:rPr>
                <w:color w:val="auto"/>
                <w:szCs w:val="21"/>
                <w:highlight w:val="none"/>
              </w:rPr>
            </w:r>
            <w:r>
              <w:rPr>
                <w:color w:val="auto"/>
              </w:rPr>
            </w:r>
          </w:p>
          <w:p>
            <w:pPr>
              <w:pStyle w:val="702"/>
              <w:spacing w:line="360" w:lineRule="auto"/>
              <w:rPr>
                <w:color w:val="auto"/>
                <w:szCs w:val="21"/>
                <w:highlight w:val="none"/>
              </w:rPr>
            </w:pPr>
            <w:r>
              <w:rPr>
                <w:rFonts w:hint="eastAsia"/>
                <w:color w:val="auto"/>
                <w:szCs w:val="21"/>
                <w:highlight w:val="none"/>
              </w:rPr>
              <w:t xml:space="preserve">（二）不具备采购文件中规定的资格要求的；</w:t>
            </w:r>
            <w:r>
              <w:rPr>
                <w:color w:val="auto"/>
                <w:szCs w:val="21"/>
                <w:highlight w:val="none"/>
              </w:rPr>
            </w:r>
            <w:r>
              <w:rPr>
                <w:color w:val="auto"/>
              </w:rPr>
            </w:r>
          </w:p>
          <w:p>
            <w:pPr>
              <w:pStyle w:val="702"/>
              <w:spacing w:line="360" w:lineRule="auto"/>
              <w:rPr>
                <w:color w:val="auto"/>
                <w:szCs w:val="21"/>
                <w:highlight w:val="none"/>
              </w:rPr>
            </w:pPr>
            <w:r>
              <w:rPr>
                <w:rFonts w:hint="eastAsia"/>
                <w:color w:val="auto"/>
                <w:szCs w:val="21"/>
                <w:highlight w:val="none"/>
              </w:rPr>
              <w:t xml:space="preserve">（三）报价超过采购文件中规定的预算金额或者最高限价的；</w:t>
            </w:r>
            <w:r>
              <w:rPr>
                <w:color w:val="auto"/>
                <w:szCs w:val="21"/>
                <w:highlight w:val="none"/>
              </w:rPr>
            </w:r>
            <w:r>
              <w:rPr>
                <w:color w:val="auto"/>
              </w:rPr>
            </w:r>
          </w:p>
          <w:p>
            <w:pPr>
              <w:pStyle w:val="702"/>
              <w:spacing w:line="360" w:lineRule="auto"/>
              <w:rPr>
                <w:color w:val="auto"/>
                <w:szCs w:val="21"/>
                <w:highlight w:val="none"/>
              </w:rPr>
            </w:pPr>
            <w:r>
              <w:rPr>
                <w:rFonts w:hint="eastAsia"/>
                <w:color w:val="auto"/>
                <w:szCs w:val="21"/>
                <w:highlight w:val="none"/>
              </w:rPr>
              <w:t xml:space="preserve">（四）投标文件含有采购人不能接受的附加条件的；</w:t>
            </w:r>
            <w:r>
              <w:rPr>
                <w:color w:val="auto"/>
                <w:szCs w:val="21"/>
                <w:highlight w:val="none"/>
              </w:rPr>
            </w:r>
            <w:r>
              <w:rPr>
                <w:color w:val="auto"/>
              </w:rPr>
            </w:r>
          </w:p>
          <w:p>
            <w:pPr>
              <w:pStyle w:val="702"/>
              <w:spacing w:line="360" w:lineRule="auto"/>
              <w:rPr>
                <w:rFonts w:hint="eastAsia" w:ascii="宋体" w:hAnsi="宋体"/>
                <w:color w:val="auto"/>
                <w:szCs w:val="21"/>
                <w:highlight w:val="none"/>
              </w:rPr>
            </w:pPr>
            <w:r>
              <w:rPr>
                <w:rFonts w:hint="eastAsia"/>
                <w:color w:val="auto"/>
                <w:szCs w:val="21"/>
                <w:highlight w:val="none"/>
              </w:rPr>
              <w:t xml:space="preserve">（五）法律、法规和采购文件规定的其他无效情形。</w:t>
            </w:r>
            <w:r>
              <w:rPr>
                <w:rFonts w:hint="eastAsia" w:ascii="宋体" w:hAnsi="宋体"/>
                <w:color w:val="auto"/>
                <w:szCs w:val="21"/>
                <w:highlight w:val="none"/>
              </w:rPr>
            </w:r>
            <w:r>
              <w:rPr>
                <w:color w:val="auto"/>
              </w:rPr>
            </w:r>
          </w:p>
        </w:tc>
      </w:tr>
    </w:tbl>
    <w:p>
      <w:pPr>
        <w:pStyle w:val="702"/>
        <w:rPr>
          <w:color w:val="auto"/>
          <w:highlight w:val="none"/>
        </w:rPr>
      </w:pPr>
      <w:r>
        <w:rPr>
          <w:color w:val="auto"/>
          <w:highlight w:val="none"/>
        </w:rPr>
      </w:r>
      <w:r>
        <w:rPr>
          <w:color w:val="auto"/>
        </w:rPr>
      </w:r>
    </w:p>
    <w:p>
      <w:pPr>
        <w:pStyle w:val="702"/>
        <w:rPr>
          <w:rFonts w:ascii="黑体" w:eastAsia="黑体"/>
          <w:b/>
          <w:color w:val="auto"/>
          <w:sz w:val="52"/>
          <w:szCs w:val="52"/>
          <w:highlight w:val="none"/>
        </w:rPr>
      </w:pPr>
      <w:r>
        <w:rPr>
          <w:rFonts w:hint="eastAsia" w:ascii="黑体" w:eastAsia="黑体"/>
          <w:b/>
          <w:color w:val="auto"/>
          <w:sz w:val="52"/>
          <w:szCs w:val="52"/>
          <w:highlight w:val="none"/>
        </w:rPr>
        <w:br w:type="page" w:clear="all"/>
      </w:r>
      <w:r>
        <w:rPr>
          <w:rFonts w:ascii="黑体" w:eastAsia="黑体"/>
          <w:b/>
          <w:color w:val="auto"/>
          <w:sz w:val="52"/>
          <w:szCs w:val="52"/>
          <w:highlight w:val="none"/>
        </w:rPr>
      </w:r>
      <w:r>
        <w:rPr>
          <w:color w:val="auto"/>
        </w:rPr>
      </w:r>
    </w:p>
    <w:p>
      <w:pPr>
        <w:pStyle w:val="702"/>
        <w:rPr>
          <w:rFonts w:ascii="黑体" w:eastAsia="黑体"/>
          <w:b/>
          <w:color w:val="auto"/>
          <w:sz w:val="52"/>
          <w:szCs w:val="52"/>
          <w:highlight w:val="none"/>
        </w:rPr>
      </w:pPr>
      <w:r>
        <w:rPr>
          <w:rFonts w:ascii="黑体" w:eastAsia="黑体"/>
          <w:b/>
          <w:color w:val="auto"/>
          <w:sz w:val="52"/>
          <w:szCs w:val="52"/>
          <w:highlight w:val="none"/>
        </w:rPr>
      </w:r>
      <w:r>
        <w:rPr>
          <w:color w:val="auto"/>
        </w:rPr>
      </w:r>
    </w:p>
    <w:p>
      <w:pPr>
        <w:pStyle w:val="702"/>
        <w:jc w:val="center"/>
        <w:spacing w:line="48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目</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录</w:t>
      </w:r>
      <w:r>
        <w:rPr>
          <w:rFonts w:hint="eastAsia" w:ascii="宋体" w:hAnsi="宋体" w:cs="宋体"/>
          <w:color w:val="auto"/>
          <w:sz w:val="28"/>
          <w:szCs w:val="28"/>
          <w:highlight w:val="none"/>
        </w:rPr>
      </w:r>
      <w:r>
        <w:rPr>
          <w:color w:val="auto"/>
        </w:rPr>
      </w:r>
    </w:p>
    <w:p>
      <w:pPr>
        <w:pStyle w:val="953"/>
        <w:spacing w:line="480" w:lineRule="auto"/>
        <w:tabs>
          <w:tab w:val="right" w:pos="8306" w:leader="dot"/>
        </w:tabs>
        <w:rPr>
          <w:rFonts w:hint="eastAsia" w:ascii="宋体" w:hAnsi="宋体" w:cs="宋体"/>
          <w:color w:val="auto"/>
          <w:sz w:val="21"/>
          <w:szCs w:val="21"/>
          <w:highlight w:val="none"/>
        </w:rPr>
      </w:pP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TOC \o "1-1" \h \u </w:instrText>
      </w:r>
      <w:r>
        <w:rPr>
          <w:rFonts w:hint="eastAsia" w:ascii="宋体" w:hAnsi="宋体" w:cs="宋体"/>
          <w:color w:val="auto"/>
          <w:sz w:val="21"/>
          <w:szCs w:val="21"/>
          <w:highlight w:val="none"/>
        </w:rPr>
        <w:fldChar w:fldCharType="separate"/>
      </w:r>
      <w:r>
        <w:rPr>
          <w:rFonts w:hint="eastAsia" w:ascii="宋体" w:hAnsi="宋体" w:cs="宋体"/>
          <w:color w:val="auto"/>
          <w:sz w:val="21"/>
          <w:szCs w:val="21"/>
          <w:highlight w:val="none"/>
        </w:rPr>
      </w:r>
      <w:r>
        <w:rPr>
          <w:color w:val="auto"/>
        </w:rPr>
      </w:r>
    </w:p>
    <w:p>
      <w:pPr>
        <w:pStyle w:val="953"/>
        <w:spacing w:line="480" w:lineRule="auto"/>
        <w:tabs>
          <w:tab w:val="right" w:pos="8306"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"_Toc2596" </w:instrText>
      </w:r>
      <w:r>
        <w:rPr>
          <w:color w:val="auto"/>
          <w:highlight w:val="none"/>
        </w:rPr>
        <w:fldChar w:fldCharType="separate"/>
      </w:r>
      <w:r>
        <w:rPr>
          <w:rFonts w:hint="eastAsia" w:ascii="宋体" w:hAnsi="宋体" w:cs="宋体"/>
          <w:color w:val="auto"/>
          <w:sz w:val="28"/>
          <w:szCs w:val="28"/>
          <w:highlight w:val="none"/>
        </w:rPr>
        <w:t xml:space="preserve">第一章  投标邀请函</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r>
      <w:r>
        <w:rPr>
          <w:color w:val="auto"/>
        </w:rPr>
      </w:r>
    </w:p>
    <w:p>
      <w:pPr>
        <w:pStyle w:val="953"/>
        <w:spacing w:line="480" w:lineRule="auto"/>
        <w:tabs>
          <w:tab w:val="right" w:pos="8306"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"_Toc29762" </w:instrText>
      </w:r>
      <w:r>
        <w:rPr>
          <w:color w:val="auto"/>
          <w:highlight w:val="none"/>
        </w:rPr>
        <w:fldChar w:fldCharType="separate"/>
      </w:r>
      <w:r>
        <w:rPr>
          <w:rFonts w:hint="eastAsia" w:ascii="宋体" w:hAnsi="宋体" w:cs="宋体"/>
          <w:color w:val="auto"/>
          <w:sz w:val="28"/>
          <w:szCs w:val="28"/>
          <w:highlight w:val="none"/>
        </w:rPr>
        <w:t xml:space="preserve">第二章  投标单位须知</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r>
      <w:r>
        <w:rPr>
          <w:color w:val="auto"/>
        </w:rPr>
      </w:r>
    </w:p>
    <w:p>
      <w:pPr>
        <w:pStyle w:val="953"/>
        <w:spacing w:line="480" w:lineRule="auto"/>
        <w:tabs>
          <w:tab w:val="right" w:pos="8306"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"_Toc2795" </w:instrText>
      </w:r>
      <w:r>
        <w:rPr>
          <w:color w:val="auto"/>
          <w:highlight w:val="none"/>
        </w:rPr>
        <w:fldChar w:fldCharType="separate"/>
      </w:r>
      <w:r>
        <w:rPr>
          <w:rFonts w:hint="eastAsia" w:ascii="宋体" w:hAnsi="宋体" w:cs="宋体"/>
          <w:bCs/>
          <w:color w:val="auto"/>
          <w:sz w:val="28"/>
          <w:szCs w:val="28"/>
          <w:highlight w:val="none"/>
        </w:rPr>
        <w:t xml:space="preserve">第三章  投标文件格式</w:t>
      </w:r>
      <w:r>
        <w:rPr>
          <w:rFonts w:hint="eastAsia" w:ascii="宋体" w:hAnsi="宋体" w:cs="宋体"/>
          <w:bCs/>
          <w:color w:val="auto"/>
          <w:sz w:val="28"/>
          <w:szCs w:val="28"/>
          <w:highlight w:val="none"/>
        </w:rPr>
        <w:fldChar w:fldCharType="end"/>
      </w:r>
      <w:r>
        <w:rPr>
          <w:rFonts w:hint="eastAsia" w:ascii="宋体" w:hAnsi="宋体" w:cs="宋体"/>
          <w:color w:val="auto"/>
          <w:sz w:val="28"/>
          <w:szCs w:val="28"/>
          <w:highlight w:val="none"/>
        </w:rPr>
      </w:r>
      <w:r>
        <w:rPr>
          <w:color w:val="auto"/>
        </w:rPr>
      </w:r>
    </w:p>
    <w:p>
      <w:pPr>
        <w:pStyle w:val="953"/>
        <w:spacing w:line="480" w:lineRule="auto"/>
        <w:tabs>
          <w:tab w:val="right" w:pos="8306"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"_Toc4756" </w:instrText>
      </w:r>
      <w:r>
        <w:rPr>
          <w:color w:val="auto"/>
          <w:highlight w:val="none"/>
        </w:rPr>
        <w:fldChar w:fldCharType="separate"/>
      </w:r>
      <w:r>
        <w:rPr>
          <w:rFonts w:hint="eastAsia" w:ascii="宋体" w:hAnsi="宋体" w:cs="宋体"/>
          <w:color w:val="auto"/>
          <w:sz w:val="28"/>
          <w:szCs w:val="28"/>
          <w:highlight w:val="none"/>
        </w:rPr>
        <w:t xml:space="preserve">第四章  招标书</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r>
      <w:r>
        <w:rPr>
          <w:color w:val="auto"/>
        </w:rPr>
      </w:r>
    </w:p>
    <w:p>
      <w:pPr>
        <w:pStyle w:val="953"/>
        <w:spacing w:line="480" w:lineRule="auto"/>
        <w:tabs>
          <w:tab w:val="right" w:pos="8306"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"_Toc24694" </w:instrText>
      </w:r>
      <w:r>
        <w:rPr>
          <w:color w:val="auto"/>
          <w:highlight w:val="none"/>
        </w:rPr>
        <w:fldChar w:fldCharType="separate"/>
      </w:r>
      <w:r>
        <w:rPr>
          <w:rFonts w:hint="eastAsia" w:ascii="宋体" w:hAnsi="宋体" w:cs="宋体"/>
          <w:color w:val="auto"/>
          <w:sz w:val="28"/>
          <w:szCs w:val="28"/>
          <w:highlight w:val="none"/>
        </w:rPr>
        <w:t xml:space="preserve">第五章  合同文本</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r>
      <w:r>
        <w:rPr>
          <w:color w:val="auto"/>
        </w:rPr>
      </w:r>
    </w:p>
    <w:p>
      <w:pPr>
        <w:pStyle w:val="953"/>
        <w:spacing w:line="480" w:lineRule="auto"/>
        <w:tabs>
          <w:tab w:val="right" w:pos="8306"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"_Toc16153" </w:instrText>
      </w:r>
      <w:r>
        <w:rPr>
          <w:color w:val="auto"/>
          <w:highlight w:val="none"/>
        </w:rPr>
        <w:fldChar w:fldCharType="separate"/>
      </w:r>
      <w:r>
        <w:rPr>
          <w:rFonts w:hint="eastAsia" w:ascii="宋体" w:hAnsi="宋体" w:cs="宋体"/>
          <w:color w:val="auto"/>
          <w:sz w:val="28"/>
          <w:szCs w:val="28"/>
          <w:highlight w:val="none"/>
        </w:rPr>
        <w:t xml:space="preserve">第六章  评分办法及评分标准</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r>
      <w:r>
        <w:rPr>
          <w:color w:val="auto"/>
        </w:rPr>
      </w:r>
    </w:p>
    <w:p>
      <w:pPr>
        <w:pStyle w:val="953"/>
        <w:spacing w:line="480" w:lineRule="auto"/>
        <w:tabs>
          <w:tab w:val="right" w:pos="8306" w:leader="dot"/>
        </w:tabs>
        <w:rPr>
          <w:rFonts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第七章  附件</w:t>
      </w:r>
      <w:r>
        <w:rPr>
          <w:rFonts w:ascii="宋体" w:hAnsi="宋体" w:eastAsia="宋体" w:cs="宋体"/>
          <w:color w:val="auto"/>
          <w:sz w:val="28"/>
          <w:szCs w:val="28"/>
          <w:highlight w:val="none"/>
          <w:lang w:val="en-US" w:eastAsia="zh-CN"/>
        </w:rPr>
      </w:r>
      <w:r>
        <w:rPr>
          <w:color w:val="auto"/>
        </w:rPr>
      </w:r>
    </w:p>
    <w:p>
      <w:pPr>
        <w:pStyle w:val="702"/>
        <w:spacing w:line="480" w:lineRule="auto"/>
        <w:rPr>
          <w:rFonts w:hint="eastAsia" w:ascii="宋体" w:hAnsi="宋体" w:cs="宋体"/>
          <w:color w:val="auto"/>
          <w:szCs w:val="21"/>
          <w:highlight w:val="none"/>
        </w:rPr>
      </w:pPr>
      <w:r>
        <w:rPr>
          <w:rFonts w:hint="eastAsia" w:ascii="宋体" w:hAnsi="宋体" w:cs="宋体"/>
          <w:color w:val="auto"/>
          <w:szCs w:val="21"/>
          <w:highlight w:val="none"/>
        </w:rPr>
        <w:fldChar w:fldCharType="end"/>
      </w:r>
      <w:r>
        <w:rPr>
          <w:rFonts w:hint="eastAsia" w:ascii="宋体" w:hAnsi="宋体" w:cs="宋体"/>
          <w:color w:val="auto"/>
          <w:szCs w:val="21"/>
          <w:highlight w:val="none"/>
        </w:rPr>
      </w:r>
      <w:r>
        <w:rPr>
          <w:color w:val="auto"/>
        </w:rPr>
      </w:r>
    </w:p>
    <w:p>
      <w:pPr>
        <w:pStyle w:val="702"/>
        <w:rPr>
          <w:color w:val="auto"/>
          <w:highlight w:val="none"/>
        </w:rPr>
      </w:pPr>
      <w:r>
        <w:rPr>
          <w:color w:val="auto"/>
          <w:highlight w:val="none"/>
        </w:rPr>
      </w:r>
      <w:r>
        <w:rPr>
          <w:color w:val="auto"/>
        </w:rPr>
      </w:r>
    </w:p>
    <w:p>
      <w:pPr>
        <w:pStyle w:val="702"/>
        <w:rPr>
          <w:color w:val="auto"/>
          <w:highlight w:val="none"/>
        </w:rPr>
      </w:pPr>
      <w:r>
        <w:rPr>
          <w:color w:val="auto"/>
          <w:highlight w:val="none"/>
        </w:rPr>
      </w:r>
      <w:r>
        <w:rPr>
          <w:color w:val="auto"/>
        </w:rPr>
      </w:r>
    </w:p>
    <w:p>
      <w:pPr>
        <w:pStyle w:val="702"/>
        <w:rPr>
          <w:color w:val="auto"/>
          <w:highlight w:val="none"/>
        </w:rPr>
      </w:pPr>
      <w:r>
        <w:rPr>
          <w:color w:val="auto"/>
          <w:highlight w:val="none"/>
        </w:rPr>
      </w:r>
      <w:r>
        <w:rPr>
          <w:color w:val="auto"/>
        </w:rPr>
      </w:r>
    </w:p>
    <w:p>
      <w:pPr>
        <w:pStyle w:val="702"/>
        <w:rPr>
          <w:color w:val="auto"/>
          <w:highlight w:val="none"/>
        </w:rPr>
      </w:pPr>
      <w:r>
        <w:rPr>
          <w:color w:val="auto"/>
          <w:highlight w:val="none"/>
        </w:rPr>
      </w:r>
      <w:r>
        <w:rPr>
          <w:color w:val="auto"/>
        </w:rPr>
      </w:r>
    </w:p>
    <w:p>
      <w:pPr>
        <w:pStyle w:val="702"/>
        <w:rPr>
          <w:color w:val="auto"/>
          <w:highlight w:val="none"/>
        </w:rPr>
      </w:pPr>
      <w:r>
        <w:rPr>
          <w:color w:val="auto"/>
          <w:highlight w:val="none"/>
        </w:rPr>
      </w:r>
      <w:r>
        <w:rPr>
          <w:color w:val="auto"/>
        </w:rPr>
      </w:r>
    </w:p>
    <w:p>
      <w:pPr>
        <w:pStyle w:val="702"/>
        <w:rPr>
          <w:color w:val="auto"/>
          <w:highlight w:val="none"/>
        </w:rPr>
      </w:pPr>
      <w:r>
        <w:rPr>
          <w:color w:val="auto"/>
          <w:highlight w:val="none"/>
        </w:rPr>
      </w:r>
      <w:r>
        <w:rPr>
          <w:color w:val="auto"/>
        </w:rPr>
      </w:r>
    </w:p>
    <w:p>
      <w:pPr>
        <w:pStyle w:val="702"/>
        <w:rPr>
          <w:color w:val="auto"/>
          <w:highlight w:val="none"/>
        </w:rPr>
      </w:pPr>
      <w:r>
        <w:rPr>
          <w:color w:val="auto"/>
          <w:highlight w:val="none"/>
        </w:rPr>
      </w:r>
      <w:r>
        <w:rPr>
          <w:color w:val="auto"/>
        </w:rPr>
      </w:r>
    </w:p>
    <w:p>
      <w:pPr>
        <w:pStyle w:val="702"/>
        <w:rPr>
          <w:color w:val="auto"/>
          <w:highlight w:val="none"/>
        </w:rPr>
      </w:pPr>
      <w:r>
        <w:rPr>
          <w:color w:val="auto"/>
          <w:highlight w:val="none"/>
        </w:rPr>
      </w:r>
      <w:r>
        <w:rPr>
          <w:color w:val="auto"/>
        </w:rPr>
      </w:r>
    </w:p>
    <w:p>
      <w:pPr>
        <w:pStyle w:val="702"/>
        <w:rPr>
          <w:color w:val="auto"/>
          <w:highlight w:val="none"/>
        </w:rPr>
      </w:pPr>
      <w:r>
        <w:rPr>
          <w:color w:val="auto"/>
          <w:highlight w:val="none"/>
        </w:rPr>
      </w:r>
      <w:r>
        <w:rPr>
          <w:color w:val="auto"/>
        </w:rPr>
      </w:r>
    </w:p>
    <w:p>
      <w:pPr>
        <w:pStyle w:val="702"/>
        <w:rPr>
          <w:color w:val="auto"/>
          <w:highlight w:val="none"/>
        </w:rPr>
      </w:pPr>
      <w:r>
        <w:rPr>
          <w:color w:val="auto"/>
          <w:highlight w:val="none"/>
        </w:rPr>
      </w:r>
      <w:r>
        <w:rPr>
          <w:color w:val="auto"/>
        </w:rPr>
      </w:r>
    </w:p>
    <w:p>
      <w:pPr>
        <w:pStyle w:val="702"/>
        <w:rPr>
          <w:color w:val="auto"/>
          <w:highlight w:val="none"/>
        </w:rPr>
      </w:pPr>
      <w:r>
        <w:rPr>
          <w:color w:val="auto"/>
          <w:highlight w:val="none"/>
        </w:rPr>
      </w:r>
      <w:r>
        <w:rPr>
          <w:color w:val="auto"/>
        </w:rPr>
      </w:r>
    </w:p>
    <w:p>
      <w:pPr>
        <w:pStyle w:val="896"/>
        <w:jc w:val="center"/>
        <w:spacing w:before="0" w:after="0" w:line="360" w:lineRule="auto"/>
        <w:rPr>
          <w:rFonts w:hint="eastAsia" w:ascii="宋体" w:hAnsi="宋体" w:eastAsia="宋体"/>
          <w:color w:val="auto"/>
          <w:sz w:val="36"/>
          <w:szCs w:val="36"/>
          <w:highlight w:val="none"/>
        </w:rPr>
      </w:pPr>
      <w:r>
        <w:rPr>
          <w:color w:val="auto"/>
        </w:rPr>
      </w:r>
      <w:bookmarkStart w:id="16" w:name="_Toc26877"/>
      <w:r>
        <w:rPr>
          <w:rFonts w:hint="eastAsia" w:ascii="宋体" w:hAnsi="宋体" w:eastAsia="宋体"/>
          <w:color w:val="auto"/>
          <w:sz w:val="36"/>
          <w:szCs w:val="36"/>
          <w:highlight w:val="none"/>
        </w:rPr>
        <w:br w:type="page" w:clear="all"/>
      </w:r>
      <w:bookmarkStart w:id="17" w:name="_Toc17397"/>
      <w:r>
        <w:rPr>
          <w:color w:val="auto"/>
        </w:rPr>
      </w:r>
      <w:bookmarkStart w:id="18" w:name="_Toc28034"/>
      <w:r>
        <w:rPr>
          <w:color w:val="auto"/>
        </w:rPr>
      </w:r>
      <w:bookmarkStart w:id="19" w:name="_Toc2596"/>
      <w:r>
        <w:rPr>
          <w:color w:val="auto"/>
        </w:rPr>
      </w:r>
      <w:bookmarkStart w:id="20" w:name="_Toc30736"/>
      <w:r>
        <w:rPr>
          <w:color w:val="auto"/>
        </w:rPr>
      </w:r>
      <w:bookmarkStart w:id="21" w:name="_Toc4738"/>
      <w:r>
        <w:rPr>
          <w:color w:val="auto"/>
        </w:rPr>
      </w:r>
      <w:bookmarkStart w:id="22" w:name="_Toc25813"/>
      <w:r>
        <w:rPr>
          <w:color w:val="auto"/>
        </w:rPr>
      </w:r>
      <w:bookmarkStart w:id="23" w:name="_Toc2501"/>
      <w:r>
        <w:rPr>
          <w:color w:val="auto"/>
        </w:rPr>
      </w:r>
      <w:bookmarkStart w:id="24" w:name="_Toc4059"/>
      <w:r>
        <w:rPr>
          <w:color w:val="auto"/>
        </w:rPr>
      </w:r>
      <w:bookmarkStart w:id="25" w:name="_Toc14597"/>
      <w:r>
        <w:rPr>
          <w:color w:val="auto"/>
        </w:rPr>
      </w:r>
      <w:bookmarkStart w:id="26" w:name="_Toc4990"/>
      <w:r>
        <w:rPr>
          <w:rFonts w:hint="eastAsia" w:ascii="宋体" w:hAnsi="宋体" w:eastAsia="宋体"/>
          <w:color w:val="auto"/>
          <w:sz w:val="36"/>
          <w:szCs w:val="36"/>
          <w:highlight w:val="none"/>
        </w:rPr>
        <w:t xml:space="preserve">第一章  投标邀请函</w:t>
      </w:r>
      <w:bookmarkEnd w:id="16"/>
      <w:r>
        <w:rPr>
          <w:color w:val="auto"/>
        </w:rPr>
      </w:r>
      <w:bookmarkEnd w:id="17"/>
      <w:r>
        <w:rPr>
          <w:color w:val="auto"/>
        </w:rPr>
      </w:r>
      <w:bookmarkEnd w:id="18"/>
      <w:r>
        <w:rPr>
          <w:color w:val="auto"/>
        </w:rPr>
      </w:r>
      <w:bookmarkEnd w:id="19"/>
      <w:r>
        <w:rPr>
          <w:color w:val="auto"/>
        </w:rPr>
      </w:r>
      <w:bookmarkEnd w:id="20"/>
      <w:r>
        <w:rPr>
          <w:color w:val="auto"/>
        </w:rPr>
      </w:r>
      <w:bookmarkEnd w:id="21"/>
      <w:r>
        <w:rPr>
          <w:color w:val="auto"/>
        </w:rPr>
      </w:r>
      <w:bookmarkEnd w:id="22"/>
      <w:r>
        <w:rPr>
          <w:color w:val="auto"/>
        </w:rPr>
      </w:r>
      <w:bookmarkEnd w:id="23"/>
      <w:r>
        <w:rPr>
          <w:color w:val="auto"/>
        </w:rPr>
      </w:r>
      <w:bookmarkEnd w:id="24"/>
      <w:r>
        <w:rPr>
          <w:color w:val="auto"/>
        </w:rPr>
      </w:r>
      <w:bookmarkEnd w:id="25"/>
      <w:r>
        <w:rPr>
          <w:color w:val="auto"/>
        </w:rPr>
      </w:r>
      <w:bookmarkEnd w:id="26"/>
      <w:r>
        <w:rPr>
          <w:rFonts w:hint="eastAsia" w:ascii="宋体" w:hAnsi="宋体" w:eastAsia="宋体"/>
          <w:color w:val="auto"/>
          <w:sz w:val="36"/>
          <w:szCs w:val="36"/>
          <w:highlight w:val="none"/>
        </w:rPr>
      </w:r>
      <w:r>
        <w:rPr>
          <w:color w:val="auto"/>
        </w:rP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70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项目概况：</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u w:val="single"/>
              </w:rPr>
              <w:t xml:space="preserve">原苏州其安工艺品有限公司地块土壤污染状况调查及风险评估</w:t>
            </w:r>
            <w:r>
              <w:rPr>
                <w:rFonts w:hint="eastAsia" w:ascii="宋体" w:hAnsi="宋体" w:cs="宋体"/>
                <w:color w:val="auto"/>
                <w:szCs w:val="21"/>
                <w:highlight w:val="none"/>
              </w:rPr>
              <w:t xml:space="preserve">采购项目的潜在供应商应在</w:t>
            </w:r>
            <w:r>
              <w:rPr>
                <w:rFonts w:hint="eastAsia" w:ascii="宋体" w:hAnsi="宋体" w:cs="宋体"/>
                <w:color w:val="auto"/>
                <w:szCs w:val="21"/>
                <w:highlight w:val="none"/>
                <w:u w:val="single"/>
                <w:lang w:val="zh-CN"/>
              </w:rPr>
              <w:t xml:space="preserve">苏采云政府采购一体化平台系统</w:t>
            </w:r>
            <w:r>
              <w:rPr>
                <w:rFonts w:hint="eastAsia" w:ascii="宋体" w:hAnsi="宋体" w:cs="宋体"/>
                <w:color w:val="auto"/>
                <w:szCs w:val="21"/>
                <w:highlight w:val="none"/>
              </w:rPr>
              <w:t xml:space="preserve">获取招标文件，并于</w:t>
            </w:r>
            <w:r>
              <w:rPr>
                <w:rFonts w:hint="eastAsia" w:ascii="宋体" w:hAnsi="宋体" w:cs="宋体"/>
                <w:color w:val="auto"/>
                <w:szCs w:val="21"/>
                <w:highlight w:val="none"/>
              </w:rPr>
              <w:t xml:space="preserve">2024年9月27日9点30分</w:t>
            </w:r>
            <w:r>
              <w:rPr>
                <w:rFonts w:hint="eastAsia" w:ascii="宋体" w:hAnsi="宋体" w:cs="宋体"/>
                <w:color w:val="auto"/>
                <w:szCs w:val="21"/>
                <w:highlight w:val="none"/>
              </w:rPr>
              <w:t xml:space="preserve">（北京时间）前提交投标文件。</w:t>
            </w:r>
            <w:r>
              <w:rPr>
                <w:rFonts w:hint="eastAsia" w:ascii="宋体" w:hAnsi="宋体" w:cs="宋体"/>
                <w:color w:val="auto"/>
                <w:szCs w:val="21"/>
                <w:highlight w:val="none"/>
              </w:rPr>
            </w:r>
            <w:r>
              <w:rPr>
                <w:color w:val="auto"/>
              </w:rPr>
            </w:r>
          </w:p>
        </w:tc>
      </w:tr>
    </w:tbl>
    <w:p>
      <w:pPr>
        <w:pStyle w:val="702"/>
        <w:ind w:firstLine="48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rPr>
          <w:rFonts w:hint="eastAsia" w:ascii="宋体" w:hAnsi="宋体" w:cs="宋体"/>
          <w:b/>
          <w:bCs/>
          <w:color w:val="auto"/>
          <w:szCs w:val="21"/>
          <w:highlight w:val="none"/>
        </w:rPr>
      </w:r>
      <w:r>
        <w:rPr>
          <w:color w:val="auto"/>
        </w:rPr>
      </w:r>
    </w:p>
    <w:p>
      <w:pPr>
        <w:pStyle w:val="702"/>
        <w:ind w:firstLine="48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JSZC-320507-SZJX-G2024-0066</w:t>
      </w:r>
      <w:r>
        <w:rPr>
          <w:rFonts w:hint="eastAsia" w:ascii="宋体" w:hAnsi="宋体" w:eastAsia="宋体" w:cs="宋体"/>
          <w:color w:val="auto"/>
          <w:szCs w:val="21"/>
          <w:highlight w:val="none"/>
          <w:lang w:eastAsia="zh-CN"/>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2、项目名称：原苏州其安工艺品有限公司地块土壤污染状况调查及风险评估</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3、采购方式：公开招标</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4、预算金额：人民币肆佰零捌万陆仟伍佰壹拾柒元捌角柒分（¥：4086517.87）</w:t>
      </w:r>
      <w:r>
        <w:rPr>
          <w:rFonts w:hint="eastAsia" w:ascii="宋体" w:hAnsi="宋体" w:eastAsia="宋体" w:cs="宋体"/>
          <w:color w:val="auto"/>
          <w:szCs w:val="21"/>
          <w:highlight w:val="none"/>
        </w:rPr>
      </w:r>
      <w:r>
        <w:rPr>
          <w:color w:val="auto"/>
        </w:rPr>
      </w:r>
    </w:p>
    <w:p>
      <w:pPr>
        <w:pStyle w:val="702"/>
        <w:ind w:firstLine="480"/>
        <w:spacing w:line="360" w:lineRule="auto"/>
        <w:rPr>
          <w:rFonts w:hint="eastAsia" w:ascii="宋体" w:hAnsi="宋体" w:cs="宋体"/>
          <w:bCs/>
          <w:color w:val="auto"/>
          <w:szCs w:val="21"/>
          <w:highlight w:val="none"/>
        </w:rPr>
        <w:outlineLvl w:val="1"/>
      </w:pPr>
      <w:r>
        <w:rPr>
          <w:rFonts w:hint="eastAsia" w:ascii="宋体" w:hAnsi="宋体" w:cs="宋体"/>
          <w:color w:val="auto"/>
          <w:szCs w:val="21"/>
          <w:highlight w:val="none"/>
        </w:rPr>
        <w:t xml:space="preserve">5、采购需求：</w:t>
      </w:r>
      <w:r>
        <w:rPr>
          <w:rFonts w:hint="eastAsia" w:ascii="宋体" w:hAnsi="宋体" w:cs="宋体"/>
          <w:bCs/>
          <w:color w:val="auto"/>
          <w:szCs w:val="21"/>
          <w:highlight w:val="none"/>
        </w:rPr>
        <w:t xml:space="preserve"> </w:t>
      </w:r>
      <w:r>
        <w:rPr>
          <w:rFonts w:hint="eastAsia" w:ascii="宋体" w:hAnsi="宋体" w:cs="宋体"/>
          <w:bCs/>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关于印发苏州市进一步加强化工等企业关闭遗留地块土壤污染风险管控工作整改方案的函》（苏环办字[2023]21号）文件要求，需对原苏州其安工艺品有限公司地块出具土壤污染状况详细调查报告、土壤污染风险评估报告和土壤污染风险管控报告并进行长期监测。（具体要求详见采购文件）</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验收标准：按照招标文件要求及相关国家标准执行。</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6、合同履行期限：项目整体期限一年</w:t>
      </w:r>
      <w:r>
        <w:rPr>
          <w:rFonts w:hint="eastAsia" w:ascii="宋体" w:hAnsi="宋体"/>
          <w:color w:val="auto"/>
          <w:szCs w:val="21"/>
          <w:highlight w:val="none"/>
        </w:rPr>
        <w:t xml:space="preserve">（其中调查及检测服务在六个月内完成，风险评估服务需在九个月内完成，制度性管控及长期监测服务时间为一年。具体根据采购单位要求）</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7、本项目不接受联合体投标、不允许分包、不允许转包。</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r>
        <w:rPr>
          <w:rFonts w:hint="eastAsia" w:ascii="宋体" w:hAnsi="宋体" w:cs="宋体"/>
          <w:b/>
          <w:bCs/>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1、满足《中华人民共和国政府采购法》第二十二条以下规定：</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1.1具有独立承担民事责任的能力；</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1.2具有良好的商业信誉和健全的财务会计制度；</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1.3具有履行合同所必需的设备和专业技术能力；</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1.4有依法缴纳税收和社会保障资金的良好记录；</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1.5参加政府采购活动近三年内，在经营活动中没有重大违法记录；</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1.6法律、行政法规规定的其他条件；</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2、落实政府采购政策需满足的资格要求：无。</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rPr>
          <w:rFonts w:hint="eastAsia" w:ascii="宋体" w:hAnsi="宋体"/>
          <w:color w:val="auto"/>
          <w:szCs w:val="21"/>
          <w:highlight w:val="none"/>
          <w:shd w:val="clear" w:color="auto" w:fill="ffffff"/>
          <w:lang w:val="zh-CN"/>
        </w:rPr>
        <w:t xml:space="preserve">具</w:t>
      </w:r>
      <w:r>
        <w:rPr>
          <w:rFonts w:hint="eastAsia" w:ascii="宋体" w:hAnsi="宋体"/>
          <w:color w:val="auto"/>
          <w:szCs w:val="21"/>
          <w:highlight w:val="none"/>
          <w:shd w:val="clear" w:color="auto" w:fill="ffffff"/>
        </w:rPr>
        <w:t xml:space="preserve">有检验检测机构资质认定证书（环境检测CMA证书）</w:t>
      </w:r>
      <w:r>
        <w:rPr>
          <w:rFonts w:hint="eastAsia" w:ascii="宋体" w:hAnsi="宋体" w:cs="宋体"/>
          <w:color w:val="auto"/>
          <w:szCs w:val="21"/>
          <w:highlight w:val="none"/>
        </w:rPr>
        <w:t xml:space="preserve">。</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注：①单位负责人为同一人或者存在直接控股、管理关系的不同供应商，不得参加同一合同项下的政府采购活动。</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三、获取招标文件：</w:t>
      </w:r>
      <w:r>
        <w:rPr>
          <w:rFonts w:hint="eastAsia" w:ascii="宋体" w:hAnsi="宋体" w:cs="宋体"/>
          <w:b/>
          <w:bCs/>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1、获取时间：</w:t>
      </w:r>
      <w:r>
        <w:rPr>
          <w:rFonts w:hint="eastAsia" w:ascii="宋体" w:hAnsi="宋体" w:cs="宋体"/>
          <w:color w:val="auto"/>
          <w:szCs w:val="21"/>
          <w:highlight w:val="none"/>
          <w:lang w:val="en-US" w:eastAsia="zh-CN"/>
        </w:rPr>
        <w:t xml:space="preserve">自招标公告公示之日起</w:t>
      </w:r>
      <w:r>
        <w:rPr>
          <w:rFonts w:hint="eastAsia" w:ascii="宋体" w:hAnsi="宋体" w:cs="宋体"/>
          <w:color w:val="auto"/>
          <w:szCs w:val="21"/>
          <w:highlight w:val="none"/>
        </w:rPr>
        <w:t xml:space="preserve">至2024年9月13日</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2、获取方式：供应商在苏州市政府采购网自行下载招标文件。</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（1）申领CA证书</w:t>
      </w:r>
      <w:r>
        <w:rPr>
          <w:rFonts w:hint="eastAsia" w:ascii="宋体" w:hAnsi="宋体" w:cs="宋体"/>
          <w:color w:val="auto"/>
          <w:szCs w:val="21"/>
          <w:highlight w:val="none"/>
        </w:rPr>
      </w:r>
      <w:r>
        <w:rPr>
          <w:color w:val="auto"/>
        </w:rPr>
      </w:r>
    </w:p>
    <w:p>
      <w:pPr>
        <w:pStyle w:val="702"/>
        <w:ind w:firstLine="480"/>
        <w:jc w:val="left"/>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w:t>
      </w:r>
      <w:r>
        <w:rPr>
          <w:rFonts w:hint="eastAsia" w:ascii="宋体" w:hAnsi="宋体" w:cs="宋体"/>
          <w:bCs/>
          <w:color w:val="auto"/>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bCs/>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（2）登录报名</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（3）供应商在报名、下载、制作采购文件过程中如有软件操作方面疑问，请拨打：</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注册咨询：18261002950；</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CA技术咨询电话：400-608-6099；</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签章使用问题：025-83633811、025-83633812、15380932027、15371015030；系统使用指导与咨询：联系电话：18261002950；QQ：3048755361、1315179389、895706745。</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（4）制作、提交电子投标文件：</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电子招投标方式，请供应商在“苏采云”系统中操作成功参与项目后，必须在“已参与项目”界面中下载电子采购文件（后缀名为“.kedt”）并导入政府采购客户端工具后方可进行投标文件制作和提交（具体详见《苏采云系统供应商操作手册》，网址链接</w:t>
      </w:r>
      <w:r>
        <w:rPr>
          <w:rFonts w:hint="eastAsia" w:ascii="宋体" w:hAnsi="宋体" w:cs="宋体"/>
          <w:color w:val="auto"/>
          <w:szCs w:val="21"/>
          <w:highlight w:val="none"/>
        </w:rPr>
      </w:r>
      <w:r>
        <w:rPr>
          <w:color w:val="auto"/>
        </w:rPr>
      </w:r>
    </w:p>
    <w:p>
      <w:pPr>
        <w:pStyle w:val="702"/>
        <w:spacing w:line="360" w:lineRule="auto"/>
        <w:rPr>
          <w:rFonts w:hint="eastAsia" w:ascii="宋体" w:hAnsi="宋体" w:cs="宋体"/>
          <w:color w:val="auto"/>
          <w:szCs w:val="21"/>
          <w:highlight w:val="none"/>
        </w:rPr>
      </w:pP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Fonts w:hint="eastAsia" w:ascii="宋体" w:hAnsi="宋体" w:cs="宋体"/>
          <w:color w:val="auto"/>
          <w:szCs w:val="21"/>
          <w:highlight w:val="none"/>
        </w:rPr>
        <w:t xml:space="preserve">https://czju.suzhou.gov.cn/zfcg/html/content/20231220161910031.shtml</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请供应商按照《苏采云系统供应商操作手册》、采购文件要求进行制作、上传电子投标文件，投标单位无需提供纸质投标文件。电子投标文件制作完成后请在截止时间前完成提交（上传），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color w:val="auto"/>
          <w:szCs w:val="21"/>
          <w:highlight w:val="none"/>
        </w:rPr>
      </w:r>
      <w:r>
        <w:rPr>
          <w:color w:val="auto"/>
        </w:rPr>
      </w:r>
    </w:p>
    <w:p>
      <w:pPr>
        <w:pStyle w:val="702"/>
        <w:ind w:firstLine="48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3、售价：无。</w:t>
      </w:r>
      <w:r>
        <w:rPr>
          <w:rFonts w:hint="eastAsia" w:ascii="宋体" w:hAnsi="宋体" w:cs="宋体"/>
          <w:bCs/>
          <w:color w:val="auto"/>
          <w:szCs w:val="21"/>
          <w:highlight w:val="none"/>
        </w:rPr>
      </w:r>
      <w:r>
        <w:rPr>
          <w:color w:val="auto"/>
        </w:rPr>
      </w:r>
    </w:p>
    <w:p>
      <w:pPr>
        <w:pStyle w:val="702"/>
        <w:ind w:firstLine="480"/>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四、提交投标文件截止时间、开标时间和地点 </w:t>
      </w:r>
      <w:r>
        <w:rPr>
          <w:rFonts w:hint="eastAsia" w:ascii="宋体" w:hAnsi="宋体" w:cs="宋体"/>
          <w:b/>
          <w:color w:val="auto"/>
          <w:szCs w:val="21"/>
          <w:highlight w:val="none"/>
        </w:rPr>
      </w:r>
      <w:r>
        <w:rPr>
          <w:color w:val="auto"/>
        </w:rPr>
      </w:r>
    </w:p>
    <w:p>
      <w:pPr>
        <w:pStyle w:val="702"/>
        <w:ind w:firstLine="48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1、投标文件提交时间：</w:t>
      </w:r>
      <w:r>
        <w:rPr>
          <w:rFonts w:hint="eastAsia" w:ascii="宋体" w:hAnsi="宋体" w:cs="宋体"/>
          <w:bCs/>
          <w:color w:val="auto"/>
          <w:szCs w:val="21"/>
          <w:highlight w:val="none"/>
        </w:rPr>
        <w:t xml:space="preserve">2024年9月27日9：30</w:t>
      </w:r>
      <w:r>
        <w:rPr>
          <w:rFonts w:hint="eastAsia" w:ascii="宋体" w:hAnsi="宋体" w:cs="宋体"/>
          <w:bCs/>
          <w:color w:val="auto"/>
          <w:szCs w:val="21"/>
          <w:highlight w:val="none"/>
        </w:rPr>
        <w:t xml:space="preserve">（北京时间） </w:t>
      </w:r>
      <w:r>
        <w:rPr>
          <w:rFonts w:hint="eastAsia" w:ascii="宋体" w:hAnsi="宋体" w:cs="宋体"/>
          <w:bCs/>
          <w:color w:val="auto"/>
          <w:szCs w:val="21"/>
          <w:highlight w:val="none"/>
        </w:rPr>
      </w:r>
      <w:r>
        <w:rPr>
          <w:color w:val="auto"/>
        </w:rPr>
      </w:r>
    </w:p>
    <w:p>
      <w:pPr>
        <w:pStyle w:val="702"/>
        <w:ind w:firstLine="48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2、开标有关信息： </w:t>
      </w:r>
      <w:r>
        <w:rPr>
          <w:rFonts w:hint="eastAsia" w:ascii="宋体" w:hAnsi="宋体" w:cs="宋体"/>
          <w:bCs/>
          <w:color w:val="auto"/>
          <w:szCs w:val="21"/>
          <w:highlight w:val="none"/>
        </w:rPr>
      </w:r>
      <w:r>
        <w:rPr>
          <w:color w:val="auto"/>
        </w:rPr>
      </w:r>
    </w:p>
    <w:p>
      <w:pPr>
        <w:pStyle w:val="702"/>
        <w:ind w:firstLine="48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开标时间：</w:t>
      </w:r>
      <w:r>
        <w:rPr>
          <w:rFonts w:hint="eastAsia" w:ascii="宋体" w:hAnsi="宋体" w:cs="宋体"/>
          <w:bCs/>
          <w:color w:val="auto"/>
          <w:szCs w:val="21"/>
          <w:highlight w:val="none"/>
        </w:rPr>
        <w:t xml:space="preserve">2024年9月27日9：30（</w:t>
      </w:r>
      <w:r>
        <w:rPr>
          <w:rFonts w:hint="eastAsia" w:ascii="宋体" w:hAnsi="宋体" w:cs="宋体"/>
          <w:bCs/>
          <w:color w:val="auto"/>
          <w:szCs w:val="21"/>
          <w:highlight w:val="none"/>
        </w:rPr>
        <w:t xml:space="preserve">北京时间） </w:t>
      </w:r>
      <w:r>
        <w:rPr>
          <w:rFonts w:hint="eastAsia" w:ascii="宋体" w:hAnsi="宋体" w:cs="宋体"/>
          <w:bCs/>
          <w:color w:val="auto"/>
          <w:szCs w:val="21"/>
          <w:highlight w:val="none"/>
        </w:rPr>
      </w:r>
      <w:r>
        <w:rPr>
          <w:color w:val="auto"/>
        </w:rPr>
      </w:r>
    </w:p>
    <w:p>
      <w:pPr>
        <w:pStyle w:val="702"/>
        <w:ind w:firstLine="48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开标地点：“苏采云”系统（网址：http://jszfcg.jsczt.cn/） </w:t>
      </w:r>
      <w:r>
        <w:rPr>
          <w:rFonts w:hint="eastAsia" w:ascii="宋体" w:hAnsi="宋体" w:cs="宋体"/>
          <w:bCs/>
          <w:color w:val="auto"/>
          <w:szCs w:val="21"/>
          <w:highlight w:val="none"/>
        </w:rPr>
      </w:r>
      <w:r>
        <w:rPr>
          <w:color w:val="auto"/>
        </w:rPr>
      </w:r>
    </w:p>
    <w:p>
      <w:pPr>
        <w:pStyle w:val="702"/>
        <w:ind w:firstLine="480"/>
        <w:jc w:val="left"/>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未能完成解密的视为放弃投标。请供应商确保电脑、系统及其他设备（视频输入输出设备等）无误，且开标直至项目结束始终保持系统在线状态。</w:t>
      </w:r>
      <w:r>
        <w:rPr>
          <w:rFonts w:hint="eastAsia" w:ascii="宋体" w:hAnsi="宋体" w:cs="宋体"/>
          <w:color w:val="auto"/>
          <w:szCs w:val="21"/>
          <w:highlight w:val="none"/>
          <w:shd w:val="clear" w:color="auto" w:fill="ffffff"/>
          <w:lang w:bidi="ar"/>
        </w:rPr>
        <w:t xml:space="preserve"> </w:t>
      </w:r>
      <w:r>
        <w:rPr>
          <w:rFonts w:hint="eastAsia" w:ascii="宋体" w:hAnsi="宋体" w:cs="宋体"/>
          <w:color w:val="auto"/>
          <w:szCs w:val="21"/>
          <w:highlight w:val="none"/>
        </w:rPr>
      </w:r>
      <w:r>
        <w:rPr>
          <w:color w:val="auto"/>
        </w:rPr>
      </w:r>
    </w:p>
    <w:p>
      <w:pPr>
        <w:pStyle w:val="958"/>
        <w:ind w:firstLine="48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五、公告期限</w:t>
      </w:r>
      <w:r>
        <w:rPr>
          <w:rFonts w:hint="eastAsia" w:ascii="宋体" w:hAnsi="宋体" w:cs="宋体"/>
          <w:color w:val="auto"/>
          <w:szCs w:val="21"/>
          <w:highlight w:val="none"/>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个工作日。</w:t>
      </w:r>
      <w:r>
        <w:rPr>
          <w:rFonts w:hint="eastAsia" w:ascii="宋体" w:hAnsi="宋体" w:cs="宋体"/>
          <w:color w:val="auto"/>
          <w:szCs w:val="21"/>
          <w:highlight w:val="none"/>
        </w:rPr>
      </w:r>
      <w:r>
        <w:rPr>
          <w:color w:val="auto"/>
        </w:rPr>
      </w:r>
    </w:p>
    <w:p>
      <w:pPr>
        <w:pStyle w:val="958"/>
        <w:numPr>
          <w:ilvl w:val="0"/>
          <w:numId w:val="2"/>
        </w:num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其他补充事宜</w:t>
      </w:r>
      <w:r>
        <w:rPr>
          <w:rFonts w:hint="eastAsia" w:ascii="宋体" w:hAnsi="宋体" w:cs="宋体"/>
          <w:b/>
          <w:bCs/>
          <w:color w:val="auto"/>
          <w:szCs w:val="21"/>
          <w:highlight w:val="none"/>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w:t>
      </w:r>
      <w:r>
        <w:rPr>
          <w:rFonts w:hint="eastAsia" w:ascii="宋体" w:hAnsi="宋体" w:cs="宋体"/>
          <w:color w:val="auto"/>
          <w:szCs w:val="21"/>
          <w:highlight w:val="none"/>
          <w:lang w:val="en-US"/>
        </w:rPr>
        <w:t xml:space="preserve">投标</w:t>
      </w:r>
      <w:r>
        <w:rPr>
          <w:rFonts w:hint="eastAsia" w:ascii="宋体" w:hAnsi="宋体" w:cs="宋体"/>
          <w:color w:val="auto"/>
          <w:szCs w:val="21"/>
          <w:highlight w:val="none"/>
        </w:rPr>
        <w:t xml:space="preserve">文件网上递交，不需要现场参加采购活动，无需提供纸质投标文件。</w:t>
      </w:r>
      <w:r>
        <w:rPr>
          <w:rFonts w:hint="eastAsia" w:ascii="宋体" w:hAnsi="宋体" w:cs="宋体"/>
          <w:color w:val="auto"/>
          <w:szCs w:val="21"/>
          <w:highlight w:val="none"/>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2.单位负责人为同一人或存在直接控股、管理关系的不同供应商，不得参加同一合同项下的政府采购活动。</w:t>
      </w:r>
      <w:r>
        <w:rPr>
          <w:rFonts w:hint="eastAsia" w:ascii="宋体" w:hAnsi="宋体" w:cs="宋体"/>
          <w:color w:val="auto"/>
          <w:szCs w:val="21"/>
          <w:highlight w:val="none"/>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3.为采购项目提供整体设计、规范编制或者项目管理、监理、检测等服务的供应商，不得再参加该采购项目的其他采购活动。</w:t>
      </w:r>
      <w:r>
        <w:rPr>
          <w:rFonts w:hint="eastAsia" w:ascii="宋体" w:hAnsi="宋体" w:cs="宋体"/>
          <w:color w:val="auto"/>
          <w:szCs w:val="21"/>
          <w:highlight w:val="none"/>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4.本项目获取采购文件截止日期之后仍可以下载采购文件，但截止日期之后下载的采购文件，视为非有效方式且不作为供应商权益受到损害的证明材料和依据。</w:t>
      </w:r>
      <w:r>
        <w:rPr>
          <w:rFonts w:hint="eastAsia" w:ascii="宋体" w:hAnsi="宋体" w:cs="宋体"/>
          <w:color w:val="auto"/>
          <w:szCs w:val="21"/>
          <w:highlight w:val="none"/>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5.本次采购的相关信息刊登在江苏政府采购网及苏州市政府采购网。</w:t>
      </w:r>
      <w:r>
        <w:rPr>
          <w:rFonts w:hint="eastAsia" w:ascii="宋体" w:hAnsi="宋体" w:cs="宋体"/>
          <w:color w:val="auto"/>
          <w:szCs w:val="21"/>
          <w:highlight w:val="none"/>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t xml:space="preserve">6</w:t>
      </w:r>
      <w:r>
        <w:rPr>
          <w:rFonts w:hint="eastAsia" w:ascii="宋体" w:hAnsi="宋体" w:cs="宋体"/>
          <w:color w:val="auto"/>
          <w:szCs w:val="21"/>
          <w:highlight w:val="none"/>
        </w:rPr>
        <w:t xml:space="preserve">、苏州市财政局政府采购监督电话：0</w:t>
      </w:r>
      <w:r>
        <w:rPr>
          <w:rFonts w:hint="eastAsia" w:ascii="宋体" w:hAnsi="宋体" w:eastAsia="宋体" w:cs="宋体"/>
          <w:color w:val="auto"/>
          <w:szCs w:val="21"/>
          <w:highlight w:val="none"/>
        </w:rPr>
        <w:t xml:space="preserve">512-67591005、0512-67591006</w:t>
      </w:r>
      <w:r>
        <w:rPr>
          <w:rFonts w:hint="eastAsia" w:ascii="宋体" w:hAnsi="宋体" w:cs="宋体"/>
          <w:color w:val="auto"/>
          <w:szCs w:val="21"/>
          <w:highlight w:val="none"/>
        </w:rPr>
        <w:t xml:space="preserve">。</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七、凡对本次采购提出询问，请按以下方式联系。</w:t>
      </w:r>
      <w:r>
        <w:rPr>
          <w:rFonts w:hint="eastAsia" w:ascii="宋体" w:hAnsi="宋体" w:cs="宋体"/>
          <w:b/>
          <w:color w:val="auto"/>
          <w:szCs w:val="21"/>
          <w:highlight w:val="none"/>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采购人信息</w:t>
      </w:r>
      <w:r>
        <w:rPr>
          <w:rFonts w:hint="eastAsia" w:ascii="宋体" w:hAnsi="宋体" w:cs="宋体"/>
          <w:color w:val="auto"/>
          <w:szCs w:val="21"/>
          <w:highlight w:val="none"/>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称：苏州市相城区人民政府黄桥街道办事处 </w:t>
      </w:r>
      <w:r>
        <w:rPr>
          <w:rFonts w:hint="eastAsia" w:ascii="宋体" w:hAnsi="宋体" w:cs="宋体"/>
          <w:color w:val="auto"/>
          <w:szCs w:val="21"/>
          <w:highlight w:val="none"/>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址：苏州市相城区</w:t>
      </w:r>
      <w:r>
        <w:rPr>
          <w:rFonts w:hint="eastAsia" w:ascii="宋体" w:hAnsi="宋体" w:cs="宋体"/>
          <w:color w:val="auto"/>
          <w:szCs w:val="21"/>
          <w:highlight w:val="none"/>
          <w:lang w:val="en-US"/>
        </w:rPr>
        <w:t xml:space="preserve">张庄大道</w:t>
      </w: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rPr>
        <w:t xml:space="preserve">周国新</w:t>
      </w:r>
      <w:r>
        <w:rPr>
          <w:rFonts w:hint="eastAsia" w:ascii="宋体" w:hAnsi="宋体" w:cs="宋体"/>
          <w:color w:val="auto"/>
          <w:szCs w:val="21"/>
          <w:highlight w:val="none"/>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联系电话：0512-</w:t>
      </w:r>
      <w:r>
        <w:rPr>
          <w:rFonts w:hint="eastAsia" w:ascii="宋体" w:hAnsi="宋体" w:cs="宋体"/>
          <w:color w:val="auto"/>
          <w:szCs w:val="21"/>
          <w:highlight w:val="none"/>
          <w:lang w:val="en-US" w:eastAsia="zh-CN"/>
        </w:rPr>
        <w:t xml:space="preserve">65463894</w:t>
      </w:r>
      <w:r>
        <w:rPr>
          <w:rFonts w:hint="eastAsia" w:ascii="宋体" w:hAnsi="宋体" w:cs="宋体"/>
          <w:color w:val="auto"/>
          <w:szCs w:val="21"/>
          <w:highlight w:val="none"/>
          <w:lang w:val="en-US"/>
        </w:rPr>
        <w:t xml:space="preserve"> </w:t>
      </w: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t xml:space="preserve">2、采购代理机构信息</w:t>
      </w: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t xml:space="preserve">名    称：苏州捷信招投标咨询有限公司</w:t>
      </w: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t xml:space="preserve">地    址：苏州南园北路天和商务大厦6-206室 </w:t>
      </w: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t xml:space="preserve">电    话：0512-65200361</w:t>
      </w: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t xml:space="preserve">联 系 人：张瑾、陈丽韵</w:t>
      </w: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t xml:space="preserve">3.项目联系方式</w:t>
      </w: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t xml:space="preserve">项目联系人：张瑾、陈丽韵</w:t>
      </w: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t xml:space="preserve">电话：0512-65200361</w:t>
      </w: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95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r>
      <w:r>
        <w:rPr>
          <w:color w:val="auto"/>
        </w:rPr>
      </w:r>
    </w:p>
    <w:p>
      <w:pPr>
        <w:pStyle w:val="702"/>
        <w:rPr>
          <w:rFonts w:hint="eastAsia" w:ascii="宋体" w:hAnsi="宋体" w:cs="宋体"/>
          <w:b/>
          <w:bCs/>
          <w:color w:val="auto"/>
          <w:sz w:val="32"/>
          <w:szCs w:val="32"/>
          <w:highlight w:val="none"/>
        </w:rPr>
      </w:pPr>
      <w:r>
        <w:rPr>
          <w:color w:val="auto"/>
        </w:rPr>
      </w:r>
      <w:bookmarkStart w:id="27" w:name="_Toc8695"/>
      <w:r>
        <w:rPr>
          <w:color w:val="auto"/>
        </w:rPr>
      </w:r>
      <w:bookmarkStart w:id="28" w:name="_Toc14325"/>
      <w:r>
        <w:rPr>
          <w:color w:val="auto"/>
        </w:rPr>
      </w:r>
      <w:bookmarkStart w:id="29" w:name="_Toc29762"/>
      <w:r>
        <w:rPr>
          <w:color w:val="auto"/>
        </w:rPr>
      </w:r>
      <w:bookmarkStart w:id="30" w:name="_Toc2279"/>
      <w:r>
        <w:rPr>
          <w:color w:val="auto"/>
        </w:rPr>
      </w:r>
      <w:bookmarkStart w:id="31" w:name="_Toc5383"/>
      <w:r>
        <w:rPr>
          <w:color w:val="auto"/>
        </w:rPr>
      </w:r>
      <w:bookmarkStart w:id="32" w:name="_Toc16474"/>
      <w:r>
        <w:rPr>
          <w:color w:val="auto"/>
        </w:rPr>
      </w:r>
      <w:bookmarkStart w:id="33" w:name="_Toc10252"/>
      <w:r>
        <w:rPr>
          <w:color w:val="auto"/>
        </w:rPr>
      </w:r>
      <w:bookmarkStart w:id="34" w:name="_Toc20147"/>
      <w:r>
        <w:rPr>
          <w:color w:val="auto"/>
        </w:rPr>
      </w:r>
      <w:bookmarkStart w:id="35" w:name="_Toc19922"/>
      <w:r>
        <w:rPr>
          <w:color w:val="auto"/>
        </w:rPr>
      </w:r>
      <w:bookmarkStart w:id="36" w:name="_Toc22488"/>
      <w:r>
        <w:rPr>
          <w:color w:val="auto"/>
        </w:rPr>
      </w:r>
      <w:bookmarkStart w:id="37" w:name="_Toc3477"/>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r>
      <w:r>
        <w:rPr>
          <w:color w:val="auto"/>
        </w:rPr>
      </w:r>
    </w:p>
    <w:p>
      <w:pPr>
        <w:pStyle w:val="958"/>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第二章  投标单位须知</w:t>
      </w:r>
      <w:bookmarkEnd w:id="2"/>
      <w:r>
        <w:rPr>
          <w:color w:val="auto"/>
        </w:rPr>
      </w:r>
      <w:bookmarkEnd w:id="27"/>
      <w:r>
        <w:rPr>
          <w:color w:val="auto"/>
        </w:rPr>
      </w:r>
      <w:bookmarkEnd w:id="28"/>
      <w:r>
        <w:rPr>
          <w:color w:val="auto"/>
        </w:rPr>
      </w:r>
      <w:bookmarkEnd w:id="29"/>
      <w:r>
        <w:rPr>
          <w:color w:val="auto"/>
        </w:rPr>
      </w:r>
      <w:bookmarkEnd w:id="30"/>
      <w:r>
        <w:rPr>
          <w:color w:val="auto"/>
        </w:rPr>
      </w:r>
      <w:bookmarkEnd w:id="31"/>
      <w:r>
        <w:rPr>
          <w:color w:val="auto"/>
        </w:rPr>
      </w:r>
      <w:bookmarkEnd w:id="32"/>
      <w:r>
        <w:rPr>
          <w:color w:val="auto"/>
        </w:rPr>
      </w:r>
      <w:bookmarkEnd w:id="33"/>
      <w:r>
        <w:rPr>
          <w:color w:val="auto"/>
        </w:rPr>
      </w:r>
      <w:bookmarkEnd w:id="34"/>
      <w:r>
        <w:rPr>
          <w:color w:val="auto"/>
        </w:rPr>
      </w:r>
      <w:bookmarkEnd w:id="35"/>
      <w:r>
        <w:rPr>
          <w:color w:val="auto"/>
        </w:rPr>
      </w:r>
      <w:bookmarkEnd w:id="36"/>
      <w:r>
        <w:rPr>
          <w:color w:val="auto"/>
        </w:rPr>
      </w:r>
      <w:bookmarkEnd w:id="37"/>
      <w:r>
        <w:rPr>
          <w:rFonts w:hint="eastAsia" w:ascii="宋体" w:hAnsi="宋体" w:cs="宋体"/>
          <w:b/>
          <w:bCs/>
          <w:color w:val="auto"/>
          <w:sz w:val="32"/>
          <w:szCs w:val="32"/>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一、总则</w:t>
      </w:r>
      <w:r>
        <w:rPr>
          <w:rFonts w:hint="eastAsia" w:ascii="宋体" w:hAnsi="宋体" w:cs="宋体"/>
          <w:b/>
          <w:bCs/>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1、采购方式</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 本次政府采购活动采取公开招标(以下简称招标)方式，本招标文件仅适用于招标公告中所述项目。</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2、合格的供应商</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2.1满足招标公告中供应商资格要求的规定。</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 满足本招标文件实质性要求和条件的规定。</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3、适用法律</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 本次招标及由此产生的合同受中华人民共和国有关的法律法规制约和保护。</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4、投标费用</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4.1投标单位应自行承担所有与参加本次投标有关的费用，无论投标过程中的做法和结果如何，招标单位、苏州捷信招投标咨询有限公司（以下简称招标代理机构）在任何情况下均无义务和责任承担这些费用。</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本次招标中标服务费由中标单位支付。按差额定率累进法计算收取，中标单位在领取中标通知书时向招标代理机构一次性付清。预算金额100万以下费率为预算金额的1.5%；预算金额100万（含）-500万费率为预算金额的1.1%； 预算金额500万（含）-1000万费率为预算金额的0.8%。</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中标服务费账户名：苏州捷信招投标咨询有限公司，账号：543058195260，开户银行：中国银行苏州南园支行</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5、招标文件的约束力</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5.1供应商一旦参加本项目采购活动，即被认为接受了本招标文件的规定和约束。</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二、招标文件</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6、招标文件构成</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6.1招标文件由以下部分组成：</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  投标邀请函</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  投标单位须知</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  投标文件格式</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  招标书</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  合同文本</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  评分办法及评分标准</w:t>
      </w:r>
      <w:r>
        <w:rPr>
          <w:rFonts w:hint="eastAsia" w:ascii="宋体" w:hAnsi="宋体" w:cs="宋体"/>
          <w:color w:val="auto"/>
          <w:szCs w:val="21"/>
          <w:highlight w:val="none"/>
        </w:rPr>
      </w:r>
      <w:r>
        <w:rPr>
          <w:color w:val="auto"/>
        </w:rPr>
      </w:r>
    </w:p>
    <w:p>
      <w:pPr>
        <w:pStyle w:val="702"/>
        <w:ind w:firstLine="420"/>
        <w:spacing w:line="360" w:lineRule="auto"/>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第七章  附件</w:t>
      </w:r>
      <w:r>
        <w:rPr>
          <w:rFonts w:ascii="宋体" w:hAnsi="宋体" w:eastAsia="宋体" w:cs="宋体"/>
          <w:color w:val="auto"/>
          <w:szCs w:val="21"/>
          <w:highlight w:val="none"/>
          <w:lang w:val="en-US" w:eastAsia="zh-CN"/>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请仔细检查招标文件是否齐全，如有缺漏请立即与招标代理机构联系解决。</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单位自行承担。</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7、招标文件的澄清和修改</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 在投标文件提交截止时间前，招标代理机构可以对招标文件进行澄清和修改, 澄清或者修改的内容作为招标文件的组成部分。澄清或者修改的内容可能影响投标文件编制的，招标代理机构将在提交首次投标文件截止时间至少15日前，在“苏州市政府采购网”上发布书面更正公告形式通知所有获取招标文件的潜在投标人, 更正公告内容将作为招标文件的组成部分，并对投标人具有约束力。不足15日的，招标代理机构将顺延提交首次投标文件截止时间。</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7.2招标单位可以视采购项目的具体情况，组织投标单位进行现场考察或召开招标前答疑会，但不单独或分别组织只有一个投标单位参加的现场考察和答疑会。</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三、投标文件的编制</w:t>
      </w:r>
      <w:r>
        <w:rPr>
          <w:rFonts w:hint="eastAsia" w:ascii="宋体" w:hAnsi="宋体" w:cs="宋体"/>
          <w:b/>
          <w:bCs/>
          <w:color w:val="auto"/>
          <w:szCs w:val="21"/>
          <w:highlight w:val="none"/>
        </w:rPr>
      </w:r>
      <w:r>
        <w:rPr>
          <w:color w:val="auto"/>
        </w:rPr>
      </w:r>
    </w:p>
    <w:p>
      <w:pPr>
        <w:pStyle w:val="702"/>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8、投标文件的语言及度量衡单位</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8.1投标单位提交的投标文件以及投标单位与招标代理机构就有关招标的所有来往通知、函件和文件均应使用简体中文。</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 除技术性能另有规定外，投标文件所使用的度量衡单位，均须采用国家法定计量单位。</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9、投标文件构成</w:t>
      </w:r>
      <w:r>
        <w:rPr>
          <w:rFonts w:hint="eastAsia" w:ascii="宋体" w:hAnsi="宋体" w:cs="宋体"/>
          <w:b/>
          <w:bCs/>
          <w:color w:val="auto"/>
          <w:szCs w:val="21"/>
          <w:highlight w:val="none"/>
        </w:rPr>
      </w:r>
      <w:r>
        <w:rPr>
          <w:color w:val="auto"/>
        </w:rPr>
      </w:r>
    </w:p>
    <w:p>
      <w:pPr>
        <w:pStyle w:val="702"/>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9.1封面</w:t>
      </w:r>
      <w:r>
        <w:rPr>
          <w:rFonts w:hint="eastAsia" w:ascii="宋体" w:hAnsi="宋体" w:cs="宋体"/>
          <w:color w:val="auto"/>
          <w:highlight w:val="none"/>
        </w:rPr>
      </w:r>
      <w:r>
        <w:rPr>
          <w:color w:val="auto"/>
        </w:rPr>
      </w:r>
    </w:p>
    <w:p>
      <w:pPr>
        <w:pStyle w:val="702"/>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9.2开标一览表</w:t>
      </w:r>
      <w:r>
        <w:rPr>
          <w:rFonts w:hint="eastAsia" w:ascii="宋体" w:hAnsi="宋体" w:cs="宋体"/>
          <w:color w:val="auto"/>
          <w:highlight w:val="none"/>
        </w:rPr>
      </w:r>
      <w:r>
        <w:rPr>
          <w:color w:val="auto"/>
        </w:rPr>
      </w:r>
    </w:p>
    <w:p>
      <w:pPr>
        <w:pStyle w:val="702"/>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9.3公开分项报价</w:t>
      </w:r>
      <w:r>
        <w:rPr>
          <w:rFonts w:hint="eastAsia" w:ascii="宋体" w:hAnsi="宋体" w:cs="宋体"/>
          <w:color w:val="auto"/>
          <w:highlight w:val="none"/>
        </w:rPr>
      </w:r>
      <w:r>
        <w:rPr>
          <w:color w:val="auto"/>
        </w:rPr>
      </w:r>
    </w:p>
    <w:p>
      <w:pPr>
        <w:pStyle w:val="702"/>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9.4资格审查文件</w:t>
      </w:r>
      <w:r>
        <w:rPr>
          <w:rFonts w:hint="eastAsia" w:ascii="宋体" w:hAnsi="宋体" w:cs="宋体"/>
          <w:color w:val="auto"/>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具有独立承担民事责任的能力证明。包括法人或者其他组织的营业执照等证明文件，自然人的身份证明；还有单位法定代表人身份证复印件；法定代表人授权委托书（如有授权）；单位授权代理人身份证复印件（如有授权）等。</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（2）具有良好的商业信誉和健全的财务会计制度证明（法人应提供最近一期经会计师事务所审计的财务报告，其他组织、自然人及成立未满一年的法人应提供银行出具的资信证明）。</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（3）履行合同所必需的设备和专业技术能力的证明材料或承诺。</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投标单位应提供提交投标文件截止时间前一年内至少一个月依法缴纳税收及缴纳社会保障资金的证明材料，如相关主管部门证明或银行代扣证明。投标单位如依法享受缓缴、免缴税收、社会保障资金的应提供相关主管部门出具的证明材料）。</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（5）参加政府采购活动前三年内在经营活动中没有重大违法记录的书面声明函。</w:t>
      </w:r>
      <w:r>
        <w:rPr>
          <w:rFonts w:hint="eastAsia" w:ascii="宋体" w:hAnsi="宋体" w:cs="宋体"/>
          <w:color w:val="auto"/>
          <w:highlight w:val="none"/>
        </w:rPr>
      </w:r>
      <w:r>
        <w:rPr>
          <w:color w:val="auto"/>
        </w:rPr>
      </w:r>
    </w:p>
    <w:p>
      <w:pPr>
        <w:pStyle w:val="702"/>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rPr>
        <w:t xml:space="preserve">（6）</w:t>
      </w:r>
      <w:r>
        <w:rPr>
          <w:rFonts w:hint="eastAsia" w:ascii="宋体" w:hAnsi="宋体" w:cs="宋体"/>
          <w:color w:val="auto"/>
          <w:szCs w:val="21"/>
          <w:highlight w:val="none"/>
        </w:rPr>
        <w:t xml:space="preserve">本项目的特定资格</w:t>
      </w:r>
      <w:r>
        <w:rPr>
          <w:rFonts w:hint="eastAsia" w:ascii="宋体" w:hAnsi="宋体" w:cs="宋体"/>
          <w:color w:val="auto"/>
          <w:highlight w:val="none"/>
        </w:rPr>
        <w:t xml:space="preserve">证明文件：</w:t>
      </w:r>
      <w:r>
        <w:rPr>
          <w:rFonts w:hint="eastAsia" w:ascii="宋体" w:hAnsi="宋体"/>
          <w:color w:val="auto"/>
          <w:szCs w:val="21"/>
          <w:highlight w:val="none"/>
          <w:shd w:val="clear" w:color="auto" w:fill="ffffff"/>
        </w:rPr>
        <w:t xml:space="preserve">检验检测机构资质认定证书（环境检测CMA证书）</w:t>
      </w:r>
      <w:r>
        <w:rPr>
          <w:rFonts w:hint="eastAsia" w:ascii="宋体" w:hAnsi="宋体"/>
          <w:color w:val="auto"/>
          <w:szCs w:val="21"/>
          <w:highlight w:val="none"/>
          <w:shd w:val="clear" w:color="auto" w:fill="ffffff"/>
          <w:lang w:eastAsia="zh-CN"/>
        </w:rPr>
        <w:t xml:space="preserve">。</w:t>
      </w:r>
      <w:r>
        <w:rPr>
          <w:rFonts w:hint="eastAsia" w:ascii="宋体" w:hAnsi="宋体" w:eastAsia="宋体" w:cs="宋体"/>
          <w:color w:val="auto"/>
          <w:highlight w:val="none"/>
          <w:lang w:eastAsia="zh-CN"/>
        </w:rPr>
      </w:r>
      <w:r>
        <w:rPr>
          <w:color w:val="auto"/>
        </w:rPr>
      </w:r>
    </w:p>
    <w:p>
      <w:pPr>
        <w:pStyle w:val="702"/>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9.5符合性审查文件</w:t>
      </w:r>
      <w:r>
        <w:rPr>
          <w:rFonts w:hint="eastAsia" w:ascii="宋体" w:hAnsi="宋体" w:cs="宋体"/>
          <w:b/>
          <w:color w:val="auto"/>
          <w:highlight w:val="none"/>
        </w:rPr>
      </w:r>
      <w:r>
        <w:rPr>
          <w:color w:val="auto"/>
        </w:rPr>
      </w:r>
    </w:p>
    <w:p>
      <w:pPr>
        <w:pStyle w:val="702"/>
        <w:ind w:firstLine="420"/>
        <w:spacing w:line="360" w:lineRule="auto"/>
        <w:rPr>
          <w:rFonts w:hint="eastAsia" w:ascii="宋体" w:hAnsi="宋体" w:cs="宋体"/>
          <w:b/>
          <w:color w:val="auto"/>
          <w:highlight w:val="none"/>
        </w:rPr>
      </w:pPr>
      <w:r>
        <w:rPr>
          <w:rFonts w:hint="eastAsia" w:ascii="宋体" w:hAnsi="宋体" w:cs="宋体"/>
          <w:color w:val="auto"/>
          <w:highlight w:val="none"/>
        </w:rPr>
        <w:t xml:space="preserve">（1）关于资格文件的声明函；</w:t>
      </w:r>
      <w:r>
        <w:rPr>
          <w:rFonts w:hint="eastAsia" w:ascii="宋体" w:hAnsi="宋体" w:cs="宋体"/>
          <w:b/>
          <w:color w:val="auto"/>
          <w:highlight w:val="none"/>
        </w:rPr>
      </w:r>
      <w:r>
        <w:rPr>
          <w:color w:val="auto"/>
        </w:rPr>
      </w:r>
    </w:p>
    <w:p>
      <w:pPr>
        <w:pStyle w:val="702"/>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（2）投标函（格式见第三章）；</w:t>
      </w:r>
      <w:r>
        <w:rPr>
          <w:rFonts w:hint="eastAsia" w:ascii="宋体" w:hAnsi="宋体" w:cs="宋体"/>
          <w:color w:val="auto"/>
          <w:highlight w:val="none"/>
        </w:rPr>
      </w:r>
      <w:r>
        <w:rPr>
          <w:color w:val="auto"/>
        </w:rPr>
      </w:r>
    </w:p>
    <w:p>
      <w:pPr>
        <w:pStyle w:val="702"/>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（3）投标人基本情况表（格式见第三章）；</w:t>
      </w:r>
      <w:r>
        <w:rPr>
          <w:rFonts w:hint="eastAsia" w:ascii="宋体" w:hAnsi="宋体" w:cs="宋体"/>
          <w:color w:val="auto"/>
          <w:highlight w:val="none"/>
        </w:rPr>
      </w:r>
      <w:r>
        <w:rPr>
          <w:color w:val="auto"/>
        </w:rPr>
      </w:r>
    </w:p>
    <w:p>
      <w:pPr>
        <w:pStyle w:val="702"/>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（4）技术服务、商务偏离表（格式见第三章）；</w:t>
      </w:r>
      <w:r>
        <w:rPr>
          <w:rFonts w:hint="eastAsia" w:ascii="宋体" w:hAnsi="宋体" w:cs="宋体"/>
          <w:color w:val="auto"/>
          <w:highlight w:val="none"/>
        </w:rPr>
      </w:r>
      <w:r>
        <w:rPr>
          <w:color w:val="auto"/>
        </w:rPr>
      </w:r>
    </w:p>
    <w:p>
      <w:pPr>
        <w:pStyle w:val="702"/>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w:t>
      </w:r>
      <w:r>
        <w:rPr>
          <w:rFonts w:hint="eastAsia" w:ascii="宋体" w:hAnsi="宋体" w:cs="宋体"/>
          <w:color w:val="auto"/>
          <w:highlight w:val="none"/>
          <w:lang w:val="en-US" w:eastAsia="zh-CN"/>
        </w:rPr>
        <w:t xml:space="preserve">项目</w:t>
      </w:r>
      <w:r>
        <w:rPr>
          <w:rFonts w:hint="eastAsia" w:ascii="宋体" w:hAnsi="宋体" w:cs="宋体"/>
          <w:color w:val="auto"/>
          <w:highlight w:val="none"/>
        </w:rPr>
        <w:t xml:space="preserve">人员配备一览表；</w:t>
      </w:r>
      <w:r>
        <w:rPr>
          <w:rFonts w:hint="eastAsia" w:ascii="宋体" w:hAnsi="宋体" w:cs="宋体"/>
          <w:color w:val="auto"/>
          <w:highlight w:val="none"/>
        </w:rPr>
      </w:r>
      <w:r>
        <w:rPr>
          <w:color w:val="auto"/>
        </w:rPr>
      </w:r>
    </w:p>
    <w:p>
      <w:pPr>
        <w:pStyle w:val="702"/>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（6）其他有关符合性证明的文件；</w:t>
      </w:r>
      <w:r>
        <w:rPr>
          <w:rFonts w:hint="eastAsia" w:ascii="宋体" w:hAnsi="宋体" w:cs="宋体"/>
          <w:color w:val="auto"/>
          <w:highlight w:val="none"/>
        </w:rPr>
      </w:r>
      <w:r>
        <w:rPr>
          <w:color w:val="auto"/>
        </w:rPr>
      </w:r>
    </w:p>
    <w:p>
      <w:pPr>
        <w:pStyle w:val="702"/>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9.6综合评审文件</w:t>
      </w:r>
      <w:r>
        <w:rPr>
          <w:rFonts w:hint="eastAsia" w:ascii="宋体" w:hAnsi="宋体" w:cs="宋体"/>
          <w:color w:val="auto"/>
          <w:highlight w:val="none"/>
        </w:rPr>
      </w:r>
      <w:r>
        <w:rPr>
          <w:color w:val="auto"/>
        </w:rPr>
      </w:r>
    </w:p>
    <w:p>
      <w:pPr>
        <w:pStyle w:val="726"/>
        <w:ind w:left="0" w:firstLine="420"/>
        <w:spacing w:line="360" w:lineRule="auto"/>
        <w:rPr>
          <w:rFonts w:hint="eastAsia" w:ascii="宋体" w:hAnsi="宋体" w:cs="宋体"/>
          <w:color w:val="auto"/>
          <w:highlight w:val="none"/>
        </w:rPr>
      </w:pPr>
      <w:r>
        <w:rPr>
          <w:rFonts w:hint="eastAsia" w:ascii="宋体" w:hAnsi="宋体" w:cs="宋体"/>
          <w:bCs/>
          <w:color w:val="auto"/>
          <w:szCs w:val="21"/>
          <w:highlight w:val="none"/>
        </w:rPr>
        <w:t xml:space="preserve">所需材料详见第六章评分标准。与本次采购相关的其他证明材料；</w:t>
      </w:r>
      <w:r>
        <w:rPr>
          <w:rFonts w:hint="eastAsia" w:ascii="宋体" w:hAnsi="宋体" w:cs="宋体"/>
          <w:color w:val="auto"/>
          <w:highlight w:val="none"/>
        </w:rPr>
      </w:r>
      <w:r>
        <w:rPr>
          <w:color w:val="auto"/>
        </w:rPr>
      </w:r>
    </w:p>
    <w:p>
      <w:pPr>
        <w:pStyle w:val="702"/>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9.7对属于《节能产品政府采购品目清单》政府强制采购产品的，需提供该产品有效期内的认证等相关证明材料（如有）；</w:t>
      </w:r>
      <w:r>
        <w:rPr>
          <w:rFonts w:hint="eastAsia" w:ascii="宋体" w:hAnsi="宋体" w:cs="宋体"/>
          <w:color w:val="auto"/>
          <w:highlight w:val="none"/>
        </w:rPr>
      </w:r>
      <w:r>
        <w:rPr>
          <w:color w:val="auto"/>
        </w:rPr>
      </w:r>
    </w:p>
    <w:p>
      <w:pPr>
        <w:pStyle w:val="702"/>
        <w:ind w:firstLine="420"/>
        <w:spacing w:line="360" w:lineRule="auto"/>
        <w:rPr>
          <w:color w:val="auto"/>
          <w:highlight w:val="none"/>
        </w:rPr>
      </w:pPr>
      <w:r>
        <w:rPr>
          <w:rFonts w:hint="eastAsia" w:ascii="宋体" w:hAnsi="宋体" w:cs="宋体"/>
          <w:color w:val="auto"/>
          <w:highlight w:val="none"/>
        </w:rPr>
        <w:t xml:space="preserve">9.8《中小企业声明函》或《残疾人福利性单位声明函》或由省级以上监狱管理局、戒毒管理局（含新疆生产建设兵团）出具的属于监狱企业的证明文件（如有）；</w:t>
      </w:r>
      <w:r>
        <w:rPr>
          <w:color w:val="auto"/>
          <w:highlight w:val="none"/>
        </w:rPr>
      </w:r>
      <w:r>
        <w:rPr>
          <w:color w:val="auto"/>
        </w:rPr>
      </w:r>
    </w:p>
    <w:p>
      <w:pPr>
        <w:pStyle w:val="702"/>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9.9</w:t>
      </w:r>
      <w:r>
        <w:rPr>
          <w:rFonts w:hint="eastAsia" w:ascii="宋体" w:hAnsi="宋体" w:cs="宋体"/>
          <w:color w:val="auto"/>
          <w:highlight w:val="none"/>
        </w:rPr>
        <w:t xml:space="preserve">其他可以证明投标人资质、服务质量的证书、文件等相关资料。</w:t>
      </w:r>
      <w:r>
        <w:rPr>
          <w:rFonts w:hint="eastAsia" w:ascii="宋体" w:hAnsi="宋体" w:cs="宋体"/>
          <w:color w:val="auto"/>
          <w:highlight w:val="none"/>
        </w:rPr>
      </w:r>
      <w:r>
        <w:rPr>
          <w:color w:val="auto"/>
        </w:rPr>
      </w:r>
    </w:p>
    <w:p>
      <w:pPr>
        <w:pStyle w:val="702"/>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注：（1）以上9.4（1）-（6）为资格审查要求提供的材料，是作为对供应商资格审查、质疑身份认定的依据，投标人必须提供并加盖电子公章。否则，投标文件将被认定为不符合资格审查要求。</w:t>
      </w:r>
      <w:r>
        <w:rPr>
          <w:rFonts w:hint="eastAsia" w:ascii="宋体" w:hAnsi="宋体" w:cs="宋体"/>
          <w:color w:val="auto"/>
          <w:highlight w:val="none"/>
        </w:rPr>
      </w:r>
      <w:r>
        <w:rPr>
          <w:color w:val="auto"/>
        </w:rPr>
      </w:r>
    </w:p>
    <w:p>
      <w:pPr>
        <w:pStyle w:val="702"/>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（2）以上9.5（1）-（6）为符合性审查须提供的资料，投标人必须提供并加盖电子公章。否则，投标文件将被认定为未实质性响应。</w:t>
      </w:r>
      <w:r>
        <w:rPr>
          <w:rFonts w:hint="eastAsia" w:ascii="宋体" w:hAnsi="宋体" w:cs="宋体"/>
          <w:color w:val="auto"/>
          <w:highlight w:val="none"/>
        </w:rPr>
      </w:r>
      <w:r>
        <w:rPr>
          <w:color w:val="auto"/>
        </w:rPr>
      </w:r>
    </w:p>
    <w:p>
      <w:pPr>
        <w:pStyle w:val="702"/>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（3）“9.1、9.4-9.</w:t>
      </w:r>
      <w:r>
        <w:rPr>
          <w:rFonts w:hint="eastAsia" w:ascii="宋体" w:hAnsi="宋体" w:cs="宋体"/>
          <w:b/>
          <w:color w:val="auto"/>
          <w:highlight w:val="none"/>
          <w:lang w:val="en-US" w:eastAsia="zh-CN"/>
        </w:rPr>
        <w:t xml:space="preserve">9</w:t>
      </w:r>
      <w:r>
        <w:rPr>
          <w:rFonts w:hint="eastAsia" w:ascii="宋体" w:hAnsi="宋体" w:cs="宋体"/>
          <w:b/>
          <w:color w:val="auto"/>
          <w:highlight w:val="none"/>
        </w:rPr>
        <w:t xml:space="preserve">”中不得出现投标总报价。</w:t>
      </w:r>
      <w:r>
        <w:rPr>
          <w:rFonts w:hint="eastAsia" w:ascii="宋体" w:hAnsi="宋体" w:cs="宋体"/>
          <w:color w:val="auto"/>
          <w:highlight w:val="none"/>
        </w:rPr>
        <w:t xml:space="preserve">投标人所提交的资料的完整与否，将直接影响投标人的评分。</w:t>
      </w:r>
      <w:r>
        <w:rPr>
          <w:rFonts w:hint="eastAsia" w:ascii="宋体" w:hAnsi="宋体" w:cs="宋体"/>
          <w:color w:val="auto"/>
          <w:highlight w:val="none"/>
        </w:rPr>
      </w:r>
      <w:r>
        <w:rPr>
          <w:color w:val="auto"/>
        </w:rPr>
      </w:r>
    </w:p>
    <w:p>
      <w:pPr>
        <w:pStyle w:val="702"/>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（4）制作电子投标文件时必须与投标文件制作软件目录一一对应，将相关资料上传至相应模块。</w:t>
      </w:r>
      <w:r>
        <w:rPr>
          <w:rFonts w:hint="eastAsia" w:ascii="宋体" w:hAnsi="宋体" w:cs="宋体"/>
          <w:color w:val="auto"/>
          <w:highlight w:val="none"/>
        </w:rPr>
      </w:r>
      <w:r>
        <w:rPr>
          <w:color w:val="auto"/>
        </w:rPr>
      </w:r>
    </w:p>
    <w:p>
      <w:pPr>
        <w:pStyle w:val="702"/>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color w:val="auto"/>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9.13 如标书制作工具中格式和内容与“苏州市政府采购网”发布的招标文件不一致，请以“苏州市政府采购网”发布的招标文件为准。</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10、证明投标标的符合招标文件规定的文件</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10.1投标单位应按照招标文件要求提交证明文件，证明其及投标标的符合招标文件规定。</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10.2招标文件对证明文件无明确形式要求的，证明文件可以以文字资料、图纸和数据等形式提交。</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11、投标报价明细表</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11.1投标单位应按照招标文件规定格式填报投标报价明细表。</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11.2响应货币。投标文件中的单价和总价无特殊规定的采用人民币报价，以元为单位标注。招标文件中另有规定的按规定执行。</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12、技术要求响应及偏离表、商务要求响应及偏离表</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12.1投标单位需对招标文件中的技术要求与商务要求逐项作出响应或偏离，并说明原因。</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12.2投标单位可在招标文件中提供认为需要的其他技术文件或说明。</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13、服务承诺、项目计划、人员安排及其他</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13.1投标单位需根据招标文件要求提供有关服务的服务承诺、项目计划、人员安排及其他等方案。</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14、投标函</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14.1投标单位应按照招标文件中提供的格式完整、正确填写投标函。</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15、投标有效期</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15.1投标有效期为招标代理机构规定的提交投标文件截止之日后九十（90）天。投标有效期比规定短的将被视为非实质性响应招标文件而予以拒绝。</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16、投标有效期的延长</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在特殊情况下，招标代理机构于原投标有效期满之前，可向供应商提出延长投标有效期的要求。这种要求与答复均应采用书面形式。投标单位可以拒绝招标代理机构的这一要求而放弃投标，同意延长投标有效期的投标单位既不能要求也不允许修改其投标文件。受投标有效期约束的所有权利与义务均延长至新的有效期。</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四、投标文件的递交</w:t>
      </w:r>
      <w:r>
        <w:rPr>
          <w:rFonts w:hint="eastAsia" w:ascii="宋体" w:hAnsi="宋体" w:cs="宋体"/>
          <w:b/>
          <w:bCs/>
          <w:color w:val="auto"/>
          <w:szCs w:val="21"/>
          <w:highlight w:val="none"/>
        </w:rPr>
      </w:r>
      <w:r>
        <w:rPr>
          <w:color w:val="auto"/>
        </w:rPr>
      </w:r>
    </w:p>
    <w:p>
      <w:pPr>
        <w:pStyle w:val="702"/>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17、电子投标文件的递交</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17.1本项目采用电子招投标形式，请供应商按照《苏采云系统供应商操作手册》进行制作、上传电子投标（响应）文件。电子投标（响应）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承担全部责任。</w:t>
      </w:r>
      <w:r>
        <w:rPr>
          <w:rFonts w:hint="eastAsia" w:ascii="宋体" w:hAnsi="宋体" w:cs="宋体"/>
          <w:b/>
          <w:bCs/>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18、提交投标文件截止时间</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18.1投标单位上传电子投标（响应）文件的时间不得迟于招标公告中规定的提交投标（响应）文件截止时间。</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投标单位应充分考虑到网络环境、网络带宽等风险因素，如因投标单位自身原因造成的电子投标（响应）文件上传不成功的做无效投标处理。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18.2 招标代理机构可以按照规定，通过修改招标文件酌情延长提交投标文件截止日期，在此情况下，供应商的所有权利和义务以及供应商受制的截止日期均应以延长后新的截止日期为准。</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19、投标文件的拒收</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19.1 招标代理机构拒绝接收在其规定的提交投标（响应）文件截止时间后上传的任何电子投标（响应）文件。</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20、投标文件的撤回和修改</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20.1投标文件的撤回</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20.1.1 电子投标文件的撤回</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投标单位可在提交投标文件截止时间前，撤回其电子投标文件，具体操作方法见《苏采云系统供应商操作手册》。</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20.1.2投标单位撤回电子投标文件，则认为其不再参与本项目投标活动。</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20.2投标文件的修改</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投标单位可在提交投标文件截止时间前，对其电子投标文件进行修改，具体操作方法见《苏采云系统供应商操作手册》。</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20.3 在提交投标文件截止时间之后，投标单位不得对其电子投标文件作任何修改。</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20.4 在提交投标文件截止时间至招标文件中规定的投标有效期满之间的这段时间内，投标单位不得撤回其投标文件。</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五、投标文件的解密与评审</w:t>
      </w:r>
      <w:r>
        <w:rPr>
          <w:rFonts w:hint="eastAsia" w:ascii="宋体" w:hAnsi="宋体" w:cs="宋体"/>
          <w:b/>
          <w:bCs/>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21、投标文件解密</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21.1投标单位应当按照《苏采云系统供应商操作手册》规定，在苏采云系统规定的时间内对投标文件进行解密。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21.2 开标仪式由招标单位或招标代理机构组织。苏采云系统将自动对项目进行开标，并宣布各投标人名称和投标价格。</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21.3 投标单位在开标过程中涉及到的投标文件解密、开标结果确认等工作，应按照《操作手册》规定执行。</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22、评标委员会</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22.1招标代理机构将组织评标委员会（以下简称评委会）进行评标。评委会由招标单位代表和有关技术、经济等方面的专家组成，且人员构成符合政府采购有关规定。</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22.2评委会独立工作，负责评审所有投标文件并确定中标侯选人。</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23、评审过程的保密与公正</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23.1评委会、招标单位和招标代理机构、相关监督人员等与评审工作有关的人员，对评审情况以及在评审过程中获悉的国家秘密、商业秘密负有保密责任。</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23.2在评审过程中，投标单位不得以任何行为影响评标过程，否则其投标文件将被作为无效投标文件。</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23.3 招标代理机构和评委会不向未中标的投标人解释未中标原因，也不公布评标过程中的相关细节。</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24、评标过程中的的澄清</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24.1项目评标期间，评委会有权要求投标单位对投标文件中含义不明确、同类问题表述不一致或者有明显文字和计算错误的内容等作出必要的澄清、说明或者更正。投标单位的澄清、说明或者更正不得超出投标文件的范围或者改变投标文件的实质性内容。评委会并非对每个投标单位都作澄清要求。</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24.2需要投标单位进行澄清、说明和更正的，评委会将通过苏采云系统向投标单位发布“澄清要求函”，接到“澄清要求函”的投标单位应当按照要求在苏采云系统中提交“澄清响应函”并加盖CA电子公章。澄清、说明和更正的内容作为投标文件的补充部分，具体操作方式见《苏采云系统供应商操作手册》。</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24.3 接到评委会澄清、说明和更正要求的投标单位如未按规定做出澄清、说明和更正，其风险由投标单位自行承担。</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25、对投标文件的审查</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25.1投标文件审查分为资格审查和符合性审查。</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25.1.1 资格审查：依据法律法规和招标文件的规定，由招标人对投标文件中的资格证明文件进行审查。资格审查的结论，招标人以书面形式向评委会进行反馈。</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招标人在进行资格审查的同时，将在“信用中国”网站（www.creditchina.gov.cn）查询投标单位的信用记录，以确定投标单位是否具备响应资格,查询结果留存并归档。</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接受联合体的项目，两个以上的自然人、法人或者其他组织组成一个联合体，以一个投标单位的身份共同参加政府采购活动的,联合体成员中任何一方存在不良信用记录的，视同联合体存在不良应用记录。</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25.1.3 未通过资格审查或符合性审查的投标单位，评委会将在苏采云系统中告知未通过资格审查或符合性审查的原因，评审结束后，评委会将不再告知未通过资格审查或符合性审查的原因。</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25.2在详细评审之前，评委会将首先审查每份投标文件是否实质性响应了招标文件的要求。实质性响应的投标应该是与招标文件要求的全部条款、条件和规格相符，没有重大偏离或保留的投标。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谓重大偏离或保留是指与招标文件规定的实质性要求存在负偏离，或者在实质上与招标文件不一致，而且限制了合同中买方和招标代理机构的权利或投标单位的义务，纠正这些偏离或保留将会对其他实质性响应要求的投标单位的竞争地位产生不公正的影响。重大偏离由评委会按照少数服从多数的原则认定。评委会决定投标文件的响应性只根据投标文件本身的内容，而不寻求外部的证据。</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25.3未实质性响应投标文件的情形</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25.3.1投标单位在苏采云系统规定的时间内未成功解密电子投标文件的。</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25.3.2投标单位未按照招标文件要求上传电子投标文件的。</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25.3.3同一投标单位提交两个（含两个）以上不同的投标文件或者最后报价的。</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25.3.4投标单位不具备招标文件中规定资格要求的。</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25.3.5投标单位的报价超过了采购预算或综合单价预算的。</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25.3.6不符合招标文件中规定的实质性要求和条件的。</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25.3.7投标单位被 “信用中国”网站（www.creditchina.gov.cn）列入失信被执行人或重大税收违法案件当事人名单或政府采购严重失信行为记录名单。或查询“信用中国”网站后发现投标单位存在其他不符合《中华人民共和国政府采购法》第二十二条规定条件的信用记录。</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25.3.8 投标文件含有招标单位不能接受的附加条件的。</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25.3.9 项目采购产品被财政部、国家发改委、生态环境部等列入“节能产品品目清单”、“环境标志产品品目清单”强制采购范围，而投标单位所响应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25.3.10投标文件未按照招标文件要求加盖CA电子公章的。</w:t>
      </w:r>
      <w:r>
        <w:rPr>
          <w:rFonts w:hint="eastAsia" w:ascii="宋体" w:hAnsi="宋体" w:cs="宋体"/>
          <w:color w:val="auto"/>
          <w:szCs w:val="21"/>
          <w:highlight w:val="none"/>
        </w:rPr>
      </w:r>
      <w:r>
        <w:rPr>
          <w:color w:val="auto"/>
        </w:rPr>
      </w:r>
    </w:p>
    <w:p>
      <w:pPr>
        <w:pStyle w:val="715"/>
        <w:ind w:firstLine="420"/>
        <w:rPr>
          <w:rFonts w:eastAsia="宋体"/>
          <w:color w:val="auto"/>
          <w:highlight w:val="none"/>
        </w:rPr>
      </w:pPr>
      <w:r>
        <w:rPr>
          <w:rFonts w:hint="eastAsia" w:ascii="宋体" w:hAnsi="宋体" w:eastAsia="宋体" w:cs="宋体"/>
          <w:color w:val="auto"/>
          <w:sz w:val="21"/>
          <w:szCs w:val="21"/>
          <w:highlight w:val="none"/>
        </w:rPr>
        <w:t xml:space="preserve">25.3.11出现机器码一致的情况。</w:t>
      </w:r>
      <w:r>
        <w:rPr>
          <w:rFonts w:eastAsia="宋体"/>
          <w:color w:val="auto"/>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25.4未实质性响应招标文件的投标文件按无效投标处理。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25.5如果投标文件实质上没有响应招标文件的要求，评委会将予以拒绝，投标单位不得通过修改或撤销不合要求的偏离或保留而使其成为实质性响应的文件。</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25.6不同投标单位的投标文件‘机器码一致’的为无效投标。</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25.7投标单位在项目评审全过程中应保持通讯畅通，并安排专人与招标代理机构及评委会联系。</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26、废标</w:t>
      </w:r>
      <w:r>
        <w:rPr>
          <w:rFonts w:hint="eastAsia" w:ascii="宋体" w:hAnsi="宋体" w:cs="宋体"/>
          <w:b/>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26.1在招标过程中，出现下列情况之一的，应予废标：</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26.1.1符合专业条件的供应商或者对招标文件作实质响应的供应商不足三家的；</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26.1.2出现影响采购公正的违法、违规行为的；</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26.1.3投标单位的报价均超过了采购预算，招标单位不能支付的；</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26.1.4因重大变故，采购任务取消的；</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26.1.5在苏采云系统规定时间内成功解密电子投标文件的投标单位不足3家的。</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26.2废标后，招标采购单位将把废标的理由通知所有投标单位。</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 中标原则</w:t>
      </w:r>
      <w:r>
        <w:rPr>
          <w:rFonts w:hint="eastAsia" w:ascii="宋体" w:hAnsi="宋体" w:cs="宋体"/>
          <w:color w:val="auto"/>
          <w:szCs w:val="21"/>
          <w:highlight w:val="none"/>
        </w:rPr>
      </w:r>
      <w:r>
        <w:rPr>
          <w:color w:val="auto"/>
        </w:rPr>
      </w:r>
    </w:p>
    <w:p>
      <w:pPr>
        <w:pStyle w:val="702"/>
        <w:ind w:firstLine="420"/>
        <w:spacing w:line="360" w:lineRule="auto"/>
        <w:tabs>
          <w:tab w:val="left" w:pos="108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26.2.1本次招标采用综合评分法，即在招标文件满足采购文件全部实质性要求且按评审因素的量化指标评审得分最高的供应商为中标候选供应商。招标书面授权评标委员会直接确定中标单位。</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26.2.2评标委员会各成员独立对每个进入打分程序的有效投标供应商的投标文件技术和资质部分以打分的形式进行评审和评价。对评委的评分（除价格分外）进行统计汇总，直接算术平均计算出每个投标供应商的得分（所有评分四舍五入，保留二位小数），加上价格得分即为每个投标供应商的综合得分。如出现评审总得分最高的投标供应商有两个或两个以上的，以投标报价较低者优先作为中标候选人；如果投标报价也相同的，则由公证处组织以抽签方式确定</w:t>
      </w:r>
      <w:r>
        <w:rPr>
          <w:rFonts w:hint="eastAsia" w:ascii="宋体" w:hAnsi="宋体" w:cs="宋体"/>
          <w:color w:val="auto"/>
          <w:szCs w:val="21"/>
          <w:highlight w:val="none"/>
          <w:lang w:val="en-US" w:eastAsia="zh-CN"/>
        </w:rPr>
        <w:t xml:space="preserve">中标单位</w:t>
      </w:r>
      <w:r>
        <w:rPr>
          <w:rFonts w:hint="eastAsia" w:ascii="宋体" w:hAnsi="宋体" w:cs="宋体"/>
          <w:color w:val="auto"/>
          <w:szCs w:val="21"/>
          <w:highlight w:val="none"/>
        </w:rPr>
        <w:t xml:space="preserve">。</w:t>
      </w:r>
      <w:r>
        <w:rPr>
          <w:rFonts w:hint="eastAsia" w:ascii="宋体" w:hAnsi="宋体" w:cs="宋体"/>
          <w:color w:val="auto"/>
          <w:szCs w:val="21"/>
          <w:highlight w:val="none"/>
        </w:rPr>
      </w:r>
      <w:r>
        <w:rPr>
          <w:color w:val="auto"/>
        </w:rPr>
      </w:r>
    </w:p>
    <w:p>
      <w:pPr>
        <w:pStyle w:val="951"/>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26.2.3采购人确定中标单位后，采购中心将在“苏州市政府采购网”发布成交结果公告，公告期限为1个工作日。</w:t>
      </w:r>
      <w:r>
        <w:rPr>
          <w:rFonts w:hint="eastAsia" w:hAnsi="宋体" w:eastAsia="宋体" w:cs="宋体"/>
          <w:color w:val="auto"/>
          <w:sz w:val="21"/>
          <w:szCs w:val="21"/>
          <w:highlight w:val="none"/>
        </w:rPr>
      </w:r>
      <w:r>
        <w:rPr>
          <w:color w:val="auto"/>
        </w:rPr>
      </w:r>
    </w:p>
    <w:p>
      <w:pPr>
        <w:pStyle w:val="702"/>
        <w:ind w:firstLine="420"/>
        <w:spacing w:line="360" w:lineRule="auto"/>
        <w:tabs>
          <w:tab w:val="left" w:pos="567"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26.3</w:t>
      </w:r>
      <w:r>
        <w:rPr>
          <w:rFonts w:hint="eastAsia" w:ascii="宋体" w:hAnsi="宋体" w:cs="宋体"/>
          <w:bCs/>
          <w:color w:val="auto"/>
          <w:szCs w:val="21"/>
          <w:highlight w:val="none"/>
        </w:rPr>
        <w:t xml:space="preserve">小、微企业</w:t>
      </w:r>
      <w:r>
        <w:rPr>
          <w:rFonts w:hint="eastAsia" w:ascii="宋体" w:hAnsi="宋体" w:cs="宋体"/>
          <w:bCs/>
          <w:color w:val="auto"/>
          <w:szCs w:val="21"/>
          <w:highlight w:val="none"/>
        </w:rPr>
      </w:r>
      <w:r>
        <w:rPr>
          <w:color w:val="auto"/>
        </w:rPr>
      </w:r>
    </w:p>
    <w:p>
      <w:pPr>
        <w:pStyle w:val="702"/>
        <w:ind w:firstLine="420"/>
        <w:spacing w:line="360" w:lineRule="auto"/>
        <w:tabs>
          <w:tab w:val="left" w:pos="567" w:leader="none"/>
        </w:tabs>
        <w:rPr>
          <w:rFonts w:hint="eastAsia" w:ascii="宋体" w:hAnsi="宋体"/>
          <w:color w:val="auto"/>
          <w:highlight w:val="none"/>
        </w:rPr>
      </w:pPr>
      <w:r>
        <w:rPr>
          <w:rFonts w:hint="eastAsia" w:ascii="宋体" w:hAnsi="宋体"/>
          <w:color w:val="auto"/>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olor w:val="auto"/>
          <w:highlight w:val="none"/>
        </w:rPr>
      </w:r>
      <w:r>
        <w:rPr>
          <w:color w:val="auto"/>
        </w:rPr>
      </w:r>
    </w:p>
    <w:p>
      <w:pPr>
        <w:pStyle w:val="702"/>
        <w:ind w:firstLine="420"/>
        <w:spacing w:line="360" w:lineRule="auto"/>
        <w:tabs>
          <w:tab w:val="left" w:pos="567" w:leader="none"/>
        </w:tabs>
        <w:rPr>
          <w:rFonts w:hint="eastAsia" w:ascii="宋体" w:hAnsi="宋体"/>
          <w:color w:val="auto"/>
          <w:highlight w:val="none"/>
        </w:rPr>
      </w:pPr>
      <w:r>
        <w:rPr>
          <w:rFonts w:hint="eastAsia" w:ascii="宋体" w:hAnsi="宋体"/>
          <w:color w:val="auto"/>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auto"/>
          <w:highlight w:val="none"/>
        </w:rPr>
        <w:t xml:space="preserve">服务类项目中供应商若使用退休人员，将不享受相关扶持政策。</w:t>
      </w:r>
      <w:r>
        <w:rPr>
          <w:rFonts w:hint="eastAsia" w:ascii="宋体" w:hAnsi="宋体"/>
          <w:color w:val="auto"/>
          <w:highlight w:val="none"/>
        </w:rPr>
      </w:r>
      <w:r>
        <w:rPr>
          <w:color w:val="auto"/>
        </w:rPr>
      </w:r>
    </w:p>
    <w:p>
      <w:pPr>
        <w:pStyle w:val="702"/>
        <w:ind w:firstLine="422"/>
        <w:spacing w:line="360" w:lineRule="auto"/>
        <w:tabs>
          <w:tab w:val="left" w:pos="567" w:leader="none"/>
        </w:tabs>
        <w:rPr>
          <w:rFonts w:hint="eastAsia" w:ascii="宋体" w:hAnsi="宋体"/>
          <w:color w:val="auto"/>
          <w:highlight w:val="none"/>
        </w:rPr>
      </w:pPr>
      <w:r>
        <w:rPr>
          <w:rFonts w:hint="eastAsia" w:ascii="宋体" w:hAnsi="宋体"/>
          <w:b/>
          <w:color w:val="auto"/>
          <w:highlight w:val="none"/>
        </w:rPr>
        <w:t xml:space="preserve">根据《政府采购促进中小企业发展管理办法》（财库〔2020〕46号）及《中小企业划型标准规定》（工信部联企业〔2011〕300号），本采购标的对应的中小企业划分标准所属行业为：其他未列明行业。</w:t>
      </w:r>
      <w:r>
        <w:rPr>
          <w:rFonts w:hint="eastAsia" w:ascii="宋体" w:hAnsi="宋体"/>
          <w:color w:val="auto"/>
          <w:highlight w:val="none"/>
        </w:rPr>
      </w:r>
      <w:r>
        <w:rPr>
          <w:color w:val="auto"/>
        </w:rPr>
      </w:r>
    </w:p>
    <w:p>
      <w:pPr>
        <w:pStyle w:val="702"/>
        <w:ind w:firstLine="420"/>
        <w:spacing w:line="360" w:lineRule="auto"/>
        <w:tabs>
          <w:tab w:val="left" w:pos="567" w:leader="none"/>
        </w:tabs>
        <w:rPr>
          <w:rFonts w:hint="eastAsia" w:ascii="宋体" w:hAnsi="宋体"/>
          <w:color w:val="auto"/>
          <w:highlight w:val="none"/>
        </w:rPr>
      </w:pPr>
      <w:r>
        <w:rPr>
          <w:rFonts w:hint="eastAsia" w:ascii="宋体" w:hAnsi="宋体"/>
          <w:color w:val="auto"/>
          <w:highlight w:val="none"/>
        </w:rPr>
        <w:t xml:space="preserve">（2）残疾人福利性单位</w:t>
      </w:r>
      <w:r>
        <w:rPr>
          <w:rFonts w:hint="eastAsia" w:ascii="宋体" w:hAnsi="宋体"/>
          <w:color w:val="auto"/>
          <w:highlight w:val="none"/>
        </w:rPr>
      </w:r>
      <w:r>
        <w:rPr>
          <w:color w:val="auto"/>
        </w:rPr>
      </w:r>
    </w:p>
    <w:p>
      <w:pPr>
        <w:pStyle w:val="702"/>
        <w:ind w:firstLine="420"/>
        <w:spacing w:line="360" w:lineRule="auto"/>
        <w:tabs>
          <w:tab w:val="left" w:pos="567" w:leader="none"/>
        </w:tabs>
        <w:rPr>
          <w:rFonts w:hint="eastAsia" w:ascii="宋体" w:hAnsi="宋体"/>
          <w:color w:val="auto"/>
          <w:highlight w:val="none"/>
        </w:rPr>
      </w:pPr>
      <w:r>
        <w:rPr>
          <w:rFonts w:hint="eastAsia" w:ascii="宋体" w:hAnsi="宋体"/>
          <w:color w:val="auto"/>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olor w:val="auto"/>
          <w:highlight w:val="none"/>
        </w:rPr>
      </w:r>
      <w:r>
        <w:rPr>
          <w:color w:val="auto"/>
        </w:rPr>
      </w:r>
    </w:p>
    <w:p>
      <w:pPr>
        <w:pStyle w:val="702"/>
        <w:ind w:firstLine="420"/>
        <w:spacing w:line="360" w:lineRule="auto"/>
        <w:tabs>
          <w:tab w:val="left" w:pos="567" w:leader="none"/>
        </w:tabs>
        <w:rPr>
          <w:rFonts w:hint="eastAsia" w:ascii="宋体" w:hAnsi="宋体"/>
          <w:color w:val="auto"/>
          <w:highlight w:val="none"/>
        </w:rPr>
      </w:pPr>
      <w:r>
        <w:rPr>
          <w:rFonts w:hint="eastAsia" w:ascii="宋体" w:hAnsi="宋体"/>
          <w:color w:val="auto"/>
          <w:highlight w:val="none"/>
        </w:rPr>
        <w:t xml:space="preserve">（3）监狱企业</w:t>
      </w:r>
      <w:r>
        <w:rPr>
          <w:rFonts w:hint="eastAsia" w:ascii="宋体" w:hAnsi="宋体"/>
          <w:color w:val="auto"/>
          <w:highlight w:val="none"/>
        </w:rPr>
      </w:r>
      <w:r>
        <w:rPr>
          <w:color w:val="auto"/>
        </w:rPr>
      </w:r>
    </w:p>
    <w:p>
      <w:pPr>
        <w:pStyle w:val="702"/>
        <w:ind w:firstLine="420"/>
        <w:spacing w:line="360" w:lineRule="auto"/>
        <w:tabs>
          <w:tab w:val="left" w:pos="567" w:leader="none"/>
        </w:tabs>
        <w:rPr>
          <w:rFonts w:hint="eastAsia" w:ascii="宋体" w:hAnsi="宋体"/>
          <w:color w:val="auto"/>
          <w:highlight w:val="none"/>
        </w:rPr>
      </w:pPr>
      <w:r>
        <w:rPr>
          <w:rFonts w:hint="eastAsia" w:ascii="宋体" w:hAnsi="宋体"/>
          <w:color w:val="auto"/>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color w:val="auto"/>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27、价格修正</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27.1投标文件报价出现前后不一致的，除招标文件另有规定外，按下列规定修正：</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（一）投标文件中开标一览表（报价表）内容与投标文件中相应内容不一致的，以开标一览表（报价表）为准；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（二）大写金额和小写金额不一致的，以大写金额为准；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（三）单价金额小数点或者百分比有明显错位的，以开标一览表的总价为准，并修改单价；</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（四）总价金额与按单价汇总金额不一致的，以单价金额计算结果为准。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修正后的报价按照《中华人民共和国财政部令第87号》第五十一条第二款的规定经投标人确认后产生约束力，投标人不确认的，其投标无效。</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27.2评委会认为投标单位的报价明显低于其他通过符合性审查投标单位的报价，有可能影响产品质量或者不能诚信履约的，应当要求其在评标现场合理的时间内提供书面说明（线上开评标项目可通过“苏采云”系统要求其提供），必要时提交相关证明材料；投标单位不能证明其报价合理性的，评委会将其作为无效投标处理。</w:t>
      </w:r>
      <w:r>
        <w:rPr>
          <w:rFonts w:hint="eastAsia" w:ascii="宋体" w:hAnsi="宋体" w:cs="宋体"/>
          <w:b/>
          <w:bCs/>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28、中标单位被取消中标资格情形</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若有充分证据证明，中标单位出现下列情况之一的，一经查实，将被取消中标资格：</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28.1提供虚假材料谋取成交的。</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28.2与评审专家、采购人、其他投标单位或者招标代理机构工作人员恶意串通的。</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28.3向评审专家、采购人或招标代理机构工作人员行贿或者提供其他不正当利益的。</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28.4恶意竞争，最后报价明显低于其自身合理成本且又无法提供证明的。</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28.5不满足本招标文件规定的实质性要求，但在评审过程中又未被评委会发现的。</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28.6中标后无正当理由拒不与招标单位签订政府采购合同或者未按照招标文件确定的事项签订政府采购合同的。</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28.7将政府采购合同转包的。</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29、联合体投标、分包、转包</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29.1本项目不接受联合体投标、不接受分包、不接受转包。</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30、质疑处理</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30.1 质疑及答复遵守《政府采购质疑和投诉办法》（中华人民共和国财政部令第 94 号）规定。</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30.2 供应商认为招标文件、采购过程和中标、中标结果使自己的权益受到损害的，可以在知道或者应知其权益受到损害之日起七个工作日内，根据《政府采购质疑和投诉办法》（中华人民共和国财政部令第 94号）以书面形式向采购人、代理机构提出质疑。采购代理机构应当在收到投标单位书面质疑函后七个工作日内作出答复。</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 提出质疑的投标单位应当是参与所质疑项目采购活动的供应商，未依照采购公告要求获取采购文件的供应商，视为未参与该项政府采购活动，不具备对该政府采购项目提出质疑的法定权利。对招标文件内容质疑时，需提供在采购交易系统中下载本项目的《交易文件下载确认单》，未提供的视为未依照招标公告要求获取招标文件的供应商，不具备对该政府采购项目提出质疑的法定权利。</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 供应商应当在法定质疑期内一次性提出针对同一采购程序环节的质疑。</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 接收质疑函的方式为书面形式（当场送达或邮寄方式）。供应商质疑函范本格式请参照“苏州市政府采购”网站——“下载中心”——“政府采购供应商质疑函范本”。</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质疑联系部门：苏州捷信招投标咨询有限公司</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联系电话：0512-65200361   联系人：王慧</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通讯地址：苏州南园北路天和商务大厦6-206室</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31、中标通知书</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31.1招标代理机构在发布中标公告的同时向中标单位发出中标通知书。中标通知书发出后，中标单位放弃中标的，应当承担相应的法律责任。</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31.2中标通知书将成为合同的组成部分。</w:t>
      </w:r>
      <w:r>
        <w:rPr>
          <w:rFonts w:hint="eastAsia" w:ascii="宋体" w:hAnsi="宋体" w:cs="宋体"/>
          <w:b/>
          <w:bCs/>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六、授予合同</w:t>
      </w:r>
      <w:r>
        <w:rPr>
          <w:rFonts w:hint="eastAsia" w:ascii="宋体" w:hAnsi="宋体" w:cs="宋体"/>
          <w:b/>
          <w:bCs/>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33、 签订合同</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33.1招标单位应当原则上应当自中标通知书发出之日起15日内，按照招标文件及投标文件规定与中标单位签订政府采购合同。</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33.2签订合同及合同条款应以招标文件和中标单位的投标文件及其澄清承诺文件为依据。</w:t>
      </w:r>
      <w:r>
        <w:rPr>
          <w:rFonts w:hint="eastAsia" w:ascii="宋体" w:hAnsi="宋体" w:cs="宋体"/>
          <w:color w:val="auto"/>
          <w:szCs w:val="21"/>
          <w:highlight w:val="none"/>
        </w:rPr>
      </w:r>
      <w:r>
        <w:rPr>
          <w:color w:val="auto"/>
        </w:rPr>
      </w:r>
    </w:p>
    <w:p>
      <w:pPr>
        <w:pStyle w:val="730"/>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33.3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hint="eastAsia" w:ascii="宋体" w:hAnsi="宋体" w:cs="宋体"/>
          <w:b/>
          <w:bCs/>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34、标的物的追加</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政府采购合同履行中，采购人需追加与合同标的相同的货物、服务（包含与货物相关的服务及与服务相关的货物）的，在不改变合同其他条款的前提下，可以与中标单位协商签订补充合同，但所有补充合同的采购金额不超过原合同金额10%。</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35、未尽事宜：</w:t>
      </w:r>
      <w:r>
        <w:rPr>
          <w:rFonts w:hint="eastAsia" w:ascii="宋体" w:hAnsi="宋体" w:cs="宋体"/>
          <w:color w:val="auto"/>
          <w:szCs w:val="21"/>
          <w:highlight w:val="none"/>
        </w:rPr>
        <w:t xml:space="preserve">按《中华人民共和国政府采购法》及其他有关的法律法规的规定执行。</w:t>
      </w:r>
      <w:r>
        <w:rPr>
          <w:rFonts w:hint="eastAsia" w:ascii="宋体" w:hAnsi="宋体" w:cs="宋体"/>
          <w:color w:val="auto"/>
          <w:szCs w:val="21"/>
          <w:highlight w:val="none"/>
        </w:rPr>
      </w:r>
      <w:r>
        <w:rPr>
          <w:color w:val="auto"/>
        </w:rPr>
      </w:r>
    </w:p>
    <w:p>
      <w:pPr>
        <w:pStyle w:val="942"/>
        <w:ind w:firstLine="721"/>
        <w:jc w:val="center"/>
        <w:spacing w:line="360" w:lineRule="auto"/>
        <w:rPr>
          <w:rFonts w:hint="eastAsia" w:hAnsi="宋体" w:eastAsia="宋体"/>
          <w:b/>
          <w:bCs/>
          <w:color w:val="auto"/>
          <w:sz w:val="36"/>
          <w:szCs w:val="36"/>
          <w:highlight w:val="none"/>
        </w:rPr>
        <w:outlineLvl w:val="0"/>
      </w:pPr>
      <w:r>
        <w:rPr>
          <w:color w:val="auto"/>
        </w:rPr>
      </w:r>
      <w:bookmarkStart w:id="38" w:name="_Toc2795"/>
      <w:r>
        <w:rPr>
          <w:color w:val="auto"/>
        </w:rPr>
      </w:r>
      <w:bookmarkStart w:id="39" w:name="_Toc27465"/>
      <w:r>
        <w:rPr>
          <w:color w:val="auto"/>
        </w:rPr>
      </w:r>
      <w:bookmarkStart w:id="40" w:name="_Toc22034"/>
      <w:r>
        <w:rPr>
          <w:color w:val="auto"/>
        </w:rPr>
      </w:r>
      <w:bookmarkStart w:id="41" w:name="_Toc26279"/>
      <w:r>
        <w:rPr>
          <w:color w:val="auto"/>
        </w:rPr>
      </w:r>
      <w:bookmarkStart w:id="42" w:name="_Toc420"/>
      <w:r>
        <w:rPr>
          <w:color w:val="auto"/>
        </w:rPr>
      </w:r>
      <w:bookmarkStart w:id="43" w:name="_Toc19762"/>
      <w:r>
        <w:rPr>
          <w:color w:val="auto"/>
        </w:rPr>
      </w:r>
      <w:bookmarkStart w:id="44" w:name="_Toc4188"/>
      <w:r>
        <w:rPr>
          <w:color w:val="auto"/>
        </w:rPr>
      </w:r>
      <w:bookmarkStart w:id="45" w:name="_Toc30557"/>
      <w:r>
        <w:rPr>
          <w:color w:val="auto"/>
        </w:rPr>
      </w:r>
      <w:bookmarkStart w:id="46" w:name="_Toc25472"/>
      <w:r>
        <w:rPr>
          <w:color w:val="auto"/>
        </w:rPr>
      </w:r>
      <w:bookmarkStart w:id="47" w:name="_Toc18154"/>
      <w:r>
        <w:rPr>
          <w:color w:val="auto"/>
        </w:rPr>
      </w:r>
      <w:bookmarkStart w:id="48" w:name="_Toc14430"/>
      <w:r>
        <w:rPr>
          <w:rFonts w:hint="eastAsia" w:hAnsi="宋体" w:eastAsia="宋体"/>
          <w:b/>
          <w:bCs/>
          <w:color w:val="auto"/>
          <w:sz w:val="36"/>
          <w:szCs w:val="36"/>
          <w:highlight w:val="none"/>
        </w:rPr>
        <w:br w:type="page" w:clear="all"/>
      </w:r>
      <w:r>
        <w:rPr>
          <w:rFonts w:hint="eastAsia" w:hAnsi="宋体" w:eastAsia="宋体"/>
          <w:b/>
          <w:bCs/>
          <w:color w:val="auto"/>
          <w:sz w:val="36"/>
          <w:szCs w:val="36"/>
          <w:highlight w:val="none"/>
        </w:rPr>
        <w:t xml:space="preserve">第三章  投标文件格式</w:t>
      </w:r>
      <w:bookmarkEnd w:id="38"/>
      <w:r>
        <w:rPr>
          <w:color w:val="auto"/>
        </w:rPr>
      </w:r>
      <w:bookmarkEnd w:id="39"/>
      <w:r>
        <w:rPr>
          <w:color w:val="auto"/>
        </w:rPr>
      </w:r>
      <w:bookmarkEnd w:id="40"/>
      <w:r>
        <w:rPr>
          <w:color w:val="auto"/>
        </w:rPr>
      </w:r>
      <w:bookmarkEnd w:id="41"/>
      <w:r>
        <w:rPr>
          <w:color w:val="auto"/>
        </w:rPr>
      </w:r>
      <w:bookmarkEnd w:id="42"/>
      <w:r>
        <w:rPr>
          <w:color w:val="auto"/>
        </w:rPr>
      </w:r>
      <w:bookmarkEnd w:id="43"/>
      <w:r>
        <w:rPr>
          <w:color w:val="auto"/>
        </w:rPr>
      </w:r>
      <w:bookmarkEnd w:id="44"/>
      <w:r>
        <w:rPr>
          <w:color w:val="auto"/>
        </w:rPr>
      </w:r>
      <w:bookmarkEnd w:id="45"/>
      <w:r>
        <w:rPr>
          <w:color w:val="auto"/>
        </w:rPr>
      </w:r>
      <w:bookmarkEnd w:id="46"/>
      <w:r>
        <w:rPr>
          <w:color w:val="auto"/>
        </w:rPr>
      </w:r>
      <w:bookmarkEnd w:id="47"/>
      <w:r>
        <w:rPr>
          <w:color w:val="auto"/>
        </w:rPr>
      </w:r>
      <w:bookmarkEnd w:id="48"/>
      <w:r>
        <w:rPr>
          <w:rFonts w:hint="eastAsia" w:hAnsi="宋体" w:eastAsia="宋体"/>
          <w:b/>
          <w:bCs/>
          <w:color w:val="auto"/>
          <w:sz w:val="36"/>
          <w:szCs w:val="36"/>
          <w:highlight w:val="none"/>
        </w:rPr>
      </w:r>
      <w:r>
        <w:rPr>
          <w:color w:val="auto"/>
        </w:rPr>
      </w:r>
    </w:p>
    <w:p>
      <w:pPr>
        <w:pStyle w:val="908"/>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w:t>
      </w:r>
      <w:r>
        <w:rPr>
          <w:rFonts w:hint="eastAsia" w:ascii="宋体" w:hAnsi="宋体" w:eastAsia="宋体" w:cs="宋体"/>
          <w:b/>
          <w:color w:val="auto"/>
          <w:sz w:val="21"/>
          <w:szCs w:val="21"/>
          <w:highlight w:val="none"/>
        </w:rPr>
      </w:r>
      <w:r>
        <w:rPr>
          <w:color w:val="auto"/>
        </w:rPr>
      </w:r>
    </w:p>
    <w:p>
      <w:pPr>
        <w:pStyle w:val="908"/>
        <w:ind w:firstLine="48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对本章所有的投标书格式 ，投标单位可根据自身情况进行补充和修改，但补充和修改不得造成与本格式内容有实质性的违背。</w:t>
      </w:r>
      <w:r>
        <w:rPr>
          <w:rFonts w:hint="eastAsia" w:ascii="宋体" w:hAnsi="宋体" w:eastAsia="宋体" w:cs="宋体"/>
          <w:b/>
          <w:color w:val="auto"/>
          <w:sz w:val="21"/>
          <w:szCs w:val="21"/>
          <w:highlight w:val="none"/>
        </w:rPr>
      </w:r>
      <w:r>
        <w:rPr>
          <w:color w:val="auto"/>
        </w:rPr>
      </w:r>
    </w:p>
    <w:p>
      <w:pPr>
        <w:pStyle w:val="908"/>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rPr>
      </w:r>
    </w:p>
    <w:p>
      <w:pPr>
        <w:pStyle w:val="908"/>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rPr>
      </w:r>
    </w:p>
    <w:p>
      <w:pPr>
        <w:pStyle w:val="908"/>
        <w:ind w:firstLine="0"/>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附件1：（投标单位）法定代表人授权委托书</w:t>
      </w:r>
      <w:r>
        <w:rPr>
          <w:rFonts w:hint="eastAsia" w:ascii="宋体" w:hAnsi="宋体" w:eastAsia="宋体" w:cs="宋体"/>
          <w:b/>
          <w:color w:val="auto"/>
          <w:sz w:val="21"/>
          <w:szCs w:val="21"/>
          <w:highlight w:val="none"/>
        </w:rPr>
      </w:r>
      <w:r>
        <w:rPr>
          <w:color w:val="auto"/>
        </w:rPr>
      </w:r>
    </w:p>
    <w:p>
      <w:pPr>
        <w:pStyle w:val="908"/>
        <w:ind w:firstLine="0"/>
        <w:jc w:val="center"/>
        <w:spacing w:line="360" w:lineRule="auto"/>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t xml:space="preserve">法定代表人授权委托书</w:t>
      </w:r>
      <w:r>
        <w:rPr>
          <w:rFonts w:hint="eastAsia" w:ascii="宋体" w:hAnsi="宋体" w:eastAsia="宋体" w:cs="宋体"/>
          <w:bCs/>
          <w:color w:val="auto"/>
          <w:sz w:val="21"/>
          <w:szCs w:val="21"/>
          <w:highlight w:val="none"/>
        </w:rPr>
      </w:r>
      <w:r>
        <w:rPr>
          <w:color w:val="auto"/>
        </w:rPr>
      </w:r>
    </w:p>
    <w:p>
      <w:pPr>
        <w:pStyle w:val="90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本授权委托书声明：我</w:t>
      </w:r>
      <w:r>
        <w:rPr>
          <w:rFonts w:hint="eastAsia" w:ascii="宋体" w:hAnsi="宋体" w:eastAsia="宋体" w:cs="宋体"/>
          <w:color w:val="auto"/>
          <w:sz w:val="21"/>
          <w:szCs w:val="21"/>
          <w:highlight w:val="none"/>
          <w:u w:val="single"/>
        </w:rPr>
        <w:t xml:space="preserve">（姓名）</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（投标单位名称）</w:t>
      </w:r>
      <w:r>
        <w:rPr>
          <w:rFonts w:hint="eastAsia" w:ascii="宋体" w:hAnsi="宋体" w:eastAsia="宋体" w:cs="宋体"/>
          <w:color w:val="auto"/>
          <w:sz w:val="21"/>
          <w:szCs w:val="21"/>
          <w:highlight w:val="none"/>
        </w:rPr>
        <w:t xml:space="preserve">的法定代表人，现授权委托</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（姓名）</w:t>
      </w:r>
      <w:r>
        <w:rPr>
          <w:rFonts w:hint="eastAsia" w:ascii="宋体" w:hAnsi="宋体" w:eastAsia="宋体" w:cs="宋体"/>
          <w:color w:val="auto"/>
          <w:sz w:val="21"/>
          <w:szCs w:val="21"/>
          <w:highlight w:val="none"/>
        </w:rPr>
        <w:t xml:space="preserve">为我公司委托代理人，以本公司的名义参加苏州捷信招投标咨询有限公司组织实施的编号为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号的招标活动。委托代理人在制作投标文件、开标、评标、合同招标过程中所签署的一切文件和处理与这有关的一切事务，我均予以承认。</w:t>
      </w:r>
      <w:r>
        <w:rPr>
          <w:rFonts w:hint="eastAsia" w:ascii="宋体" w:hAnsi="宋体" w:eastAsia="宋体" w:cs="宋体"/>
          <w:color w:val="auto"/>
          <w:sz w:val="21"/>
          <w:szCs w:val="21"/>
          <w:highlight w:val="none"/>
        </w:rPr>
      </w:r>
      <w:r>
        <w:rPr>
          <w:color w:val="auto"/>
        </w:rPr>
      </w:r>
    </w:p>
    <w:p>
      <w:pPr>
        <w:pStyle w:val="90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委托代理人在授权委托书有效期内签署的所有文件不因授权委托的撤销而失效，除非有撤销授权委托的书面通知，本授权委托书自签署之日起生效至合同履行完毕止。</w:t>
      </w:r>
      <w:r>
        <w:rPr>
          <w:rFonts w:hint="eastAsia" w:ascii="宋体" w:hAnsi="宋体" w:eastAsia="宋体" w:cs="宋体"/>
          <w:color w:val="auto"/>
          <w:sz w:val="21"/>
          <w:szCs w:val="21"/>
          <w:highlight w:val="none"/>
        </w:rPr>
      </w:r>
      <w:r>
        <w:rPr>
          <w:color w:val="auto"/>
        </w:rPr>
      </w:r>
    </w:p>
    <w:p>
      <w:pPr>
        <w:pStyle w:val="908"/>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委托代理人无转委托权。特此委托。</w:t>
      </w:r>
      <w:r>
        <w:rPr>
          <w:rFonts w:hint="eastAsia" w:ascii="宋体" w:hAnsi="宋体" w:eastAsia="宋体" w:cs="宋体"/>
          <w:color w:val="auto"/>
          <w:sz w:val="21"/>
          <w:szCs w:val="21"/>
          <w:highlight w:val="none"/>
        </w:rPr>
      </w:r>
      <w:r>
        <w:rPr>
          <w:color w:val="auto"/>
        </w:rPr>
      </w:r>
    </w:p>
    <w:p>
      <w:pPr>
        <w:pStyle w:val="908"/>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p>
      <w:pPr>
        <w:pStyle w:val="90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投标单位（签章）：</w:t>
      </w:r>
      <w:r>
        <w:rPr>
          <w:rFonts w:hint="eastAsia" w:ascii="宋体" w:hAnsi="宋体" w:eastAsia="宋体" w:cs="宋体"/>
          <w:color w:val="auto"/>
          <w:sz w:val="21"/>
          <w:szCs w:val="21"/>
          <w:highlight w:val="none"/>
        </w:rPr>
      </w:r>
      <w:r>
        <w:rPr>
          <w:color w:val="auto"/>
        </w:rPr>
      </w:r>
    </w:p>
    <w:p>
      <w:pPr>
        <w:pStyle w:val="90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法定代表人：（签字或签章）</w:t>
      </w:r>
      <w:r>
        <w:rPr>
          <w:rFonts w:hint="eastAsia" w:ascii="宋体" w:hAnsi="宋体" w:eastAsia="宋体" w:cs="宋体"/>
          <w:color w:val="auto"/>
          <w:sz w:val="21"/>
          <w:szCs w:val="21"/>
          <w:highlight w:val="none"/>
        </w:rPr>
      </w:r>
      <w:r>
        <w:rPr>
          <w:color w:val="auto"/>
        </w:rPr>
      </w:r>
    </w:p>
    <w:p>
      <w:pPr>
        <w:pStyle w:val="90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委托代理人：（签字或签章）</w:t>
      </w:r>
      <w:r>
        <w:rPr>
          <w:rFonts w:hint="eastAsia" w:ascii="宋体" w:hAnsi="宋体" w:eastAsia="宋体" w:cs="宋体"/>
          <w:color w:val="auto"/>
          <w:sz w:val="21"/>
          <w:szCs w:val="21"/>
          <w:highlight w:val="none"/>
        </w:rPr>
      </w:r>
      <w:r>
        <w:rPr>
          <w:color w:val="auto"/>
        </w:rPr>
      </w:r>
    </w:p>
    <w:p>
      <w:pPr>
        <w:pStyle w:val="90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rPr>
          <w:rFonts w:hint="eastAsia" w:ascii="宋体" w:hAnsi="宋体" w:eastAsia="宋体" w:cs="宋体"/>
          <w:color w:val="auto"/>
          <w:sz w:val="21"/>
          <w:szCs w:val="21"/>
          <w:highlight w:val="none"/>
        </w:rPr>
      </w:r>
      <w:r>
        <w:rPr>
          <w:color w:val="auto"/>
        </w:rPr>
      </w:r>
    </w:p>
    <w:p>
      <w:pPr>
        <w:pStyle w:val="908"/>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p>
      <w:pPr>
        <w:pStyle w:val="929"/>
        <w:spacing w:before="75" w:beforeAutospacing="0" w:after="75" w:afterAutospacing="0" w:line="405"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附：法人代表、授权代表的身份证正反面复印件</w:t>
      </w:r>
      <w:r>
        <w:rPr>
          <w:rFonts w:hint="eastAsia" w:ascii="宋体" w:hAnsi="宋体" w:cs="宋体"/>
          <w:color w:val="auto"/>
          <w:sz w:val="21"/>
          <w:szCs w:val="21"/>
          <w:highlight w:val="none"/>
        </w:rPr>
      </w:r>
      <w:r>
        <w:rPr>
          <w:color w:val="auto"/>
        </w:rP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060"/>
      </w:tblGrid>
      <w:tr>
        <w:trPr>
          <w:trHeight w:val="645"/>
        </w:trPr>
        <w:tc>
          <w:tcPr>
            <w:tcMar>
              <w:left w:w="105" w:type="dxa"/>
              <w:top w:w="0" w:type="dxa"/>
              <w:right w:w="105" w:type="dxa"/>
              <w:bottom w:w="0" w:type="dxa"/>
            </w:tcMar>
            <w:tcW w:w="9060" w:type="dxa"/>
            <w:vAlign w:val="center"/>
            <w:textDirection w:val="lrTb"/>
            <w:noWrap w:val="false"/>
          </w:tcPr>
          <w:p>
            <w:pPr>
              <w:pStyle w:val="929"/>
              <w:jc w:val="center"/>
              <w:spacing w:line="405" w:lineRule="atLeast"/>
              <w:rPr>
                <w:rFonts w:hint="eastAsia" w:ascii="宋体" w:hAnsi="宋体" w:cs="宋体"/>
                <w:color w:val="auto"/>
                <w:sz w:val="21"/>
                <w:szCs w:val="21"/>
                <w:highlight w:val="none"/>
              </w:rPr>
            </w:pPr>
            <w:r>
              <w:rPr>
                <w:rStyle w:val="945"/>
                <w:rFonts w:hint="eastAsia" w:ascii="宋体" w:hAnsi="宋体" w:cs="宋体"/>
                <w:color w:val="auto"/>
                <w:sz w:val="21"/>
                <w:szCs w:val="21"/>
                <w:highlight w:val="none"/>
              </w:rPr>
              <w:t xml:space="preserve"> </w:t>
            </w:r>
            <w:r>
              <w:rPr>
                <w:rFonts w:hint="eastAsia" w:ascii="宋体" w:hAnsi="宋体" w:cs="宋体"/>
                <w:color w:val="auto"/>
                <w:sz w:val="21"/>
                <w:szCs w:val="21"/>
                <w:highlight w:val="none"/>
              </w:rPr>
            </w:r>
            <w:r>
              <w:rPr>
                <w:color w:val="auto"/>
              </w:rPr>
            </w:r>
          </w:p>
          <w:p>
            <w:pPr>
              <w:pStyle w:val="929"/>
              <w:jc w:val="center"/>
              <w:spacing w:line="405" w:lineRule="atLeast"/>
              <w:rPr>
                <w:rFonts w:hint="eastAsia" w:ascii="宋体" w:hAnsi="宋体" w:cs="宋体"/>
                <w:color w:val="auto"/>
                <w:sz w:val="21"/>
                <w:szCs w:val="21"/>
                <w:highlight w:val="none"/>
              </w:rPr>
            </w:pPr>
            <w:r>
              <w:rPr>
                <w:rStyle w:val="945"/>
                <w:rFonts w:hint="eastAsia" w:ascii="宋体" w:hAnsi="宋体" w:cs="宋体"/>
                <w:color w:val="auto"/>
                <w:sz w:val="21"/>
                <w:szCs w:val="21"/>
                <w:highlight w:val="none"/>
              </w:rPr>
              <w:t xml:space="preserve">要求：真实、有效、清晰</w:t>
            </w:r>
            <w:r>
              <w:rPr>
                <w:rFonts w:hint="eastAsia" w:ascii="宋体" w:hAnsi="宋体" w:cs="宋体"/>
                <w:color w:val="auto"/>
                <w:sz w:val="21"/>
                <w:szCs w:val="21"/>
                <w:highlight w:val="none"/>
              </w:rPr>
            </w:r>
            <w:r>
              <w:rPr>
                <w:color w:val="auto"/>
              </w:rPr>
            </w:r>
          </w:p>
          <w:p>
            <w:pPr>
              <w:pStyle w:val="929"/>
              <w:jc w:val="center"/>
              <w:spacing w:line="405" w:lineRule="atLeast"/>
              <w:rPr>
                <w:rFonts w:hint="eastAsia" w:ascii="宋体" w:hAnsi="宋体" w:cs="宋体"/>
                <w:color w:val="auto"/>
                <w:sz w:val="21"/>
                <w:szCs w:val="21"/>
                <w:highlight w:val="none"/>
              </w:rPr>
            </w:pPr>
            <w:r>
              <w:rPr>
                <w:rStyle w:val="945"/>
                <w:rFonts w:hint="eastAsia" w:ascii="宋体" w:hAnsi="宋体" w:cs="宋体"/>
                <w:color w:val="auto"/>
                <w:sz w:val="21"/>
                <w:szCs w:val="21"/>
                <w:highlight w:val="none"/>
              </w:rPr>
              <w:t xml:space="preserve"> </w:t>
            </w:r>
            <w:r>
              <w:rPr>
                <w:rFonts w:hint="eastAsia" w:ascii="宋体" w:hAnsi="宋体" w:cs="宋体"/>
                <w:color w:val="auto"/>
                <w:sz w:val="21"/>
                <w:szCs w:val="21"/>
                <w:highlight w:val="none"/>
              </w:rPr>
            </w:r>
            <w:r>
              <w:rPr>
                <w:color w:val="auto"/>
              </w:rPr>
            </w:r>
          </w:p>
        </w:tc>
      </w:tr>
    </w:tbl>
    <w:p>
      <w:pPr>
        <w:pStyle w:val="908"/>
        <w:ind w:firstLine="0"/>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附件2：投标函</w:t>
      </w:r>
      <w:r>
        <w:rPr>
          <w:rFonts w:hint="eastAsia" w:ascii="宋体" w:hAnsi="宋体" w:eastAsia="宋体" w:cs="宋体"/>
          <w:b/>
          <w:color w:val="auto"/>
          <w:sz w:val="21"/>
          <w:szCs w:val="21"/>
          <w:highlight w:val="none"/>
        </w:rPr>
      </w:r>
      <w:r>
        <w:rPr>
          <w:color w:val="auto"/>
        </w:rPr>
      </w:r>
    </w:p>
    <w:p>
      <w:pPr>
        <w:pStyle w:val="70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投标函</w:t>
      </w:r>
      <w:r>
        <w:rPr>
          <w:rFonts w:hint="eastAsia" w:ascii="宋体" w:hAnsi="宋体" w:cs="宋体"/>
          <w:color w:val="auto"/>
          <w:szCs w:val="21"/>
          <w:highlight w:val="none"/>
        </w:rPr>
      </w:r>
      <w:r>
        <w:rPr>
          <w:color w:val="auto"/>
        </w:rPr>
      </w:r>
    </w:p>
    <w:p>
      <w:pPr>
        <w:pStyle w:val="942"/>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 苏州捷信招投标咨询有限公司 </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rPr>
      </w:r>
      <w:r>
        <w:rPr>
          <w:color w:val="auto"/>
        </w:rPr>
      </w:r>
    </w:p>
    <w:p>
      <w:pPr>
        <w:pStyle w:val="94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我们收到贵公司</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号的招标文件，经仔细阅读和研究，我们决定参加投标。</w:t>
      </w:r>
      <w:r>
        <w:rPr>
          <w:rFonts w:hint="eastAsia" w:hAnsi="宋体" w:eastAsia="宋体" w:cs="宋体"/>
          <w:color w:val="auto"/>
          <w:sz w:val="21"/>
          <w:szCs w:val="21"/>
          <w:highlight w:val="none"/>
        </w:rPr>
      </w:r>
      <w:r>
        <w:rPr>
          <w:color w:val="auto"/>
        </w:rPr>
      </w:r>
    </w:p>
    <w:p>
      <w:pPr>
        <w:pStyle w:val="94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1、我们愿意按照招标文件的一切要求，包括完成本合同规定的工作所承担的全部费用以及供应商企业利润和政策性文件规定及合同包含的所有风险、责任等各项应有费用。</w:t>
      </w:r>
      <w:r>
        <w:rPr>
          <w:rFonts w:hint="eastAsia" w:hAnsi="宋体" w:eastAsia="宋体" w:cs="宋体"/>
          <w:color w:val="auto"/>
          <w:sz w:val="21"/>
          <w:szCs w:val="21"/>
          <w:highlight w:val="none"/>
        </w:rPr>
      </w:r>
      <w:r>
        <w:rPr>
          <w:color w:val="auto"/>
        </w:rPr>
      </w:r>
    </w:p>
    <w:p>
      <w:pPr>
        <w:pStyle w:val="942"/>
        <w:ind w:firstLine="420"/>
        <w:spacing w:line="360" w:lineRule="auto"/>
        <w:rPr>
          <w:rFonts w:hint="eastAsia" w:hAnsi="宋体" w:eastAsia="宋体" w:cs="宋体"/>
          <w:color w:val="auto"/>
          <w:sz w:val="21"/>
          <w:szCs w:val="21"/>
          <w:highlight w:val="none"/>
          <w:u w:val="single"/>
        </w:rPr>
      </w:pPr>
      <w:r>
        <w:rPr>
          <w:rFonts w:hint="eastAsia" w:hAnsi="宋体" w:eastAsia="宋体" w:cs="宋体"/>
          <w:color w:val="auto"/>
          <w:sz w:val="21"/>
          <w:szCs w:val="21"/>
          <w:highlight w:val="none"/>
        </w:rPr>
        <w:t xml:space="preserve">2、如果我们的投标书被接受，我们将严格履行招标文件中规定的每一项要求，按期、按质、按量履行合同的义务。</w:t>
      </w:r>
      <w:r>
        <w:rPr>
          <w:rFonts w:hint="eastAsia" w:hAnsi="宋体" w:eastAsia="宋体" w:cs="宋体"/>
          <w:color w:val="auto"/>
          <w:sz w:val="21"/>
          <w:szCs w:val="21"/>
          <w:highlight w:val="none"/>
          <w:u w:val="single"/>
        </w:rPr>
      </w:r>
      <w:r>
        <w:rPr>
          <w:color w:val="auto"/>
        </w:rPr>
      </w:r>
    </w:p>
    <w:p>
      <w:pPr>
        <w:pStyle w:val="94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3、我们同意按招标文件中的规定，本投标书的有效期限为开标后90天。</w:t>
      </w:r>
      <w:r>
        <w:rPr>
          <w:rFonts w:hint="eastAsia" w:hAnsi="宋体" w:eastAsia="宋体" w:cs="宋体"/>
          <w:color w:val="auto"/>
          <w:sz w:val="21"/>
          <w:szCs w:val="21"/>
          <w:highlight w:val="none"/>
        </w:rPr>
      </w:r>
      <w:r>
        <w:rPr>
          <w:color w:val="auto"/>
        </w:rPr>
      </w:r>
    </w:p>
    <w:p>
      <w:pPr>
        <w:pStyle w:val="94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4、我们愿意提供招标代理机构在招标文件中要求的所有资料。</w:t>
      </w:r>
      <w:r>
        <w:rPr>
          <w:rFonts w:hint="eastAsia" w:hAnsi="宋体" w:eastAsia="宋体" w:cs="宋体"/>
          <w:color w:val="auto"/>
          <w:sz w:val="21"/>
          <w:szCs w:val="21"/>
          <w:highlight w:val="none"/>
        </w:rPr>
      </w:r>
      <w:r>
        <w:rPr>
          <w:color w:val="auto"/>
        </w:rPr>
      </w:r>
    </w:p>
    <w:p>
      <w:pPr>
        <w:pStyle w:val="94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5、我们认为你们有权决定中标者，还认为你们有权接受或拒绝所有的投标者。</w:t>
      </w:r>
      <w:r>
        <w:rPr>
          <w:rFonts w:hint="eastAsia" w:hAnsi="宋体" w:eastAsia="宋体" w:cs="宋体"/>
          <w:color w:val="auto"/>
          <w:sz w:val="21"/>
          <w:szCs w:val="21"/>
          <w:highlight w:val="none"/>
        </w:rPr>
      </w:r>
      <w:r>
        <w:rPr>
          <w:color w:val="auto"/>
        </w:rPr>
      </w:r>
    </w:p>
    <w:p>
      <w:pPr>
        <w:pStyle w:val="94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6、我们愿意遵守招标通告及招标文件中所列的收费标准。</w:t>
      </w:r>
      <w:r>
        <w:rPr>
          <w:rFonts w:hint="eastAsia" w:hAnsi="宋体" w:eastAsia="宋体" w:cs="宋体"/>
          <w:color w:val="auto"/>
          <w:sz w:val="21"/>
          <w:szCs w:val="21"/>
          <w:highlight w:val="none"/>
        </w:rPr>
      </w:r>
      <w:r>
        <w:rPr>
          <w:color w:val="auto"/>
        </w:rPr>
      </w:r>
    </w:p>
    <w:p>
      <w:pPr>
        <w:pStyle w:val="94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7、我们承诺该项投标在开标后的全过程中保持有效，不作任何更改和变动。</w:t>
      </w:r>
      <w:r>
        <w:rPr>
          <w:rFonts w:hint="eastAsia" w:hAnsi="宋体" w:eastAsia="宋体" w:cs="宋体"/>
          <w:color w:val="auto"/>
          <w:sz w:val="21"/>
          <w:szCs w:val="21"/>
          <w:highlight w:val="none"/>
        </w:rPr>
      </w:r>
      <w:r>
        <w:rPr>
          <w:color w:val="auto"/>
        </w:rPr>
      </w:r>
    </w:p>
    <w:p>
      <w:pPr>
        <w:pStyle w:val="94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8、如果我们中标，我们愿意按前附表规定支付中标服务费。</w:t>
      </w:r>
      <w:r>
        <w:rPr>
          <w:rFonts w:hint="eastAsia" w:hAnsi="宋体" w:eastAsia="宋体" w:cs="宋体"/>
          <w:color w:val="auto"/>
          <w:sz w:val="21"/>
          <w:szCs w:val="21"/>
          <w:highlight w:val="none"/>
        </w:rPr>
      </w:r>
      <w:r>
        <w:rPr>
          <w:color w:val="auto"/>
        </w:rPr>
      </w:r>
    </w:p>
    <w:p>
      <w:pPr>
        <w:pStyle w:val="94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9、我们愿意按照贵公司招标文件的要求提供电子投标文件，并保证全部投标文件内容真实有效，若有虚假，我公司愿意承担与此相关的一切责任。</w:t>
      </w:r>
      <w:r>
        <w:rPr>
          <w:rFonts w:hint="eastAsia" w:hAnsi="宋体" w:eastAsia="宋体" w:cs="宋体"/>
          <w:color w:val="auto"/>
          <w:sz w:val="21"/>
          <w:szCs w:val="21"/>
          <w:highlight w:val="none"/>
        </w:rPr>
      </w:r>
      <w:r>
        <w:rPr>
          <w:color w:val="auto"/>
        </w:rPr>
      </w:r>
    </w:p>
    <w:p>
      <w:pPr>
        <w:pStyle w:val="94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10、我们愿意按照《中华人民共和国民法典》履行自己应该承担的全部责任。</w:t>
      </w:r>
      <w:r>
        <w:rPr>
          <w:rFonts w:hint="eastAsia" w:hAnsi="宋体" w:eastAsia="宋体" w:cs="宋体"/>
          <w:color w:val="auto"/>
          <w:sz w:val="21"/>
          <w:szCs w:val="21"/>
          <w:highlight w:val="none"/>
        </w:rPr>
      </w:r>
      <w:r>
        <w:rPr>
          <w:color w:val="auto"/>
        </w:rPr>
      </w:r>
    </w:p>
    <w:p>
      <w:pPr>
        <w:pStyle w:val="94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11、我们与参与本次采购活动的其他供应商的负责人不是同一人，也不存在直接控股、管理关系。</w:t>
      </w:r>
      <w:r>
        <w:rPr>
          <w:rFonts w:hint="eastAsia" w:hAnsi="宋体" w:eastAsia="宋体" w:cs="宋体"/>
          <w:color w:val="auto"/>
          <w:sz w:val="21"/>
          <w:szCs w:val="21"/>
          <w:highlight w:val="none"/>
        </w:rPr>
      </w:r>
      <w:r>
        <w:rPr>
          <w:color w:val="auto"/>
        </w:rPr>
      </w:r>
    </w:p>
    <w:tbl>
      <w:tblPr>
        <w:tblpPr w:horzAnchor="page" w:tblpX="1775" w:vertAnchor="text" w:tblpY="410" w:leftFromText="180" w:topFromText="0" w:rightFromText="180" w:bottomFromText="0"/>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4927"/>
        <w:gridCol w:w="3593"/>
      </w:tblGrid>
      <w:tr>
        <w:trPr>
          <w:trHeight w:val="637"/>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702"/>
              <w:spacing w:line="360" w:lineRule="auto"/>
              <w:rPr>
                <w:rFonts w:hint="eastAsia" w:ascii="宋体" w:hAnsi="宋体" w:cs="宋体"/>
                <w:bCs/>
                <w:color w:val="auto"/>
                <w:szCs w:val="21"/>
                <w:highlight w:val="none"/>
              </w:rPr>
              <w:framePr w:vAnchor="text" w:hAnchor="page" w:x="1775" w:y="410"/>
            </w:pPr>
            <w:r>
              <w:rPr>
                <w:rFonts w:hint="eastAsia" w:ascii="宋体" w:hAnsi="宋体" w:cs="宋体"/>
                <w:bCs/>
                <w:color w:val="auto"/>
                <w:szCs w:val="21"/>
                <w:highlight w:val="none"/>
              </w:rPr>
              <w:t xml:space="preserve">供应商与其他单位存在控股、管理关系的单位名称</w:t>
            </w:r>
            <w:r>
              <w:rPr>
                <w:rFonts w:hint="eastAsia" w:ascii="宋体" w:hAnsi="宋体" w:cs="宋体"/>
                <w:bCs/>
                <w:color w:val="auto"/>
                <w:szCs w:val="21"/>
                <w:highlight w:val="none"/>
              </w:rPr>
            </w:r>
            <w:r>
              <w:rPr>
                <w:color w:val="auto"/>
              </w:rPr>
            </w:r>
          </w:p>
        </w:tc>
        <w:tc>
          <w:tcPr>
            <w:tcBorders>
              <w:top w:val="single" w:color="000000" w:sz="4" w:space="0"/>
              <w:left w:val="none" w:color="000000" w:sz="4" w:space="0"/>
              <w:bottom w:val="single" w:color="000000" w:sz="4" w:space="0"/>
              <w:right w:val="single" w:color="000000" w:sz="4" w:space="0"/>
            </w:tcBorders>
            <w:tcW w:w="2108" w:type="dxa"/>
            <w:vAlign w:val="center"/>
            <w:textDirection w:val="lrTb"/>
            <w:noWrap w:val="false"/>
          </w:tcPr>
          <w:p>
            <w:pPr>
              <w:pStyle w:val="702"/>
              <w:spacing w:line="360" w:lineRule="auto"/>
              <w:rPr>
                <w:rFonts w:hint="eastAsia" w:ascii="宋体" w:hAnsi="宋体" w:cs="宋体"/>
                <w:bCs/>
                <w:color w:val="auto"/>
                <w:szCs w:val="21"/>
                <w:highlight w:val="none"/>
              </w:rPr>
              <w:framePr w:vAnchor="text" w:hAnchor="page" w:x="1775" w:y="410"/>
            </w:pPr>
            <w:r>
              <w:rPr>
                <w:rFonts w:hint="eastAsia" w:ascii="宋体" w:hAnsi="宋体" w:cs="宋体"/>
                <w:bCs/>
                <w:color w:val="auto"/>
                <w:szCs w:val="21"/>
                <w:highlight w:val="none"/>
              </w:rPr>
              <w:t xml:space="preserve">控股、管理关系情况说明</w:t>
            </w:r>
            <w:r>
              <w:rPr>
                <w:rFonts w:hint="eastAsia" w:ascii="宋体" w:hAnsi="宋体" w:cs="宋体"/>
                <w:bCs/>
                <w:color w:val="auto"/>
                <w:szCs w:val="21"/>
                <w:highlight w:val="none"/>
              </w:rPr>
            </w:r>
            <w:r>
              <w:rPr>
                <w:color w:val="auto"/>
              </w:rPr>
            </w:r>
          </w:p>
        </w:tc>
      </w:tr>
      <w:tr>
        <w:trPr>
          <w:trHeight w:val="503"/>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702"/>
              <w:ind w:firstLine="422"/>
              <w:jc w:val="center"/>
              <w:spacing w:line="360" w:lineRule="auto"/>
              <w:rPr>
                <w:rFonts w:hint="eastAsia" w:ascii="宋体" w:hAnsi="宋体" w:cs="宋体"/>
                <w:b/>
                <w:bCs/>
                <w:color w:val="auto"/>
                <w:szCs w:val="21"/>
                <w:highlight w:val="none"/>
              </w:rPr>
              <w:framePr w:vAnchor="text" w:hAnchor="page" w:x="1775" w:y="410"/>
            </w:pPr>
            <w:r>
              <w:rPr>
                <w:rFonts w:hint="eastAsia" w:ascii="宋体" w:hAnsi="宋体" w:cs="宋体"/>
                <w:b/>
                <w:bCs/>
                <w:color w:val="auto"/>
                <w:szCs w:val="21"/>
                <w:highlight w:val="none"/>
              </w:rPr>
            </w:r>
            <w:r>
              <w:rPr>
                <w:color w:val="auto"/>
              </w:rPr>
            </w:r>
          </w:p>
        </w:tc>
        <w:tc>
          <w:tcPr>
            <w:tcBorders>
              <w:top w:val="single" w:color="000000" w:sz="4" w:space="0"/>
              <w:left w:val="none" w:color="000000" w:sz="4" w:space="0"/>
              <w:bottom w:val="single" w:color="000000" w:sz="4" w:space="0"/>
              <w:right w:val="single" w:color="000000" w:sz="4" w:space="0"/>
            </w:tcBorders>
            <w:tcW w:w="2108" w:type="dxa"/>
            <w:vAlign w:val="center"/>
            <w:textDirection w:val="lrTb"/>
            <w:noWrap w:val="false"/>
          </w:tcPr>
          <w:p>
            <w:pPr>
              <w:pStyle w:val="702"/>
              <w:ind w:firstLine="422"/>
              <w:jc w:val="center"/>
              <w:spacing w:line="360" w:lineRule="auto"/>
              <w:rPr>
                <w:rFonts w:hint="eastAsia" w:ascii="宋体" w:hAnsi="宋体" w:cs="宋体"/>
                <w:b/>
                <w:bCs/>
                <w:color w:val="auto"/>
                <w:szCs w:val="21"/>
                <w:highlight w:val="none"/>
              </w:rPr>
              <w:framePr w:vAnchor="text" w:hAnchor="page" w:x="1775" w:y="410"/>
            </w:pPr>
            <w:r>
              <w:rPr>
                <w:rFonts w:hint="eastAsia" w:ascii="宋体" w:hAnsi="宋体" w:cs="宋体"/>
                <w:b/>
                <w:bCs/>
                <w:color w:val="auto"/>
                <w:szCs w:val="21"/>
                <w:highlight w:val="none"/>
              </w:rPr>
            </w:r>
            <w:r>
              <w:rPr>
                <w:color w:val="auto"/>
              </w:rPr>
            </w:r>
          </w:p>
        </w:tc>
      </w:tr>
      <w:tr>
        <w:trPr>
          <w:trHeight w:val="42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702"/>
              <w:ind w:firstLine="422"/>
              <w:jc w:val="center"/>
              <w:spacing w:line="360" w:lineRule="auto"/>
              <w:rPr>
                <w:rFonts w:hint="eastAsia" w:ascii="宋体" w:hAnsi="宋体" w:cs="宋体"/>
                <w:b/>
                <w:bCs/>
                <w:color w:val="auto"/>
                <w:szCs w:val="21"/>
                <w:highlight w:val="none"/>
              </w:rPr>
              <w:framePr w:vAnchor="text" w:hAnchor="page" w:x="1775" w:y="410"/>
            </w:pPr>
            <w:r>
              <w:rPr>
                <w:rFonts w:hint="eastAsia" w:ascii="宋体" w:hAnsi="宋体" w:cs="宋体"/>
                <w:b/>
                <w:bCs/>
                <w:color w:val="auto"/>
                <w:szCs w:val="21"/>
                <w:highlight w:val="none"/>
              </w:rPr>
            </w:r>
            <w:r>
              <w:rPr>
                <w:color w:val="auto"/>
              </w:rPr>
            </w:r>
          </w:p>
        </w:tc>
        <w:tc>
          <w:tcPr>
            <w:tcBorders>
              <w:top w:val="single" w:color="000000" w:sz="4" w:space="0"/>
              <w:left w:val="none" w:color="000000" w:sz="4" w:space="0"/>
              <w:bottom w:val="single" w:color="000000" w:sz="4" w:space="0"/>
              <w:right w:val="single" w:color="000000" w:sz="4" w:space="0"/>
            </w:tcBorders>
            <w:tcW w:w="2108" w:type="dxa"/>
            <w:vAlign w:val="center"/>
            <w:textDirection w:val="lrTb"/>
            <w:noWrap w:val="false"/>
          </w:tcPr>
          <w:p>
            <w:pPr>
              <w:pStyle w:val="702"/>
              <w:ind w:firstLine="422"/>
              <w:jc w:val="center"/>
              <w:spacing w:line="360" w:lineRule="auto"/>
              <w:rPr>
                <w:rFonts w:hint="eastAsia" w:ascii="宋体" w:hAnsi="宋体" w:cs="宋体"/>
                <w:b/>
                <w:bCs/>
                <w:color w:val="auto"/>
                <w:szCs w:val="21"/>
                <w:highlight w:val="none"/>
              </w:rPr>
              <w:framePr w:vAnchor="text" w:hAnchor="page" w:x="1775" w:y="410"/>
            </w:pPr>
            <w:r>
              <w:rPr>
                <w:rFonts w:hint="eastAsia" w:ascii="宋体" w:hAnsi="宋体" w:cs="宋体"/>
                <w:b/>
                <w:bCs/>
                <w:color w:val="auto"/>
                <w:szCs w:val="21"/>
                <w:highlight w:val="none"/>
              </w:rPr>
            </w:r>
            <w:r>
              <w:rPr>
                <w:color w:val="auto"/>
              </w:rPr>
            </w:r>
          </w:p>
        </w:tc>
      </w:tr>
    </w:tbl>
    <w:p>
      <w:pPr>
        <w:pStyle w:val="94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供应商</w:t>
      </w:r>
      <w:r>
        <w:rPr>
          <w:rFonts w:hint="eastAsia" w:hAnsi="宋体" w:eastAsia="宋体" w:cs="宋体"/>
          <w:color w:val="auto"/>
          <w:sz w:val="21"/>
          <w:szCs w:val="21"/>
          <w:highlight w:val="none"/>
          <w:lang w:val="zh-CN"/>
        </w:rPr>
        <w:t xml:space="preserve">与其他单位存在控股、管理关系情况表</w:t>
      </w:r>
      <w:r>
        <w:rPr>
          <w:rFonts w:hint="eastAsia" w:hAnsi="宋体" w:eastAsia="宋体" w:cs="宋体"/>
          <w:color w:val="auto"/>
          <w:sz w:val="21"/>
          <w:szCs w:val="21"/>
          <w:highlight w:val="none"/>
        </w:rPr>
      </w:r>
      <w:r>
        <w:rPr>
          <w:color w:val="auto"/>
        </w:rPr>
      </w:r>
    </w:p>
    <w:p>
      <w:pPr>
        <w:pStyle w:val="94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注：投标单位应当按实填写所有与之有控股、管理关系的情况。</w:t>
      </w:r>
      <w:r>
        <w:rPr>
          <w:rFonts w:hint="eastAsia" w:hAnsi="宋体" w:eastAsia="宋体" w:cs="宋体"/>
          <w:color w:val="auto"/>
          <w:sz w:val="21"/>
          <w:szCs w:val="21"/>
          <w:highlight w:val="none"/>
        </w:rPr>
      </w:r>
      <w:r>
        <w:rPr>
          <w:color w:val="auto"/>
        </w:rPr>
      </w:r>
    </w:p>
    <w:p>
      <w:pPr>
        <w:pStyle w:val="94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12、我们没有为本采购项目提供整体设计、规范编制，以及项目管理、监理、检测等服务。</w:t>
      </w:r>
      <w:r>
        <w:rPr>
          <w:rFonts w:hint="eastAsia" w:hAnsi="宋体" w:eastAsia="宋体" w:cs="宋体"/>
          <w:color w:val="auto"/>
          <w:sz w:val="21"/>
          <w:szCs w:val="21"/>
          <w:highlight w:val="none"/>
        </w:rPr>
      </w:r>
      <w:r>
        <w:rPr>
          <w:color w:val="auto"/>
        </w:rPr>
      </w:r>
    </w:p>
    <w:p>
      <w:pPr>
        <w:pStyle w:val="94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13、综合说明：</w:t>
      </w:r>
      <w:r>
        <w:rPr>
          <w:rFonts w:hint="eastAsia" w:hAnsi="宋体" w:eastAsia="宋体" w:cs="宋体"/>
          <w:color w:val="auto"/>
          <w:sz w:val="21"/>
          <w:szCs w:val="21"/>
          <w:highlight w:val="none"/>
        </w:rPr>
      </w:r>
      <w:r>
        <w:rPr>
          <w:color w:val="auto"/>
        </w:rPr>
      </w:r>
    </w:p>
    <w:p>
      <w:pPr>
        <w:pStyle w:val="94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（1）伴随服务及配合措施；（2）要求甲方提供的配合；</w:t>
      </w:r>
      <w:r>
        <w:rPr>
          <w:rFonts w:hint="eastAsia" w:hAnsi="宋体" w:eastAsia="宋体" w:cs="宋体"/>
          <w:color w:val="auto"/>
          <w:sz w:val="21"/>
          <w:szCs w:val="21"/>
          <w:highlight w:val="none"/>
        </w:rPr>
      </w:r>
      <w:r>
        <w:rPr>
          <w:color w:val="auto"/>
        </w:rPr>
      </w:r>
    </w:p>
    <w:p>
      <w:pPr>
        <w:pStyle w:val="94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（3）对招标文件有不同意见的偏离说明；（4）其它说明。</w:t>
      </w:r>
      <w:r>
        <w:rPr>
          <w:rFonts w:hint="eastAsia" w:hAnsi="宋体" w:eastAsia="宋体" w:cs="宋体"/>
          <w:color w:val="auto"/>
          <w:sz w:val="21"/>
          <w:szCs w:val="21"/>
          <w:highlight w:val="none"/>
        </w:rPr>
      </w:r>
      <w:r>
        <w:rPr>
          <w:color w:val="auto"/>
        </w:rPr>
      </w:r>
    </w:p>
    <w:p>
      <w:pPr>
        <w:pStyle w:val="942"/>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所有有关标书的函电，请按下列地址联系：</w:t>
      </w:r>
      <w:r>
        <w:rPr>
          <w:rFonts w:hint="eastAsia" w:hAnsi="宋体" w:eastAsia="宋体" w:cs="宋体"/>
          <w:color w:val="auto"/>
          <w:sz w:val="21"/>
          <w:szCs w:val="21"/>
          <w:highlight w:val="none"/>
        </w:rPr>
      </w:r>
      <w:r>
        <w:rPr>
          <w:color w:val="auto"/>
        </w:rPr>
      </w:r>
    </w:p>
    <w:p>
      <w:pPr>
        <w:pStyle w:val="942"/>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单位：                联系人：         联系电话：     </w:t>
      </w:r>
      <w:r>
        <w:rPr>
          <w:rFonts w:hint="eastAsia" w:hAnsi="宋体" w:eastAsia="宋体" w:cs="宋体"/>
          <w:color w:val="auto"/>
          <w:sz w:val="21"/>
          <w:szCs w:val="21"/>
          <w:highlight w:val="none"/>
        </w:rPr>
      </w:r>
      <w:r>
        <w:rPr>
          <w:color w:val="auto"/>
        </w:rPr>
      </w:r>
    </w:p>
    <w:p>
      <w:pPr>
        <w:pStyle w:val="942"/>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传真：                地址：           邮政编码：</w:t>
      </w:r>
      <w:r>
        <w:rPr>
          <w:rFonts w:hint="eastAsia" w:hAnsi="宋体" w:eastAsia="宋体" w:cs="宋体"/>
          <w:color w:val="auto"/>
          <w:sz w:val="21"/>
          <w:szCs w:val="21"/>
          <w:highlight w:val="none"/>
        </w:rPr>
      </w:r>
      <w:r>
        <w:rPr>
          <w:color w:val="auto"/>
        </w:rPr>
      </w:r>
    </w:p>
    <w:p>
      <w:pPr>
        <w:pStyle w:val="702"/>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02"/>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投标单位（签章）：</w:t>
      </w:r>
      <w:r>
        <w:rPr>
          <w:rFonts w:hint="eastAsia" w:ascii="宋体" w:hAnsi="宋体" w:cs="宋体"/>
          <w:color w:val="auto"/>
          <w:szCs w:val="21"/>
          <w:highlight w:val="none"/>
        </w:rPr>
      </w:r>
      <w:r>
        <w:rPr>
          <w:color w:val="auto"/>
        </w:rPr>
      </w:r>
    </w:p>
    <w:p>
      <w:pPr>
        <w:pStyle w:val="702"/>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rPr>
          <w:rFonts w:hint="eastAsia" w:ascii="宋体" w:hAnsi="宋体" w:cs="宋体"/>
          <w:color w:val="auto"/>
          <w:szCs w:val="21"/>
          <w:highlight w:val="none"/>
        </w:rPr>
      </w:r>
      <w:r>
        <w:rPr>
          <w:color w:val="auto"/>
        </w:rPr>
      </w:r>
    </w:p>
    <w:p>
      <w:pPr>
        <w:pStyle w:val="702"/>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rPr>
          <w:rFonts w:hint="eastAsia" w:ascii="宋体" w:hAnsi="宋体" w:cs="宋体"/>
          <w:color w:val="auto"/>
          <w:szCs w:val="21"/>
          <w:highlight w:val="none"/>
          <w:lang w:val="zh-CN"/>
        </w:rPr>
      </w:r>
      <w:r>
        <w:rPr>
          <w:color w:val="auto"/>
        </w:rPr>
      </w:r>
    </w:p>
    <w:p>
      <w:pPr>
        <w:pStyle w:val="702"/>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02"/>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02"/>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02"/>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02"/>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30"/>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702"/>
        <w:rPr>
          <w:rFonts w:hint="eastAsia" w:ascii="宋体" w:hAnsi="宋体" w:cs="宋体"/>
          <w:b/>
          <w:color w:val="auto"/>
          <w:szCs w:val="21"/>
          <w:highlight w:val="none"/>
        </w:rPr>
      </w:pPr>
      <w:r>
        <w:rPr>
          <w:rFonts w:hint="eastAsia" w:ascii="宋体" w:hAnsi="宋体" w:cs="宋体"/>
          <w:b/>
          <w:color w:val="auto"/>
          <w:szCs w:val="21"/>
          <w:highlight w:val="none"/>
        </w:rPr>
        <w:t xml:space="preserve">附件3：关于资格文件的声明函</w:t>
      </w:r>
      <w:r>
        <w:rPr>
          <w:rFonts w:hint="eastAsia" w:ascii="宋体" w:hAnsi="宋体" w:cs="宋体"/>
          <w:b/>
          <w:color w:val="auto"/>
          <w:szCs w:val="21"/>
          <w:highlight w:val="none"/>
        </w:rPr>
      </w:r>
      <w:r>
        <w:rPr>
          <w:color w:val="auto"/>
        </w:rPr>
      </w:r>
    </w:p>
    <w:p>
      <w:pPr>
        <w:pStyle w:val="908"/>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rPr>
      </w:r>
    </w:p>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p>
      <w:pPr>
        <w:pStyle w:val="90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关于资格文件的声明函</w:t>
      </w:r>
      <w:r>
        <w:rPr>
          <w:rFonts w:hint="eastAsia" w:ascii="宋体" w:hAnsi="宋体" w:eastAsia="宋体" w:cs="宋体"/>
          <w:color w:val="auto"/>
          <w:sz w:val="21"/>
          <w:szCs w:val="21"/>
          <w:highlight w:val="none"/>
        </w:rPr>
      </w:r>
      <w:r>
        <w:rPr>
          <w:color w:val="auto"/>
        </w:rPr>
      </w:r>
    </w:p>
    <w:p>
      <w:pPr>
        <w:pStyle w:val="90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p>
      <w:pPr>
        <w:pStyle w:val="90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p>
      <w:pPr>
        <w:pStyle w:val="908"/>
        <w:ind w:firstLine="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r>
      <w:r>
        <w:rPr>
          <w:color w:val="auto"/>
        </w:rPr>
      </w:r>
    </w:p>
    <w:p>
      <w:pPr>
        <w:pStyle w:val="908"/>
        <w:ind w:firstLine="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本公司愿就由贵公司组织实施的编号为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号的采购活动进行投标。本公司所提交的投标文件中所有关于投标资格的文件、证明和陈述均是真实的、准确的。若与真实情况不符，本公司愿意承担由此而产生的一切后果。</w:t>
      </w:r>
      <w:r>
        <w:rPr>
          <w:rFonts w:hint="eastAsia" w:ascii="宋体" w:hAnsi="宋体" w:cs="宋体"/>
          <w:color w:val="auto"/>
          <w:szCs w:val="21"/>
          <w:highlight w:val="none"/>
          <w:lang w:val="zh-CN"/>
        </w:rPr>
      </w:r>
      <w:r>
        <w:rPr>
          <w:color w:val="auto"/>
        </w:rPr>
      </w:r>
    </w:p>
    <w:p>
      <w:pPr>
        <w:pStyle w:val="908"/>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p>
      <w:pPr>
        <w:pStyle w:val="702"/>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投标单位（签章）：</w:t>
      </w:r>
      <w:r>
        <w:rPr>
          <w:rFonts w:hint="eastAsia" w:ascii="宋体" w:hAnsi="宋体" w:cs="宋体"/>
          <w:color w:val="auto"/>
          <w:szCs w:val="21"/>
          <w:highlight w:val="none"/>
        </w:rPr>
      </w:r>
      <w:r>
        <w:rPr>
          <w:color w:val="auto"/>
        </w:rPr>
      </w:r>
    </w:p>
    <w:p>
      <w:pPr>
        <w:pStyle w:val="702"/>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rPr>
          <w:rFonts w:hint="eastAsia" w:ascii="宋体" w:hAnsi="宋体" w:cs="宋体"/>
          <w:color w:val="auto"/>
          <w:szCs w:val="21"/>
          <w:highlight w:val="none"/>
        </w:rPr>
      </w:r>
      <w:r>
        <w:rPr>
          <w:color w:val="auto"/>
        </w:rPr>
      </w:r>
    </w:p>
    <w:p>
      <w:pPr>
        <w:pStyle w:val="702"/>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rPr>
          <w:rFonts w:hint="eastAsia" w:ascii="宋体" w:hAnsi="宋体" w:cs="宋体"/>
          <w:color w:val="auto"/>
          <w:szCs w:val="21"/>
          <w:highlight w:val="none"/>
        </w:rPr>
      </w:r>
      <w:r>
        <w:rPr>
          <w:color w:val="auto"/>
        </w:rPr>
      </w:r>
    </w:p>
    <w:p>
      <w:pPr>
        <w:pStyle w:val="908"/>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p>
      <w:pPr>
        <w:pStyle w:val="908"/>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p>
      <w:pPr>
        <w:pStyle w:val="908"/>
        <w:ind w:left="2975" w:firstLine="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r>
      <w:r>
        <w:rPr>
          <w:color w:val="auto"/>
        </w:rPr>
      </w:r>
    </w:p>
    <w:p>
      <w:pPr>
        <w:pStyle w:val="702"/>
        <w:ind w:firstLine="21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附件4：开标一览表</w:t>
      </w:r>
      <w:r>
        <w:rPr>
          <w:rFonts w:hint="eastAsia" w:ascii="宋体" w:hAnsi="宋体" w:cs="宋体"/>
          <w:b/>
          <w:color w:val="auto"/>
          <w:szCs w:val="21"/>
          <w:highlight w:val="none"/>
        </w:rPr>
      </w:r>
      <w:r>
        <w:rPr>
          <w:color w:val="auto"/>
        </w:rPr>
      </w:r>
    </w:p>
    <w:p>
      <w:pPr>
        <w:pStyle w:val="942"/>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rPr>
      </w:r>
    </w:p>
    <w:p>
      <w:pPr>
        <w:pStyle w:val="702"/>
        <w:jc w:val="center"/>
        <w:spacing w:line="360" w:lineRule="auto"/>
        <w:rPr>
          <w:rFonts w:hint="eastAsia" w:ascii="宋体" w:hAnsi="宋体" w:cs="宋体"/>
          <w:color w:val="auto"/>
          <w:szCs w:val="21"/>
          <w:highlight w:val="none"/>
        </w:rPr>
      </w:pPr>
      <w:r>
        <w:rPr>
          <w:rFonts w:hint="eastAsia" w:ascii="宋体" w:hAnsi="宋体" w:cs="宋体"/>
          <w:b/>
          <w:color w:val="auto"/>
          <w:szCs w:val="21"/>
          <w:highlight w:val="none"/>
          <w:lang w:val="zh-CN"/>
        </w:rPr>
        <w:t xml:space="preserve">开标一览表</w:t>
      </w:r>
      <w:r>
        <w:rPr>
          <w:rFonts w:hint="eastAsia" w:ascii="宋体" w:hAnsi="宋体" w:cs="宋体"/>
          <w:color w:val="auto"/>
          <w:szCs w:val="21"/>
          <w:highlight w:val="none"/>
        </w:rPr>
      </w:r>
      <w:r>
        <w:rPr>
          <w:color w:val="auto"/>
        </w:rP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4"/>
        <w:gridCol w:w="3360"/>
        <w:gridCol w:w="2510"/>
        <w:gridCol w:w="1775"/>
      </w:tblGrid>
      <w:tr>
        <w:trPr>
          <w:cantSplit/>
          <w:trHeight w:val="609"/>
        </w:trPr>
        <w:tc>
          <w:tcPr>
            <w:tcW w:w="513" w:type="dxa"/>
            <w:vAlign w:val="center"/>
            <w:textDirection w:val="lrTb"/>
            <w:noWrap w:val="false"/>
          </w:tcPr>
          <w:p>
            <w:pPr>
              <w:pStyle w:val="702"/>
              <w:jc w:val="center"/>
              <w:rPr>
                <w:rFonts w:hint="eastAsia" w:ascii="宋体" w:hAnsi="宋体"/>
                <w:b/>
                <w:bCs/>
                <w:color w:val="auto"/>
                <w:spacing w:val="20"/>
                <w:szCs w:val="21"/>
                <w:highlight w:val="none"/>
              </w:rPr>
            </w:pPr>
            <w:r>
              <w:rPr>
                <w:rFonts w:ascii="宋体" w:hAnsi="宋体"/>
                <w:b/>
                <w:bCs/>
                <w:color w:val="auto"/>
                <w:spacing w:val="20"/>
                <w:szCs w:val="21"/>
                <w:highlight w:val="none"/>
              </w:rPr>
              <w:t xml:space="preserve">序号</w:t>
            </w:r>
            <w:r>
              <w:rPr>
                <w:rFonts w:hint="eastAsia" w:ascii="宋体" w:hAnsi="宋体"/>
                <w:b/>
                <w:bCs/>
                <w:color w:val="auto"/>
                <w:spacing w:val="20"/>
                <w:szCs w:val="21"/>
                <w:highlight w:val="none"/>
              </w:rPr>
            </w:r>
            <w:r>
              <w:rPr>
                <w:color w:val="auto"/>
              </w:rPr>
            </w:r>
          </w:p>
        </w:tc>
        <w:tc>
          <w:tcPr>
            <w:tcW w:w="1972" w:type="dxa"/>
            <w:vAlign w:val="center"/>
            <w:textDirection w:val="lrTb"/>
            <w:noWrap w:val="false"/>
          </w:tcPr>
          <w:p>
            <w:pPr>
              <w:pStyle w:val="702"/>
              <w:jc w:val="center"/>
              <w:rPr>
                <w:rFonts w:hint="eastAsia" w:ascii="宋体" w:hAnsi="宋体"/>
                <w:b/>
                <w:bCs/>
                <w:color w:val="auto"/>
                <w:spacing w:val="20"/>
                <w:szCs w:val="21"/>
                <w:highlight w:val="none"/>
              </w:rPr>
            </w:pPr>
            <w:r>
              <w:rPr>
                <w:rFonts w:ascii="宋体" w:hAnsi="宋体"/>
                <w:b/>
                <w:bCs/>
                <w:color w:val="auto"/>
                <w:spacing w:val="20"/>
                <w:szCs w:val="21"/>
                <w:highlight w:val="none"/>
              </w:rPr>
              <w:t xml:space="preserve">项目</w:t>
            </w:r>
            <w:r>
              <w:rPr>
                <w:rFonts w:hint="eastAsia" w:ascii="宋体" w:hAnsi="宋体"/>
                <w:b/>
                <w:bCs/>
                <w:color w:val="auto"/>
                <w:spacing w:val="20"/>
                <w:szCs w:val="21"/>
                <w:highlight w:val="none"/>
              </w:rPr>
              <w:t xml:space="preserve">内容</w:t>
            </w:r>
            <w:r>
              <w:rPr>
                <w:rFonts w:hint="eastAsia" w:ascii="宋体" w:hAnsi="宋体"/>
                <w:b/>
                <w:bCs/>
                <w:color w:val="auto"/>
                <w:spacing w:val="20"/>
                <w:szCs w:val="21"/>
                <w:highlight w:val="none"/>
              </w:rPr>
            </w:r>
            <w:r>
              <w:rPr>
                <w:color w:val="auto"/>
              </w:rPr>
            </w:r>
          </w:p>
        </w:tc>
        <w:tc>
          <w:tcPr>
            <w:tcW w:w="1473" w:type="dxa"/>
            <w:vAlign w:val="center"/>
            <w:textDirection w:val="lrTb"/>
            <w:noWrap w:val="false"/>
          </w:tcPr>
          <w:p>
            <w:pPr>
              <w:pStyle w:val="702"/>
              <w:jc w:val="center"/>
              <w:rPr>
                <w:rFonts w:hint="eastAsia" w:ascii="宋体" w:hAnsi="宋体"/>
                <w:b/>
                <w:bCs/>
                <w:color w:val="auto"/>
                <w:spacing w:val="20"/>
                <w:szCs w:val="21"/>
                <w:highlight w:val="none"/>
              </w:rPr>
            </w:pPr>
            <w:r>
              <w:rPr>
                <w:rFonts w:ascii="宋体" w:hAnsi="宋体"/>
                <w:b/>
                <w:bCs/>
                <w:color w:val="auto"/>
                <w:spacing w:val="20"/>
                <w:szCs w:val="21"/>
                <w:highlight w:val="none"/>
              </w:rPr>
              <w:t xml:space="preserve">投标</w:t>
            </w:r>
            <w:r>
              <w:rPr>
                <w:rFonts w:hint="eastAsia" w:ascii="宋体" w:hAnsi="宋体"/>
                <w:b/>
                <w:bCs/>
                <w:color w:val="auto"/>
                <w:spacing w:val="20"/>
                <w:szCs w:val="21"/>
                <w:highlight w:val="none"/>
              </w:rPr>
              <w:t xml:space="preserve">报</w:t>
            </w:r>
            <w:r>
              <w:rPr>
                <w:rFonts w:ascii="宋体" w:hAnsi="宋体"/>
                <w:b/>
                <w:bCs/>
                <w:color w:val="auto"/>
                <w:spacing w:val="20"/>
                <w:szCs w:val="21"/>
                <w:highlight w:val="none"/>
              </w:rPr>
              <w:t xml:space="preserve">价</w:t>
            </w:r>
            <w:r>
              <w:rPr>
                <w:rFonts w:hint="eastAsia" w:ascii="宋体" w:hAnsi="宋体"/>
                <w:b/>
                <w:bCs/>
                <w:color w:val="auto"/>
                <w:spacing w:val="20"/>
                <w:szCs w:val="21"/>
                <w:highlight w:val="none"/>
              </w:rPr>
            </w:r>
            <w:r>
              <w:rPr>
                <w:color w:val="auto"/>
              </w:rPr>
            </w:r>
          </w:p>
          <w:p>
            <w:pPr>
              <w:pStyle w:val="702"/>
              <w:jc w:val="center"/>
              <w:rPr>
                <w:rFonts w:hint="eastAsia" w:ascii="宋体" w:hAnsi="宋体"/>
                <w:b/>
                <w:bCs/>
                <w:color w:val="auto"/>
                <w:spacing w:val="20"/>
                <w:szCs w:val="21"/>
                <w:highlight w:val="none"/>
              </w:rPr>
            </w:pPr>
            <w:r>
              <w:rPr>
                <w:rFonts w:ascii="宋体" w:hAnsi="宋体"/>
                <w:b/>
                <w:bCs/>
                <w:color w:val="auto"/>
                <w:spacing w:val="20"/>
                <w:szCs w:val="21"/>
                <w:highlight w:val="none"/>
              </w:rPr>
              <w:t xml:space="preserve">(元)</w:t>
            </w:r>
            <w:r>
              <w:rPr>
                <w:rFonts w:hint="eastAsia" w:ascii="宋体" w:hAnsi="宋体"/>
                <w:b/>
                <w:bCs/>
                <w:color w:val="auto"/>
                <w:spacing w:val="20"/>
                <w:szCs w:val="21"/>
                <w:highlight w:val="none"/>
              </w:rPr>
            </w:r>
            <w:r>
              <w:rPr>
                <w:color w:val="auto"/>
              </w:rPr>
            </w:r>
          </w:p>
        </w:tc>
        <w:tc>
          <w:tcPr>
            <w:tcW w:w="1041" w:type="dxa"/>
            <w:vAlign w:val="center"/>
            <w:textDirection w:val="lrTb"/>
            <w:noWrap w:val="false"/>
          </w:tcPr>
          <w:p>
            <w:pPr>
              <w:pStyle w:val="702"/>
              <w:jc w:val="center"/>
              <w:rPr>
                <w:rFonts w:hint="eastAsia" w:ascii="宋体" w:hAnsi="宋体"/>
                <w:b/>
                <w:bCs/>
                <w:color w:val="auto"/>
                <w:spacing w:val="20"/>
                <w:szCs w:val="21"/>
                <w:highlight w:val="none"/>
              </w:rPr>
            </w:pPr>
            <w:r>
              <w:rPr>
                <w:rFonts w:hint="eastAsia" w:ascii="宋体" w:hAnsi="宋体"/>
                <w:b/>
                <w:bCs/>
                <w:color w:val="auto"/>
                <w:spacing w:val="20"/>
                <w:szCs w:val="21"/>
                <w:highlight w:val="none"/>
              </w:rPr>
              <w:t xml:space="preserve">备注</w:t>
            </w:r>
            <w:r>
              <w:rPr>
                <w:rFonts w:hint="eastAsia" w:ascii="宋体" w:hAnsi="宋体"/>
                <w:b/>
                <w:bCs/>
                <w:color w:val="auto"/>
                <w:spacing w:val="20"/>
                <w:szCs w:val="21"/>
                <w:highlight w:val="none"/>
              </w:rPr>
            </w:r>
            <w:r>
              <w:rPr>
                <w:color w:val="auto"/>
              </w:rPr>
            </w:r>
          </w:p>
        </w:tc>
      </w:tr>
      <w:tr>
        <w:trPr>
          <w:cantSplit/>
          <w:trHeight w:val="1041"/>
        </w:trPr>
        <w:tc>
          <w:tcPr>
            <w:tcW w:w="513" w:type="dxa"/>
            <w:vAlign w:val="center"/>
            <w:textDirection w:val="lrTb"/>
            <w:noWrap w:val="false"/>
          </w:tcPr>
          <w:p>
            <w:pPr>
              <w:pStyle w:val="702"/>
              <w:jc w:val="center"/>
              <w:spacing w:line="320" w:lineRule="exact"/>
              <w:rPr>
                <w:rFonts w:hint="eastAsia" w:ascii="宋体" w:hAnsi="宋体"/>
                <w:b/>
                <w:bCs/>
                <w:color w:val="auto"/>
                <w:spacing w:val="20"/>
                <w:szCs w:val="21"/>
                <w:highlight w:val="none"/>
              </w:rPr>
            </w:pPr>
            <w:r>
              <w:rPr>
                <w:rFonts w:ascii="宋体" w:hAnsi="宋体"/>
                <w:b/>
                <w:bCs/>
                <w:color w:val="auto"/>
                <w:spacing w:val="20"/>
                <w:szCs w:val="21"/>
                <w:highlight w:val="none"/>
              </w:rPr>
              <w:t xml:space="preserve">1</w:t>
            </w:r>
            <w:r>
              <w:rPr>
                <w:rFonts w:hint="eastAsia" w:ascii="宋体" w:hAnsi="宋体"/>
                <w:b/>
                <w:bCs/>
                <w:color w:val="auto"/>
                <w:spacing w:val="20"/>
                <w:szCs w:val="21"/>
                <w:highlight w:val="none"/>
              </w:rPr>
            </w:r>
            <w:r>
              <w:rPr>
                <w:color w:val="auto"/>
              </w:rPr>
            </w:r>
          </w:p>
        </w:tc>
        <w:tc>
          <w:tcPr>
            <w:tcW w:w="1972" w:type="dxa"/>
            <w:vAlign w:val="center"/>
            <w:textDirection w:val="lrTb"/>
            <w:noWrap w:val="false"/>
          </w:tcPr>
          <w:p>
            <w:pPr>
              <w:pStyle w:val="702"/>
              <w:jc w:val="center"/>
              <w:spacing w:line="320" w:lineRule="exact"/>
              <w:rPr>
                <w:rFonts w:hint="eastAsia" w:ascii="宋体" w:hAnsi="宋体"/>
                <w:b/>
                <w:bCs/>
                <w:color w:val="auto"/>
                <w:spacing w:val="20"/>
                <w:szCs w:val="21"/>
                <w:highlight w:val="none"/>
              </w:rPr>
            </w:pPr>
            <w:r>
              <w:rPr>
                <w:rFonts w:hint="eastAsia" w:ascii="宋体" w:hAnsi="宋体"/>
                <w:b/>
                <w:bCs/>
                <w:color w:val="auto"/>
                <w:spacing w:val="20"/>
                <w:szCs w:val="21"/>
                <w:highlight w:val="none"/>
              </w:rPr>
            </w:r>
            <w:r>
              <w:rPr>
                <w:color w:val="auto"/>
              </w:rPr>
            </w:r>
          </w:p>
        </w:tc>
        <w:tc>
          <w:tcPr>
            <w:tcW w:w="1473" w:type="dxa"/>
            <w:vAlign w:val="center"/>
            <w:textDirection w:val="lrTb"/>
            <w:noWrap w:val="false"/>
          </w:tcPr>
          <w:p>
            <w:pPr>
              <w:pStyle w:val="702"/>
              <w:spacing w:line="320" w:lineRule="exact"/>
              <w:rPr>
                <w:rFonts w:hint="eastAsia" w:ascii="宋体" w:hAnsi="宋体"/>
                <w:color w:val="auto"/>
                <w:spacing w:val="20"/>
                <w:szCs w:val="21"/>
                <w:highlight w:val="none"/>
              </w:rPr>
            </w:pPr>
            <w:r>
              <w:rPr>
                <w:rFonts w:hint="eastAsia" w:ascii="宋体" w:hAnsi="宋体"/>
                <w:color w:val="auto"/>
                <w:spacing w:val="20"/>
                <w:szCs w:val="21"/>
                <w:highlight w:val="none"/>
              </w:rPr>
            </w:r>
            <w:r>
              <w:rPr>
                <w:color w:val="auto"/>
              </w:rPr>
            </w:r>
          </w:p>
        </w:tc>
        <w:tc>
          <w:tcPr>
            <w:tcW w:w="1041" w:type="dxa"/>
            <w:vAlign w:val="center"/>
            <w:textDirection w:val="lrTb"/>
            <w:noWrap w:val="false"/>
          </w:tcPr>
          <w:p>
            <w:pPr>
              <w:pStyle w:val="702"/>
              <w:spacing w:line="320" w:lineRule="exact"/>
              <w:rPr>
                <w:rFonts w:hint="eastAsia" w:ascii="宋体" w:hAnsi="宋体"/>
                <w:color w:val="auto"/>
                <w:spacing w:val="20"/>
                <w:szCs w:val="21"/>
                <w:highlight w:val="none"/>
              </w:rPr>
            </w:pPr>
            <w:r>
              <w:rPr>
                <w:rFonts w:hint="eastAsia" w:ascii="宋体" w:hAnsi="宋体"/>
                <w:color w:val="auto"/>
                <w:spacing w:val="20"/>
                <w:szCs w:val="21"/>
                <w:highlight w:val="none"/>
              </w:rPr>
            </w:r>
            <w:r>
              <w:rPr>
                <w:color w:val="auto"/>
              </w:rPr>
            </w:r>
          </w:p>
        </w:tc>
      </w:tr>
      <w:tr>
        <w:trPr>
          <w:cantSplit/>
          <w:trHeight w:val="491"/>
        </w:trPr>
        <w:tc>
          <w:tcPr>
            <w:gridSpan w:val="4"/>
            <w:tcW w:w="8519" w:type="dxa"/>
            <w:vAlign w:val="top"/>
            <w:textDirection w:val="lrTb"/>
            <w:noWrap w:val="false"/>
          </w:tcPr>
          <w:p>
            <w:pPr>
              <w:pStyle w:val="702"/>
              <w:spacing w:line="320" w:lineRule="exact"/>
              <w:rPr>
                <w:rFonts w:hint="eastAsia" w:ascii="宋体" w:hAnsi="宋体"/>
                <w:b/>
                <w:color w:val="auto"/>
                <w:spacing w:val="20"/>
                <w:szCs w:val="21"/>
                <w:highlight w:val="none"/>
              </w:rPr>
            </w:pPr>
            <w:r>
              <w:rPr>
                <w:rFonts w:ascii="宋体" w:hAnsi="宋体"/>
                <w:bCs/>
                <w:color w:val="auto"/>
                <w:spacing w:val="20"/>
                <w:szCs w:val="21"/>
                <w:highlight w:val="none"/>
              </w:rPr>
              <w:t xml:space="preserve">投标</w:t>
            </w:r>
            <w:r>
              <w:rPr>
                <w:rFonts w:hint="eastAsia" w:ascii="宋体" w:hAnsi="宋体"/>
                <w:bCs/>
                <w:color w:val="auto"/>
                <w:spacing w:val="20"/>
                <w:szCs w:val="21"/>
                <w:highlight w:val="none"/>
              </w:rPr>
              <w:t xml:space="preserve">总</w:t>
            </w:r>
            <w:r>
              <w:rPr>
                <w:rFonts w:ascii="宋体" w:hAnsi="宋体"/>
                <w:bCs/>
                <w:color w:val="auto"/>
                <w:spacing w:val="20"/>
                <w:szCs w:val="21"/>
                <w:highlight w:val="none"/>
              </w:rPr>
              <w:t xml:space="preserve">价（人民币大写）：</w:t>
            </w:r>
            <w:r>
              <w:rPr>
                <w:rFonts w:hint="eastAsia" w:ascii="宋体" w:hAnsi="宋体"/>
                <w:bCs/>
                <w:color w:val="auto"/>
                <w:spacing w:val="20"/>
                <w:szCs w:val="21"/>
                <w:highlight w:val="none"/>
              </w:rPr>
              <w:t xml:space="preserve">                 </w:t>
            </w:r>
            <w:r>
              <w:rPr>
                <w:rFonts w:hint="eastAsia" w:ascii="宋体" w:hAnsi="宋体"/>
                <w:b/>
                <w:color w:val="auto"/>
                <w:spacing w:val="20"/>
                <w:szCs w:val="21"/>
                <w:highlight w:val="none"/>
              </w:rPr>
            </w:r>
            <w:r>
              <w:rPr>
                <w:color w:val="auto"/>
              </w:rPr>
            </w:r>
          </w:p>
        </w:tc>
      </w:tr>
    </w:tbl>
    <w:p>
      <w:pPr>
        <w:pStyle w:val="702"/>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ar"/>
        </w:rPr>
      </w:r>
      <w:r>
        <w:rPr>
          <w:color w:val="auto"/>
        </w:rPr>
      </w:r>
    </w:p>
    <w:p>
      <w:pPr>
        <w:pStyle w:val="702"/>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ar"/>
        </w:rPr>
        <w:t xml:space="preserve">供应商签章：</w:t>
      </w:r>
      <w:r>
        <w:rPr>
          <w:rFonts w:hint="eastAsia" w:ascii="宋体" w:hAnsi="宋体" w:cs="宋体"/>
          <w:color w:val="auto"/>
          <w:szCs w:val="21"/>
          <w:highlight w:val="none"/>
        </w:rPr>
      </w:r>
      <w:r>
        <w:rPr>
          <w:color w:val="auto"/>
        </w:rPr>
      </w:r>
    </w:p>
    <w:p>
      <w:pPr>
        <w:pStyle w:val="702"/>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ar"/>
        </w:rPr>
        <w:t xml:space="preserve">法定代表人或代理人：（签字或盖章）</w:t>
      </w:r>
      <w:r>
        <w:rPr>
          <w:rFonts w:hint="eastAsia" w:ascii="宋体" w:hAnsi="宋体" w:cs="宋体"/>
          <w:color w:val="auto"/>
          <w:szCs w:val="21"/>
          <w:highlight w:val="none"/>
        </w:rPr>
      </w:r>
      <w:r>
        <w:rPr>
          <w:color w:val="auto"/>
        </w:rPr>
      </w:r>
    </w:p>
    <w:p>
      <w:pPr>
        <w:pStyle w:val="702"/>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ar"/>
        </w:rPr>
        <w:t xml:space="preserve">日期：</w:t>
      </w:r>
      <w:r>
        <w:rPr>
          <w:rFonts w:hint="eastAsia" w:ascii="宋体" w:hAnsi="宋体" w:cs="宋体"/>
          <w:color w:val="auto"/>
          <w:szCs w:val="21"/>
          <w:highlight w:val="none"/>
          <w:lang w:bidi="ar"/>
        </w:rPr>
        <w:t xml:space="preserve">      </w:t>
      </w:r>
      <w:r>
        <w:rPr>
          <w:rFonts w:hint="eastAsia" w:ascii="宋体" w:hAnsi="宋体" w:cs="宋体"/>
          <w:color w:val="auto"/>
          <w:szCs w:val="21"/>
          <w:highlight w:val="none"/>
          <w:lang w:val="zh-CN" w:bidi="ar"/>
        </w:rPr>
        <w:t xml:space="preserve">年</w:t>
      </w:r>
      <w:r>
        <w:rPr>
          <w:rFonts w:hint="eastAsia" w:ascii="宋体" w:hAnsi="宋体" w:cs="宋体"/>
          <w:color w:val="auto"/>
          <w:szCs w:val="21"/>
          <w:highlight w:val="none"/>
          <w:lang w:bidi="ar"/>
        </w:rPr>
        <w:t xml:space="preserve">     </w:t>
      </w:r>
      <w:r>
        <w:rPr>
          <w:rFonts w:hint="eastAsia" w:ascii="宋体" w:hAnsi="宋体" w:cs="宋体"/>
          <w:color w:val="auto"/>
          <w:szCs w:val="21"/>
          <w:highlight w:val="none"/>
          <w:lang w:val="zh-CN" w:bidi="ar"/>
        </w:rPr>
        <w:t xml:space="preserve">月</w:t>
      </w:r>
      <w:r>
        <w:rPr>
          <w:rFonts w:hint="eastAsia" w:ascii="宋体" w:hAnsi="宋体" w:cs="宋体"/>
          <w:color w:val="auto"/>
          <w:szCs w:val="21"/>
          <w:highlight w:val="none"/>
          <w:lang w:bidi="ar"/>
        </w:rPr>
        <w:t xml:space="preserve">     </w:t>
      </w:r>
      <w:r>
        <w:rPr>
          <w:rFonts w:hint="eastAsia" w:ascii="宋体" w:hAnsi="宋体" w:cs="宋体"/>
          <w:color w:val="auto"/>
          <w:szCs w:val="21"/>
          <w:highlight w:val="none"/>
          <w:lang w:val="zh-CN" w:bidi="ar"/>
        </w:rPr>
        <w:t xml:space="preserve">日 </w:t>
      </w:r>
      <w:r>
        <w:rPr>
          <w:rFonts w:hint="eastAsia" w:ascii="宋体" w:hAnsi="宋体" w:cs="宋体"/>
          <w:color w:val="auto"/>
          <w:szCs w:val="21"/>
          <w:highlight w:val="none"/>
          <w:lang w:bidi="ar"/>
        </w:rPr>
      </w:r>
      <w:r>
        <w:rPr>
          <w:color w:val="auto"/>
        </w:rPr>
      </w:r>
    </w:p>
    <w:p>
      <w:pPr>
        <w:pStyle w:val="754"/>
        <w:spacing w:before="75" w:beforeAutospacing="0" w:after="75" w:afterAutospacing="0"/>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p>
      <w:pPr>
        <w:pStyle w:val="726"/>
        <w:ind w:left="0" w:firstLine="0"/>
        <w:spacing w:line="360" w:lineRule="auto"/>
        <w:rPr>
          <w:rFonts w:hint="eastAsia" w:ascii="宋体" w:hAnsi="宋体" w:cs="宋体"/>
          <w:color w:val="auto"/>
          <w:szCs w:val="21"/>
          <w:highlight w:val="none"/>
        </w:rPr>
      </w:pPr>
      <w:r>
        <w:rPr>
          <w:rFonts w:hint="eastAsia" w:ascii="宋体" w:hAnsi="宋体" w:cs="宋体"/>
          <w:color w:val="auto"/>
          <w:spacing w:val="20"/>
          <w:szCs w:val="21"/>
          <w:highlight w:val="none"/>
        </w:rPr>
        <w:t xml:space="preserve">注：</w:t>
      </w:r>
      <w:r>
        <w:rPr>
          <w:rFonts w:hint="eastAsia" w:ascii="宋体" w:hAnsi="宋体" w:cs="宋体"/>
          <w:color w:val="auto"/>
          <w:szCs w:val="21"/>
          <w:highlight w:val="none"/>
        </w:rPr>
        <w:t xml:space="preserve">1.报价</w:t>
      </w:r>
      <w:r>
        <w:rPr>
          <w:rFonts w:hint="eastAsia" w:ascii="宋体" w:hAnsi="宋体" w:cs="宋体"/>
          <w:color w:val="auto"/>
          <w:szCs w:val="21"/>
          <w:highlight w:val="none"/>
          <w:lang w:val="zh-TW" w:eastAsia="zh-TW"/>
        </w:rPr>
        <w:t xml:space="preserve">应</w:t>
      </w:r>
      <w:r>
        <w:rPr>
          <w:rFonts w:hint="eastAsia" w:ascii="宋体" w:hAnsi="宋体" w:cs="宋体"/>
          <w:color w:val="auto"/>
          <w:szCs w:val="21"/>
          <w:highlight w:val="none"/>
        </w:rPr>
        <w:t xml:space="preserve">投标报价包括完成本项工作所需的人工、调查检测、专家评审、报告编制、管理、机械设备、材料耗材、交通、管理、保险、利润、税金、中标服务费、政策性文件规定及合同包含的所有风险、责任等各项应有费</w:t>
      </w:r>
      <w:r>
        <w:rPr>
          <w:rFonts w:hint="eastAsia" w:ascii="宋体" w:hAnsi="宋体" w:cs="宋体"/>
          <w:color w:val="auto"/>
          <w:szCs w:val="21"/>
          <w:highlight w:val="none"/>
          <w:lang w:val="en-US"/>
        </w:rPr>
        <w:t xml:space="preserve">用</w:t>
      </w:r>
      <w:r>
        <w:rPr>
          <w:rFonts w:hint="eastAsia" w:ascii="宋体" w:hAnsi="宋体" w:cs="宋体"/>
          <w:color w:val="auto"/>
          <w:szCs w:val="21"/>
          <w:highlight w:val="none"/>
        </w:rPr>
        <w:t xml:space="preserve">，采购人不再支付其他任何费用。投标报价为最终报价，同时，除非合同条款中另有规定，否则，供应商所报价格在合同实施期间不因市场变化因素而变动,政策性条款例外。</w:t>
      </w:r>
      <w:r>
        <w:rPr>
          <w:rFonts w:hint="eastAsia" w:ascii="宋体" w:hAnsi="宋体" w:cs="宋体"/>
          <w:color w:val="auto"/>
          <w:szCs w:val="21"/>
          <w:highlight w:val="none"/>
        </w:rPr>
      </w:r>
      <w:r>
        <w:rPr>
          <w:color w:val="auto"/>
        </w:rPr>
      </w:r>
    </w:p>
    <w:p>
      <w:pPr>
        <w:pStyle w:val="702"/>
        <w:ind w:firstLine="420"/>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2.报价金额全部采取人民币表示，否则为无效标。</w:t>
      </w:r>
      <w:r>
        <w:rPr>
          <w:rFonts w:hint="eastAsia" w:ascii="宋体" w:hAnsi="宋体" w:cs="宋体"/>
          <w:color w:val="auto"/>
          <w:szCs w:val="21"/>
          <w:highlight w:val="none"/>
        </w:rPr>
      </w:r>
      <w:r>
        <w:rPr>
          <w:color w:val="auto"/>
        </w:rPr>
      </w:r>
    </w:p>
    <w:p>
      <w:pPr>
        <w:pStyle w:val="702"/>
        <w:ind w:firstLine="420"/>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3.投标总报价大写金额须与小写金额一致，如不一致，以大写金额为准。</w:t>
      </w:r>
      <w:r>
        <w:rPr>
          <w:rFonts w:hint="eastAsia" w:ascii="宋体" w:hAnsi="宋体" w:cs="宋体"/>
          <w:color w:val="auto"/>
          <w:szCs w:val="21"/>
          <w:highlight w:val="none"/>
        </w:rPr>
      </w:r>
      <w:r>
        <w:rPr>
          <w:color w:val="auto"/>
        </w:rPr>
      </w:r>
    </w:p>
    <w:p>
      <w:pPr>
        <w:pStyle w:val="702"/>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r>
      <w:r>
        <w:rPr>
          <w:color w:val="auto"/>
        </w:rPr>
      </w:r>
    </w:p>
    <w:p>
      <w:pPr>
        <w:pStyle w:val="702"/>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p>
      <w:pPr>
        <w:pStyle w:val="70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p>
    <w:p>
      <w:pPr>
        <w:pStyle w:val="702"/>
        <w:ind w:firstLine="48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p>
      <w:pPr>
        <w:pStyle w:val="942"/>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rPr>
      </w:r>
    </w:p>
    <w:p>
      <w:pPr>
        <w:pStyle w:val="702"/>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p>
      <w:pPr>
        <w:pStyle w:val="942"/>
        <w:spacing w:line="360" w:lineRule="auto"/>
        <w:rPr>
          <w:rFonts w:hint="eastAsia" w:hAnsi="宋体" w:eastAsia="宋体" w:cs="宋体"/>
          <w:b/>
          <w:color w:val="auto"/>
          <w:sz w:val="21"/>
          <w:szCs w:val="21"/>
          <w:highlight w:val="none"/>
        </w:rPr>
      </w:pPr>
      <w:r>
        <w:rPr>
          <w:rFonts w:hint="eastAsia" w:hAnsi="宋体" w:eastAsia="宋体" w:cs="宋体"/>
          <w:b/>
          <w:color w:val="auto"/>
          <w:sz w:val="21"/>
          <w:szCs w:val="21"/>
          <w:highlight w:val="none"/>
        </w:rPr>
      </w:r>
      <w:r>
        <w:rPr>
          <w:color w:val="auto"/>
        </w:rPr>
      </w:r>
    </w:p>
    <w:p>
      <w:pPr>
        <w:pStyle w:val="942"/>
        <w:spacing w:line="360" w:lineRule="auto"/>
        <w:rPr>
          <w:rFonts w:hint="eastAsia" w:hAnsi="宋体" w:eastAsia="宋体" w:cs="宋体"/>
          <w:b/>
          <w:color w:val="auto"/>
          <w:sz w:val="21"/>
          <w:szCs w:val="21"/>
          <w:highlight w:val="none"/>
        </w:rPr>
      </w:pPr>
      <w:r>
        <w:rPr>
          <w:rFonts w:hint="eastAsia" w:hAnsi="宋体" w:eastAsia="宋体" w:cs="宋体"/>
          <w:b/>
          <w:color w:val="auto"/>
          <w:sz w:val="21"/>
          <w:szCs w:val="21"/>
          <w:highlight w:val="none"/>
        </w:rPr>
      </w:r>
      <w:r>
        <w:rPr>
          <w:color w:val="auto"/>
        </w:rPr>
      </w:r>
    </w:p>
    <w:p>
      <w:pPr>
        <w:pStyle w:val="942"/>
        <w:spacing w:line="360" w:lineRule="auto"/>
        <w:rPr>
          <w:rFonts w:hint="eastAsia" w:hAnsi="宋体" w:eastAsia="宋体" w:cs="宋体"/>
          <w:b/>
          <w:color w:val="auto"/>
          <w:sz w:val="21"/>
          <w:szCs w:val="21"/>
          <w:highlight w:val="none"/>
        </w:rPr>
      </w:pPr>
      <w:r>
        <w:rPr>
          <w:rFonts w:hint="eastAsia" w:hAnsi="宋体" w:eastAsia="宋体" w:cs="宋体"/>
          <w:b/>
          <w:color w:val="auto"/>
          <w:sz w:val="21"/>
          <w:szCs w:val="21"/>
          <w:highlight w:val="none"/>
        </w:rPr>
      </w:r>
      <w:r>
        <w:rPr>
          <w:color w:val="auto"/>
        </w:rPr>
      </w:r>
    </w:p>
    <w:p>
      <w:pPr>
        <w:pStyle w:val="942"/>
        <w:spacing w:line="360" w:lineRule="auto"/>
        <w:rPr>
          <w:rFonts w:hint="eastAsia" w:hAnsi="宋体" w:eastAsia="宋体" w:cs="宋体"/>
          <w:b/>
          <w:color w:val="auto"/>
          <w:sz w:val="21"/>
          <w:szCs w:val="21"/>
          <w:highlight w:val="none"/>
        </w:rPr>
      </w:pPr>
      <w:r>
        <w:rPr>
          <w:rFonts w:hint="eastAsia" w:hAnsi="宋体" w:eastAsia="宋体" w:cs="宋体"/>
          <w:b/>
          <w:color w:val="auto"/>
          <w:sz w:val="21"/>
          <w:szCs w:val="21"/>
          <w:highlight w:val="none"/>
        </w:rPr>
      </w:r>
      <w:r>
        <w:rPr>
          <w:color w:val="auto"/>
        </w:rPr>
      </w:r>
    </w:p>
    <w:p>
      <w:pPr>
        <w:pStyle w:val="702"/>
        <w:jc w:val="left"/>
        <w:widowControl/>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p>
    <w:p>
      <w:pPr>
        <w:pStyle w:val="908"/>
        <w:ind w:firstLine="0"/>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附件5：分项明细表</w:t>
      </w:r>
      <w:r>
        <w:rPr>
          <w:rFonts w:hint="eastAsia" w:ascii="宋体" w:hAnsi="宋体" w:eastAsia="宋体" w:cs="宋体"/>
          <w:b/>
          <w:color w:val="auto"/>
          <w:sz w:val="21"/>
          <w:szCs w:val="21"/>
          <w:highlight w:val="none"/>
        </w:rPr>
      </w:r>
      <w:r>
        <w:rPr>
          <w:color w:val="auto"/>
        </w:rPr>
      </w:r>
    </w:p>
    <w:p>
      <w:pPr>
        <w:pStyle w:val="908"/>
        <w:ind w:firstLine="0"/>
        <w:jc w:val="center"/>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val="zh-CN"/>
        </w:rPr>
        <w:t xml:space="preserve">分项明细表</w:t>
      </w:r>
      <w:r>
        <w:rPr>
          <w:rFonts w:hint="eastAsia" w:ascii="宋体" w:hAnsi="宋体" w:eastAsia="宋体" w:cs="宋体"/>
          <w:b/>
          <w:color w:val="auto"/>
          <w:sz w:val="21"/>
          <w:szCs w:val="21"/>
          <w:highlight w:val="none"/>
          <w:lang w:val="zh-CN"/>
        </w:rPr>
      </w:r>
      <w:r>
        <w:rPr>
          <w:color w:val="auto"/>
        </w:rPr>
      </w:r>
    </w:p>
    <w:tbl>
      <w:tblPr>
        <w:tblpPr w:horzAnchor="page" w:tblpX="1171" w:vertAnchor="text" w:tblpY="414" w:leftFromText="180" w:topFromText="0" w:rightFromText="180" w:bottomFromText="0"/>
        <w:tblW w:w="9086" w:type="dxa"/>
        <w:tblInd w:w="-108" w:type="dxa"/>
        <w:tblLayout w:type="fixed"/>
        <w:tblCellMar>
          <w:left w:w="108" w:type="dxa"/>
          <w:top w:w="0" w:type="dxa"/>
          <w:right w:w="108" w:type="dxa"/>
          <w:bottom w:w="0" w:type="dxa"/>
        </w:tblCellMar>
        <w:tblLook w:val="04A0" w:firstRow="1" w:lastRow="0" w:firstColumn="1" w:lastColumn="0" w:noHBand="0" w:noVBand="1"/>
      </w:tblPr>
      <w:tblGrid>
        <w:gridCol w:w="630"/>
        <w:gridCol w:w="525"/>
        <w:gridCol w:w="1039"/>
        <w:gridCol w:w="1254"/>
        <w:gridCol w:w="3086"/>
        <w:gridCol w:w="664"/>
        <w:gridCol w:w="750"/>
        <w:gridCol w:w="889"/>
        <w:gridCol w:w="247"/>
        <w:gridCol w:w="632"/>
      </w:tblGrid>
      <w:tr>
        <w:trPr>
          <w:trHeight w:val="474"/>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702"/>
              <w:jc w:val="center"/>
              <w:widowControl/>
              <w:rPr>
                <w:rFonts w:hint="eastAsia" w:ascii="宋体" w:hAnsi="宋体" w:cs="宋体"/>
                <w:b/>
                <w:bCs/>
                <w:color w:val="auto"/>
                <w:sz w:val="22"/>
                <w:szCs w:val="22"/>
                <w:highlight w:val="none"/>
              </w:rPr>
              <w:framePr w:vAnchor="text" w:hAnchor="page" w:x="1171" w:y="414"/>
            </w:pPr>
            <w:r>
              <w:rPr>
                <w:rFonts w:hint="eastAsia" w:ascii="宋体" w:hAnsi="宋体" w:cs="宋体"/>
                <w:b/>
                <w:bCs/>
                <w:color w:val="auto"/>
                <w:sz w:val="22"/>
                <w:szCs w:val="22"/>
                <w:highlight w:val="none"/>
                <w:lang w:bidi="ar"/>
              </w:rPr>
              <w:t xml:space="preserve">序号</w:t>
            </w:r>
            <w:r>
              <w:rPr>
                <w:rFonts w:hint="eastAsia" w:ascii="宋体" w:hAnsi="宋体" w:cs="宋体"/>
                <w:b/>
                <w:bCs/>
                <w:color w:val="auto"/>
                <w:sz w:val="22"/>
                <w:szCs w:val="22"/>
                <w:highlight w:val="none"/>
              </w:rPr>
            </w:r>
            <w:r>
              <w:rPr>
                <w:color w:val="auto"/>
              </w:rPr>
            </w:r>
          </w:p>
        </w:tc>
        <w:tc>
          <w:tcPr>
            <w:gridSpan w:val="2"/>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02"/>
              <w:jc w:val="center"/>
              <w:widowControl/>
              <w:rPr>
                <w:rFonts w:hint="eastAsia" w:ascii="宋体" w:hAnsi="宋体" w:cs="宋体"/>
                <w:b/>
                <w:bCs/>
                <w:color w:val="auto"/>
                <w:sz w:val="22"/>
                <w:szCs w:val="22"/>
                <w:highlight w:val="none"/>
              </w:rPr>
              <w:framePr w:vAnchor="text" w:hAnchor="page" w:x="1171" w:y="414"/>
            </w:pPr>
            <w:r>
              <w:rPr>
                <w:rFonts w:hint="eastAsia" w:ascii="宋体" w:hAnsi="宋体" w:cs="宋体"/>
                <w:b/>
                <w:bCs/>
                <w:color w:val="auto"/>
                <w:sz w:val="22"/>
                <w:szCs w:val="22"/>
                <w:highlight w:val="none"/>
                <w:lang w:bidi="ar"/>
              </w:rPr>
              <w:t xml:space="preserve">类别</w:t>
            </w:r>
            <w:r>
              <w:rPr>
                <w:rFonts w:hint="eastAsia" w:ascii="宋体" w:hAnsi="宋体" w:cs="宋体"/>
                <w:b/>
                <w:bCs/>
                <w:color w:val="auto"/>
                <w:sz w:val="22"/>
                <w:szCs w:val="22"/>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702"/>
              <w:jc w:val="center"/>
              <w:widowControl/>
              <w:rPr>
                <w:rFonts w:hint="eastAsia" w:ascii="宋体" w:hAnsi="宋体" w:cs="宋体"/>
                <w:b/>
                <w:bCs/>
                <w:color w:val="auto"/>
                <w:sz w:val="22"/>
                <w:szCs w:val="22"/>
                <w:highlight w:val="none"/>
              </w:rPr>
              <w:framePr w:vAnchor="text" w:hAnchor="page" w:x="1171" w:y="414"/>
            </w:pPr>
            <w:r>
              <w:rPr>
                <w:rFonts w:hint="eastAsia" w:ascii="宋体" w:hAnsi="宋体" w:cs="宋体"/>
                <w:b/>
                <w:bCs/>
                <w:color w:val="auto"/>
                <w:sz w:val="22"/>
                <w:szCs w:val="22"/>
                <w:highlight w:val="none"/>
                <w:lang w:bidi="ar"/>
              </w:rPr>
              <w:t xml:space="preserve">阶段名称</w:t>
            </w:r>
            <w:r>
              <w:rPr>
                <w:rFonts w:hint="eastAsia" w:ascii="宋体" w:hAnsi="宋体" w:cs="宋体"/>
                <w:b/>
                <w:bCs/>
                <w:color w:val="auto"/>
                <w:sz w:val="22"/>
                <w:szCs w:val="22"/>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pStyle w:val="702"/>
              <w:jc w:val="center"/>
              <w:widowControl/>
              <w:rPr>
                <w:rFonts w:hint="eastAsia" w:ascii="宋体" w:hAnsi="宋体" w:cs="宋体"/>
                <w:b/>
                <w:bCs/>
                <w:color w:val="auto"/>
                <w:sz w:val="22"/>
                <w:szCs w:val="22"/>
                <w:highlight w:val="none"/>
              </w:rPr>
              <w:framePr w:vAnchor="text" w:hAnchor="page" w:x="1171" w:y="414"/>
            </w:pPr>
            <w:r>
              <w:rPr>
                <w:rFonts w:hint="eastAsia" w:ascii="宋体" w:hAnsi="宋体" w:cs="宋体"/>
                <w:b/>
                <w:bCs/>
                <w:color w:val="auto"/>
                <w:sz w:val="22"/>
                <w:szCs w:val="22"/>
                <w:highlight w:val="none"/>
                <w:lang w:bidi="ar"/>
              </w:rPr>
              <w:t xml:space="preserve">分项名称</w:t>
            </w:r>
            <w:r>
              <w:rPr>
                <w:rFonts w:hint="eastAsia" w:ascii="宋体" w:hAnsi="宋体" w:cs="宋体"/>
                <w:b/>
                <w:bCs/>
                <w:color w:val="auto"/>
                <w:sz w:val="22"/>
                <w:szCs w:val="22"/>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02"/>
              <w:jc w:val="center"/>
              <w:widowControl/>
              <w:rPr>
                <w:rFonts w:hint="eastAsia" w:ascii="宋体" w:hAnsi="宋体" w:cs="宋体"/>
                <w:b/>
                <w:bCs/>
                <w:color w:val="auto"/>
                <w:sz w:val="22"/>
                <w:szCs w:val="22"/>
                <w:highlight w:val="none"/>
              </w:rPr>
              <w:framePr w:vAnchor="text" w:hAnchor="page" w:x="1171" w:y="414"/>
            </w:pPr>
            <w:r>
              <w:rPr>
                <w:rFonts w:hint="eastAsia" w:ascii="宋体" w:hAnsi="宋体" w:cs="宋体"/>
                <w:b/>
                <w:bCs/>
                <w:color w:val="auto"/>
                <w:sz w:val="22"/>
                <w:szCs w:val="22"/>
                <w:highlight w:val="none"/>
                <w:lang w:bidi="ar"/>
              </w:rPr>
              <w:t xml:space="preserve">单位</w:t>
            </w:r>
            <w:r>
              <w:rPr>
                <w:rFonts w:hint="eastAsia" w:ascii="宋体" w:hAnsi="宋体" w:cs="宋体"/>
                <w:b/>
                <w:bCs/>
                <w:color w:val="auto"/>
                <w:sz w:val="22"/>
                <w:szCs w:val="22"/>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02"/>
              <w:jc w:val="center"/>
              <w:widowControl/>
              <w:rPr>
                <w:rFonts w:hint="eastAsia" w:ascii="宋体" w:hAnsi="宋体" w:cs="宋体"/>
                <w:b/>
                <w:bCs/>
                <w:color w:val="auto"/>
                <w:sz w:val="22"/>
                <w:szCs w:val="22"/>
                <w:highlight w:val="none"/>
              </w:rPr>
              <w:framePr w:vAnchor="text" w:hAnchor="page" w:x="1171" w:y="414"/>
            </w:pPr>
            <w:r>
              <w:rPr>
                <w:rFonts w:hint="eastAsia" w:ascii="宋体" w:hAnsi="宋体" w:cs="宋体"/>
                <w:b/>
                <w:bCs/>
                <w:color w:val="auto"/>
                <w:sz w:val="22"/>
                <w:szCs w:val="22"/>
                <w:highlight w:val="none"/>
                <w:lang w:bidi="ar"/>
              </w:rPr>
              <w:t xml:space="preserve">数量</w:t>
            </w:r>
            <w:r>
              <w:rPr>
                <w:rFonts w:hint="eastAsia" w:ascii="宋体" w:hAnsi="宋体" w:cs="宋体"/>
                <w:b/>
                <w:bCs/>
                <w:color w:val="auto"/>
                <w:sz w:val="22"/>
                <w:szCs w:val="22"/>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02"/>
              <w:jc w:val="center"/>
              <w:widowControl/>
              <w:rPr>
                <w:rFonts w:hint="eastAsia" w:ascii="宋体" w:hAnsi="宋体" w:cs="宋体"/>
                <w:b/>
                <w:bCs/>
                <w:color w:val="auto"/>
                <w:sz w:val="22"/>
                <w:szCs w:val="22"/>
                <w:highlight w:val="none"/>
              </w:rPr>
              <w:framePr w:vAnchor="text" w:hAnchor="page" w:x="1171" w:y="414"/>
            </w:pPr>
            <w:r>
              <w:rPr>
                <w:rFonts w:hint="eastAsia" w:ascii="宋体" w:hAnsi="宋体" w:cs="宋体"/>
                <w:b/>
                <w:bCs/>
                <w:color w:val="auto"/>
                <w:sz w:val="22"/>
                <w:szCs w:val="22"/>
                <w:highlight w:val="none"/>
                <w:lang w:bidi="ar"/>
              </w:rPr>
              <w:t xml:space="preserve">单价（元）</w:t>
            </w:r>
            <w:r>
              <w:rPr>
                <w:rFonts w:hint="eastAsia" w:ascii="宋体" w:hAnsi="宋体" w:cs="宋体"/>
                <w:b/>
                <w:bCs/>
                <w:color w:val="auto"/>
                <w:sz w:val="22"/>
                <w:szCs w:val="22"/>
                <w:highlight w:val="none"/>
              </w:rPr>
            </w:r>
            <w:r>
              <w:rPr>
                <w:color w:val="auto"/>
              </w:rPr>
            </w:r>
          </w:p>
        </w:tc>
        <w:tc>
          <w:tcPr>
            <w:gridSpan w:val="2"/>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702"/>
              <w:jc w:val="center"/>
              <w:widowControl/>
              <w:rPr>
                <w:rFonts w:hint="eastAsia" w:ascii="宋体" w:hAnsi="宋体" w:cs="宋体"/>
                <w:b/>
                <w:bCs/>
                <w:color w:val="auto"/>
                <w:sz w:val="22"/>
                <w:szCs w:val="22"/>
                <w:highlight w:val="none"/>
              </w:rPr>
              <w:framePr w:vAnchor="text" w:hAnchor="page" w:x="1171" w:y="414"/>
            </w:pPr>
            <w:r>
              <w:rPr>
                <w:rFonts w:hint="eastAsia" w:ascii="宋体" w:hAnsi="宋体" w:cs="宋体"/>
                <w:b/>
                <w:bCs/>
                <w:color w:val="auto"/>
                <w:sz w:val="22"/>
                <w:szCs w:val="22"/>
                <w:highlight w:val="none"/>
                <w:lang w:bidi="ar"/>
              </w:rPr>
              <w:t xml:space="preserve">合价</w:t>
            </w:r>
            <w:r>
              <w:rPr>
                <w:rFonts w:hint="eastAsia" w:ascii="宋体" w:hAnsi="宋体" w:cs="宋体"/>
                <w:b/>
                <w:bCs/>
                <w:color w:val="auto"/>
                <w:sz w:val="22"/>
                <w:szCs w:val="22"/>
                <w:highlight w:val="none"/>
                <w:lang w:bidi="ar"/>
              </w:rPr>
            </w:r>
            <w:r>
              <w:rPr>
                <w:color w:val="auto"/>
              </w:rPr>
            </w:r>
          </w:p>
          <w:p>
            <w:pPr>
              <w:pStyle w:val="702"/>
              <w:jc w:val="center"/>
              <w:widowControl/>
              <w:rPr>
                <w:rFonts w:hint="eastAsia" w:ascii="宋体" w:hAnsi="宋体" w:cs="宋体"/>
                <w:b/>
                <w:bCs/>
                <w:color w:val="auto"/>
                <w:sz w:val="22"/>
                <w:szCs w:val="22"/>
                <w:highlight w:val="none"/>
              </w:rPr>
              <w:framePr w:vAnchor="text" w:hAnchor="page" w:x="1171" w:y="414"/>
            </w:pPr>
            <w:r>
              <w:rPr>
                <w:rFonts w:hint="eastAsia" w:ascii="宋体" w:hAnsi="宋体" w:cs="宋体"/>
                <w:b/>
                <w:bCs/>
                <w:color w:val="auto"/>
                <w:sz w:val="22"/>
                <w:szCs w:val="22"/>
                <w:highlight w:val="none"/>
                <w:lang w:bidi="ar"/>
              </w:rPr>
              <w:t xml:space="preserve">（元）</w:t>
            </w:r>
            <w:r>
              <w:rPr>
                <w:rFonts w:hint="eastAsia" w:ascii="宋体" w:hAnsi="宋体" w:cs="宋体"/>
                <w:b/>
                <w:bCs/>
                <w:color w:val="auto"/>
                <w:sz w:val="22"/>
                <w:szCs w:val="22"/>
                <w:highlight w:val="none"/>
              </w:rPr>
            </w:r>
            <w:r>
              <w:rPr>
                <w:color w:val="auto"/>
              </w:rPr>
            </w:r>
          </w:p>
        </w:tc>
      </w:tr>
      <w:tr>
        <w:trPr>
          <w:trHeight w:val="42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pStyle w:val="702"/>
              <w:jc w:val="center"/>
              <w:widowControl/>
              <w:rPr>
                <w:rFonts w:hint="eastAsia" w:ascii="宋体" w:hAnsi="宋体" w:cs="宋体"/>
                <w:b/>
                <w:bCs/>
                <w:color w:val="auto"/>
                <w:sz w:val="22"/>
                <w:szCs w:val="22"/>
                <w:highlight w:val="none"/>
              </w:rPr>
              <w:framePr w:vAnchor="text" w:hAnchor="page" w:x="1171" w:y="414"/>
            </w:pPr>
            <w:r>
              <w:rPr>
                <w:rFonts w:hint="eastAsia" w:ascii="宋体" w:hAnsi="宋体" w:cs="宋体"/>
                <w:b/>
                <w:bCs/>
                <w:color w:val="auto"/>
                <w:sz w:val="22"/>
                <w:szCs w:val="22"/>
                <w:highlight w:val="none"/>
                <w:lang w:bidi="ar"/>
              </w:rPr>
              <w:t xml:space="preserve">一</w:t>
            </w:r>
            <w:r>
              <w:rPr>
                <w:rFonts w:hint="eastAsia" w:ascii="宋体" w:hAnsi="宋体" w:cs="宋体"/>
                <w:b/>
                <w:bCs/>
                <w:color w:val="auto"/>
                <w:sz w:val="22"/>
                <w:szCs w:val="22"/>
                <w:highlight w:val="none"/>
              </w:rPr>
            </w:r>
            <w:r>
              <w:rPr>
                <w:color w:val="auto"/>
              </w:rPr>
            </w:r>
          </w:p>
        </w:tc>
        <w:tc>
          <w:tcPr>
            <w:gridSpan w:val="2"/>
            <w:tcBorders>
              <w:top w:val="single" w:color="000000" w:sz="4" w:space="0"/>
              <w:left w:val="single" w:color="000000" w:sz="4" w:space="0"/>
              <w:bottom w:val="single" w:color="000000" w:sz="4" w:space="0"/>
              <w:right w:val="single" w:color="000000" w:sz="4" w:space="0"/>
            </w:tcBorders>
            <w:tcW w:w="1039" w:type="dxa"/>
            <w:vAlign w:val="center"/>
            <w:vMerge w:val="restart"/>
            <w:textDirection w:val="lrTb"/>
            <w:noWrap w:val="false"/>
          </w:tcPr>
          <w:p>
            <w:pPr>
              <w:pStyle w:val="702"/>
              <w:jc w:val="center"/>
              <w:widowControl/>
              <w:rPr>
                <w:rFonts w:hint="eastAsia" w:ascii="宋体" w:hAnsi="宋体" w:cs="宋体"/>
                <w:b/>
                <w:bCs/>
                <w:color w:val="auto"/>
                <w:sz w:val="20"/>
                <w:szCs w:val="20"/>
                <w:highlight w:val="none"/>
              </w:rPr>
              <w:framePr w:vAnchor="text" w:hAnchor="page" w:x="1171" w:y="414"/>
            </w:pPr>
            <w:r>
              <w:rPr>
                <w:rFonts w:hint="eastAsia" w:ascii="宋体" w:hAnsi="宋体" w:cs="宋体"/>
                <w:b/>
                <w:bCs/>
                <w:color w:val="auto"/>
                <w:sz w:val="20"/>
                <w:szCs w:val="20"/>
                <w:highlight w:val="none"/>
                <w:lang w:bidi="ar"/>
              </w:rPr>
              <w:t xml:space="preserve">调查服务</w:t>
            </w:r>
            <w:r>
              <w:rPr>
                <w:rFonts w:hint="eastAsia" w:ascii="宋体" w:hAnsi="宋体" w:cs="宋体"/>
                <w:b/>
                <w:bCs/>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254" w:type="dxa"/>
            <w:vAlign w:val="center"/>
            <w:vMerge w:val="restart"/>
            <w:textDirection w:val="lrTb"/>
            <w:noWrap w:val="false"/>
          </w:tcPr>
          <w:p>
            <w:pPr>
              <w:pStyle w:val="702"/>
              <w:jc w:val="left"/>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地质勘察、物探及地下管线探测</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086"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水文地质勘查</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trHeight w:val="42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702"/>
              <w:jc w:val="left"/>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高密度电阻法</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trHeight w:val="42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702"/>
              <w:jc w:val="left"/>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物探及地下管线探测</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trHeight w:val="42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702"/>
              <w:jc w:val="left"/>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经纬度定位</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天</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trHeight w:val="372"/>
        </w:trPr>
        <w:tc>
          <w:tcPr>
            <w:tcBorders>
              <w:top w:val="single" w:color="000000" w:sz="4" w:space="0"/>
              <w:left w:val="single" w:color="000000" w:sz="4" w:space="0"/>
              <w:bottom w:val="none" w:color="000000" w:sz="4" w:space="0"/>
              <w:right w:val="single" w:color="000000" w:sz="4" w:space="0"/>
            </w:tcBorders>
            <w:tcW w:w="525" w:type="dxa"/>
            <w:vAlign w:val="center"/>
            <w:vMerge w:val="restart"/>
            <w:textDirection w:val="lrTb"/>
            <w:noWrap w:val="false"/>
          </w:tcPr>
          <w:p>
            <w:pPr>
              <w:pStyle w:val="702"/>
              <w:jc w:val="center"/>
              <w:widowControl/>
              <w:rPr>
                <w:rFonts w:hint="eastAsia" w:ascii="宋体" w:hAnsi="宋体" w:cs="宋体"/>
                <w:b/>
                <w:bCs/>
                <w:color w:val="auto"/>
                <w:sz w:val="22"/>
                <w:szCs w:val="22"/>
                <w:highlight w:val="none"/>
              </w:rPr>
              <w:framePr w:vAnchor="text" w:hAnchor="page" w:x="1171" w:y="414"/>
            </w:pPr>
            <w:r>
              <w:rPr>
                <w:rFonts w:hint="eastAsia" w:ascii="宋体" w:hAnsi="宋体" w:cs="宋体"/>
                <w:b/>
                <w:bCs/>
                <w:color w:val="auto"/>
                <w:sz w:val="22"/>
                <w:szCs w:val="22"/>
                <w:highlight w:val="none"/>
                <w:lang w:bidi="ar"/>
              </w:rPr>
              <w:t xml:space="preserve">二</w:t>
            </w:r>
            <w:r>
              <w:rPr>
                <w:rFonts w:hint="eastAsia" w:ascii="宋体" w:hAnsi="宋体" w:cs="宋体"/>
                <w:b/>
                <w:bCs/>
                <w:color w:val="auto"/>
                <w:sz w:val="22"/>
                <w:szCs w:val="22"/>
                <w:highlight w:val="none"/>
              </w:rPr>
            </w:r>
            <w:r>
              <w:rPr>
                <w:color w:val="auto"/>
              </w:rPr>
            </w:r>
          </w:p>
        </w:tc>
        <w:tc>
          <w:tcPr>
            <w:gridSpan w:val="2"/>
            <w:tcBorders>
              <w:top w:val="single" w:color="000000" w:sz="4" w:space="0"/>
              <w:left w:val="single" w:color="000000" w:sz="4" w:space="0"/>
              <w:bottom w:val="none" w:color="000000" w:sz="4" w:space="0"/>
              <w:right w:val="single" w:color="000000" w:sz="4" w:space="0"/>
            </w:tcBorders>
            <w:tcW w:w="1039" w:type="dxa"/>
            <w:vAlign w:val="center"/>
            <w:vMerge w:val="restart"/>
            <w:textDirection w:val="lrTb"/>
            <w:noWrap w:val="false"/>
          </w:tcPr>
          <w:p>
            <w:pPr>
              <w:pStyle w:val="702"/>
              <w:jc w:val="center"/>
              <w:widowControl/>
              <w:rPr>
                <w:rFonts w:hint="eastAsia" w:ascii="宋体" w:hAnsi="宋体" w:cs="宋体"/>
                <w:b/>
                <w:bCs/>
                <w:color w:val="auto"/>
                <w:sz w:val="20"/>
                <w:szCs w:val="20"/>
                <w:highlight w:val="none"/>
              </w:rPr>
              <w:framePr w:vAnchor="text" w:hAnchor="page" w:x="1171" w:y="414"/>
            </w:pPr>
            <w:r>
              <w:rPr>
                <w:rFonts w:hint="eastAsia" w:ascii="宋体" w:hAnsi="宋体" w:cs="宋体"/>
                <w:b/>
                <w:bCs/>
                <w:color w:val="auto"/>
                <w:sz w:val="20"/>
                <w:szCs w:val="20"/>
                <w:highlight w:val="none"/>
                <w:lang w:bidi="ar"/>
              </w:rPr>
              <w:t xml:space="preserve">检测服务</w:t>
            </w:r>
            <w:r>
              <w:rPr>
                <w:rFonts w:hint="eastAsia" w:ascii="宋体" w:hAnsi="宋体" w:cs="宋体"/>
                <w:b/>
                <w:bCs/>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1254"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现场实施</w:t>
            </w:r>
            <w:r>
              <w:rPr>
                <w:rFonts w:hint="eastAsia" w:ascii="宋体" w:hAnsi="宋体" w:cs="宋体"/>
                <w:color w:val="auto"/>
                <w:sz w:val="20"/>
                <w:szCs w:val="20"/>
                <w:highlight w:val="none"/>
                <w:lang w:bidi="ar"/>
              </w:rPr>
            </w:r>
            <w:r>
              <w:rPr>
                <w:color w:val="auto"/>
              </w:rPr>
            </w:r>
          </w:p>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服务</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086"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土壤钻探采取</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米</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1380</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trHeight w:val="365"/>
        </w:trPr>
        <w:tc>
          <w:tcPr>
            <w:tcBorders>
              <w:top w:val="single" w:color="000000" w:sz="4" w:space="0"/>
              <w:left w:val="single" w:color="000000" w:sz="4" w:space="0"/>
              <w:bottom w:val="non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non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125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地下水钻探建井</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米</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562.5</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trHeight w:val="540"/>
        </w:trPr>
        <w:tc>
          <w:tcPr>
            <w:tcBorders>
              <w:top w:val="single" w:color="000000" w:sz="4" w:space="0"/>
              <w:left w:val="single" w:color="000000" w:sz="4" w:space="0"/>
              <w:bottom w:val="non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non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125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土壤样品（重金属、挥发性有机物）含量快速筛查</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天</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10</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trHeight w:val="292"/>
        </w:trPr>
        <w:tc>
          <w:tcPr>
            <w:tcBorders>
              <w:top w:val="single" w:color="000000" w:sz="4" w:space="0"/>
              <w:left w:val="single" w:color="000000" w:sz="4" w:space="0"/>
              <w:bottom w:val="non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non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125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人工及车辆（2工程师+1车）</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天</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15</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trHeight w:val="289"/>
        </w:trPr>
        <w:tc>
          <w:tcPr>
            <w:tcBorders>
              <w:top w:val="single" w:color="000000" w:sz="4" w:space="0"/>
              <w:left w:val="single" w:color="000000" w:sz="4" w:space="0"/>
              <w:bottom w:val="non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non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样品检测，</w:t>
            </w:r>
            <w:r>
              <w:rPr>
                <w:rFonts w:hint="eastAsia" w:ascii="宋体" w:hAnsi="宋体" w:cs="宋体"/>
                <w:color w:val="auto"/>
                <w:sz w:val="20"/>
                <w:szCs w:val="20"/>
                <w:highlight w:val="none"/>
                <w:lang w:bidi="ar"/>
              </w:rPr>
            </w:r>
            <w:r>
              <w:rPr>
                <w:color w:val="auto"/>
              </w:rPr>
            </w:r>
          </w:p>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含报告编制</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086" w:type="dxa"/>
            <w:vAlign w:val="center"/>
            <w:vMerge w:val="restart"/>
            <w:textDirection w:val="lrTb"/>
            <w:noWrap w:val="false"/>
          </w:tcPr>
          <w:p>
            <w:pPr>
              <w:pStyle w:val="702"/>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土壤重金属检测（7项）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个</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1380</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trHeight w:val="322"/>
        </w:trPr>
        <w:tc>
          <w:tcPr>
            <w:tcBorders>
              <w:top w:val="single" w:color="000000" w:sz="4" w:space="0"/>
              <w:left w:val="single" w:color="000000" w:sz="4" w:space="0"/>
              <w:bottom w:val="non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non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vMerge w:val="restart"/>
            <w:textDirection w:val="lrTb"/>
            <w:noWrap w:val="false"/>
          </w:tcPr>
          <w:p>
            <w:pPr>
              <w:pStyle w:val="702"/>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土壤挥发性有机物检测（27项）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val="false"/>
          </w:tcPr>
          <w:p>
            <w:pPr>
              <w:pStyle w:val="702"/>
              <w:jc w:val="center"/>
              <w:rPr>
                <w:rFonts w:hint="eastAsia" w:ascii="宋体" w:hAnsi="宋体" w:cs="宋体"/>
                <w:color w:val="ff0000"/>
                <w:sz w:val="20"/>
                <w:szCs w:val="20"/>
                <w:highlight w:val="none"/>
              </w:rPr>
              <w:framePr w:vAnchor="text" w:hAnchor="page" w:x="1171" w:y="414"/>
            </w:pPr>
            <w:r>
              <w:rPr>
                <w:rFonts w:hint="eastAsia" w:ascii="宋体" w:hAnsi="宋体" w:cs="宋体"/>
                <w:color w:val="ff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r>
      <w:tr>
        <w:trPr>
          <w:trHeight w:val="365"/>
        </w:trPr>
        <w:tc>
          <w:tcPr>
            <w:tcBorders>
              <w:top w:val="single" w:color="000000" w:sz="4" w:space="0"/>
              <w:left w:val="single" w:color="000000" w:sz="4" w:space="0"/>
              <w:bottom w:val="non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non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vMerge w:val="restart"/>
            <w:textDirection w:val="lrTb"/>
            <w:noWrap w:val="false"/>
          </w:tcPr>
          <w:p>
            <w:pPr>
              <w:pStyle w:val="702"/>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土壤半挥发性有机物检（11项）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val="false"/>
          </w:tcPr>
          <w:p>
            <w:pPr>
              <w:pStyle w:val="702"/>
              <w:jc w:val="center"/>
              <w:rPr>
                <w:rFonts w:hint="eastAsia" w:ascii="宋体" w:hAnsi="宋体" w:cs="宋体"/>
                <w:color w:val="ff0000"/>
                <w:sz w:val="20"/>
                <w:szCs w:val="20"/>
                <w:highlight w:val="none"/>
              </w:rPr>
              <w:framePr w:vAnchor="text" w:hAnchor="page" w:x="1171" w:y="414"/>
            </w:pPr>
            <w:r>
              <w:rPr>
                <w:rFonts w:hint="eastAsia" w:ascii="宋体" w:hAnsi="宋体" w:cs="宋体"/>
                <w:color w:val="ff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r>
      <w:tr>
        <w:trPr>
          <w:trHeight w:val="322"/>
        </w:trPr>
        <w:tc>
          <w:tcPr>
            <w:tcBorders>
              <w:top w:val="single" w:color="000000" w:sz="4" w:space="0"/>
              <w:left w:val="single" w:color="000000" w:sz="4" w:space="0"/>
              <w:bottom w:val="non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non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地下水重金属检测（7项）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个</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50</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trHeight w:val="333"/>
        </w:trPr>
        <w:tc>
          <w:tcPr>
            <w:tcBorders>
              <w:top w:val="single" w:color="000000" w:sz="4" w:space="0"/>
              <w:left w:val="single" w:color="000000" w:sz="4" w:space="0"/>
              <w:bottom w:val="non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non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地下水挥发性有机物检（27项）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r>
      <w:tr>
        <w:trPr>
          <w:trHeight w:val="500"/>
        </w:trPr>
        <w:tc>
          <w:tcPr>
            <w:tcBorders>
              <w:top w:val="single" w:color="000000" w:sz="4" w:space="0"/>
              <w:left w:val="single" w:color="000000" w:sz="4" w:space="0"/>
              <w:bottom w:val="non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non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地下水半挥发性有机物检测（11项）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r>
      <w:tr>
        <w:trPr>
          <w:trHeight w:val="470"/>
        </w:trPr>
        <w:tc>
          <w:tcPr>
            <w:tcBorders>
              <w:top w:val="single" w:color="000000" w:sz="4" w:space="0"/>
              <w:left w:val="single" w:color="000000" w:sz="4" w:space="0"/>
              <w:bottom w:val="none" w:color="000000" w:sz="4" w:space="0"/>
              <w:right w:val="single" w:color="000000" w:sz="4" w:space="0"/>
            </w:tcBorders>
            <w:tcW w:w="525" w:type="dxa"/>
            <w:vAlign w:val="center"/>
            <w:vMerge w:val="restart"/>
            <w:textDirection w:val="lrTb"/>
            <w:noWrap w:val="false"/>
          </w:tcPr>
          <w:p>
            <w:pPr>
              <w:pStyle w:val="702"/>
              <w:jc w:val="center"/>
              <w:widowControl/>
              <w:rPr>
                <w:rFonts w:hint="eastAsia" w:ascii="宋体" w:hAnsi="宋体" w:cs="宋体"/>
                <w:b/>
                <w:bCs/>
                <w:color w:val="auto"/>
                <w:sz w:val="22"/>
                <w:szCs w:val="22"/>
                <w:highlight w:val="none"/>
              </w:rPr>
              <w:framePr w:vAnchor="text" w:hAnchor="page" w:x="1171" w:y="414"/>
            </w:pPr>
            <w:r>
              <w:rPr>
                <w:rFonts w:hint="eastAsia" w:ascii="宋体" w:hAnsi="宋体" w:cs="宋体"/>
                <w:b/>
                <w:bCs/>
                <w:color w:val="auto"/>
                <w:sz w:val="22"/>
                <w:szCs w:val="22"/>
                <w:highlight w:val="none"/>
                <w:lang w:bidi="ar"/>
              </w:rPr>
              <w:t xml:space="preserve">三</w:t>
            </w:r>
            <w:r>
              <w:rPr>
                <w:rFonts w:hint="eastAsia" w:ascii="宋体" w:hAnsi="宋体" w:cs="宋体"/>
                <w:b/>
                <w:bCs/>
                <w:color w:val="auto"/>
                <w:sz w:val="22"/>
                <w:szCs w:val="22"/>
                <w:highlight w:val="none"/>
              </w:rPr>
            </w:r>
            <w:r>
              <w:rPr>
                <w:color w:val="auto"/>
              </w:rPr>
            </w:r>
          </w:p>
        </w:tc>
        <w:tc>
          <w:tcPr>
            <w:gridSpan w:val="2"/>
            <w:tcBorders>
              <w:top w:val="single" w:color="000000" w:sz="4" w:space="0"/>
              <w:left w:val="single" w:color="000000" w:sz="4" w:space="0"/>
              <w:bottom w:val="none" w:color="000000" w:sz="4" w:space="0"/>
              <w:right w:val="single" w:color="000000" w:sz="4" w:space="0"/>
            </w:tcBorders>
            <w:tcW w:w="1039" w:type="dxa"/>
            <w:vAlign w:val="center"/>
            <w:vMerge w:val="restart"/>
            <w:textDirection w:val="lrTb"/>
            <w:noWrap w:val="false"/>
          </w:tcPr>
          <w:p>
            <w:pPr>
              <w:pStyle w:val="702"/>
              <w:jc w:val="center"/>
              <w:widowControl/>
              <w:rPr>
                <w:rFonts w:hint="eastAsia" w:ascii="宋体" w:hAnsi="宋体" w:cs="宋体"/>
                <w:b/>
                <w:bCs/>
                <w:color w:val="auto"/>
                <w:sz w:val="20"/>
                <w:szCs w:val="20"/>
                <w:highlight w:val="none"/>
              </w:rPr>
              <w:framePr w:vAnchor="text" w:hAnchor="page" w:x="1171" w:y="414"/>
            </w:pPr>
            <w:r>
              <w:rPr>
                <w:rFonts w:hint="eastAsia" w:ascii="宋体" w:hAnsi="宋体" w:cs="宋体"/>
                <w:b/>
                <w:bCs/>
                <w:color w:val="auto"/>
                <w:sz w:val="20"/>
                <w:szCs w:val="20"/>
                <w:highlight w:val="none"/>
                <w:lang w:bidi="ar"/>
              </w:rPr>
              <w:t xml:space="preserve">风险评估</w:t>
            </w:r>
            <w:r>
              <w:rPr>
                <w:rFonts w:hint="eastAsia" w:ascii="宋体" w:hAnsi="宋体" w:cs="宋体"/>
                <w:b/>
                <w:bCs/>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风险评估</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3086" w:type="dxa"/>
            <w:vAlign w:val="center"/>
            <w:textDirection w:val="lrTb"/>
            <w:noWrap w:val="false"/>
          </w:tcPr>
          <w:p>
            <w:pPr>
              <w:pStyle w:val="702"/>
              <w:numPr>
                <w:ilvl w:val="0"/>
                <w:numId w:val="3"/>
              </w:numPr>
              <w:jc w:val="left"/>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资料收集、现场踏勘</w:t>
            </w:r>
            <w:r>
              <w:rPr>
                <w:rFonts w:hint="eastAsia" w:ascii="宋体" w:hAnsi="宋体" w:cs="宋体"/>
                <w:color w:val="auto"/>
                <w:sz w:val="20"/>
                <w:szCs w:val="20"/>
                <w:highlight w:val="none"/>
                <w:lang w:bidi="ar"/>
              </w:rPr>
            </w:r>
            <w:r>
              <w:rPr>
                <w:color w:val="auto"/>
              </w:rPr>
            </w:r>
          </w:p>
          <w:p>
            <w:pPr>
              <w:pStyle w:val="702"/>
              <w:jc w:val="left"/>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2、人员访谈</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66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750"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88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none" w:color="000000" w:sz="4" w:space="0"/>
              <w:right w:val="single" w:color="000000" w:sz="4" w:space="0"/>
            </w:tcBorders>
            <w:tcW w:w="87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trHeight w:val="325"/>
        </w:trPr>
        <w:tc>
          <w:tcPr>
            <w:tcBorders>
              <w:top w:val="single" w:color="000000" w:sz="4" w:space="0"/>
              <w:left w:val="single" w:color="000000" w:sz="4" w:space="0"/>
              <w:bottom w:val="non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non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技术服务</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pStyle w:val="702"/>
              <w:jc w:val="left"/>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创建地块概念模型</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66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750"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none" w:color="000000" w:sz="4" w:space="0"/>
              <w:right w:val="single" w:color="000000" w:sz="4" w:space="0"/>
            </w:tcBorders>
            <w:tcW w:w="87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trHeight w:val="403"/>
        </w:trPr>
        <w:tc>
          <w:tcPr>
            <w:tcBorders>
              <w:top w:val="single" w:color="000000" w:sz="4" w:space="0"/>
              <w:left w:val="single" w:color="000000" w:sz="4" w:space="0"/>
              <w:bottom w:val="non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non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报告编制</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pStyle w:val="702"/>
              <w:jc w:val="left"/>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风险评估报告，专家评审</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66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750"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none" w:color="000000" w:sz="4" w:space="0"/>
              <w:right w:val="single" w:color="000000" w:sz="4" w:space="0"/>
            </w:tcBorders>
            <w:tcW w:w="87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trHeight w:val="711"/>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pStyle w:val="702"/>
              <w:jc w:val="center"/>
              <w:widowControl/>
              <w:rPr>
                <w:rFonts w:hint="eastAsia" w:ascii="宋体" w:hAnsi="宋体" w:cs="宋体"/>
                <w:b/>
                <w:bCs/>
                <w:color w:val="auto"/>
                <w:sz w:val="22"/>
                <w:szCs w:val="22"/>
                <w:highlight w:val="none"/>
              </w:rPr>
              <w:framePr w:vAnchor="text" w:hAnchor="page" w:x="1171" w:y="414"/>
            </w:pPr>
            <w:r>
              <w:rPr>
                <w:rFonts w:hint="eastAsia" w:ascii="宋体" w:hAnsi="宋体" w:cs="宋体"/>
                <w:b/>
                <w:bCs/>
                <w:color w:val="auto"/>
                <w:sz w:val="22"/>
                <w:szCs w:val="22"/>
                <w:highlight w:val="none"/>
                <w:lang w:bidi="ar"/>
              </w:rPr>
              <w:t xml:space="preserve">四</w:t>
            </w:r>
            <w:r>
              <w:rPr>
                <w:rFonts w:hint="eastAsia" w:ascii="宋体" w:hAnsi="宋体" w:cs="宋体"/>
                <w:b/>
                <w:bCs/>
                <w:color w:val="auto"/>
                <w:sz w:val="22"/>
                <w:szCs w:val="22"/>
                <w:highlight w:val="none"/>
              </w:rPr>
            </w:r>
            <w:r>
              <w:rPr>
                <w:color w:val="auto"/>
              </w:rPr>
            </w:r>
          </w:p>
        </w:tc>
        <w:tc>
          <w:tcPr>
            <w:gridSpan w:val="2"/>
            <w:tcBorders>
              <w:top w:val="single" w:color="000000" w:sz="4" w:space="0"/>
              <w:left w:val="single" w:color="000000" w:sz="4" w:space="0"/>
              <w:bottom w:val="single" w:color="000000" w:sz="4" w:space="0"/>
              <w:right w:val="single" w:color="000000" w:sz="4" w:space="0"/>
            </w:tcBorders>
            <w:tcW w:w="1039" w:type="dxa"/>
            <w:vAlign w:val="center"/>
            <w:vMerge w:val="restart"/>
            <w:textDirection w:val="lrTb"/>
            <w:noWrap w:val="false"/>
          </w:tcPr>
          <w:p>
            <w:pPr>
              <w:pStyle w:val="702"/>
              <w:jc w:val="center"/>
              <w:widowControl/>
              <w:rPr>
                <w:rFonts w:hint="eastAsia" w:ascii="宋体" w:hAnsi="宋体" w:cs="宋体"/>
                <w:b/>
                <w:bCs/>
                <w:color w:val="auto"/>
                <w:sz w:val="20"/>
                <w:szCs w:val="20"/>
                <w:highlight w:val="none"/>
              </w:rPr>
              <w:framePr w:vAnchor="text" w:hAnchor="page" w:x="1171" w:y="414"/>
            </w:pPr>
            <w:r>
              <w:rPr>
                <w:rFonts w:hint="eastAsia" w:ascii="宋体" w:hAnsi="宋体" w:cs="宋体"/>
                <w:b/>
                <w:bCs/>
                <w:color w:val="auto"/>
                <w:sz w:val="20"/>
                <w:szCs w:val="20"/>
                <w:highlight w:val="none"/>
                <w:lang w:bidi="ar"/>
              </w:rPr>
              <w:t xml:space="preserve">制度性管控</w:t>
            </w:r>
            <w:r>
              <w:rPr>
                <w:rFonts w:hint="eastAsia" w:ascii="宋体" w:hAnsi="宋体" w:cs="宋体"/>
                <w:b/>
                <w:bCs/>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管控方案编制</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3086" w:type="dxa"/>
            <w:vAlign w:val="center"/>
            <w:textDirection w:val="lrTb"/>
            <w:noWrap w:val="false"/>
          </w:tcPr>
          <w:p>
            <w:pPr>
              <w:pStyle w:val="702"/>
              <w:jc w:val="left"/>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1、编制修复方案</w:t>
            </w:r>
            <w:r>
              <w:rPr>
                <w:rFonts w:hint="eastAsia" w:ascii="宋体" w:hAnsi="宋体" w:cs="宋体"/>
                <w:color w:val="auto"/>
                <w:sz w:val="20"/>
                <w:szCs w:val="20"/>
                <w:highlight w:val="none"/>
                <w:lang w:bidi="ar"/>
              </w:rPr>
            </w:r>
            <w:r>
              <w:rPr>
                <w:color w:val="auto"/>
              </w:rPr>
            </w:r>
          </w:p>
          <w:p>
            <w:pPr>
              <w:pStyle w:val="702"/>
              <w:jc w:val="left"/>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2、含资料收集、现场踏勘、报告编制、专家评审等</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66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750"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88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none" w:color="000000" w:sz="4" w:space="0"/>
              <w:right w:val="single" w:color="000000" w:sz="4" w:space="0"/>
            </w:tcBorders>
            <w:tcW w:w="87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trHeight w:val="1414"/>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围挡建设</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pStyle w:val="702"/>
              <w:jc w:val="left"/>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1、40m旧彩钢板围栏拆除、重新安装；</w:t>
            </w:r>
            <w:r>
              <w:rPr>
                <w:rFonts w:hint="eastAsia" w:ascii="宋体" w:hAnsi="宋体" w:cs="宋体"/>
                <w:color w:val="auto"/>
                <w:sz w:val="20"/>
                <w:szCs w:val="20"/>
                <w:highlight w:val="none"/>
                <w:lang w:bidi="ar"/>
              </w:rPr>
            </w:r>
            <w:r>
              <w:rPr>
                <w:color w:val="auto"/>
              </w:rPr>
            </w:r>
          </w:p>
          <w:p>
            <w:pPr>
              <w:pStyle w:val="702"/>
              <w:jc w:val="left"/>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2、新建围挡188.2m；</w:t>
            </w:r>
            <w:r>
              <w:rPr>
                <w:rFonts w:hint="eastAsia" w:ascii="宋体" w:hAnsi="宋体" w:cs="宋体"/>
                <w:color w:val="auto"/>
                <w:sz w:val="20"/>
                <w:szCs w:val="20"/>
                <w:highlight w:val="none"/>
                <w:lang w:bidi="ar"/>
              </w:rPr>
            </w:r>
            <w:r>
              <w:rPr>
                <w:color w:val="auto"/>
              </w:rPr>
            </w:r>
          </w:p>
          <w:p>
            <w:pPr>
              <w:pStyle w:val="702"/>
              <w:jc w:val="left"/>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3、含主材、辅材、运输、制作、安装等</w:t>
            </w:r>
            <w:r>
              <w:rPr>
                <w:rFonts w:hint="eastAsia" w:ascii="宋体" w:hAnsi="宋体" w:cs="宋体"/>
                <w:color w:val="auto"/>
                <w:sz w:val="20"/>
                <w:szCs w:val="20"/>
                <w:highlight w:val="none"/>
                <w:lang w:bidi="ar"/>
              </w:rPr>
            </w:r>
            <w:r>
              <w:rPr>
                <w:color w:val="auto"/>
              </w:rPr>
            </w:r>
          </w:p>
          <w:p>
            <w:pPr>
              <w:pStyle w:val="726"/>
              <w:ind w:left="0" w:firstLine="0"/>
              <w:rPr>
                <w:color w:val="auto"/>
                <w:highlight w:val="none"/>
              </w:rPr>
              <w:framePr w:vAnchor="text" w:hAnchor="page" w:x="1171" w:y="414"/>
            </w:pPr>
            <w:r>
              <w:rPr>
                <w:rFonts w:hint="eastAsia"/>
                <w:color w:val="auto"/>
                <w:highlight w:val="none"/>
                <w:lang w:val="en-US"/>
              </w:rPr>
              <w:t xml:space="preserve">详见采购需求</w:t>
            </w:r>
            <w:r>
              <w:rPr>
                <w:color w:val="auto"/>
                <w:highlight w:val="none"/>
                <w:lang w:val="en-US"/>
              </w:rPr>
            </w:r>
            <w:r>
              <w:rPr>
                <w:color w:val="auto"/>
              </w:rPr>
            </w:r>
          </w:p>
        </w:tc>
        <w:tc>
          <w:tcPr>
            <w:tcBorders>
              <w:top w:val="single" w:color="000000" w:sz="4" w:space="0"/>
              <w:left w:val="single" w:color="000000" w:sz="4" w:space="0"/>
              <w:bottom w:val="none" w:color="000000" w:sz="4" w:space="0"/>
              <w:right w:val="single" w:color="000000" w:sz="4" w:space="0"/>
            </w:tcBorders>
            <w:tcW w:w="66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750"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none" w:color="000000" w:sz="4" w:space="0"/>
              <w:right w:val="single" w:color="000000" w:sz="4" w:space="0"/>
            </w:tcBorders>
            <w:tcW w:w="87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trHeight w:val="554"/>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标识制作</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pStyle w:val="702"/>
              <w:jc w:val="left"/>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根据建设方要求制作、安装风险管控标识、信息公告标牌等</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66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750"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trHeight w:val="5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定期巡查</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3086" w:type="dxa"/>
            <w:vAlign w:val="center"/>
            <w:textDirection w:val="lrTb"/>
            <w:noWrap w:val="false"/>
          </w:tcPr>
          <w:p>
            <w:pPr>
              <w:pStyle w:val="702"/>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定期巡查（1年），每月不少于5次</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66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750"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88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none" w:color="000000" w:sz="4" w:space="0"/>
              <w:right w:val="single" w:color="000000" w:sz="4" w:space="0"/>
            </w:tcBorders>
            <w:tcW w:w="87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trHeight w:val="360"/>
        </w:trPr>
        <w:tc>
          <w:tcPr>
            <w:tcBorders>
              <w:top w:val="single" w:color="000000" w:sz="4" w:space="0"/>
              <w:left w:val="single" w:color="000000" w:sz="4" w:space="0"/>
              <w:bottom w:val="none" w:color="000000" w:sz="4" w:space="0"/>
              <w:right w:val="single" w:color="000000" w:sz="4" w:space="0"/>
            </w:tcBorders>
            <w:tcW w:w="525" w:type="dxa"/>
            <w:vAlign w:val="center"/>
            <w:vMerge w:val="restart"/>
            <w:textDirection w:val="lrTb"/>
            <w:noWrap w:val="false"/>
          </w:tcPr>
          <w:p>
            <w:pPr>
              <w:pStyle w:val="702"/>
              <w:jc w:val="center"/>
              <w:widowControl/>
              <w:rPr>
                <w:rFonts w:hint="eastAsia" w:ascii="宋体" w:hAnsi="宋体" w:cs="宋体"/>
                <w:b/>
                <w:bCs/>
                <w:color w:val="auto"/>
                <w:sz w:val="22"/>
                <w:szCs w:val="22"/>
                <w:highlight w:val="none"/>
              </w:rPr>
              <w:framePr w:vAnchor="text" w:hAnchor="page" w:x="1171" w:y="414"/>
            </w:pPr>
            <w:r>
              <w:rPr>
                <w:rFonts w:hint="eastAsia" w:ascii="宋体" w:hAnsi="宋体" w:cs="宋体"/>
                <w:b/>
                <w:bCs/>
                <w:color w:val="auto"/>
                <w:sz w:val="22"/>
                <w:szCs w:val="22"/>
                <w:highlight w:val="none"/>
                <w:lang w:bidi="ar"/>
              </w:rPr>
              <w:t xml:space="preserve">五</w:t>
            </w:r>
            <w:r>
              <w:rPr>
                <w:rFonts w:hint="eastAsia" w:ascii="宋体" w:hAnsi="宋体" w:cs="宋体"/>
                <w:b/>
                <w:bCs/>
                <w:color w:val="auto"/>
                <w:sz w:val="22"/>
                <w:szCs w:val="22"/>
                <w:highlight w:val="none"/>
              </w:rPr>
            </w:r>
            <w:r>
              <w:rPr>
                <w:color w:val="auto"/>
              </w:rPr>
            </w:r>
          </w:p>
        </w:tc>
        <w:tc>
          <w:tcPr>
            <w:gridSpan w:val="2"/>
            <w:tcBorders>
              <w:top w:val="single" w:color="000000" w:sz="4" w:space="0"/>
              <w:left w:val="single" w:color="000000" w:sz="4" w:space="0"/>
              <w:bottom w:val="none" w:color="000000" w:sz="4" w:space="0"/>
              <w:right w:val="single" w:color="000000" w:sz="4" w:space="0"/>
            </w:tcBorders>
            <w:tcW w:w="1039" w:type="dxa"/>
            <w:vAlign w:val="center"/>
            <w:vMerge w:val="restart"/>
            <w:textDirection w:val="lrTb"/>
            <w:noWrap w:val="false"/>
          </w:tcPr>
          <w:p>
            <w:pPr>
              <w:pStyle w:val="702"/>
              <w:jc w:val="center"/>
              <w:widowControl/>
              <w:rPr>
                <w:rFonts w:hint="eastAsia" w:ascii="宋体" w:hAnsi="宋体" w:cs="宋体"/>
                <w:b/>
                <w:bCs/>
                <w:color w:val="auto"/>
                <w:sz w:val="20"/>
                <w:szCs w:val="20"/>
                <w:highlight w:val="none"/>
              </w:rPr>
              <w:framePr w:vAnchor="text" w:hAnchor="page" w:x="1171" w:y="414"/>
            </w:pPr>
            <w:r>
              <w:rPr>
                <w:rFonts w:hint="eastAsia" w:ascii="宋体" w:hAnsi="宋体" w:cs="宋体"/>
                <w:b/>
                <w:bCs/>
                <w:color w:val="auto"/>
                <w:sz w:val="20"/>
                <w:szCs w:val="20"/>
                <w:highlight w:val="none"/>
                <w:lang w:bidi="ar"/>
              </w:rPr>
              <w:t xml:space="preserve">长期监测服务</w:t>
            </w:r>
            <w:r>
              <w:rPr>
                <w:rFonts w:hint="eastAsia" w:ascii="宋体" w:hAnsi="宋体" w:cs="宋体"/>
                <w:b/>
                <w:bCs/>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1254"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现场实施</w:t>
            </w:r>
            <w:r>
              <w:rPr>
                <w:rFonts w:hint="eastAsia" w:ascii="宋体" w:hAnsi="宋体" w:cs="宋体"/>
                <w:color w:val="auto"/>
                <w:sz w:val="20"/>
                <w:szCs w:val="20"/>
                <w:highlight w:val="none"/>
                <w:lang w:bidi="ar"/>
              </w:rPr>
            </w:r>
            <w:r>
              <w:rPr>
                <w:color w:val="auto"/>
              </w:rPr>
            </w:r>
          </w:p>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服务</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086"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土壤钻探采取</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米</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100</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trHeight w:val="376"/>
        </w:trPr>
        <w:tc>
          <w:tcPr>
            <w:tcBorders>
              <w:top w:val="single" w:color="000000" w:sz="4" w:space="0"/>
              <w:left w:val="single" w:color="000000" w:sz="4" w:space="0"/>
              <w:bottom w:val="non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non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125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地下水钻探建井</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米</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100</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trHeight w:val="540"/>
        </w:trPr>
        <w:tc>
          <w:tcPr>
            <w:tcBorders>
              <w:top w:val="single" w:color="000000" w:sz="4" w:space="0"/>
              <w:left w:val="single" w:color="000000" w:sz="4" w:space="0"/>
              <w:bottom w:val="non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non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125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土壤样品（重金属、挥发性有机物）含量快速筛查</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天</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trHeight w:val="420"/>
        </w:trPr>
        <w:tc>
          <w:tcPr>
            <w:tcBorders>
              <w:top w:val="single" w:color="000000" w:sz="4" w:space="0"/>
              <w:left w:val="single" w:color="000000" w:sz="4" w:space="0"/>
              <w:bottom w:val="non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non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125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人工及车辆（2工程师+1车）</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天</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4</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trHeight w:val="440"/>
        </w:trPr>
        <w:tc>
          <w:tcPr>
            <w:tcBorders>
              <w:top w:val="single" w:color="000000" w:sz="4" w:space="0"/>
              <w:left w:val="single" w:color="000000" w:sz="4" w:space="0"/>
              <w:bottom w:val="non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non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样品检测，</w:t>
            </w:r>
            <w:r>
              <w:rPr>
                <w:rFonts w:hint="eastAsia" w:ascii="宋体" w:hAnsi="宋体" w:cs="宋体"/>
                <w:color w:val="auto"/>
                <w:sz w:val="20"/>
                <w:szCs w:val="20"/>
                <w:highlight w:val="none"/>
                <w:lang w:bidi="ar"/>
              </w:rPr>
            </w:r>
            <w:r>
              <w:rPr>
                <w:color w:val="auto"/>
              </w:rPr>
            </w:r>
          </w:p>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含报告编制</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086"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土壤重金属检测（7项）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个</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100</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trHeight w:val="440"/>
        </w:trPr>
        <w:tc>
          <w:tcPr>
            <w:tcBorders>
              <w:top w:val="single" w:color="000000" w:sz="4" w:space="0"/>
              <w:left w:val="single" w:color="000000" w:sz="4" w:space="0"/>
              <w:bottom w:val="non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non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土壤挥发性有机物检测（27项）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val="false"/>
          </w:tcPr>
          <w:p>
            <w:pPr>
              <w:pStyle w:val="702"/>
              <w:jc w:val="center"/>
              <w:rPr>
                <w:rFonts w:hint="eastAsia" w:ascii="宋体" w:hAnsi="宋体" w:cs="宋体"/>
                <w:color w:val="ff0000"/>
                <w:sz w:val="20"/>
                <w:szCs w:val="20"/>
                <w:highlight w:val="none"/>
              </w:rPr>
              <w:framePr w:vAnchor="text" w:hAnchor="page" w:x="1171" w:y="414"/>
            </w:pPr>
            <w:r>
              <w:rPr>
                <w:rFonts w:hint="eastAsia" w:ascii="宋体" w:hAnsi="宋体" w:cs="宋体"/>
                <w:color w:val="ff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r>
      <w:tr>
        <w:trPr>
          <w:trHeight w:val="440"/>
        </w:trPr>
        <w:tc>
          <w:tcPr>
            <w:tcBorders>
              <w:top w:val="single" w:color="000000" w:sz="4" w:space="0"/>
              <w:left w:val="single" w:color="000000" w:sz="4" w:space="0"/>
              <w:bottom w:val="non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non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土壤半挥发性有机物检（11项）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val="false"/>
          </w:tcPr>
          <w:p>
            <w:pPr>
              <w:pStyle w:val="702"/>
              <w:jc w:val="center"/>
              <w:rPr>
                <w:rFonts w:hint="eastAsia" w:ascii="宋体" w:hAnsi="宋体" w:cs="宋体"/>
                <w:color w:val="ff0000"/>
                <w:sz w:val="20"/>
                <w:szCs w:val="20"/>
                <w:highlight w:val="none"/>
              </w:rPr>
              <w:framePr w:vAnchor="text" w:hAnchor="page" w:x="1171" w:y="414"/>
            </w:pPr>
            <w:r>
              <w:rPr>
                <w:rFonts w:hint="eastAsia" w:ascii="宋体" w:hAnsi="宋体" w:cs="宋体"/>
                <w:color w:val="ff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r>
      <w:tr>
        <w:trPr>
          <w:trHeight w:val="440"/>
        </w:trPr>
        <w:tc>
          <w:tcPr>
            <w:tcBorders>
              <w:top w:val="single" w:color="000000" w:sz="4" w:space="0"/>
              <w:left w:val="single" w:color="000000" w:sz="4" w:space="0"/>
              <w:bottom w:val="non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non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地下水重金属检测（7项）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个</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44</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trHeight w:val="440"/>
        </w:trPr>
        <w:tc>
          <w:tcPr>
            <w:tcBorders>
              <w:top w:val="single" w:color="000000" w:sz="4" w:space="0"/>
              <w:left w:val="single" w:color="000000" w:sz="4" w:space="0"/>
              <w:bottom w:val="non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non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vMerge w:val="restart"/>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地下水挥发性有机物检（27项）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pStyle w:val="702"/>
              <w:jc w:val="center"/>
              <w:rPr>
                <w:rFonts w:hint="eastAsia" w:ascii="宋体" w:hAnsi="宋体" w:cs="宋体"/>
                <w:b/>
                <w:bCs/>
                <w:color w:val="000000"/>
                <w:sz w:val="22"/>
                <w:szCs w:val="22"/>
                <w:highlight w:val="none"/>
              </w:rPr>
              <w:framePr w:vAnchor="text" w:hAnchor="page" w:x="1171" w:y="414"/>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702"/>
              <w:jc w:val="center"/>
              <w:rPr>
                <w:rFonts w:hint="eastAsia" w:ascii="宋体" w:hAnsi="宋体" w:cs="宋体"/>
                <w:b/>
                <w:bCs/>
                <w:color w:val="000000"/>
                <w:sz w:val="20"/>
                <w:szCs w:val="20"/>
                <w:highlight w:val="none"/>
              </w:rPr>
              <w:framePr w:vAnchor="text" w:hAnchor="page" w:x="1171" w:y="414"/>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t xml:space="preserve">地下水半挥发性有机物检测（11项）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702"/>
              <w:jc w:val="center"/>
              <w:rPr>
                <w:rFonts w:hint="eastAsia" w:ascii="宋体" w:hAnsi="宋体" w:cs="宋体"/>
                <w:color w:val="000000"/>
                <w:sz w:val="20"/>
                <w:szCs w:val="20"/>
                <w:highlight w:val="none"/>
              </w:rPr>
              <w:framePr w:vAnchor="text" w:hAnchor="page" w:x="1171" w:y="414"/>
            </w:pPr>
            <w:r>
              <w:rPr>
                <w:rFonts w:hint="eastAsia" w:ascii="宋体" w:hAnsi="宋体" w:cs="宋体"/>
                <w:color w:val="000000"/>
                <w:sz w:val="20"/>
                <w:szCs w:val="20"/>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702"/>
              <w:jc w:val="center"/>
              <w:rPr>
                <w:rFonts w:hint="eastAsia" w:ascii="宋体" w:hAnsi="宋体" w:eastAsia="宋体" w:cs="宋体"/>
                <w:b/>
                <w:bCs/>
                <w:color w:val="auto"/>
                <w:sz w:val="22"/>
                <w:szCs w:val="22"/>
                <w:highlight w:val="none"/>
              </w:rPr>
              <w:framePr w:vAnchor="text" w:hAnchor="page" w:x="1171" w:y="414"/>
            </w:pPr>
            <w:r>
              <w:rPr>
                <w:rFonts w:hint="eastAsia" w:ascii="宋体" w:hAnsi="宋体" w:cs="宋体"/>
                <w:b/>
                <w:bCs/>
                <w:color w:val="auto"/>
                <w:sz w:val="22"/>
                <w:szCs w:val="22"/>
                <w:highlight w:val="none"/>
                <w:lang w:val="en-US" w:eastAsia="zh-CN"/>
              </w:rPr>
              <w:t xml:space="preserve">六</w:t>
            </w:r>
            <w:r>
              <w:rPr>
                <w:rFonts w:hint="eastAsia" w:ascii="宋体" w:hAnsi="宋体" w:eastAsia="宋体" w:cs="宋体"/>
                <w:b/>
                <w:bCs/>
                <w:color w:val="auto"/>
                <w:sz w:val="22"/>
                <w:szCs w:val="22"/>
                <w:highlight w:val="none"/>
                <w:lang w:val="en-US" w:eastAsia="zh-CN"/>
              </w:rPr>
            </w:r>
            <w:r>
              <w:rPr>
                <w:color w:val="auto"/>
              </w:rPr>
            </w:r>
          </w:p>
        </w:tc>
        <w:tc>
          <w:tcPr>
            <w:gridSpan w:val="2"/>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02"/>
              <w:jc w:val="center"/>
              <w:rPr>
                <w:rFonts w:hint="eastAsia" w:ascii="宋体" w:hAnsi="宋体" w:eastAsia="宋体" w:cs="宋体"/>
                <w:b/>
                <w:bCs/>
                <w:color w:val="auto"/>
                <w:sz w:val="20"/>
                <w:szCs w:val="20"/>
                <w:highlight w:val="none"/>
              </w:rPr>
              <w:framePr w:vAnchor="text" w:hAnchor="page" w:x="1171" w:y="414"/>
            </w:pPr>
            <w:r>
              <w:rPr>
                <w:rFonts w:hint="eastAsia" w:ascii="宋体" w:hAnsi="宋体" w:cs="宋体"/>
                <w:b/>
                <w:bCs/>
                <w:color w:val="auto"/>
                <w:sz w:val="20"/>
                <w:szCs w:val="20"/>
                <w:highlight w:val="none"/>
                <w:lang w:eastAsia="zh-CN"/>
              </w:rPr>
              <w:t xml:space="preserve">……</w:t>
            </w:r>
            <w:r>
              <w:rPr>
                <w:rFonts w:hint="eastAsia" w:ascii="宋体" w:hAnsi="宋体" w:eastAsia="宋体" w:cs="宋体"/>
                <w:b/>
                <w:bCs/>
                <w:color w:val="auto"/>
                <w:sz w:val="20"/>
                <w:szCs w:val="20"/>
                <w:highlight w:val="none"/>
                <w:lang w:eastAsia="zh-CN"/>
              </w:rPr>
            </w:r>
            <w:r>
              <w:rPr>
                <w:color w:val="auto"/>
              </w:rP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pStyle w:val="702"/>
              <w:jc w:val="center"/>
              <w:widowControl/>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lang w:bidi="ar"/>
              </w:rPr>
            </w:r>
            <w:r>
              <w:rPr>
                <w:color w:val="auto"/>
              </w:rP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c>
          <w:tcPr>
            <w:gridSpan w:val="2"/>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702"/>
              <w:jc w:val="center"/>
              <w:rPr>
                <w:rFonts w:hint="eastAsia" w:ascii="宋体" w:hAnsi="宋体" w:cs="宋体"/>
                <w:color w:val="auto"/>
                <w:sz w:val="20"/>
                <w:szCs w:val="20"/>
                <w:highlight w:val="none"/>
              </w:rPr>
              <w:framePr w:vAnchor="text" w:hAnchor="page" w:x="1171" w:y="414"/>
            </w:pPr>
            <w:r>
              <w:rPr>
                <w:rFonts w:hint="eastAsia" w:ascii="宋体" w:hAnsi="宋体" w:cs="宋体"/>
                <w:color w:val="auto"/>
                <w:sz w:val="20"/>
                <w:szCs w:val="20"/>
                <w:highlight w:val="none"/>
              </w:rPr>
            </w:r>
            <w:r>
              <w:rPr>
                <w:color w:val="auto"/>
              </w:rPr>
            </w:r>
          </w:p>
        </w:tc>
      </w:tr>
      <w:tr>
        <w:trPr>
          <w:cantSplit/>
          <w:gridAfter w:val="1"/>
          <w:trHeight w:val="491"/>
        </w:trPr>
        <w:tc>
          <w:tcPr>
            <w:gridSpan w:val="9"/>
            <w:tcW w:w="9084" w:type="dxa"/>
            <w:vAlign w:val="top"/>
            <w:textDirection w:val="lrTb"/>
            <w:noWrap w:val="false"/>
          </w:tcPr>
          <w:p>
            <w:pPr>
              <w:pStyle w:val="702"/>
              <w:spacing w:line="320" w:lineRule="exact"/>
              <w:rPr>
                <w:rFonts w:hint="eastAsia" w:ascii="宋体" w:hAnsi="宋体"/>
                <w:b/>
                <w:color w:val="auto"/>
                <w:spacing w:val="20"/>
                <w:szCs w:val="21"/>
                <w:highlight w:val="none"/>
              </w:rPr>
            </w:pPr>
            <w:r>
              <w:rPr>
                <w:rFonts w:hint="eastAsia" w:ascii="宋体" w:hAnsi="宋体"/>
                <w:bCs/>
                <w:color w:val="auto"/>
                <w:spacing w:val="20"/>
                <w:szCs w:val="21"/>
                <w:highlight w:val="none"/>
              </w:rPr>
              <w:t xml:space="preserve">合计金额</w:t>
            </w:r>
            <w:r>
              <w:rPr>
                <w:rFonts w:ascii="宋体" w:hAnsi="宋体"/>
                <w:bCs/>
                <w:color w:val="auto"/>
                <w:spacing w:val="20"/>
                <w:szCs w:val="21"/>
                <w:highlight w:val="none"/>
              </w:rPr>
              <w:t xml:space="preserve">（人民币大写）：</w:t>
            </w:r>
            <w:r>
              <w:rPr>
                <w:rFonts w:hint="eastAsia" w:ascii="宋体" w:hAnsi="宋体"/>
                <w:bCs/>
                <w:color w:val="auto"/>
                <w:spacing w:val="20"/>
                <w:szCs w:val="21"/>
                <w:highlight w:val="none"/>
              </w:rPr>
              <w:t xml:space="preserve">                 </w:t>
            </w:r>
            <w:r>
              <w:rPr>
                <w:rFonts w:hint="eastAsia" w:ascii="宋体" w:hAnsi="宋体"/>
                <w:b/>
                <w:color w:val="auto"/>
                <w:spacing w:val="20"/>
                <w:szCs w:val="21"/>
                <w:highlight w:val="none"/>
              </w:rPr>
            </w:r>
            <w:r>
              <w:rPr>
                <w:color w:val="auto"/>
              </w:rPr>
            </w:r>
          </w:p>
        </w:tc>
      </w:tr>
    </w:tbl>
    <w:p>
      <w:pPr>
        <w:pStyle w:val="702"/>
        <w:rPr>
          <w:color w:val="auto"/>
          <w:highlight w:val="none"/>
        </w:rPr>
      </w:pPr>
      <w:r>
        <w:rPr>
          <w:color w:val="auto"/>
          <w:highlight w:val="none"/>
          <w:lang w:val="zh-CN"/>
        </w:rPr>
      </w:r>
      <w:r>
        <w:rPr>
          <w:color w:val="auto"/>
        </w:rPr>
      </w:r>
    </w:p>
    <w:p>
      <w:pPr>
        <w:pStyle w:val="715"/>
        <w:ind w:firstLine="420"/>
        <w:rPr>
          <w:color w:val="auto"/>
          <w:sz w:val="21"/>
          <w:szCs w:val="21"/>
          <w:highlight w:val="none"/>
        </w:rPr>
      </w:pPr>
      <w:r>
        <w:rPr>
          <w:color w:val="auto"/>
          <w:sz w:val="21"/>
          <w:szCs w:val="21"/>
          <w:highlight w:val="none"/>
          <w:lang w:val="zh-CN"/>
        </w:rPr>
      </w:r>
      <w:r>
        <w:rPr>
          <w:color w:val="auto"/>
        </w:rPr>
      </w:r>
    </w:p>
    <w:p>
      <w:pPr>
        <w:pStyle w:val="754"/>
        <w:spacing w:beforeAutospacing="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投标人：（单位盖章）</w:t>
      </w:r>
      <w:r>
        <w:rPr>
          <w:rFonts w:hint="eastAsia" w:ascii="宋体" w:hAnsi="宋体" w:cs="宋体"/>
          <w:color w:val="auto"/>
          <w:sz w:val="21"/>
          <w:szCs w:val="21"/>
          <w:highlight w:val="none"/>
        </w:rPr>
      </w:r>
      <w:r>
        <w:rPr>
          <w:color w:val="auto"/>
        </w:rPr>
      </w:r>
    </w:p>
    <w:p>
      <w:pPr>
        <w:pStyle w:val="754"/>
        <w:spacing w:beforeAutospacing="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法定代表人或委托代理人（签字或签章）:</w:t>
      </w:r>
      <w:r>
        <w:rPr>
          <w:rFonts w:hint="eastAsia" w:ascii="宋体" w:hAnsi="宋体" w:cs="宋体"/>
          <w:color w:val="auto"/>
          <w:sz w:val="21"/>
          <w:szCs w:val="21"/>
          <w:highlight w:val="none"/>
        </w:rPr>
      </w:r>
      <w:r>
        <w:rPr>
          <w:color w:val="auto"/>
        </w:rPr>
      </w:r>
    </w:p>
    <w:p>
      <w:pPr>
        <w:pStyle w:val="740"/>
        <w:spacing w:line="360" w:lineRule="auto"/>
        <w:rPr>
          <w:color w:val="auto"/>
          <w:szCs w:val="21"/>
          <w:highlight w:val="none"/>
        </w:rPr>
      </w:pPr>
      <w:r>
        <w:rPr>
          <w:rFonts w:hint="eastAsia"/>
          <w:color w:val="auto"/>
          <w:szCs w:val="21"/>
          <w:highlight w:val="none"/>
        </w:rPr>
        <w:t xml:space="preserve">日期：</w:t>
      </w:r>
      <w:r>
        <w:rPr>
          <w:color w:val="auto"/>
          <w:szCs w:val="21"/>
          <w:highlight w:val="none"/>
        </w:rPr>
      </w:r>
      <w:r>
        <w:rPr>
          <w:color w:val="auto"/>
        </w:rPr>
      </w:r>
    </w:p>
    <w:p>
      <w:pPr>
        <w:pStyle w:val="740"/>
        <w:spacing w:line="360" w:lineRule="auto"/>
        <w:rPr>
          <w:color w:val="auto"/>
          <w:szCs w:val="21"/>
          <w:highlight w:val="none"/>
        </w:rPr>
      </w:pPr>
      <w:r>
        <w:rPr>
          <w:color w:val="auto"/>
          <w:szCs w:val="21"/>
          <w:highlight w:val="none"/>
        </w:rPr>
      </w:r>
      <w:r>
        <w:rPr>
          <w:color w:val="auto"/>
        </w:rPr>
      </w:r>
    </w:p>
    <w:p>
      <w:pPr>
        <w:pStyle w:val="740"/>
        <w:spacing w:line="360" w:lineRule="auto"/>
        <w:rPr>
          <w:color w:val="auto"/>
          <w:szCs w:val="21"/>
          <w:highlight w:val="none"/>
        </w:rPr>
      </w:pPr>
      <w:r>
        <w:rPr>
          <w:color w:val="auto"/>
          <w:szCs w:val="21"/>
          <w:highlight w:val="none"/>
        </w:rPr>
      </w:r>
      <w:r>
        <w:rPr>
          <w:color w:val="auto"/>
        </w:rPr>
      </w:r>
    </w:p>
    <w:p>
      <w:pPr>
        <w:pStyle w:val="754"/>
        <w:spacing w:beforeAutospacing="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注：1、投标单位可参照上述格式自制《投标报价明细表》投标，但项目内容不得少于上表中内容，且须逐项列清（现已列明内容不得调整，若发现调整，中标后仍按照本清单内容计算）。</w:t>
      </w:r>
      <w:r>
        <w:rPr>
          <w:rFonts w:hint="eastAsia" w:ascii="宋体" w:hAnsi="宋体" w:cs="宋体"/>
          <w:color w:val="auto"/>
          <w:sz w:val="21"/>
          <w:szCs w:val="21"/>
          <w:highlight w:val="none"/>
        </w:rPr>
      </w:r>
      <w:r>
        <w:rPr>
          <w:color w:val="auto"/>
        </w:rPr>
      </w:r>
    </w:p>
    <w:p>
      <w:pPr>
        <w:pStyle w:val="754"/>
        <w:ind w:firstLine="420"/>
        <w:spacing w:beforeAutospacing="0" w:afterAutospacing="0" w:line="360" w:lineRule="auto"/>
        <w:widowControl/>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2、合计金额与“开标一览表”中投标总价应一致。否则视为无效投标。</w:t>
      </w:r>
      <w:r>
        <w:rPr>
          <w:rFonts w:hint="eastAsia" w:ascii="宋体" w:hAnsi="宋体" w:cs="宋体"/>
          <w:b/>
          <w:color w:val="auto"/>
          <w:sz w:val="21"/>
          <w:szCs w:val="21"/>
          <w:highlight w:val="none"/>
          <w:lang w:val="zh-CN"/>
        </w:rPr>
      </w:r>
      <w:r>
        <w:rPr>
          <w:color w:val="auto"/>
        </w:rPr>
      </w:r>
    </w:p>
    <w:p>
      <w:pPr>
        <w:pStyle w:val="702"/>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zh-CN"/>
        </w:rPr>
      </w:r>
      <w:r>
        <w:rPr>
          <w:color w:val="auto"/>
        </w:rPr>
      </w:r>
    </w:p>
    <w:p>
      <w:pPr>
        <w:pStyle w:val="702"/>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zh-CN"/>
        </w:rPr>
      </w:r>
      <w:r>
        <w:rPr>
          <w:color w:val="auto"/>
        </w:rPr>
      </w:r>
    </w:p>
    <w:p>
      <w:pPr>
        <w:pStyle w:val="715"/>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r>
      <w:r>
        <w:rPr>
          <w:color w:val="auto"/>
        </w:rPr>
      </w:r>
    </w:p>
    <w:p>
      <w:pPr>
        <w:pStyle w:val="702"/>
        <w:rPr>
          <w:rFonts w:hint="eastAsia" w:ascii="宋体" w:hAnsi="宋体" w:cs="宋体"/>
          <w:b/>
          <w:color w:val="auto"/>
          <w:szCs w:val="21"/>
          <w:highlight w:val="none"/>
        </w:rPr>
      </w:pPr>
      <w:r>
        <w:rPr>
          <w:rFonts w:hint="eastAsia" w:ascii="宋体" w:hAnsi="宋体" w:cs="宋体"/>
          <w:b/>
          <w:color w:val="auto"/>
          <w:szCs w:val="21"/>
          <w:highlight w:val="none"/>
          <w:lang w:val="zh-CN"/>
        </w:rPr>
      </w:r>
      <w:r>
        <w:rPr>
          <w:color w:val="auto"/>
        </w:rPr>
      </w:r>
    </w:p>
    <w:p>
      <w:pPr>
        <w:pStyle w:val="715"/>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r>
      <w:r>
        <w:rPr>
          <w:color w:val="auto"/>
        </w:rPr>
      </w:r>
    </w:p>
    <w:p>
      <w:pPr>
        <w:pStyle w:val="702"/>
        <w:rPr>
          <w:rFonts w:hint="eastAsia" w:ascii="宋体" w:hAnsi="宋体" w:cs="宋体"/>
          <w:b/>
          <w:color w:val="auto"/>
          <w:szCs w:val="21"/>
          <w:highlight w:val="none"/>
        </w:rPr>
      </w:pPr>
      <w:r>
        <w:rPr>
          <w:rFonts w:hint="eastAsia" w:ascii="宋体" w:hAnsi="宋体" w:cs="宋体"/>
          <w:b/>
          <w:color w:val="auto"/>
          <w:szCs w:val="21"/>
          <w:highlight w:val="none"/>
          <w:lang w:val="zh-CN"/>
        </w:rPr>
      </w:r>
      <w:r>
        <w:rPr>
          <w:color w:val="auto"/>
        </w:rPr>
      </w:r>
    </w:p>
    <w:p>
      <w:pPr>
        <w:pStyle w:val="715"/>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r>
      <w:r>
        <w:rPr>
          <w:color w:val="auto"/>
        </w:rPr>
      </w:r>
    </w:p>
    <w:p>
      <w:pPr>
        <w:pStyle w:val="702"/>
        <w:rPr>
          <w:rFonts w:hint="eastAsia" w:ascii="宋体" w:hAnsi="宋体" w:cs="宋体"/>
          <w:b/>
          <w:color w:val="auto"/>
          <w:szCs w:val="21"/>
          <w:highlight w:val="none"/>
        </w:rPr>
      </w:pPr>
      <w:r>
        <w:rPr>
          <w:rFonts w:hint="eastAsia" w:ascii="宋体" w:hAnsi="宋体" w:cs="宋体"/>
          <w:b/>
          <w:color w:val="auto"/>
          <w:szCs w:val="21"/>
          <w:highlight w:val="none"/>
          <w:lang w:val="zh-CN"/>
        </w:rPr>
      </w:r>
      <w:r>
        <w:rPr>
          <w:color w:val="auto"/>
        </w:rPr>
      </w:r>
    </w:p>
    <w:p>
      <w:pPr>
        <w:pStyle w:val="715"/>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r>
      <w:r>
        <w:rPr>
          <w:color w:val="auto"/>
        </w:rPr>
      </w:r>
    </w:p>
    <w:p>
      <w:pPr>
        <w:pStyle w:val="702"/>
        <w:rPr>
          <w:rFonts w:hint="eastAsia" w:ascii="宋体" w:hAnsi="宋体" w:cs="宋体"/>
          <w:b/>
          <w:color w:val="auto"/>
          <w:szCs w:val="21"/>
          <w:highlight w:val="none"/>
        </w:rPr>
      </w:pPr>
      <w:r>
        <w:rPr>
          <w:rFonts w:hint="eastAsia" w:ascii="宋体" w:hAnsi="宋体" w:cs="宋体"/>
          <w:b/>
          <w:color w:val="auto"/>
          <w:szCs w:val="21"/>
          <w:highlight w:val="none"/>
          <w:lang w:val="zh-CN"/>
        </w:rPr>
      </w:r>
      <w:r>
        <w:rPr>
          <w:color w:val="auto"/>
        </w:rPr>
      </w:r>
    </w:p>
    <w:p>
      <w:pPr>
        <w:pStyle w:val="715"/>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r>
      <w:r>
        <w:rPr>
          <w:color w:val="auto"/>
        </w:rPr>
      </w:r>
    </w:p>
    <w:p>
      <w:pPr>
        <w:pStyle w:val="702"/>
        <w:rPr>
          <w:rFonts w:hint="eastAsia" w:ascii="宋体" w:hAnsi="宋体" w:cs="宋体"/>
          <w:b/>
          <w:color w:val="auto"/>
          <w:szCs w:val="21"/>
          <w:highlight w:val="none"/>
        </w:rPr>
      </w:pPr>
      <w:r>
        <w:rPr>
          <w:rFonts w:hint="eastAsia" w:ascii="宋体" w:hAnsi="宋体" w:cs="宋体"/>
          <w:b/>
          <w:color w:val="auto"/>
          <w:szCs w:val="21"/>
          <w:highlight w:val="none"/>
          <w:lang w:val="zh-CN"/>
        </w:rPr>
      </w:r>
      <w:r>
        <w:rPr>
          <w:color w:val="auto"/>
        </w:rPr>
      </w:r>
    </w:p>
    <w:p>
      <w:pPr>
        <w:pStyle w:val="715"/>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r>
      <w:r>
        <w:rPr>
          <w:color w:val="auto"/>
        </w:rPr>
      </w:r>
    </w:p>
    <w:p>
      <w:pPr>
        <w:pStyle w:val="702"/>
        <w:rPr>
          <w:rFonts w:hint="eastAsia" w:ascii="宋体" w:hAnsi="宋体" w:cs="宋体"/>
          <w:b/>
          <w:color w:val="auto"/>
          <w:szCs w:val="21"/>
          <w:highlight w:val="none"/>
        </w:rPr>
      </w:pPr>
      <w:r>
        <w:rPr>
          <w:rFonts w:hint="eastAsia" w:ascii="宋体" w:hAnsi="宋体" w:cs="宋体"/>
          <w:b/>
          <w:color w:val="auto"/>
          <w:szCs w:val="21"/>
          <w:highlight w:val="none"/>
          <w:lang w:val="zh-CN"/>
        </w:rPr>
      </w:r>
      <w:r>
        <w:rPr>
          <w:color w:val="auto"/>
        </w:rPr>
      </w:r>
    </w:p>
    <w:p>
      <w:pPr>
        <w:pStyle w:val="715"/>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r>
      <w:r>
        <w:rPr>
          <w:color w:val="auto"/>
        </w:rPr>
      </w:r>
    </w:p>
    <w:p>
      <w:pPr>
        <w:pStyle w:val="702"/>
        <w:rPr>
          <w:rFonts w:hint="eastAsia" w:ascii="宋体" w:hAnsi="宋体" w:cs="宋体"/>
          <w:b/>
          <w:color w:val="auto"/>
          <w:szCs w:val="21"/>
          <w:highlight w:val="none"/>
        </w:rPr>
      </w:pPr>
      <w:r>
        <w:rPr>
          <w:rFonts w:hint="eastAsia" w:ascii="宋体" w:hAnsi="宋体" w:cs="宋体"/>
          <w:b/>
          <w:color w:val="auto"/>
          <w:szCs w:val="21"/>
          <w:highlight w:val="none"/>
          <w:lang w:val="zh-CN"/>
        </w:rPr>
      </w:r>
      <w:r>
        <w:rPr>
          <w:color w:val="auto"/>
        </w:rPr>
      </w:r>
    </w:p>
    <w:p>
      <w:pPr>
        <w:pStyle w:val="715"/>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r>
      <w:r>
        <w:rPr>
          <w:color w:val="auto"/>
        </w:rPr>
      </w:r>
    </w:p>
    <w:p>
      <w:pPr>
        <w:pStyle w:val="702"/>
        <w:rPr>
          <w:rFonts w:hint="eastAsia" w:ascii="宋体" w:hAnsi="宋体" w:cs="宋体"/>
          <w:b/>
          <w:color w:val="auto"/>
          <w:szCs w:val="21"/>
          <w:highlight w:val="none"/>
        </w:rPr>
      </w:pPr>
      <w:r>
        <w:rPr>
          <w:rFonts w:hint="eastAsia" w:ascii="宋体" w:hAnsi="宋体" w:cs="宋体"/>
          <w:b/>
          <w:color w:val="auto"/>
          <w:szCs w:val="21"/>
          <w:highlight w:val="none"/>
          <w:lang w:val="zh-CN"/>
        </w:rPr>
      </w:r>
      <w:r>
        <w:rPr>
          <w:color w:val="auto"/>
        </w:rPr>
      </w:r>
    </w:p>
    <w:p>
      <w:pPr>
        <w:pStyle w:val="715"/>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r>
      <w:r>
        <w:rPr>
          <w:color w:val="auto"/>
        </w:rPr>
      </w:r>
    </w:p>
    <w:p>
      <w:pPr>
        <w:pStyle w:val="702"/>
        <w:rPr>
          <w:rFonts w:hint="eastAsia" w:ascii="宋体" w:hAnsi="宋体" w:cs="宋体"/>
          <w:b/>
          <w:color w:val="auto"/>
          <w:szCs w:val="21"/>
          <w:highlight w:val="none"/>
        </w:rPr>
      </w:pPr>
      <w:r>
        <w:rPr>
          <w:rFonts w:hint="eastAsia" w:ascii="宋体" w:hAnsi="宋体" w:cs="宋体"/>
          <w:b/>
          <w:color w:val="auto"/>
          <w:szCs w:val="21"/>
          <w:highlight w:val="none"/>
          <w:lang w:val="zh-CN"/>
        </w:rPr>
      </w:r>
      <w:r>
        <w:rPr>
          <w:color w:val="auto"/>
        </w:rPr>
      </w:r>
    </w:p>
    <w:p>
      <w:pPr>
        <w:pStyle w:val="916"/>
        <w:spacing w:line="360" w:lineRule="auto"/>
        <w:rPr>
          <w:rFonts w:hint="eastAsia" w:hAnsi="宋体" w:eastAsia="宋体" w:cs="宋体"/>
          <w:b/>
          <w:color w:val="auto"/>
          <w:sz w:val="21"/>
          <w:szCs w:val="21"/>
          <w:highlight w:val="none"/>
        </w:rPr>
      </w:pPr>
      <w:r>
        <w:rPr>
          <w:rFonts w:hint="eastAsia" w:hAnsi="宋体" w:eastAsia="宋体" w:cs="宋体"/>
          <w:b/>
          <w:color w:val="auto"/>
          <w:sz w:val="21"/>
          <w:szCs w:val="21"/>
          <w:highlight w:val="none"/>
        </w:rPr>
        <w:t xml:space="preserve">附件6：项目组人员配备一览表</w:t>
      </w:r>
      <w:r>
        <w:rPr>
          <w:rFonts w:hint="eastAsia" w:hAnsi="宋体" w:eastAsia="宋体" w:cs="宋体"/>
          <w:b/>
          <w:color w:val="auto"/>
          <w:sz w:val="21"/>
          <w:szCs w:val="21"/>
          <w:highlight w:val="none"/>
        </w:rPr>
      </w:r>
      <w:r>
        <w:rPr>
          <w:color w:val="auto"/>
        </w:rPr>
      </w:r>
    </w:p>
    <w:p>
      <w:pPr>
        <w:pStyle w:val="908"/>
        <w:ind w:firstLine="0"/>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项目组人员配备一览表</w:t>
      </w:r>
      <w:r>
        <w:rPr>
          <w:rFonts w:hint="eastAsia" w:ascii="宋体" w:hAnsi="宋体" w:eastAsia="宋体" w:cs="宋体"/>
          <w:b/>
          <w:color w:val="auto"/>
          <w:sz w:val="21"/>
          <w:szCs w:val="21"/>
          <w:highlight w:val="none"/>
        </w:rPr>
      </w:r>
      <w:r>
        <w:rPr>
          <w:color w:val="auto"/>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779"/>
        <w:gridCol w:w="783"/>
        <w:gridCol w:w="722"/>
        <w:gridCol w:w="765"/>
        <w:gridCol w:w="725"/>
        <w:gridCol w:w="1271"/>
        <w:gridCol w:w="1180"/>
        <w:gridCol w:w="1368"/>
      </w:tblGrid>
      <w:tr>
        <w:trPr>
          <w:trHeight w:val="851"/>
        </w:trPr>
        <w:tc>
          <w:tcPr>
            <w:tcW w:w="720"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rPr>
                <w:rFonts w:hint="eastAsia" w:ascii="宋体" w:hAnsi="宋体" w:cs="宋体"/>
                <w:color w:val="auto"/>
                <w:sz w:val="21"/>
                <w:szCs w:val="21"/>
                <w:highlight w:val="none"/>
              </w:rPr>
            </w:r>
            <w:r>
              <w:rPr>
                <w:color w:val="auto"/>
              </w:rPr>
            </w:r>
          </w:p>
        </w:tc>
        <w:tc>
          <w:tcPr>
            <w:tcW w:w="1779"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项目组所任职务</w:t>
            </w:r>
            <w:r>
              <w:rPr>
                <w:rFonts w:hint="eastAsia" w:ascii="宋体" w:hAnsi="宋体" w:cs="宋体"/>
                <w:color w:val="auto"/>
                <w:sz w:val="21"/>
                <w:szCs w:val="21"/>
                <w:highlight w:val="none"/>
              </w:rPr>
            </w:r>
            <w:r>
              <w:rPr>
                <w:color w:val="auto"/>
              </w:rPr>
            </w:r>
          </w:p>
        </w:tc>
        <w:tc>
          <w:tcPr>
            <w:tcW w:w="783"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姓名</w:t>
            </w:r>
            <w:r>
              <w:rPr>
                <w:rFonts w:hint="eastAsia" w:ascii="宋体" w:hAnsi="宋体" w:cs="宋体"/>
                <w:color w:val="auto"/>
                <w:sz w:val="21"/>
                <w:szCs w:val="21"/>
                <w:highlight w:val="none"/>
              </w:rPr>
            </w:r>
            <w:r>
              <w:rPr>
                <w:color w:val="auto"/>
              </w:rPr>
            </w:r>
          </w:p>
        </w:tc>
        <w:tc>
          <w:tcPr>
            <w:tcW w:w="722"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性别</w:t>
            </w:r>
            <w:r>
              <w:rPr>
                <w:rFonts w:hint="eastAsia" w:ascii="宋体" w:hAnsi="宋体" w:cs="宋体"/>
                <w:color w:val="auto"/>
                <w:sz w:val="21"/>
                <w:szCs w:val="21"/>
                <w:highlight w:val="none"/>
              </w:rPr>
            </w:r>
            <w:r>
              <w:rPr>
                <w:color w:val="auto"/>
              </w:rPr>
            </w:r>
          </w:p>
        </w:tc>
        <w:tc>
          <w:tcPr>
            <w:tcW w:w="765"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年龄</w:t>
            </w:r>
            <w:r>
              <w:rPr>
                <w:rFonts w:hint="eastAsia" w:ascii="宋体" w:hAnsi="宋体" w:cs="宋体"/>
                <w:color w:val="auto"/>
                <w:sz w:val="21"/>
                <w:szCs w:val="21"/>
                <w:highlight w:val="none"/>
              </w:rPr>
            </w:r>
            <w:r>
              <w:rPr>
                <w:color w:val="auto"/>
              </w:rPr>
            </w:r>
          </w:p>
        </w:tc>
        <w:tc>
          <w:tcPr>
            <w:tcW w:w="725"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职称</w:t>
            </w:r>
            <w:r>
              <w:rPr>
                <w:rFonts w:hint="eastAsia" w:ascii="宋体" w:hAnsi="宋体" w:cs="宋体"/>
                <w:color w:val="auto"/>
                <w:sz w:val="21"/>
                <w:szCs w:val="21"/>
                <w:highlight w:val="none"/>
              </w:rPr>
            </w:r>
            <w:r>
              <w:rPr>
                <w:color w:val="auto"/>
              </w:rPr>
            </w:r>
          </w:p>
        </w:tc>
        <w:tc>
          <w:tcPr>
            <w:tcW w:w="1271"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专业/资格</w:t>
            </w:r>
            <w:r>
              <w:rPr>
                <w:rFonts w:hint="eastAsia" w:ascii="宋体" w:hAnsi="宋体" w:cs="宋体"/>
                <w:color w:val="auto"/>
                <w:sz w:val="21"/>
                <w:szCs w:val="21"/>
                <w:highlight w:val="none"/>
              </w:rPr>
            </w:r>
            <w:r>
              <w:rPr>
                <w:color w:val="auto"/>
              </w:rPr>
            </w:r>
          </w:p>
        </w:tc>
        <w:tc>
          <w:tcPr>
            <w:tcW w:w="1180"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从事本工作时间</w:t>
            </w:r>
            <w:r>
              <w:rPr>
                <w:rFonts w:hint="eastAsia" w:ascii="宋体" w:hAnsi="宋体" w:cs="宋体"/>
                <w:color w:val="auto"/>
                <w:sz w:val="21"/>
                <w:szCs w:val="21"/>
                <w:highlight w:val="none"/>
              </w:rPr>
            </w:r>
            <w:r>
              <w:rPr>
                <w:color w:val="auto"/>
              </w:rPr>
            </w:r>
          </w:p>
        </w:tc>
        <w:tc>
          <w:tcPr>
            <w:tcW w:w="1368"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典型业务</w:t>
            </w:r>
            <w:r>
              <w:rPr>
                <w:rFonts w:hint="eastAsia" w:ascii="宋体" w:hAnsi="宋体" w:cs="宋体"/>
                <w:color w:val="auto"/>
                <w:sz w:val="21"/>
                <w:szCs w:val="21"/>
                <w:highlight w:val="none"/>
              </w:rPr>
            </w:r>
            <w:r>
              <w:rPr>
                <w:color w:val="auto"/>
              </w:rPr>
            </w:r>
          </w:p>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与技术专长</w:t>
            </w:r>
            <w:r>
              <w:rPr>
                <w:rFonts w:hint="eastAsia" w:ascii="宋体" w:hAnsi="宋体" w:cs="宋体"/>
                <w:color w:val="auto"/>
                <w:sz w:val="21"/>
                <w:szCs w:val="21"/>
                <w:highlight w:val="none"/>
              </w:rPr>
            </w:r>
            <w:r>
              <w:rPr>
                <w:color w:val="auto"/>
              </w:rPr>
            </w:r>
          </w:p>
        </w:tc>
      </w:tr>
      <w:tr>
        <w:trPr>
          <w:trHeight w:val="567"/>
        </w:trPr>
        <w:tc>
          <w:tcPr>
            <w:tcW w:w="720"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rPr>
            </w:r>
            <w:r>
              <w:rPr>
                <w:color w:val="auto"/>
              </w:rPr>
            </w:r>
          </w:p>
        </w:tc>
        <w:tc>
          <w:tcPr>
            <w:tcW w:w="1779"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83"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22"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65"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25"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1271"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1180"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1368"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r>
      <w:tr>
        <w:trPr>
          <w:trHeight w:val="567"/>
        </w:trPr>
        <w:tc>
          <w:tcPr>
            <w:tcW w:w="720"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rPr>
            </w:r>
            <w:r>
              <w:rPr>
                <w:color w:val="auto"/>
              </w:rPr>
            </w:r>
          </w:p>
        </w:tc>
        <w:tc>
          <w:tcPr>
            <w:tcW w:w="1779"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83"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22"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65"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25"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1271"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1180"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1368"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r>
      <w:tr>
        <w:trPr>
          <w:trHeight w:val="567"/>
        </w:trPr>
        <w:tc>
          <w:tcPr>
            <w:tcW w:w="720"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rPr>
            </w:r>
            <w:r>
              <w:rPr>
                <w:color w:val="auto"/>
              </w:rPr>
            </w:r>
          </w:p>
        </w:tc>
        <w:tc>
          <w:tcPr>
            <w:tcW w:w="1779"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83"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22"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65"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25"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1271"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1180"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1368"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r>
      <w:tr>
        <w:trPr>
          <w:trHeight w:val="567"/>
        </w:trPr>
        <w:tc>
          <w:tcPr>
            <w:tcW w:w="720"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rPr>
            </w:r>
            <w:r>
              <w:rPr>
                <w:color w:val="auto"/>
              </w:rPr>
            </w:r>
          </w:p>
        </w:tc>
        <w:tc>
          <w:tcPr>
            <w:tcW w:w="1779"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83"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22"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65"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25"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1271"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1180"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1368"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r>
      <w:tr>
        <w:trPr>
          <w:trHeight w:val="567"/>
        </w:trPr>
        <w:tc>
          <w:tcPr>
            <w:tcW w:w="720"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rPr>
            </w:r>
            <w:r>
              <w:rPr>
                <w:color w:val="auto"/>
              </w:rPr>
            </w:r>
          </w:p>
        </w:tc>
        <w:tc>
          <w:tcPr>
            <w:tcW w:w="1779"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83"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22"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65"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25"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1271"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1180"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1368"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r>
      <w:tr>
        <w:trPr>
          <w:trHeight w:val="567"/>
        </w:trPr>
        <w:tc>
          <w:tcPr>
            <w:tcW w:w="720"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rPr>
            </w:r>
            <w:r>
              <w:rPr>
                <w:color w:val="auto"/>
              </w:rPr>
            </w:r>
          </w:p>
        </w:tc>
        <w:tc>
          <w:tcPr>
            <w:tcW w:w="1779"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83"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22"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65"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725"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1271"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1180"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c>
          <w:tcPr>
            <w:tcW w:w="1368" w:type="dxa"/>
            <w:vAlign w:val="center"/>
            <w:textDirection w:val="lrTb"/>
            <w:noWrap w:val="false"/>
          </w:tcPr>
          <w:p>
            <w:pPr>
              <w:pStyle w:val="9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tc>
      </w:tr>
      <w:tr>
        <w:trPr>
          <w:trHeight w:val="567"/>
        </w:trPr>
        <w:tc>
          <w:tcPr>
            <w:tcW w:w="720" w:type="dxa"/>
            <w:vAlign w:val="top"/>
            <w:textDirection w:val="lrTb"/>
            <w:noWrap w:val="false"/>
          </w:tcPr>
          <w:p>
            <w:pPr>
              <w:pStyle w:val="702"/>
              <w:ind w:firstLine="10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rPr>
            </w:r>
            <w:r>
              <w:rPr>
                <w:color w:val="auto"/>
              </w:rPr>
            </w:r>
          </w:p>
        </w:tc>
        <w:tc>
          <w:tcPr>
            <w:tcW w:w="1779" w:type="dxa"/>
            <w:vAlign w:val="top"/>
            <w:textDirection w:val="lrTb"/>
            <w:noWrap w:val="false"/>
          </w:tcPr>
          <w:p>
            <w:pPr>
              <w:pStyle w:val="70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783" w:type="dxa"/>
            <w:vAlign w:val="top"/>
            <w:textDirection w:val="lrTb"/>
            <w:noWrap w:val="false"/>
          </w:tcPr>
          <w:p>
            <w:pPr>
              <w:pStyle w:val="70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722" w:type="dxa"/>
            <w:vAlign w:val="top"/>
            <w:textDirection w:val="lrTb"/>
            <w:noWrap w:val="false"/>
          </w:tcPr>
          <w:p>
            <w:pPr>
              <w:pStyle w:val="70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765" w:type="dxa"/>
            <w:vAlign w:val="top"/>
            <w:textDirection w:val="lrTb"/>
            <w:noWrap w:val="false"/>
          </w:tcPr>
          <w:p>
            <w:pPr>
              <w:pStyle w:val="70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725" w:type="dxa"/>
            <w:vAlign w:val="top"/>
            <w:textDirection w:val="lrTb"/>
            <w:noWrap w:val="false"/>
          </w:tcPr>
          <w:p>
            <w:pPr>
              <w:pStyle w:val="70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271" w:type="dxa"/>
            <w:vAlign w:val="top"/>
            <w:textDirection w:val="lrTb"/>
            <w:noWrap w:val="false"/>
          </w:tcPr>
          <w:p>
            <w:pPr>
              <w:pStyle w:val="70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180" w:type="dxa"/>
            <w:vAlign w:val="top"/>
            <w:textDirection w:val="lrTb"/>
            <w:noWrap w:val="false"/>
          </w:tcPr>
          <w:p>
            <w:pPr>
              <w:pStyle w:val="70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368" w:type="dxa"/>
            <w:vAlign w:val="top"/>
            <w:textDirection w:val="lrTb"/>
            <w:noWrap w:val="false"/>
          </w:tcPr>
          <w:p>
            <w:pPr>
              <w:pStyle w:val="70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bl>
    <w:p>
      <w:pPr>
        <w:pStyle w:val="702"/>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p>
      <w:pPr>
        <w:pStyle w:val="954"/>
        <w:spacing w:line="360" w:lineRule="auto"/>
        <w:rPr>
          <w:rFonts w:hint="eastAsia" w:hAnsi="宋体" w:cs="宋体"/>
          <w:color w:val="auto"/>
          <w:szCs w:val="21"/>
          <w:highlight w:val="none"/>
        </w:rPr>
      </w:pPr>
      <w:r>
        <w:rPr>
          <w:rFonts w:hint="eastAsia" w:hAnsi="宋体" w:cs="宋体"/>
          <w:color w:val="auto"/>
          <w:szCs w:val="21"/>
          <w:highlight w:val="none"/>
        </w:rPr>
        <w:t xml:space="preserve">投标单位：（单位盖章）</w:t>
      </w:r>
      <w:r>
        <w:rPr>
          <w:rFonts w:hint="eastAsia" w:hAnsi="宋体" w:cs="宋体"/>
          <w:color w:val="auto"/>
          <w:szCs w:val="21"/>
          <w:highlight w:val="none"/>
        </w:rPr>
      </w:r>
      <w:r>
        <w:rPr>
          <w:color w:val="auto"/>
        </w:rPr>
      </w:r>
    </w:p>
    <w:p>
      <w:pPr>
        <w:pStyle w:val="954"/>
        <w:spacing w:line="360" w:lineRule="auto"/>
        <w:rPr>
          <w:rFonts w:hint="eastAsia" w:hAnsi="宋体" w:cs="宋体"/>
          <w:color w:val="auto"/>
          <w:szCs w:val="21"/>
          <w:highlight w:val="none"/>
        </w:rPr>
      </w:pPr>
      <w:r>
        <w:rPr>
          <w:rFonts w:hint="eastAsia" w:hAnsi="宋体" w:cs="宋体"/>
          <w:color w:val="auto"/>
          <w:szCs w:val="21"/>
          <w:highlight w:val="none"/>
        </w:rPr>
        <w:t xml:space="preserve">法定代表人（负责人）或代理人：（签字或盖章）</w:t>
      </w:r>
      <w:r>
        <w:rPr>
          <w:rFonts w:hint="eastAsia" w:hAnsi="宋体" w:cs="宋体"/>
          <w:color w:val="auto"/>
          <w:szCs w:val="21"/>
          <w:highlight w:val="none"/>
        </w:rPr>
      </w:r>
      <w:r>
        <w:rPr>
          <w:color w:val="auto"/>
        </w:rPr>
      </w:r>
    </w:p>
    <w:p>
      <w:pPr>
        <w:pStyle w:val="70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rPr>
          <w:rFonts w:hint="eastAsia" w:ascii="宋体" w:hAnsi="宋体" w:cs="宋体"/>
          <w:color w:val="auto"/>
          <w:szCs w:val="21"/>
          <w:highlight w:val="none"/>
        </w:rPr>
      </w:r>
      <w:r>
        <w:rPr>
          <w:color w:val="auto"/>
        </w:rPr>
      </w:r>
    </w:p>
    <w:p>
      <w:pPr>
        <w:pStyle w:val="702"/>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p>
      <w:pPr>
        <w:pStyle w:val="702"/>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p>
    <w:p>
      <w:pPr>
        <w:pStyle w:val="898"/>
        <w:spacing w:line="480" w:lineRule="exact"/>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br w:type="page" w:clear="all"/>
      </w:r>
      <w:r>
        <w:rPr>
          <w:rFonts w:hint="eastAsia" w:ascii="宋体" w:hAnsi="宋体" w:cs="宋体"/>
          <w:color w:val="auto"/>
          <w:sz w:val="21"/>
          <w:szCs w:val="21"/>
          <w:highlight w:val="none"/>
        </w:rPr>
        <w:t xml:space="preserve">附件7：技术服务要求偏离表</w:t>
      </w:r>
      <w:r>
        <w:rPr>
          <w:rFonts w:hint="eastAsia" w:ascii="宋体" w:hAnsi="宋体" w:cs="宋体"/>
          <w:b w:val="0"/>
          <w:color w:val="auto"/>
          <w:sz w:val="21"/>
          <w:szCs w:val="21"/>
          <w:highlight w:val="none"/>
          <w:lang w:val="zh-CN"/>
        </w:rPr>
      </w:r>
      <w:r>
        <w:rPr>
          <w:color w:val="auto"/>
        </w:rPr>
      </w:r>
    </w:p>
    <w:p>
      <w:pPr>
        <w:pStyle w:val="702"/>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技术服务要求偏离表</w:t>
      </w:r>
      <w:r>
        <w:rPr>
          <w:rFonts w:hint="eastAsia" w:ascii="宋体" w:hAnsi="宋体" w:cs="宋体"/>
          <w:b/>
          <w:color w:val="auto"/>
          <w:szCs w:val="21"/>
          <w:highlight w:val="none"/>
        </w:rPr>
      </w:r>
      <w:r>
        <w:rPr>
          <w:color w:val="auto"/>
        </w:rPr>
      </w:r>
    </w:p>
    <w:p>
      <w:pPr>
        <w:pStyle w:val="702"/>
        <w:rPr>
          <w:rFonts w:hint="eastAsia" w:ascii="宋体" w:hAnsi="宋体" w:cs="宋体"/>
          <w:color w:val="auto"/>
          <w:szCs w:val="21"/>
          <w:highlight w:val="none"/>
        </w:rPr>
      </w:pPr>
      <w:r>
        <w:rPr>
          <w:rFonts w:hint="eastAsia" w:ascii="宋体" w:hAnsi="宋体" w:cs="宋体"/>
          <w:color w:val="auto"/>
          <w:szCs w:val="21"/>
          <w:highlight w:val="none"/>
        </w:rPr>
        <w:t xml:space="preserve">单位名称（盖章）：</w:t>
      </w:r>
      <w:r>
        <w:rPr>
          <w:rFonts w:hint="eastAsia" w:ascii="宋体" w:hAnsi="宋体" w:cs="宋体"/>
          <w:color w:val="auto"/>
          <w:szCs w:val="21"/>
          <w:highlight w:val="none"/>
        </w:rPr>
      </w:r>
      <w:r>
        <w:rPr>
          <w:color w:val="auto"/>
        </w:rPr>
      </w:r>
    </w:p>
    <w:tbl>
      <w:tblPr>
        <w:tblW w:w="0" w:type="auto"/>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702"/>
              <w:jc w:val="center"/>
              <w:spacing w:before="240" w:after="240"/>
              <w:rPr>
                <w:rFonts w:hint="eastAsia" w:ascii="宋体" w:hAnsi="宋体" w:cs="宋体"/>
                <w:color w:val="auto"/>
                <w:szCs w:val="21"/>
                <w:highlight w:val="none"/>
              </w:rPr>
            </w:pPr>
            <w:r>
              <w:rPr>
                <w:rFonts w:hint="eastAsia" w:ascii="宋体" w:hAnsi="宋体" w:cs="宋体"/>
                <w:color w:val="auto"/>
                <w:szCs w:val="21"/>
                <w:highlight w:val="none"/>
              </w:rPr>
              <w:t xml:space="preserve">序号</w:t>
            </w:r>
            <w:r>
              <w:rPr>
                <w:rFonts w:hint="eastAsia" w:ascii="宋体" w:hAnsi="宋体" w:cs="宋体"/>
                <w:color w:val="auto"/>
                <w:szCs w:val="21"/>
                <w:highlight w:val="none"/>
              </w:rPr>
            </w:r>
            <w:r>
              <w:rPr>
                <w:color w:val="auto"/>
              </w:rPr>
            </w:r>
          </w:p>
        </w:tc>
        <w:tc>
          <w:tcPr>
            <w:tcW w:w="1800" w:type="dxa"/>
            <w:vAlign w:val="center"/>
            <w:textDirection w:val="lrTb"/>
            <w:noWrap w:val="false"/>
          </w:tcPr>
          <w:p>
            <w:pPr>
              <w:pStyle w:val="702"/>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rPr>
            </w:r>
            <w:r>
              <w:rPr>
                <w:color w:val="auto"/>
              </w:rPr>
            </w:r>
          </w:p>
        </w:tc>
        <w:tc>
          <w:tcPr>
            <w:tcW w:w="1620" w:type="dxa"/>
            <w:vAlign w:val="center"/>
            <w:textDirection w:val="lrTb"/>
            <w:noWrap w:val="false"/>
          </w:tcPr>
          <w:p>
            <w:pPr>
              <w:pStyle w:val="702"/>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rPr>
                <w:rFonts w:hint="eastAsia" w:ascii="宋体" w:hAnsi="宋体" w:cs="宋体"/>
                <w:color w:val="auto"/>
                <w:szCs w:val="21"/>
                <w:highlight w:val="none"/>
              </w:rPr>
            </w:r>
            <w:r>
              <w:rPr>
                <w:color w:val="auto"/>
              </w:rPr>
            </w:r>
          </w:p>
        </w:tc>
        <w:tc>
          <w:tcPr>
            <w:tcW w:w="1440" w:type="dxa"/>
            <w:vAlign w:val="center"/>
            <w:textDirection w:val="lrTb"/>
            <w:noWrap w:val="false"/>
          </w:tcPr>
          <w:p>
            <w:pPr>
              <w:pStyle w:val="702"/>
              <w:jc w:val="center"/>
              <w:rPr>
                <w:rFonts w:hint="eastAsia" w:ascii="宋体" w:hAnsi="宋体" w:cs="宋体"/>
                <w:color w:val="auto"/>
                <w:szCs w:val="21"/>
                <w:highlight w:val="none"/>
              </w:rPr>
            </w:pPr>
            <w:r>
              <w:rPr>
                <w:rFonts w:hint="eastAsia" w:ascii="宋体" w:hAnsi="宋体" w:cs="宋体"/>
                <w:color w:val="auto"/>
                <w:szCs w:val="21"/>
                <w:highlight w:val="none"/>
              </w:rPr>
              <w:t xml:space="preserve">响应要求</w:t>
            </w:r>
            <w:r>
              <w:rPr>
                <w:rFonts w:hint="eastAsia" w:ascii="宋体" w:hAnsi="宋体" w:cs="宋体"/>
                <w:color w:val="auto"/>
                <w:szCs w:val="21"/>
                <w:highlight w:val="none"/>
              </w:rPr>
            </w:r>
            <w:r>
              <w:rPr>
                <w:color w:val="auto"/>
              </w:rPr>
            </w:r>
          </w:p>
        </w:tc>
        <w:tc>
          <w:tcPr>
            <w:tcW w:w="1699" w:type="dxa"/>
            <w:vAlign w:val="center"/>
            <w:textDirection w:val="lrTb"/>
            <w:noWrap w:val="false"/>
          </w:tcPr>
          <w:p>
            <w:pPr>
              <w:pStyle w:val="702"/>
              <w:jc w:val="center"/>
              <w:rPr>
                <w:rFonts w:hint="eastAsia" w:ascii="宋体" w:hAnsi="宋体" w:cs="宋体"/>
                <w:color w:val="auto"/>
                <w:szCs w:val="21"/>
                <w:highlight w:val="none"/>
              </w:rPr>
            </w:pPr>
            <w:r>
              <w:rPr>
                <w:rFonts w:hint="eastAsia" w:ascii="宋体" w:hAnsi="宋体" w:cs="宋体"/>
                <w:color w:val="auto"/>
                <w:szCs w:val="21"/>
                <w:highlight w:val="none"/>
              </w:rPr>
              <w:t xml:space="preserve">偏离/响应</w:t>
            </w:r>
            <w:r>
              <w:rPr>
                <w:rFonts w:hint="eastAsia" w:ascii="宋体" w:hAnsi="宋体" w:cs="宋体"/>
                <w:color w:val="auto"/>
                <w:szCs w:val="21"/>
                <w:highlight w:val="none"/>
              </w:rPr>
            </w:r>
            <w:r>
              <w:rPr>
                <w:color w:val="auto"/>
              </w:rPr>
            </w:r>
          </w:p>
        </w:tc>
        <w:tc>
          <w:tcPr>
            <w:tcW w:w="1757" w:type="dxa"/>
            <w:vAlign w:val="center"/>
            <w:textDirection w:val="lrTb"/>
            <w:noWrap w:val="false"/>
          </w:tcPr>
          <w:p>
            <w:pPr>
              <w:pStyle w:val="702"/>
              <w:jc w:val="center"/>
              <w:rPr>
                <w:rFonts w:hint="eastAsia" w:ascii="宋体" w:hAnsi="宋体" w:cs="宋体"/>
                <w:color w:val="auto"/>
                <w:szCs w:val="21"/>
                <w:highlight w:val="none"/>
              </w:rPr>
            </w:pPr>
            <w:r>
              <w:rPr>
                <w:rFonts w:hint="eastAsia" w:ascii="宋体" w:hAnsi="宋体" w:cs="宋体"/>
                <w:color w:val="auto"/>
                <w:szCs w:val="21"/>
                <w:highlight w:val="none"/>
              </w:rPr>
              <w:t xml:space="preserve">说明</w:t>
            </w:r>
            <w:r>
              <w:rPr>
                <w:rFonts w:hint="eastAsia" w:ascii="宋体" w:hAnsi="宋体" w:cs="宋体"/>
                <w:color w:val="auto"/>
                <w:szCs w:val="21"/>
                <w:highlight w:val="none"/>
              </w:rPr>
            </w:r>
            <w:r>
              <w:rPr>
                <w:color w:val="auto"/>
              </w:rPr>
            </w:r>
          </w:p>
        </w:tc>
      </w:tr>
      <w:tr>
        <w:trPr/>
        <w:tc>
          <w:tcPr>
            <w:tcW w:w="828"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80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62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44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699"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757"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tc>
          <w:tcPr>
            <w:tcW w:w="828"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80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62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44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699"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757"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tc>
          <w:tcPr>
            <w:tcW w:w="828"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80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62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44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699"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757"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tc>
          <w:tcPr>
            <w:tcW w:w="828"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80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62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44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699"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757"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tc>
          <w:tcPr>
            <w:tcW w:w="828"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80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62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44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699"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757"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tc>
          <w:tcPr>
            <w:tcW w:w="828"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80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62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44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699"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757"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tc>
          <w:tcPr>
            <w:tcW w:w="828"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80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62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44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699"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757"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tc>
          <w:tcPr>
            <w:tcW w:w="828"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80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62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44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699"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757"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tc>
          <w:tcPr>
            <w:tcW w:w="828"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80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62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44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699"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757"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tc>
          <w:tcPr>
            <w:tcW w:w="828"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80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62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440"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699"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757" w:type="dxa"/>
            <w:vAlign w:val="top"/>
            <w:textDirection w:val="lrTb"/>
            <w:noWrap w:val="false"/>
          </w:tcPr>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bl>
    <w:p>
      <w:pPr>
        <w:pStyle w:val="70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注：1、投标人应对照招标文件要求，所提供的服务与招标文件的规定有偏离的，应在此表中申明与采购要求的偏差和例外。</w:t>
      </w:r>
      <w:r>
        <w:rPr>
          <w:rFonts w:hint="eastAsia" w:ascii="宋体" w:hAnsi="宋体" w:cs="宋体"/>
          <w:bCs/>
          <w:color w:val="auto"/>
          <w:szCs w:val="21"/>
          <w:highlight w:val="none"/>
        </w:rPr>
      </w:r>
      <w:r>
        <w:rPr>
          <w:color w:val="auto"/>
        </w:rPr>
      </w:r>
    </w:p>
    <w:p>
      <w:pPr>
        <w:pStyle w:val="702"/>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2、未在上表中说明的，如在投标文件其他内容中已有文字说明的，则以已有文字说明为准，否则，将被认为完全响应招标文件的规定。</w:t>
      </w:r>
      <w:r>
        <w:rPr>
          <w:rFonts w:hint="eastAsia" w:ascii="宋体" w:hAnsi="宋体" w:cs="宋体"/>
          <w:bCs/>
          <w:color w:val="auto"/>
          <w:szCs w:val="21"/>
          <w:highlight w:val="none"/>
        </w:rPr>
      </w:r>
      <w:r>
        <w:rPr>
          <w:color w:val="auto"/>
        </w:rPr>
      </w:r>
    </w:p>
    <w:p>
      <w:pPr>
        <w:pStyle w:val="715"/>
        <w:ind w:left="420" w:firstLine="0"/>
        <w:rPr>
          <w:color w:val="auto"/>
          <w:highlight w:val="none"/>
        </w:rPr>
      </w:pPr>
      <w:r>
        <w:rPr>
          <w:color w:val="auto"/>
          <w:highlight w:val="none"/>
        </w:rPr>
      </w:r>
      <w:r>
        <w:rPr>
          <w:color w:val="auto"/>
        </w:rPr>
      </w:r>
    </w:p>
    <w:p>
      <w:pPr>
        <w:pStyle w:val="954"/>
        <w:spacing w:line="360" w:lineRule="auto"/>
        <w:rPr>
          <w:rFonts w:hint="eastAsia" w:hAnsi="宋体" w:cs="宋体"/>
          <w:color w:val="auto"/>
          <w:szCs w:val="21"/>
          <w:highlight w:val="none"/>
        </w:rPr>
      </w:pPr>
      <w:r>
        <w:rPr>
          <w:rFonts w:hint="eastAsia" w:hAnsi="宋体" w:cs="宋体"/>
          <w:color w:val="auto"/>
          <w:szCs w:val="21"/>
          <w:highlight w:val="none"/>
        </w:rPr>
        <w:t xml:space="preserve">投标单位：（单位盖章）</w:t>
      </w:r>
      <w:r>
        <w:rPr>
          <w:rFonts w:hint="eastAsia" w:hAnsi="宋体" w:cs="宋体"/>
          <w:color w:val="auto"/>
          <w:szCs w:val="21"/>
          <w:highlight w:val="none"/>
        </w:rPr>
      </w:r>
      <w:r>
        <w:rPr>
          <w:color w:val="auto"/>
        </w:rPr>
      </w:r>
    </w:p>
    <w:p>
      <w:pPr>
        <w:pStyle w:val="954"/>
        <w:spacing w:line="360" w:lineRule="auto"/>
        <w:rPr>
          <w:rFonts w:hint="eastAsia" w:hAnsi="宋体" w:cs="宋体"/>
          <w:color w:val="auto"/>
          <w:szCs w:val="21"/>
          <w:highlight w:val="none"/>
        </w:rPr>
      </w:pPr>
      <w:r>
        <w:rPr>
          <w:rFonts w:hint="eastAsia" w:hAnsi="宋体" w:cs="宋体"/>
          <w:color w:val="auto"/>
          <w:szCs w:val="21"/>
          <w:highlight w:val="none"/>
        </w:rPr>
        <w:t xml:space="preserve">法定代表人（负责人）或代理人：（签字或盖章）</w:t>
      </w:r>
      <w:r>
        <w:rPr>
          <w:rFonts w:hint="eastAsia" w:hAnsi="宋体" w:cs="宋体"/>
          <w:color w:val="auto"/>
          <w:szCs w:val="21"/>
          <w:highlight w:val="none"/>
        </w:rPr>
      </w:r>
      <w:r>
        <w:rPr>
          <w:color w:val="auto"/>
        </w:rPr>
      </w:r>
    </w:p>
    <w:p>
      <w:pPr>
        <w:pStyle w:val="70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rPr>
          <w:rFonts w:hint="eastAsia" w:ascii="宋体" w:hAnsi="宋体" w:cs="宋体"/>
          <w:color w:val="auto"/>
          <w:szCs w:val="21"/>
          <w:highlight w:val="none"/>
        </w:rPr>
      </w:r>
      <w:r>
        <w:rPr>
          <w:color w:val="auto"/>
        </w:rPr>
      </w:r>
    </w:p>
    <w:p>
      <w:pPr>
        <w:pStyle w:val="908"/>
        <w:ind w:firstLine="0"/>
        <w:rPr>
          <w:rFonts w:hint="eastAsia" w:ascii="宋体" w:hAnsi="宋体" w:eastAsia="宋体" w:cs="宋体"/>
          <w:b/>
          <w:color w:val="auto"/>
          <w:sz w:val="21"/>
          <w:szCs w:val="21"/>
          <w:highlight w:val="none"/>
        </w:rPr>
        <w:outlineLvl w:val="1"/>
      </w:pPr>
      <w:r>
        <w:rPr>
          <w:rFonts w:hint="eastAsia" w:ascii="宋体" w:hAnsi="宋体" w:eastAsia="宋体" w:cs="宋体"/>
          <w:bCs/>
          <w:color w:val="auto"/>
          <w:sz w:val="21"/>
          <w:szCs w:val="21"/>
          <w:highlight w:val="none"/>
          <w:lang w:val="zh-CN"/>
        </w:rPr>
        <w:br w:type="page" w:clear="all"/>
      </w:r>
      <w:r>
        <w:rPr>
          <w:rFonts w:hint="eastAsia" w:ascii="宋体" w:hAnsi="宋体" w:eastAsia="宋体" w:cs="宋体"/>
          <w:b/>
          <w:color w:val="auto"/>
          <w:sz w:val="21"/>
          <w:szCs w:val="21"/>
          <w:highlight w:val="none"/>
        </w:rPr>
        <w:t xml:space="preserve">附件8：商务条款偏离表</w:t>
      </w:r>
      <w:r>
        <w:rPr>
          <w:rFonts w:hint="eastAsia" w:ascii="宋体" w:hAnsi="宋体" w:eastAsia="宋体" w:cs="宋体"/>
          <w:b/>
          <w:color w:val="auto"/>
          <w:sz w:val="21"/>
          <w:szCs w:val="21"/>
          <w:highlight w:val="none"/>
        </w:rPr>
      </w:r>
      <w:r>
        <w:rPr>
          <w:color w:val="auto"/>
        </w:rPr>
      </w:r>
    </w:p>
    <w:p>
      <w:pPr>
        <w:pStyle w:val="908"/>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rPr>
      </w:r>
    </w:p>
    <w:p>
      <w:pPr>
        <w:pStyle w:val="90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商务条款偏离表</w:t>
      </w:r>
      <w:r>
        <w:rPr>
          <w:rFonts w:hint="eastAsia" w:ascii="宋体" w:hAnsi="宋体" w:eastAsia="宋体" w:cs="宋体"/>
          <w:color w:val="auto"/>
          <w:sz w:val="21"/>
          <w:szCs w:val="21"/>
          <w:highlight w:val="none"/>
        </w:rPr>
      </w:r>
      <w:r>
        <w:rPr>
          <w:color w:val="auto"/>
        </w:rPr>
      </w:r>
    </w:p>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p>
      <w:pPr>
        <w:pStyle w:val="702"/>
        <w:rPr>
          <w:rFonts w:hint="eastAsia" w:ascii="宋体" w:hAnsi="宋体" w:cs="宋体"/>
          <w:color w:val="auto"/>
          <w:szCs w:val="21"/>
          <w:highlight w:val="none"/>
        </w:rPr>
      </w:pPr>
      <w:r>
        <w:rPr>
          <w:rFonts w:hint="eastAsia" w:ascii="宋体" w:hAnsi="宋体" w:cs="宋体"/>
          <w:color w:val="auto"/>
          <w:szCs w:val="21"/>
          <w:highlight w:val="none"/>
        </w:rPr>
        <w:t xml:space="preserve">单位名称（盖章）：</w:t>
      </w:r>
      <w:r>
        <w:rPr>
          <w:rFonts w:hint="eastAsia" w:ascii="宋体" w:hAnsi="宋体" w:cs="宋体"/>
          <w:color w:val="auto"/>
          <w:szCs w:val="21"/>
          <w:highlight w:val="none"/>
        </w:rPr>
      </w:r>
      <w:r>
        <w:rPr>
          <w:color w:val="auto"/>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val="false"/>
          </w:tcPr>
          <w:p>
            <w:pPr>
              <w:pStyle w:val="702"/>
              <w:jc w:val="center"/>
              <w:spacing w:before="240" w:after="240"/>
              <w:rPr>
                <w:rFonts w:hint="eastAsia" w:ascii="宋体" w:hAnsi="宋体" w:cs="宋体"/>
                <w:color w:val="auto"/>
                <w:szCs w:val="21"/>
                <w:highlight w:val="none"/>
              </w:rPr>
            </w:pPr>
            <w:r>
              <w:rPr>
                <w:rFonts w:hint="eastAsia" w:ascii="宋体" w:hAnsi="宋体" w:cs="宋体"/>
                <w:color w:val="auto"/>
                <w:szCs w:val="21"/>
                <w:highlight w:val="none"/>
              </w:rPr>
              <w:t xml:space="preserve">序号</w:t>
            </w:r>
            <w:r>
              <w:rPr>
                <w:rFonts w:hint="eastAsia" w:ascii="宋体" w:hAnsi="宋体" w:cs="宋体"/>
                <w:color w:val="auto"/>
                <w:szCs w:val="21"/>
                <w:highlight w:val="none"/>
              </w:rPr>
            </w:r>
            <w:r>
              <w:rPr>
                <w:color w:val="auto"/>
              </w:rPr>
            </w:r>
          </w:p>
        </w:tc>
        <w:tc>
          <w:tcPr>
            <w:tcW w:w="1920" w:type="dxa"/>
            <w:vAlign w:val="top"/>
            <w:textDirection w:val="lrTb"/>
            <w:noWrap w:val="false"/>
          </w:tcPr>
          <w:p>
            <w:pPr>
              <w:pStyle w:val="702"/>
              <w:jc w:val="center"/>
              <w:spacing w:before="240" w:after="240"/>
              <w:rPr>
                <w:rFonts w:hint="eastAsia" w:ascii="宋体" w:hAnsi="宋体" w:cs="宋体"/>
                <w:color w:val="auto"/>
                <w:szCs w:val="21"/>
                <w:highlight w:val="none"/>
              </w:rPr>
            </w:pPr>
            <w:r>
              <w:rPr>
                <w:rFonts w:hint="eastAsia" w:ascii="宋体" w:hAnsi="宋体" w:cs="宋体"/>
                <w:color w:val="auto"/>
                <w:szCs w:val="21"/>
                <w:highlight w:val="none"/>
              </w:rPr>
              <w:t xml:space="preserve">招标文件条目号</w:t>
            </w:r>
            <w:r>
              <w:rPr>
                <w:rFonts w:hint="eastAsia" w:ascii="宋体" w:hAnsi="宋体" w:cs="宋体"/>
                <w:color w:val="auto"/>
                <w:szCs w:val="21"/>
                <w:highlight w:val="none"/>
              </w:rPr>
            </w:r>
            <w:r>
              <w:rPr>
                <w:color w:val="auto"/>
              </w:rPr>
            </w:r>
          </w:p>
        </w:tc>
        <w:tc>
          <w:tcPr>
            <w:tcW w:w="2400" w:type="dxa"/>
            <w:vAlign w:val="top"/>
            <w:textDirection w:val="lrTb"/>
            <w:noWrap w:val="false"/>
          </w:tcPr>
          <w:p>
            <w:pPr>
              <w:pStyle w:val="702"/>
              <w:jc w:val="center"/>
              <w:spacing w:before="240" w:after="240"/>
              <w:rPr>
                <w:rFonts w:hint="eastAsia" w:ascii="宋体" w:hAnsi="宋体" w:cs="宋体"/>
                <w:color w:val="auto"/>
                <w:szCs w:val="21"/>
                <w:highlight w:val="none"/>
              </w:rPr>
            </w:pPr>
            <w:r>
              <w:rPr>
                <w:rFonts w:hint="eastAsia" w:ascii="宋体" w:hAnsi="宋体" w:cs="宋体"/>
                <w:color w:val="auto"/>
                <w:szCs w:val="21"/>
                <w:highlight w:val="none"/>
              </w:rPr>
              <w:t xml:space="preserve">招标文件的商务条款</w:t>
            </w:r>
            <w:r>
              <w:rPr>
                <w:rFonts w:hint="eastAsia" w:ascii="宋体" w:hAnsi="宋体" w:cs="宋体"/>
                <w:color w:val="auto"/>
                <w:szCs w:val="21"/>
                <w:highlight w:val="none"/>
              </w:rPr>
            </w:r>
            <w:r>
              <w:rPr>
                <w:color w:val="auto"/>
              </w:rPr>
            </w:r>
          </w:p>
        </w:tc>
        <w:tc>
          <w:tcPr>
            <w:tcW w:w="2400" w:type="dxa"/>
            <w:vAlign w:val="top"/>
            <w:textDirection w:val="lrTb"/>
            <w:noWrap w:val="false"/>
          </w:tcPr>
          <w:p>
            <w:pPr>
              <w:pStyle w:val="702"/>
              <w:jc w:val="center"/>
              <w:spacing w:before="240" w:after="240"/>
              <w:rPr>
                <w:rFonts w:hint="eastAsia" w:ascii="宋体" w:hAnsi="宋体" w:cs="宋体"/>
                <w:color w:val="auto"/>
                <w:szCs w:val="21"/>
                <w:highlight w:val="none"/>
              </w:rPr>
            </w:pPr>
            <w:r>
              <w:rPr>
                <w:rFonts w:hint="eastAsia" w:ascii="宋体" w:hAnsi="宋体" w:cs="宋体"/>
                <w:color w:val="auto"/>
                <w:szCs w:val="21"/>
                <w:highlight w:val="none"/>
              </w:rPr>
              <w:t xml:space="preserve">投标文件的商务条款</w:t>
            </w:r>
            <w:r>
              <w:rPr>
                <w:rFonts w:hint="eastAsia" w:ascii="宋体" w:hAnsi="宋体" w:cs="宋体"/>
                <w:color w:val="auto"/>
                <w:szCs w:val="21"/>
                <w:highlight w:val="none"/>
              </w:rPr>
            </w:r>
            <w:r>
              <w:rPr>
                <w:color w:val="auto"/>
              </w:rPr>
            </w:r>
          </w:p>
        </w:tc>
        <w:tc>
          <w:tcPr>
            <w:tcW w:w="1097" w:type="dxa"/>
            <w:vAlign w:val="top"/>
            <w:textDirection w:val="lrTb"/>
            <w:noWrap w:val="false"/>
          </w:tcPr>
          <w:p>
            <w:pPr>
              <w:pStyle w:val="702"/>
              <w:jc w:val="center"/>
              <w:spacing w:before="240" w:after="240"/>
              <w:rPr>
                <w:rFonts w:hint="eastAsia" w:ascii="宋体" w:hAnsi="宋体" w:cs="宋体"/>
                <w:color w:val="auto"/>
                <w:szCs w:val="21"/>
                <w:highlight w:val="none"/>
              </w:rPr>
            </w:pPr>
            <w:r>
              <w:rPr>
                <w:rFonts w:hint="eastAsia" w:ascii="宋体" w:hAnsi="宋体" w:cs="宋体"/>
                <w:color w:val="auto"/>
                <w:szCs w:val="21"/>
                <w:highlight w:val="none"/>
              </w:rPr>
              <w:t xml:space="preserve">说明</w:t>
            </w:r>
            <w:r>
              <w:rPr>
                <w:rFonts w:hint="eastAsia" w:ascii="宋体" w:hAnsi="宋体" w:cs="宋体"/>
                <w:color w:val="auto"/>
                <w:szCs w:val="21"/>
                <w:highlight w:val="none"/>
              </w:rPr>
            </w:r>
            <w:r>
              <w:rPr>
                <w:color w:val="auto"/>
              </w:rPr>
            </w:r>
          </w:p>
        </w:tc>
      </w:tr>
      <w:tr>
        <w:trPr/>
        <w:tc>
          <w:tcPr>
            <w:tcW w:w="708"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92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240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240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097"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tc>
          <w:tcPr>
            <w:tcW w:w="708"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92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240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240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097"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tc>
          <w:tcPr>
            <w:tcW w:w="708"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92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240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240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097"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tc>
          <w:tcPr>
            <w:tcW w:w="708"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92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240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240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097"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tc>
          <w:tcPr>
            <w:tcW w:w="708"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92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240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240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097"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tc>
          <w:tcPr>
            <w:tcW w:w="708"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92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240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240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097"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tc>
          <w:tcPr>
            <w:tcW w:w="708"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92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240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240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097"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tc>
          <w:tcPr>
            <w:tcW w:w="708"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92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240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240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097"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tc>
          <w:tcPr>
            <w:tcW w:w="708"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92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240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240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097"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tc>
          <w:tcPr>
            <w:tcW w:w="708"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92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240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2400"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097" w:type="dxa"/>
            <w:vAlign w:val="top"/>
            <w:textDirection w:val="lrTb"/>
            <w:noWrap w:val="false"/>
          </w:tcPr>
          <w:p>
            <w:pPr>
              <w:pStyle w:val="702"/>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bl>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w:t>
      </w:r>
      <w:r>
        <w:rPr>
          <w:rFonts w:hint="eastAsia" w:ascii="宋体" w:hAnsi="宋体" w:cs="宋体"/>
          <w:color w:val="auto"/>
          <w:szCs w:val="21"/>
          <w:highlight w:val="none"/>
        </w:rPr>
      </w:r>
      <w:r>
        <w:rPr>
          <w:color w:val="auto"/>
        </w:rPr>
      </w:r>
    </w:p>
    <w:p>
      <w:pPr>
        <w:pStyle w:val="702"/>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p>
      <w:pPr>
        <w:pStyle w:val="954"/>
        <w:spacing w:line="360" w:lineRule="auto"/>
        <w:rPr>
          <w:rFonts w:hint="eastAsia" w:hAnsi="宋体" w:cs="宋体"/>
          <w:color w:val="auto"/>
          <w:szCs w:val="21"/>
          <w:highlight w:val="none"/>
        </w:rPr>
      </w:pPr>
      <w:r>
        <w:rPr>
          <w:rFonts w:hint="eastAsia" w:hAnsi="宋体" w:cs="宋体"/>
          <w:color w:val="auto"/>
          <w:szCs w:val="21"/>
          <w:highlight w:val="none"/>
        </w:rPr>
        <w:t xml:space="preserve">投标单位：（单位盖章）</w:t>
      </w:r>
      <w:r>
        <w:rPr>
          <w:rFonts w:hint="eastAsia" w:hAnsi="宋体" w:cs="宋体"/>
          <w:color w:val="auto"/>
          <w:szCs w:val="21"/>
          <w:highlight w:val="none"/>
        </w:rPr>
      </w:r>
      <w:r>
        <w:rPr>
          <w:color w:val="auto"/>
        </w:rPr>
      </w:r>
    </w:p>
    <w:p>
      <w:pPr>
        <w:pStyle w:val="954"/>
        <w:spacing w:line="360" w:lineRule="auto"/>
        <w:rPr>
          <w:rFonts w:hint="eastAsia" w:hAnsi="宋体" w:cs="宋体"/>
          <w:color w:val="auto"/>
          <w:szCs w:val="21"/>
          <w:highlight w:val="none"/>
        </w:rPr>
      </w:pPr>
      <w:r>
        <w:rPr>
          <w:rFonts w:hint="eastAsia" w:hAnsi="宋体" w:cs="宋体"/>
          <w:color w:val="auto"/>
          <w:szCs w:val="21"/>
          <w:highlight w:val="none"/>
        </w:rPr>
        <w:t xml:space="preserve">法定代表人（负责人）或代理人：（签字或盖章）</w:t>
      </w:r>
      <w:r>
        <w:rPr>
          <w:rFonts w:hint="eastAsia" w:hAnsi="宋体" w:cs="宋体"/>
          <w:color w:val="auto"/>
          <w:szCs w:val="21"/>
          <w:highlight w:val="none"/>
        </w:rPr>
      </w:r>
      <w:r>
        <w:rPr>
          <w:color w:val="auto"/>
        </w:rPr>
      </w:r>
    </w:p>
    <w:p>
      <w:pPr>
        <w:pStyle w:val="70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rPr>
          <w:rFonts w:hint="eastAsia" w:ascii="宋体" w:hAnsi="宋体" w:cs="宋体"/>
          <w:color w:val="auto"/>
          <w:szCs w:val="21"/>
          <w:highlight w:val="none"/>
        </w:rPr>
      </w:r>
      <w:r>
        <w:rPr>
          <w:color w:val="auto"/>
        </w:rPr>
      </w:r>
    </w:p>
    <w:p>
      <w:pPr>
        <w:pStyle w:val="702"/>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p>
      <w:pPr>
        <w:pStyle w:val="702"/>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p>
      <w:pPr>
        <w:pStyle w:val="702"/>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p>
      <w:pPr>
        <w:pStyle w:val="702"/>
        <w:ind w:firstLine="21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附件9：类似业绩一览表</w:t>
      </w:r>
      <w:r>
        <w:rPr>
          <w:rFonts w:hint="eastAsia" w:ascii="宋体" w:hAnsi="宋体" w:cs="宋体"/>
          <w:b/>
          <w:color w:val="auto"/>
          <w:szCs w:val="21"/>
          <w:highlight w:val="none"/>
        </w:rPr>
      </w:r>
      <w:r>
        <w:rPr>
          <w:color w:val="auto"/>
        </w:rPr>
      </w:r>
    </w:p>
    <w:p>
      <w:pPr>
        <w:pStyle w:val="90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rPr>
      </w:r>
    </w:p>
    <w:p>
      <w:pPr>
        <w:pStyle w:val="90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类似业绩一览表</w:t>
      </w:r>
      <w:r>
        <w:rPr>
          <w:rFonts w:hint="eastAsia" w:ascii="宋体" w:hAnsi="宋体" w:eastAsia="宋体" w:cs="宋体"/>
          <w:b/>
          <w:color w:val="auto"/>
          <w:sz w:val="21"/>
          <w:szCs w:val="21"/>
          <w:highlight w:val="none"/>
        </w:rPr>
      </w:r>
      <w:r>
        <w:rPr>
          <w:color w:val="auto"/>
        </w:rPr>
      </w:r>
    </w:p>
    <w:p>
      <w:pPr>
        <w:pStyle w:val="90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2349"/>
        <w:gridCol w:w="1048"/>
        <w:gridCol w:w="1568"/>
        <w:gridCol w:w="1062"/>
        <w:gridCol w:w="1214"/>
        <w:gridCol w:w="583"/>
      </w:tblGrid>
      <w:tr>
        <w:trPr>
          <w:trHeight w:val="465"/>
        </w:trPr>
        <w:tc>
          <w:tcPr>
            <w:tcW w:w="408" w:type="dxa"/>
            <w:vAlign w:val="center"/>
            <w:textDirection w:val="lrTb"/>
            <w:noWrap w:val="false"/>
          </w:tcPr>
          <w:p>
            <w:pPr>
              <w:pStyle w:val="90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rPr>
                <w:rFonts w:hint="eastAsia" w:ascii="宋体" w:hAnsi="宋体" w:eastAsia="宋体" w:cs="宋体"/>
                <w:color w:val="auto"/>
                <w:sz w:val="21"/>
                <w:szCs w:val="21"/>
                <w:highlight w:val="none"/>
              </w:rPr>
            </w:r>
            <w:r>
              <w:rPr>
                <w:color w:val="auto"/>
              </w:rPr>
            </w:r>
          </w:p>
        </w:tc>
        <w:tc>
          <w:tcPr>
            <w:tcW w:w="1378" w:type="dxa"/>
            <w:vAlign w:val="center"/>
            <w:textDirection w:val="lrTb"/>
            <w:noWrap w:val="false"/>
          </w:tcPr>
          <w:p>
            <w:pPr>
              <w:pStyle w:val="90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rPr>
            </w:r>
            <w:r>
              <w:rPr>
                <w:color w:val="auto"/>
              </w:rPr>
            </w:r>
          </w:p>
        </w:tc>
        <w:tc>
          <w:tcPr>
            <w:tcW w:w="615" w:type="dxa"/>
            <w:vAlign w:val="center"/>
            <w:textDirection w:val="lrTb"/>
            <w:noWrap w:val="false"/>
          </w:tcPr>
          <w:p>
            <w:pPr>
              <w:pStyle w:val="90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合同期</w:t>
            </w:r>
            <w:r>
              <w:rPr>
                <w:rFonts w:hint="eastAsia" w:ascii="宋体" w:hAnsi="宋体" w:eastAsia="宋体" w:cs="宋体"/>
                <w:color w:val="auto"/>
                <w:sz w:val="21"/>
                <w:szCs w:val="21"/>
                <w:highlight w:val="none"/>
              </w:rPr>
            </w:r>
            <w:r>
              <w:rPr>
                <w:color w:val="auto"/>
              </w:rPr>
            </w:r>
          </w:p>
        </w:tc>
        <w:tc>
          <w:tcPr>
            <w:tcW w:w="920" w:type="dxa"/>
            <w:vAlign w:val="center"/>
            <w:textDirection w:val="lrTb"/>
            <w:noWrap w:val="false"/>
          </w:tcPr>
          <w:p>
            <w:pPr>
              <w:pStyle w:val="90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采购方单位名称</w:t>
            </w:r>
            <w:r>
              <w:rPr>
                <w:rFonts w:hint="eastAsia" w:ascii="宋体" w:hAnsi="宋体" w:eastAsia="宋体" w:cs="宋体"/>
                <w:color w:val="auto"/>
                <w:sz w:val="21"/>
                <w:szCs w:val="21"/>
                <w:highlight w:val="none"/>
              </w:rPr>
            </w:r>
            <w:r>
              <w:rPr>
                <w:color w:val="auto"/>
              </w:rPr>
            </w:r>
          </w:p>
        </w:tc>
        <w:tc>
          <w:tcPr>
            <w:tcW w:w="623" w:type="dxa"/>
            <w:vAlign w:val="center"/>
            <w:textDirection w:val="lrTb"/>
            <w:noWrap w:val="false"/>
          </w:tcPr>
          <w:p>
            <w:pPr>
              <w:pStyle w:val="90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rPr>
            </w:r>
            <w:r>
              <w:rPr>
                <w:color w:val="auto"/>
              </w:rPr>
            </w:r>
          </w:p>
        </w:tc>
        <w:tc>
          <w:tcPr>
            <w:tcW w:w="712" w:type="dxa"/>
            <w:vAlign w:val="center"/>
            <w:textDirection w:val="lrTb"/>
            <w:noWrap w:val="false"/>
          </w:tcPr>
          <w:p>
            <w:pPr>
              <w:pStyle w:val="90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rPr>
            </w:r>
            <w:r>
              <w:rPr>
                <w:color w:val="auto"/>
              </w:rPr>
            </w:r>
          </w:p>
        </w:tc>
        <w:tc>
          <w:tcPr>
            <w:tcW w:w="342" w:type="dxa"/>
            <w:vAlign w:val="center"/>
            <w:textDirection w:val="lrTb"/>
            <w:noWrap w:val="false"/>
          </w:tcPr>
          <w:p>
            <w:pPr>
              <w:pStyle w:val="90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rPr>
                <w:rFonts w:hint="eastAsia" w:ascii="宋体" w:hAnsi="宋体" w:eastAsia="宋体" w:cs="宋体"/>
                <w:color w:val="auto"/>
                <w:sz w:val="21"/>
                <w:szCs w:val="21"/>
                <w:highlight w:val="none"/>
              </w:rPr>
            </w:r>
            <w:r>
              <w:rPr>
                <w:color w:val="auto"/>
              </w:rPr>
            </w:r>
          </w:p>
        </w:tc>
      </w:tr>
      <w:tr>
        <w:trPr>
          <w:trHeight w:val="465"/>
        </w:trPr>
        <w:tc>
          <w:tcPr>
            <w:tcW w:w="408"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378"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15"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920"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23"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12"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342"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r>
        <w:trPr>
          <w:trHeight w:val="465"/>
        </w:trPr>
        <w:tc>
          <w:tcPr>
            <w:tcW w:w="408"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378"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15"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920"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23"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12"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342"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r>
        <w:trPr>
          <w:trHeight w:val="465"/>
        </w:trPr>
        <w:tc>
          <w:tcPr>
            <w:tcW w:w="408"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378"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15"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920"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23"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12"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342"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r>
        <w:trPr>
          <w:trHeight w:val="465"/>
        </w:trPr>
        <w:tc>
          <w:tcPr>
            <w:tcW w:w="408"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378"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15"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920"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23"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12"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342"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r>
        <w:trPr>
          <w:trHeight w:val="465"/>
        </w:trPr>
        <w:tc>
          <w:tcPr>
            <w:tcW w:w="408"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378"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15"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920"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23"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12"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342"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r>
        <w:trPr>
          <w:trHeight w:val="465"/>
        </w:trPr>
        <w:tc>
          <w:tcPr>
            <w:tcW w:w="408"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378"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15"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920"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23"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12"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342"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r>
        <w:trPr>
          <w:trHeight w:val="465"/>
        </w:trPr>
        <w:tc>
          <w:tcPr>
            <w:tcW w:w="408"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378"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15"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920"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23"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12"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342"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r>
        <w:trPr>
          <w:trHeight w:val="465"/>
        </w:trPr>
        <w:tc>
          <w:tcPr>
            <w:tcW w:w="408"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378"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15"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920"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23"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12"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342" w:type="dxa"/>
            <w:vAlign w:val="top"/>
            <w:textDirection w:val="lrTb"/>
            <w:noWrap w:val="false"/>
          </w:tcPr>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bl>
    <w:p>
      <w:pPr>
        <w:pStyle w:val="90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p>
      <w:pPr>
        <w:pStyle w:val="702"/>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p>
      <w:pPr>
        <w:pStyle w:val="702"/>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投标单位（签章）：</w:t>
      </w:r>
      <w:r>
        <w:rPr>
          <w:rFonts w:hint="eastAsia" w:ascii="宋体" w:hAnsi="宋体" w:cs="宋体"/>
          <w:color w:val="auto"/>
          <w:szCs w:val="21"/>
          <w:highlight w:val="none"/>
        </w:rPr>
      </w:r>
      <w:r>
        <w:rPr>
          <w:color w:val="auto"/>
        </w:rPr>
      </w:r>
    </w:p>
    <w:p>
      <w:pPr>
        <w:pStyle w:val="702"/>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rPr>
          <w:rFonts w:hint="eastAsia" w:ascii="宋体" w:hAnsi="宋体" w:cs="宋体"/>
          <w:color w:val="auto"/>
          <w:szCs w:val="21"/>
          <w:highlight w:val="none"/>
        </w:rPr>
      </w:r>
      <w:r>
        <w:rPr>
          <w:color w:val="auto"/>
        </w:rPr>
      </w:r>
    </w:p>
    <w:p>
      <w:pPr>
        <w:pStyle w:val="702"/>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rPr>
          <w:rFonts w:hint="eastAsia" w:ascii="宋体" w:hAnsi="宋体" w:cs="宋体"/>
          <w:color w:val="auto"/>
          <w:szCs w:val="21"/>
          <w:highlight w:val="none"/>
        </w:rPr>
      </w:r>
      <w:r>
        <w:rPr>
          <w:color w:val="auto"/>
        </w:rPr>
      </w:r>
    </w:p>
    <w:p>
      <w:pPr>
        <w:pStyle w:val="702"/>
        <w:jc w:val="left"/>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cs="宋体"/>
          <w:b/>
          <w:color w:val="auto"/>
          <w:szCs w:val="21"/>
          <w:highlight w:val="none"/>
        </w:rPr>
        <w:t xml:space="preserve">附件10：</w:t>
      </w:r>
      <w:r>
        <w:rPr>
          <w:rFonts w:hint="eastAsia" w:ascii="宋体" w:hAnsi="宋体" w:cs="宋体"/>
          <w:b/>
          <w:color w:val="auto"/>
          <w:szCs w:val="21"/>
          <w:highlight w:val="none"/>
          <w:lang w:val="zh-CN"/>
        </w:rPr>
        <w:t xml:space="preserve">投标单位情况表</w:t>
      </w:r>
      <w:r>
        <w:rPr>
          <w:rFonts w:hint="eastAsia" w:ascii="宋体" w:hAnsi="宋体" w:cs="宋体"/>
          <w:b/>
          <w:color w:val="auto"/>
          <w:szCs w:val="21"/>
          <w:highlight w:val="none"/>
          <w:lang w:val="zh-CN"/>
        </w:rPr>
      </w:r>
      <w:r>
        <w:rPr>
          <w:color w:val="auto"/>
        </w:rPr>
      </w:r>
    </w:p>
    <w:p>
      <w:pPr>
        <w:pStyle w:val="914"/>
        <w:ind w:firstLine="0"/>
        <w:jc w:val="left"/>
        <w:spacing w:line="360" w:lineRule="auto"/>
        <w:rPr>
          <w:rFonts w:hint="eastAsia" w:ascii="宋体" w:hAnsi="宋体" w:cs="宋体"/>
          <w:b/>
          <w:color w:val="auto"/>
          <w:spacing w:val="0"/>
          <w:sz w:val="21"/>
          <w:szCs w:val="21"/>
          <w:highlight w:val="none"/>
        </w:rPr>
      </w:pPr>
      <w:r>
        <w:rPr>
          <w:rFonts w:hint="eastAsia" w:ascii="宋体" w:hAnsi="宋体" w:cs="宋体"/>
          <w:b/>
          <w:color w:val="auto"/>
          <w:spacing w:val="0"/>
          <w:sz w:val="21"/>
          <w:szCs w:val="21"/>
          <w:highlight w:val="none"/>
        </w:rPr>
      </w:r>
      <w:r>
        <w:rPr>
          <w:color w:val="auto"/>
        </w:rPr>
      </w:r>
    </w:p>
    <w:p>
      <w:pPr>
        <w:pStyle w:val="702"/>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投标单位情况表</w:t>
      </w:r>
      <w:r>
        <w:rPr>
          <w:rFonts w:hint="eastAsia" w:ascii="宋体" w:hAnsi="宋体" w:cs="宋体"/>
          <w:b/>
          <w:color w:val="auto"/>
          <w:szCs w:val="21"/>
          <w:highlight w:val="none"/>
          <w:lang w:val="zh-CN"/>
        </w:rPr>
      </w:r>
      <w:r>
        <w:rPr>
          <w:color w:val="auto"/>
        </w:rPr>
      </w:r>
    </w:p>
    <w:p>
      <w:pPr>
        <w:pStyle w:val="702"/>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单位盖章：</w:t>
      </w:r>
      <w:r>
        <w:rPr>
          <w:rFonts w:hint="eastAsia" w:ascii="宋体" w:hAnsi="宋体" w:cs="宋体"/>
          <w:color w:val="auto"/>
          <w:szCs w:val="21"/>
          <w:highlight w:val="none"/>
        </w:rPr>
        <w:t xml:space="preserve">                                       </w:t>
      </w:r>
      <w:r>
        <w:rPr>
          <w:rFonts w:hint="eastAsia" w:ascii="宋体" w:hAnsi="宋体" w:cs="宋体"/>
          <w:color w:val="auto"/>
          <w:szCs w:val="21"/>
          <w:highlight w:val="none"/>
        </w:rPr>
      </w:r>
      <w:r>
        <w:rPr>
          <w:color w:val="auto"/>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3"/>
        <w:gridCol w:w="800"/>
        <w:gridCol w:w="1466"/>
        <w:gridCol w:w="1265"/>
        <w:gridCol w:w="1784"/>
      </w:tblGrid>
      <w:tr>
        <w:trPr>
          <w:cantSplit/>
          <w:trHeight w:val="482"/>
        </w:trPr>
        <w:tc>
          <w:tcPr>
            <w:tcW w:w="3413" w:type="dxa"/>
            <w:vAlign w:val="center"/>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rPr>
            </w:r>
            <w:r>
              <w:rPr>
                <w:color w:val="auto"/>
              </w:rPr>
            </w:r>
          </w:p>
        </w:tc>
        <w:tc>
          <w:tcPr>
            <w:gridSpan w:val="2"/>
            <w:tcW w:w="2266" w:type="dxa"/>
            <w:vAlign w:val="center"/>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265" w:type="dxa"/>
            <w:vAlign w:val="center"/>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成立日期</w:t>
            </w:r>
            <w:r>
              <w:rPr>
                <w:rFonts w:hint="eastAsia" w:ascii="宋体" w:hAnsi="宋体" w:cs="宋体"/>
                <w:color w:val="auto"/>
                <w:szCs w:val="21"/>
                <w:highlight w:val="none"/>
              </w:rPr>
            </w:r>
            <w:r>
              <w:rPr>
                <w:color w:val="auto"/>
              </w:rPr>
            </w:r>
          </w:p>
        </w:tc>
        <w:tc>
          <w:tcPr>
            <w:tcW w:w="1784" w:type="dxa"/>
            <w:vAlign w:val="center"/>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cantSplit/>
          <w:trHeight w:val="473"/>
        </w:trPr>
        <w:tc>
          <w:tcPr>
            <w:tcW w:w="3413" w:type="dxa"/>
            <w:vAlign w:val="center"/>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企业地址</w:t>
            </w:r>
            <w:r>
              <w:rPr>
                <w:rFonts w:hint="eastAsia" w:ascii="宋体" w:hAnsi="宋体" w:cs="宋体"/>
                <w:color w:val="auto"/>
                <w:szCs w:val="21"/>
                <w:highlight w:val="none"/>
              </w:rPr>
            </w:r>
            <w:r>
              <w:rPr>
                <w:color w:val="auto"/>
              </w:rPr>
            </w:r>
          </w:p>
        </w:tc>
        <w:tc>
          <w:tcPr>
            <w:gridSpan w:val="2"/>
            <w:tcW w:w="2266" w:type="dxa"/>
            <w:vAlign w:val="center"/>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265" w:type="dxa"/>
            <w:vAlign w:val="center"/>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注册资本</w:t>
            </w:r>
            <w:r>
              <w:rPr>
                <w:rFonts w:hint="eastAsia" w:ascii="宋体" w:hAnsi="宋体" w:cs="宋体"/>
                <w:color w:val="auto"/>
                <w:szCs w:val="21"/>
                <w:highlight w:val="none"/>
              </w:rPr>
            </w:r>
            <w:r>
              <w:rPr>
                <w:color w:val="auto"/>
              </w:rPr>
            </w:r>
          </w:p>
        </w:tc>
        <w:tc>
          <w:tcPr>
            <w:tcW w:w="1784" w:type="dxa"/>
            <w:vAlign w:val="center"/>
            <w:textDirection w:val="lrTb"/>
            <w:noWrap w:val="false"/>
          </w:tcPr>
          <w:p>
            <w:pPr>
              <w:pStyle w:val="702"/>
              <w:ind w:firstLine="1260"/>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万元</w:t>
            </w:r>
            <w:r>
              <w:rPr>
                <w:rFonts w:hint="eastAsia" w:ascii="宋体" w:hAnsi="宋体" w:cs="宋体"/>
                <w:color w:val="auto"/>
                <w:szCs w:val="21"/>
                <w:highlight w:val="none"/>
              </w:rPr>
            </w:r>
            <w:r>
              <w:rPr>
                <w:color w:val="auto"/>
              </w:rPr>
            </w:r>
          </w:p>
        </w:tc>
      </w:tr>
      <w:tr>
        <w:trPr>
          <w:cantSplit/>
          <w:trHeight w:val="463"/>
        </w:trPr>
        <w:tc>
          <w:tcPr>
            <w:tcW w:w="3413" w:type="dxa"/>
            <w:vAlign w:val="center"/>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经营范围</w:t>
            </w:r>
            <w:r>
              <w:rPr>
                <w:rFonts w:hint="eastAsia" w:ascii="宋体" w:hAnsi="宋体" w:cs="宋体"/>
                <w:color w:val="auto"/>
                <w:szCs w:val="21"/>
                <w:highlight w:val="none"/>
              </w:rPr>
            </w:r>
            <w:r>
              <w:rPr>
                <w:color w:val="auto"/>
              </w:rPr>
            </w:r>
          </w:p>
        </w:tc>
        <w:tc>
          <w:tcPr>
            <w:gridSpan w:val="4"/>
            <w:tcW w:w="5315" w:type="dxa"/>
            <w:vAlign w:val="center"/>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cantSplit/>
        </w:trPr>
        <w:tc>
          <w:tcPr>
            <w:tcW w:w="3413" w:type="dxa"/>
            <w:vAlign w:val="center"/>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现有职工人数</w:t>
            </w:r>
            <w:r>
              <w:rPr>
                <w:rFonts w:hint="eastAsia" w:ascii="宋体" w:hAnsi="宋体" w:cs="宋体"/>
                <w:color w:val="auto"/>
                <w:szCs w:val="21"/>
                <w:highlight w:val="none"/>
              </w:rPr>
            </w:r>
            <w:r>
              <w:rPr>
                <w:color w:val="auto"/>
              </w:rPr>
            </w:r>
          </w:p>
        </w:tc>
        <w:tc>
          <w:tcPr>
            <w:tcW w:w="800" w:type="dxa"/>
            <w:vAlign w:val="center"/>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c>
          <w:tcPr>
            <w:tcW w:w="1466" w:type="dxa"/>
            <w:vAlign w:val="center"/>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中高级以上职称的人数</w:t>
            </w:r>
            <w:r>
              <w:rPr>
                <w:rFonts w:hint="eastAsia" w:ascii="宋体" w:hAnsi="宋体" w:cs="宋体"/>
                <w:color w:val="auto"/>
                <w:szCs w:val="21"/>
                <w:highlight w:val="none"/>
              </w:rPr>
            </w:r>
            <w:r>
              <w:rPr>
                <w:color w:val="auto"/>
              </w:rPr>
            </w:r>
          </w:p>
        </w:tc>
        <w:tc>
          <w:tcPr>
            <w:gridSpan w:val="2"/>
            <w:tcW w:w="3049" w:type="dxa"/>
            <w:vAlign w:val="center"/>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cantSplit/>
          <w:trHeight w:val="392"/>
        </w:trPr>
        <w:tc>
          <w:tcPr>
            <w:tcW w:w="3413" w:type="dxa"/>
            <w:vAlign w:val="center"/>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技术负责人</w:t>
            </w:r>
            <w:r>
              <w:rPr>
                <w:rFonts w:hint="eastAsia" w:ascii="宋体" w:hAnsi="宋体" w:cs="宋体"/>
                <w:color w:val="auto"/>
                <w:szCs w:val="21"/>
                <w:highlight w:val="none"/>
              </w:rPr>
            </w:r>
            <w:r>
              <w:rPr>
                <w:color w:val="auto"/>
              </w:rPr>
            </w:r>
          </w:p>
        </w:tc>
        <w:tc>
          <w:tcPr>
            <w:gridSpan w:val="4"/>
            <w:tcW w:w="5315" w:type="dxa"/>
            <w:vAlign w:val="center"/>
            <w:textDirection w:val="lrTb"/>
            <w:noWrap w:val="false"/>
          </w:tcPr>
          <w:p>
            <w:pPr>
              <w:pStyle w:val="702"/>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1、姓名        2、职称、        3、联系电话</w:t>
            </w:r>
            <w:r>
              <w:rPr>
                <w:rFonts w:hint="eastAsia" w:ascii="宋体" w:hAnsi="宋体" w:cs="宋体"/>
                <w:color w:val="auto"/>
                <w:szCs w:val="21"/>
                <w:highlight w:val="none"/>
              </w:rPr>
            </w:r>
            <w:r>
              <w:rPr>
                <w:color w:val="auto"/>
              </w:rPr>
            </w:r>
          </w:p>
        </w:tc>
      </w:tr>
      <w:tr>
        <w:trPr>
          <w:cantSplit/>
          <w:trHeight w:val="484"/>
        </w:trPr>
        <w:tc>
          <w:tcPr>
            <w:tcW w:w="3413" w:type="dxa"/>
            <w:vAlign w:val="center"/>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财务负责人</w:t>
            </w:r>
            <w:r>
              <w:rPr>
                <w:rFonts w:hint="eastAsia" w:ascii="宋体" w:hAnsi="宋体" w:cs="宋体"/>
                <w:color w:val="auto"/>
                <w:szCs w:val="21"/>
                <w:highlight w:val="none"/>
              </w:rPr>
            </w:r>
            <w:r>
              <w:rPr>
                <w:color w:val="auto"/>
              </w:rPr>
            </w:r>
          </w:p>
        </w:tc>
        <w:tc>
          <w:tcPr>
            <w:gridSpan w:val="4"/>
            <w:tcW w:w="5315" w:type="dxa"/>
            <w:vAlign w:val="center"/>
            <w:textDirection w:val="lrTb"/>
            <w:noWrap w:val="false"/>
          </w:tcPr>
          <w:p>
            <w:pPr>
              <w:pStyle w:val="702"/>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1、姓名        2、职称、        3、联系电话</w:t>
            </w:r>
            <w:r>
              <w:rPr>
                <w:rFonts w:hint="eastAsia" w:ascii="宋体" w:hAnsi="宋体" w:cs="宋体"/>
                <w:color w:val="auto"/>
                <w:szCs w:val="21"/>
                <w:highlight w:val="none"/>
              </w:rPr>
            </w:r>
            <w:r>
              <w:rPr>
                <w:color w:val="auto"/>
              </w:rPr>
            </w:r>
          </w:p>
        </w:tc>
      </w:tr>
      <w:tr>
        <w:trPr>
          <w:cantSplit/>
          <w:trHeight w:val="478"/>
        </w:trPr>
        <w:tc>
          <w:tcPr>
            <w:tcW w:w="3413" w:type="dxa"/>
            <w:vAlign w:val="center"/>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营业收入</w:t>
            </w:r>
            <w:r>
              <w:rPr>
                <w:rFonts w:hint="eastAsia" w:ascii="宋体" w:hAnsi="宋体" w:cs="宋体"/>
                <w:color w:val="auto"/>
                <w:szCs w:val="21"/>
                <w:highlight w:val="none"/>
              </w:rPr>
            </w:r>
            <w:r>
              <w:rPr>
                <w:color w:val="auto"/>
              </w:rPr>
            </w:r>
          </w:p>
        </w:tc>
        <w:tc>
          <w:tcPr>
            <w:gridSpan w:val="4"/>
            <w:tcW w:w="5315" w:type="dxa"/>
            <w:vAlign w:val="center"/>
            <w:textDirection w:val="lrTb"/>
            <w:noWrap w:val="false"/>
          </w:tcPr>
          <w:p>
            <w:pPr>
              <w:pStyle w:val="702"/>
              <w:ind w:firstLine="480"/>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年         万元；   </w:t>
            </w:r>
            <w:r>
              <w:rPr>
                <w:rFonts w:hint="eastAsia" w:ascii="宋体" w:hAnsi="宋体" w:cs="宋体"/>
                <w:color w:val="auto"/>
                <w:szCs w:val="21"/>
                <w:highlight w:val="none"/>
              </w:rPr>
            </w:r>
            <w:r>
              <w:rPr>
                <w:color w:val="auto"/>
              </w:rPr>
            </w:r>
          </w:p>
        </w:tc>
      </w:tr>
      <w:tr>
        <w:trPr>
          <w:cantSplit/>
          <w:trHeight w:val="508"/>
        </w:trPr>
        <w:tc>
          <w:tcPr>
            <w:tcW w:w="3413" w:type="dxa"/>
            <w:vAlign w:val="center"/>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营业面积</w:t>
            </w:r>
            <w:r>
              <w:rPr>
                <w:rFonts w:hint="eastAsia" w:ascii="宋体" w:hAnsi="宋体" w:cs="宋体"/>
                <w:color w:val="auto"/>
                <w:szCs w:val="21"/>
                <w:highlight w:val="none"/>
              </w:rPr>
            </w:r>
            <w:r>
              <w:rPr>
                <w:color w:val="auto"/>
              </w:rPr>
            </w:r>
          </w:p>
        </w:tc>
        <w:tc>
          <w:tcPr>
            <w:gridSpan w:val="2"/>
            <w:tcW w:w="2266" w:type="dxa"/>
            <w:vAlign w:val="center"/>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      平方米</w:t>
            </w:r>
            <w:r>
              <w:rPr>
                <w:rFonts w:hint="eastAsia" w:ascii="宋体" w:hAnsi="宋体" w:cs="宋体"/>
                <w:color w:val="auto"/>
                <w:szCs w:val="21"/>
                <w:highlight w:val="none"/>
              </w:rPr>
            </w:r>
            <w:r>
              <w:rPr>
                <w:color w:val="auto"/>
              </w:rPr>
            </w:r>
          </w:p>
        </w:tc>
        <w:tc>
          <w:tcPr>
            <w:tcW w:w="1265" w:type="dxa"/>
            <w:vAlign w:val="center"/>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其中：</w:t>
            </w:r>
            <w:r>
              <w:rPr>
                <w:rFonts w:hint="eastAsia" w:ascii="宋体" w:hAnsi="宋体" w:cs="宋体"/>
                <w:color w:val="auto"/>
                <w:szCs w:val="21"/>
                <w:highlight w:val="none"/>
              </w:rPr>
            </w:r>
            <w:r>
              <w:rPr>
                <w:color w:val="auto"/>
              </w:rPr>
            </w:r>
          </w:p>
        </w:tc>
        <w:tc>
          <w:tcPr>
            <w:tcW w:w="1784" w:type="dxa"/>
            <w:vAlign w:val="center"/>
            <w:textDirection w:val="lrTb"/>
            <w:noWrap w:val="false"/>
          </w:tcPr>
          <w:p>
            <w:pPr>
              <w:pStyle w:val="702"/>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自有面积   平方米</w:t>
            </w:r>
            <w:r>
              <w:rPr>
                <w:rFonts w:hint="eastAsia" w:ascii="宋体" w:hAnsi="宋体" w:cs="宋体"/>
                <w:color w:val="auto"/>
                <w:szCs w:val="21"/>
                <w:highlight w:val="none"/>
              </w:rPr>
            </w:r>
            <w:r>
              <w:rPr>
                <w:color w:val="auto"/>
              </w:rPr>
            </w:r>
          </w:p>
          <w:p>
            <w:pPr>
              <w:pStyle w:val="702"/>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承租面积   平方米</w:t>
            </w:r>
            <w:r>
              <w:rPr>
                <w:rFonts w:hint="eastAsia" w:ascii="宋体" w:hAnsi="宋体" w:cs="宋体"/>
                <w:color w:val="auto"/>
                <w:szCs w:val="21"/>
                <w:highlight w:val="none"/>
              </w:rPr>
            </w:r>
            <w:r>
              <w:rPr>
                <w:color w:val="auto"/>
              </w:rPr>
            </w:r>
          </w:p>
        </w:tc>
      </w:tr>
      <w:tr>
        <w:trPr>
          <w:cantSplit/>
          <w:trHeight w:val="1310"/>
        </w:trPr>
        <w:tc>
          <w:tcPr>
            <w:tcW w:w="3413" w:type="dxa"/>
            <w:vAlign w:val="center"/>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企业简历</w:t>
            </w:r>
            <w:r>
              <w:rPr>
                <w:rFonts w:hint="eastAsia" w:ascii="宋体" w:hAnsi="宋体" w:cs="宋体"/>
                <w:color w:val="auto"/>
                <w:szCs w:val="21"/>
                <w:highlight w:val="none"/>
              </w:rPr>
            </w:r>
            <w:r>
              <w:rPr>
                <w:color w:val="auto"/>
              </w:rPr>
            </w:r>
          </w:p>
        </w:tc>
        <w:tc>
          <w:tcPr>
            <w:gridSpan w:val="4"/>
            <w:tcW w:w="5315" w:type="dxa"/>
            <w:vAlign w:val="center"/>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cantSplit/>
        </w:trPr>
        <w:tc>
          <w:tcPr>
            <w:tcW w:w="3413" w:type="dxa"/>
            <w:vAlign w:val="top"/>
            <w:textDirection w:val="lrTb"/>
            <w:noWrap w:val="false"/>
          </w:tcPr>
          <w:p>
            <w:pPr>
              <w:pStyle w:val="702"/>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近三年来完成或正在履行的重大合同情况</w:t>
            </w:r>
            <w:r>
              <w:rPr>
                <w:rFonts w:hint="eastAsia" w:ascii="宋体" w:hAnsi="宋体" w:cs="宋体"/>
                <w:color w:val="auto"/>
                <w:szCs w:val="21"/>
                <w:highlight w:val="none"/>
              </w:rPr>
            </w:r>
            <w:r>
              <w:rPr>
                <w:color w:val="auto"/>
              </w:rPr>
            </w:r>
          </w:p>
        </w:tc>
        <w:tc>
          <w:tcPr>
            <w:gridSpan w:val="4"/>
            <w:tcW w:w="5315" w:type="dxa"/>
            <w:vAlign w:val="top"/>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cantSplit/>
        </w:trPr>
        <w:tc>
          <w:tcPr>
            <w:tcW w:w="3413" w:type="dxa"/>
            <w:vAlign w:val="top"/>
            <w:textDirection w:val="lrTb"/>
            <w:noWrap w:val="false"/>
          </w:tcPr>
          <w:p>
            <w:pPr>
              <w:pStyle w:val="702"/>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最近2年内在经营过程中受到何种奖励或处分</w:t>
            </w:r>
            <w:r>
              <w:rPr>
                <w:rFonts w:hint="eastAsia" w:ascii="宋体" w:hAnsi="宋体" w:cs="宋体"/>
                <w:color w:val="auto"/>
                <w:szCs w:val="21"/>
                <w:highlight w:val="none"/>
              </w:rPr>
            </w:r>
            <w:r>
              <w:rPr>
                <w:color w:val="auto"/>
              </w:rPr>
            </w:r>
          </w:p>
        </w:tc>
        <w:tc>
          <w:tcPr>
            <w:gridSpan w:val="4"/>
            <w:tcW w:w="5315" w:type="dxa"/>
            <w:vAlign w:val="top"/>
            <w:textDirection w:val="lrTb"/>
            <w:noWrap w:val="false"/>
          </w:tcPr>
          <w:p>
            <w:pPr>
              <w:pStyle w:val="702"/>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（包括财政、工商、税务、物价、技监部门稽查情况、</w:t>
            </w:r>
            <w:r>
              <w:rPr>
                <w:rFonts w:hint="eastAsia" w:ascii="宋体" w:hAnsi="宋体" w:cs="宋体"/>
                <w:color w:val="auto"/>
                <w:szCs w:val="21"/>
                <w:highlight w:val="none"/>
              </w:rPr>
            </w:r>
            <w:r>
              <w:rPr>
                <w:color w:val="auto"/>
              </w:rPr>
            </w:r>
          </w:p>
          <w:p>
            <w:pPr>
              <w:pStyle w:val="702"/>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结果）</w:t>
            </w:r>
            <w:r>
              <w:rPr>
                <w:rFonts w:hint="eastAsia" w:ascii="宋体" w:hAnsi="宋体" w:cs="宋体"/>
                <w:color w:val="auto"/>
                <w:szCs w:val="21"/>
                <w:highlight w:val="none"/>
              </w:rPr>
            </w:r>
            <w:r>
              <w:rPr>
                <w:color w:val="auto"/>
              </w:rPr>
            </w:r>
          </w:p>
        </w:tc>
      </w:tr>
      <w:tr>
        <w:trPr>
          <w:cantSplit/>
          <w:trHeight w:val="1040"/>
        </w:trPr>
        <w:tc>
          <w:tcPr>
            <w:tcW w:w="3413" w:type="dxa"/>
            <w:vAlign w:val="top"/>
            <w:textDirection w:val="lrTb"/>
            <w:noWrap w:val="false"/>
          </w:tcPr>
          <w:p>
            <w:pPr>
              <w:pStyle w:val="702"/>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rPr>
                <w:rFonts w:hint="eastAsia" w:ascii="宋体" w:hAnsi="宋体" w:cs="宋体"/>
                <w:color w:val="auto"/>
                <w:szCs w:val="21"/>
                <w:highlight w:val="none"/>
              </w:rPr>
            </w:r>
            <w:r>
              <w:rPr>
                <w:color w:val="auto"/>
              </w:rPr>
            </w:r>
          </w:p>
        </w:tc>
        <w:tc>
          <w:tcPr>
            <w:gridSpan w:val="4"/>
            <w:tcW w:w="5315" w:type="dxa"/>
            <w:vAlign w:val="top"/>
            <w:textDirection w:val="lrTb"/>
            <w:noWrap w:val="false"/>
          </w:tcPr>
          <w:p>
            <w:pPr>
              <w:pStyle w:val="702"/>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（包括解决方式和结果）</w:t>
            </w:r>
            <w:r>
              <w:rPr>
                <w:rFonts w:hint="eastAsia" w:ascii="宋体" w:hAnsi="宋体" w:cs="宋体"/>
                <w:color w:val="auto"/>
                <w:szCs w:val="21"/>
                <w:highlight w:val="none"/>
              </w:rPr>
            </w:r>
            <w:r>
              <w:rPr>
                <w:color w:val="auto"/>
              </w:rPr>
            </w:r>
          </w:p>
        </w:tc>
      </w:tr>
      <w:tr>
        <w:trPr>
          <w:cantSplit/>
        </w:trPr>
        <w:tc>
          <w:tcPr>
            <w:tcW w:w="3413" w:type="dxa"/>
            <w:vAlign w:val="top"/>
            <w:textDirection w:val="lrTb"/>
            <w:noWrap w:val="false"/>
          </w:tcPr>
          <w:p>
            <w:pPr>
              <w:pStyle w:val="702"/>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最近3年内主要负责人有无经济犯罪被司法机关追究的情况及说明</w:t>
            </w:r>
            <w:r>
              <w:rPr>
                <w:rFonts w:hint="eastAsia" w:ascii="宋体" w:hAnsi="宋体" w:cs="宋体"/>
                <w:color w:val="auto"/>
                <w:szCs w:val="21"/>
                <w:highlight w:val="none"/>
              </w:rPr>
            </w:r>
            <w:r>
              <w:rPr>
                <w:color w:val="auto"/>
              </w:rPr>
            </w:r>
          </w:p>
        </w:tc>
        <w:tc>
          <w:tcPr>
            <w:gridSpan w:val="4"/>
            <w:tcW w:w="5315" w:type="dxa"/>
            <w:vAlign w:val="top"/>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cantSplit/>
          <w:trHeight w:val="604"/>
        </w:trPr>
        <w:tc>
          <w:tcPr>
            <w:tcW w:w="3413" w:type="dxa"/>
            <w:vAlign w:val="top"/>
            <w:textDirection w:val="lrTb"/>
            <w:noWrap w:val="false"/>
          </w:tcPr>
          <w:p>
            <w:pPr>
              <w:pStyle w:val="702"/>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获得技术认证的工程师及简介</w:t>
            </w:r>
            <w:r>
              <w:rPr>
                <w:rFonts w:hint="eastAsia" w:ascii="宋体" w:hAnsi="宋体" w:cs="宋体"/>
                <w:color w:val="auto"/>
                <w:szCs w:val="21"/>
                <w:highlight w:val="none"/>
              </w:rPr>
            </w:r>
            <w:r>
              <w:rPr>
                <w:color w:val="auto"/>
              </w:rPr>
            </w:r>
          </w:p>
        </w:tc>
        <w:tc>
          <w:tcPr>
            <w:gridSpan w:val="4"/>
            <w:tcW w:w="5315" w:type="dxa"/>
            <w:vAlign w:val="top"/>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r>
        <w:trPr>
          <w:cantSplit/>
          <w:trHeight w:val="748"/>
        </w:trPr>
        <w:tc>
          <w:tcPr>
            <w:tcW w:w="3413" w:type="dxa"/>
            <w:vAlign w:val="center"/>
            <w:textDirection w:val="lrTb"/>
            <w:noWrap w:val="false"/>
          </w:tcPr>
          <w:p>
            <w:pPr>
              <w:pStyle w:val="702"/>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其他需要说明的情况</w:t>
            </w:r>
            <w:r>
              <w:rPr>
                <w:rFonts w:hint="eastAsia" w:ascii="宋体" w:hAnsi="宋体" w:cs="宋体"/>
                <w:color w:val="auto"/>
                <w:szCs w:val="21"/>
                <w:highlight w:val="none"/>
              </w:rPr>
            </w:r>
            <w:r>
              <w:rPr>
                <w:color w:val="auto"/>
              </w:rPr>
            </w:r>
          </w:p>
        </w:tc>
        <w:tc>
          <w:tcPr>
            <w:gridSpan w:val="4"/>
            <w:tcW w:w="5315" w:type="dxa"/>
            <w:vAlign w:val="top"/>
            <w:textDirection w:val="lrTb"/>
            <w:noWrap w:val="false"/>
          </w:tcPr>
          <w:p>
            <w:pPr>
              <w:pStyle w:val="702"/>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tc>
      </w:tr>
    </w:tbl>
    <w:p>
      <w:pPr>
        <w:pStyle w:val="908"/>
        <w:ind w:firstLine="0"/>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rPr>
      </w:r>
    </w:p>
    <w:p>
      <w:pPr>
        <w:pStyle w:val="702"/>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p>
    <w:p>
      <w:pPr>
        <w:pStyle w:val="702"/>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p>
    <w:p>
      <w:pPr>
        <w:pStyle w:val="702"/>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p>
    <w:p>
      <w:pPr>
        <w:pStyle w:val="702"/>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p>
    <w:p>
      <w:pPr>
        <w:pStyle w:val="702"/>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p>
    <w:p>
      <w:pPr>
        <w:pStyle w:val="908"/>
        <w:ind w:firstLine="0"/>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rPr>
      </w:r>
    </w:p>
    <w:p>
      <w:pPr>
        <w:pStyle w:val="702"/>
        <w:rPr>
          <w:rFonts w:hint="eastAsia" w:ascii="宋体" w:hAnsi="宋体"/>
          <w:b/>
          <w:color w:val="auto"/>
          <w:szCs w:val="21"/>
          <w:highlight w:val="none"/>
        </w:rPr>
        <w:outlineLvl w:val="0"/>
      </w:pPr>
      <w:r>
        <w:rPr>
          <w:color w:val="auto"/>
        </w:rPr>
      </w:r>
      <w:bookmarkStart w:id="49" w:name="_Toc156314241"/>
      <w:r>
        <w:rPr>
          <w:rFonts w:ascii="宋体" w:hAnsi="宋体"/>
          <w:b/>
          <w:color w:val="auto"/>
          <w:szCs w:val="21"/>
          <w:highlight w:val="none"/>
        </w:rPr>
        <w:t xml:space="preserve">附件</w:t>
      </w:r>
      <w:r>
        <w:rPr>
          <w:rFonts w:hint="eastAsia" w:ascii="宋体" w:hAnsi="宋体"/>
          <w:b/>
          <w:color w:val="auto"/>
          <w:szCs w:val="21"/>
          <w:highlight w:val="none"/>
        </w:rPr>
        <w:t xml:space="preserve">1</w:t>
      </w:r>
      <w:r>
        <w:rPr>
          <w:rFonts w:ascii="宋体" w:hAnsi="宋体"/>
          <w:b/>
          <w:color w:val="auto"/>
          <w:szCs w:val="21"/>
          <w:highlight w:val="none"/>
        </w:rPr>
        <w:t xml:space="preserve">1</w:t>
      </w:r>
      <w:r>
        <w:rPr>
          <w:rFonts w:hint="eastAsia" w:ascii="宋体" w:hAnsi="宋体"/>
          <w:b/>
          <w:color w:val="auto"/>
          <w:szCs w:val="21"/>
          <w:highlight w:val="none"/>
        </w:rPr>
        <w:t xml:space="preserve">.</w:t>
      </w:r>
      <w:r>
        <w:rPr>
          <w:b/>
          <w:color w:val="auto"/>
          <w:highlight w:val="none"/>
        </w:rPr>
        <w:t xml:space="preserve">中小企业</w:t>
      </w:r>
      <w:r>
        <w:rPr>
          <w:rFonts w:ascii="宋体" w:hAnsi="宋体"/>
          <w:b/>
          <w:color w:val="auto"/>
          <w:szCs w:val="21"/>
          <w:highlight w:val="none"/>
        </w:rPr>
        <w:t xml:space="preserve">声明函</w:t>
      </w:r>
      <w:bookmarkEnd w:id="49"/>
      <w:r>
        <w:rPr>
          <w:rFonts w:hint="eastAsia" w:ascii="宋体" w:hAnsi="宋体"/>
          <w:b/>
          <w:color w:val="auto"/>
          <w:szCs w:val="21"/>
          <w:highlight w:val="none"/>
        </w:rPr>
        <w:t xml:space="preserve">（如有）</w:t>
      </w:r>
      <w:r>
        <w:rPr>
          <w:rFonts w:hint="eastAsia" w:ascii="宋体" w:hAnsi="宋体"/>
          <w:b/>
          <w:color w:val="auto"/>
          <w:szCs w:val="21"/>
          <w:highlight w:val="none"/>
        </w:rPr>
      </w:r>
      <w:r>
        <w:rPr>
          <w:color w:val="auto"/>
        </w:rPr>
      </w:r>
    </w:p>
    <w:p>
      <w:pPr>
        <w:pStyle w:val="702"/>
        <w:jc w:val="left"/>
        <w:spacing w:line="480" w:lineRule="exact"/>
        <w:rPr>
          <w:rFonts w:hint="eastAsia" w:ascii="宋体" w:hAnsi="宋体"/>
          <w:b/>
          <w:color w:val="auto"/>
          <w:szCs w:val="21"/>
          <w:highlight w:val="none"/>
        </w:rPr>
      </w:pPr>
      <w:r>
        <w:rPr>
          <w:rFonts w:hint="eastAsia" w:ascii="宋体" w:hAnsi="宋体"/>
          <w:b/>
          <w:color w:val="auto"/>
          <w:szCs w:val="21"/>
          <w:highlight w:val="none"/>
        </w:rPr>
      </w:r>
      <w:r>
        <w:rPr>
          <w:color w:val="auto"/>
        </w:rPr>
      </w:r>
    </w:p>
    <w:p>
      <w:pPr>
        <w:pStyle w:val="702"/>
        <w:jc w:val="center"/>
        <w:spacing w:line="480" w:lineRule="exact"/>
        <w:rPr>
          <w:rFonts w:hint="eastAsia" w:ascii="宋体" w:hAnsi="宋体"/>
          <w:b/>
          <w:color w:val="auto"/>
          <w:szCs w:val="21"/>
          <w:highlight w:val="none"/>
        </w:rPr>
      </w:pPr>
      <w:r>
        <w:rPr>
          <w:rFonts w:hint="eastAsia" w:ascii="宋体" w:hAnsi="宋体"/>
          <w:b/>
          <w:color w:val="auto"/>
          <w:szCs w:val="21"/>
          <w:highlight w:val="none"/>
        </w:rPr>
        <w:t xml:space="preserve">中小企业声明函（服务）</w:t>
      </w:r>
      <w:r>
        <w:rPr>
          <w:rFonts w:hint="eastAsia" w:ascii="宋体" w:hAnsi="宋体"/>
          <w:b/>
          <w:color w:val="auto"/>
          <w:szCs w:val="21"/>
          <w:highlight w:val="none"/>
        </w:rPr>
      </w:r>
      <w:r>
        <w:rPr>
          <w:color w:val="auto"/>
        </w:rPr>
      </w:r>
    </w:p>
    <w:p>
      <w:pPr>
        <w:pStyle w:val="702"/>
        <w:jc w:val="left"/>
        <w:spacing w:line="480" w:lineRule="exact"/>
        <w:rPr>
          <w:rFonts w:hint="eastAsia" w:ascii="宋体" w:hAnsi="宋体"/>
          <w:color w:val="auto"/>
          <w:szCs w:val="21"/>
          <w:highlight w:val="none"/>
        </w:rPr>
      </w:pPr>
      <w:r>
        <w:rPr>
          <w:rFonts w:hint="eastAsia" w:ascii="宋体" w:hAnsi="宋体"/>
          <w:color w:val="auto"/>
          <w:szCs w:val="21"/>
          <w:highlight w:val="none"/>
          <w:u w:val="single"/>
        </w:rPr>
        <w:t xml:space="preserve">苏州捷信招投标咨询有限公司：</w:t>
      </w:r>
      <w:r>
        <w:rPr>
          <w:rFonts w:hint="eastAsia" w:ascii="宋体" w:hAnsi="宋体"/>
          <w:color w:val="auto"/>
          <w:szCs w:val="21"/>
          <w:highlight w:val="none"/>
        </w:rPr>
      </w:r>
      <w:r>
        <w:rPr>
          <w:color w:val="auto"/>
        </w:rPr>
      </w:r>
    </w:p>
    <w:p>
      <w:pPr>
        <w:pStyle w:val="702"/>
        <w:ind w:firstLine="420"/>
        <w:spacing w:line="480" w:lineRule="exact"/>
        <w:rPr>
          <w:rFonts w:hint="eastAsia" w:ascii="宋体" w:hAnsi="宋体"/>
          <w:color w:val="auto"/>
          <w:szCs w:val="21"/>
          <w:highlight w:val="none"/>
          <w:u w:val="single"/>
        </w:rPr>
      </w:pPr>
      <w:r>
        <w:rPr>
          <w:rFonts w:hint="eastAsia" w:ascii="宋体" w:hAnsi="宋体"/>
          <w:color w:val="auto"/>
          <w:szCs w:val="21"/>
          <w:highlight w:val="none"/>
        </w:rPr>
        <w:t xml:space="preserve">本公司（联合体）郑重声明，根据《政府采购促进中小企业发展管理办法》（财库[20</w:t>
      </w:r>
      <w:r>
        <w:rPr>
          <w:rFonts w:ascii="宋体" w:hAnsi="宋体"/>
          <w:color w:val="auto"/>
          <w:szCs w:val="21"/>
          <w:highlight w:val="none"/>
        </w:rPr>
        <w:t xml:space="preserve">20</w:t>
      </w:r>
      <w:r>
        <w:rPr>
          <w:rFonts w:hint="eastAsia" w:ascii="宋体" w:hAnsi="宋体"/>
          <w:color w:val="auto"/>
          <w:szCs w:val="21"/>
          <w:highlight w:val="none"/>
        </w:rPr>
        <w:t xml:space="preserve">]</w:t>
      </w:r>
      <w:r>
        <w:rPr>
          <w:rFonts w:ascii="宋体" w:hAnsi="宋体"/>
          <w:color w:val="auto"/>
          <w:szCs w:val="21"/>
          <w:highlight w:val="none"/>
        </w:rPr>
        <w:t xml:space="preserve">46</w:t>
      </w:r>
      <w:r>
        <w:rPr>
          <w:rFonts w:hint="eastAsia" w:ascii="宋体" w:hAnsi="宋体"/>
          <w:color w:val="auto"/>
          <w:szCs w:val="21"/>
          <w:highlight w:val="none"/>
        </w:rPr>
        <w:t xml:space="preserve">号）的规定，本公司（联合体）参加</w:t>
      </w:r>
      <w:r>
        <w:rPr>
          <w:rFonts w:hint="eastAsia" w:ascii="宋体" w:hAnsi="宋体"/>
          <w:color w:val="auto"/>
          <w:szCs w:val="21"/>
          <w:highlight w:val="none"/>
          <w:u w:val="single"/>
        </w:rPr>
        <w:t xml:space="preserve">（单位名称）</w:t>
      </w:r>
      <w:r>
        <w:rPr>
          <w:rFonts w:hint="eastAsia" w:ascii="宋体" w:hAnsi="宋体"/>
          <w:color w:val="auto"/>
          <w:szCs w:val="21"/>
          <w:highlight w:val="none"/>
        </w:rPr>
        <w:t xml:space="preserve">的</w:t>
      </w:r>
      <w:r>
        <w:rPr>
          <w:rFonts w:hint="eastAsia" w:ascii="宋体" w:hAnsi="宋体"/>
          <w:color w:val="auto"/>
          <w:szCs w:val="21"/>
          <w:highlight w:val="none"/>
          <w:u w:val="single"/>
        </w:rPr>
        <w:t xml:space="preserve">（项目名称）</w:t>
      </w:r>
      <w:r>
        <w:rPr>
          <w:rFonts w:hint="eastAsia" w:ascii="宋体" w:hAnsi="宋体"/>
          <w:color w:val="auto"/>
          <w:szCs w:val="21"/>
          <w:highlight w:val="none"/>
        </w:rPr>
        <w:t xml:space="preserve">采购活动，服务全部由符合政策要求的中小企业承接。相关企业（含联合体中的中小企业、签订分包意向协议的中小企业）的具体情况如下：</w:t>
      </w:r>
      <w:r>
        <w:rPr>
          <w:rFonts w:hint="eastAsia" w:ascii="宋体" w:hAnsi="宋体"/>
          <w:color w:val="auto"/>
          <w:szCs w:val="21"/>
          <w:highlight w:val="none"/>
          <w:u w:val="single"/>
        </w:rPr>
      </w:r>
      <w:r>
        <w:rPr>
          <w:color w:val="auto"/>
        </w:rPr>
      </w:r>
    </w:p>
    <w:p>
      <w:pPr>
        <w:pStyle w:val="702"/>
        <w:ind w:firstLine="420"/>
        <w:spacing w:line="48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u w:val="single"/>
        </w:rPr>
        <w:t xml:space="preserve">（项目名称）</w:t>
      </w:r>
      <w:r>
        <w:rPr>
          <w:rFonts w:hint="eastAsia" w:ascii="宋体" w:hAnsi="宋体"/>
          <w:color w:val="auto"/>
          <w:szCs w:val="21"/>
          <w:highlight w:val="none"/>
        </w:rPr>
        <w:t xml:space="preserve">，属于</w:t>
      </w:r>
      <w:r>
        <w:rPr>
          <w:rFonts w:hint="eastAsia" w:ascii="宋体" w:hAnsi="宋体"/>
          <w:color w:val="auto"/>
          <w:szCs w:val="21"/>
          <w:highlight w:val="none"/>
          <w:u w:val="single"/>
        </w:rPr>
        <w:t xml:space="preserve">（采购文件中明确的所属行业）行业</w:t>
      </w:r>
      <w:r>
        <w:rPr>
          <w:rFonts w:hint="eastAsia" w:ascii="宋体" w:hAnsi="宋体"/>
          <w:color w:val="auto"/>
          <w:szCs w:val="21"/>
          <w:highlight w:val="none"/>
        </w:rPr>
        <w:t xml:space="preserve">；承接企业为</w:t>
      </w:r>
      <w:r>
        <w:rPr>
          <w:rFonts w:hint="eastAsia" w:ascii="宋体" w:hAnsi="宋体"/>
          <w:color w:val="auto"/>
          <w:szCs w:val="21"/>
          <w:highlight w:val="none"/>
          <w:u w:val="single"/>
        </w:rPr>
        <w:t xml:space="preserve">（企业名称）</w:t>
      </w:r>
      <w:r>
        <w:rPr>
          <w:rFonts w:hint="eastAsia" w:ascii="宋体" w:hAnsi="宋体"/>
          <w:color w:val="auto"/>
          <w:szCs w:val="21"/>
          <w:highlight w:val="none"/>
        </w:rPr>
        <w:t xml:space="preserve">，从业人员</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万元</w:t>
      </w:r>
      <w:r>
        <w:rPr>
          <w:rStyle w:val="763"/>
          <w:rFonts w:ascii="宋体" w:hAnsi="宋体"/>
          <w:color w:val="auto"/>
          <w:szCs w:val="21"/>
          <w:highlight w:val="none"/>
        </w:rPr>
        <w:footnoteReference w:id="2"/>
      </w:r>
      <w:r>
        <w:rPr>
          <w:rFonts w:hint="eastAsia" w:ascii="宋体" w:hAnsi="宋体"/>
          <w:color w:val="auto"/>
          <w:szCs w:val="21"/>
          <w:highlight w:val="none"/>
        </w:rPr>
        <w:t xml:space="preserve">，属于</w:t>
      </w:r>
      <w:r>
        <w:rPr>
          <w:rFonts w:hint="eastAsia" w:ascii="宋体" w:hAnsi="宋体"/>
          <w:color w:val="auto"/>
          <w:szCs w:val="21"/>
          <w:highlight w:val="none"/>
          <w:u w:val="single"/>
        </w:rPr>
        <w:t xml:space="preserve">（□中型企业、□小型企业、□微型企业）</w:t>
      </w:r>
      <w:r>
        <w:rPr>
          <w:rFonts w:hint="eastAsia" w:ascii="宋体" w:hAnsi="宋体"/>
          <w:color w:val="auto"/>
          <w:szCs w:val="21"/>
          <w:highlight w:val="none"/>
        </w:rPr>
        <w:t xml:space="preserve">；</w:t>
      </w:r>
      <w:r>
        <w:rPr>
          <w:rFonts w:hint="eastAsia" w:ascii="宋体" w:hAnsi="宋体"/>
          <w:color w:val="auto"/>
          <w:szCs w:val="21"/>
          <w:highlight w:val="none"/>
        </w:rPr>
      </w:r>
      <w:r>
        <w:rPr>
          <w:color w:val="auto"/>
        </w:rPr>
      </w:r>
    </w:p>
    <w:p>
      <w:pPr>
        <w:pStyle w:val="702"/>
        <w:ind w:firstLine="420"/>
        <w:spacing w:line="48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项目</w:t>
      </w:r>
      <w:r>
        <w:rPr>
          <w:rFonts w:hint="eastAsia" w:ascii="宋体" w:hAnsi="宋体" w:cs="宋体"/>
          <w:color w:val="auto"/>
          <w:szCs w:val="21"/>
          <w:highlight w:val="none"/>
          <w:u w:val="single"/>
          <w:lang w:val="zh-CN"/>
        </w:rPr>
        <w:t xml:space="preserve">名称）</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（采购文件中明确的所属行业）行业</w:t>
      </w:r>
      <w:r>
        <w:rPr>
          <w:rFonts w:hint="eastAsia" w:ascii="宋体" w:hAnsi="宋体" w:cs="宋体"/>
          <w:color w:val="auto"/>
          <w:szCs w:val="21"/>
          <w:highlight w:val="none"/>
          <w:lang w:val="zh-CN"/>
        </w:rPr>
        <w:t xml:space="preserve">；承接企业为</w:t>
      </w:r>
      <w:r>
        <w:rPr>
          <w:rFonts w:hint="eastAsia" w:ascii="宋体" w:hAnsi="宋体" w:cs="宋体"/>
          <w:color w:val="auto"/>
          <w:szCs w:val="21"/>
          <w:highlight w:val="none"/>
          <w:u w:val="single"/>
          <w:lang w:val="zh-CN"/>
        </w:rPr>
        <w:t xml:space="preserve">（企业名称）</w:t>
      </w:r>
      <w:r>
        <w:rPr>
          <w:rFonts w:hint="eastAsia" w:ascii="宋体" w:hAnsi="宋体" w:cs="宋体"/>
          <w:color w:val="auto"/>
          <w:szCs w:val="21"/>
          <w:highlight w:val="none"/>
          <w:lang w:val="zh-CN"/>
        </w:rPr>
        <w:t xml:space="preserve">，</w:t>
      </w:r>
      <w:r>
        <w:rPr>
          <w:rFonts w:hint="eastAsia" w:ascii="宋体" w:hAnsi="宋体"/>
          <w:color w:val="auto"/>
          <w:szCs w:val="21"/>
          <w:highlight w:val="none"/>
        </w:rPr>
        <w:t xml:space="preserve">从业人员</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万元，属于</w:t>
      </w:r>
      <w:r>
        <w:rPr>
          <w:rFonts w:hint="eastAsia" w:ascii="宋体" w:hAnsi="宋体"/>
          <w:color w:val="auto"/>
          <w:szCs w:val="21"/>
          <w:highlight w:val="none"/>
          <w:u w:val="single"/>
        </w:rPr>
        <w:t xml:space="preserve">（□中型企业、□小型企业、□微型企业）</w:t>
      </w:r>
      <w:r>
        <w:rPr>
          <w:rFonts w:hint="eastAsia" w:ascii="宋体" w:hAnsi="宋体"/>
          <w:color w:val="auto"/>
          <w:szCs w:val="21"/>
          <w:highlight w:val="none"/>
        </w:rPr>
        <w:t xml:space="preserve">；</w:t>
      </w:r>
      <w:r>
        <w:rPr>
          <w:rFonts w:hint="eastAsia" w:ascii="宋体" w:hAnsi="宋体"/>
          <w:color w:val="auto"/>
          <w:szCs w:val="21"/>
          <w:highlight w:val="none"/>
        </w:rPr>
      </w:r>
      <w:r>
        <w:rPr>
          <w:color w:val="auto"/>
        </w:rPr>
      </w:r>
    </w:p>
    <w:p>
      <w:pPr>
        <w:pStyle w:val="702"/>
        <w:ind w:firstLine="420"/>
        <w:spacing w:line="48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rPr>
      </w:r>
      <w:r>
        <w:rPr>
          <w:color w:val="auto"/>
        </w:rPr>
      </w:r>
    </w:p>
    <w:p>
      <w:pPr>
        <w:pStyle w:val="702"/>
        <w:ind w:firstLine="420"/>
        <w:spacing w:line="480" w:lineRule="exact"/>
        <w:rPr>
          <w:rFonts w:hint="eastAsia"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rPr>
          <w:rFonts w:hint="eastAsia" w:ascii="宋体" w:hAnsi="宋体"/>
          <w:color w:val="auto"/>
          <w:szCs w:val="21"/>
          <w:highlight w:val="none"/>
        </w:rPr>
      </w:r>
      <w:r>
        <w:rPr>
          <w:color w:val="auto"/>
        </w:rPr>
      </w:r>
    </w:p>
    <w:p>
      <w:pPr>
        <w:pStyle w:val="702"/>
        <w:ind w:firstLine="420"/>
        <w:spacing w:line="480" w:lineRule="exact"/>
        <w:rPr>
          <w:rFonts w:hint="eastAsia"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rPr>
          <w:rFonts w:hint="eastAsia" w:ascii="宋体" w:hAnsi="宋体"/>
          <w:color w:val="auto"/>
          <w:szCs w:val="21"/>
          <w:highlight w:val="none"/>
        </w:rPr>
      </w:r>
      <w:r>
        <w:rPr>
          <w:color w:val="auto"/>
        </w:rPr>
      </w:r>
    </w:p>
    <w:p>
      <w:pPr>
        <w:pStyle w:val="702"/>
        <w:jc w:val="left"/>
        <w:spacing w:line="480" w:lineRule="exact"/>
        <w:rPr>
          <w:rFonts w:hint="eastAsia" w:ascii="宋体" w:hAnsi="宋体"/>
          <w:color w:val="auto"/>
          <w:szCs w:val="21"/>
          <w:highlight w:val="none"/>
        </w:rPr>
      </w:pPr>
      <w:r>
        <w:rPr>
          <w:rFonts w:hint="eastAsia" w:ascii="宋体" w:hAnsi="宋体"/>
          <w:color w:val="auto"/>
          <w:szCs w:val="21"/>
          <w:highlight w:val="none"/>
        </w:rPr>
      </w:r>
      <w:r>
        <w:rPr>
          <w:color w:val="auto"/>
        </w:rPr>
      </w:r>
    </w:p>
    <w:p>
      <w:pPr>
        <w:pStyle w:val="702"/>
        <w:ind w:right="-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供应商名称</w:t>
      </w:r>
      <w:r>
        <w:rPr>
          <w:rFonts w:ascii="宋体" w:hAnsi="宋体"/>
          <w:color w:val="auto"/>
          <w:szCs w:val="21"/>
          <w:highlight w:val="none"/>
        </w:rPr>
        <w:t xml:space="preserve">：（公章）</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lang w:val="zh-CN"/>
        </w:rPr>
      </w:r>
      <w:r>
        <w:rPr>
          <w:color w:val="auto"/>
        </w:rPr>
      </w:r>
    </w:p>
    <w:p>
      <w:pPr>
        <w:pStyle w:val="702"/>
        <w:ind w:right="615" w:firstLine="840"/>
        <w:jc w:val="right"/>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 日    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rPr>
          <w:rFonts w:hint="eastAsia" w:ascii="宋体" w:hAnsi="宋体" w:cs="宋体"/>
          <w:color w:val="auto"/>
          <w:szCs w:val="21"/>
          <w:highlight w:val="none"/>
          <w:lang w:val="zh-CN"/>
        </w:rPr>
      </w:r>
      <w:r>
        <w:rPr>
          <w:color w:val="auto"/>
        </w:rPr>
      </w:r>
    </w:p>
    <w:p>
      <w:pPr>
        <w:pStyle w:val="702"/>
        <w:spacing w:line="28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rPr>
          <w:color w:val="auto"/>
        </w:rPr>
      </w:r>
    </w:p>
    <w:p>
      <w:pPr>
        <w:pStyle w:val="714"/>
        <w:ind w:left="400"/>
        <w:rPr>
          <w:color w:val="auto"/>
          <w:highlight w:val="none"/>
        </w:rPr>
      </w:pPr>
      <w:r>
        <w:rPr>
          <w:color w:val="auto"/>
          <w:highlight w:val="none"/>
        </w:rPr>
      </w:r>
      <w:r>
        <w:rPr>
          <w:color w:val="auto"/>
        </w:rPr>
      </w:r>
    </w:p>
    <w:p>
      <w:pPr>
        <w:pStyle w:val="702"/>
        <w:rPr>
          <w:rFonts w:hint="eastAsia" w:ascii="宋体" w:hAnsi="宋体" w:cs="宋体"/>
          <w:b/>
          <w:bCs/>
          <w:color w:val="auto"/>
          <w:szCs w:val="21"/>
          <w:highlight w:val="none"/>
        </w:rPr>
        <w:outlineLvl w:val="0"/>
      </w:pPr>
      <w:r>
        <w:rPr>
          <w:rFonts w:hint="eastAsia" w:ascii="宋体" w:hAnsi="宋体" w:cs="宋体"/>
          <w:b/>
          <w:bCs/>
          <w:color w:val="auto"/>
          <w:szCs w:val="21"/>
          <w:highlight w:val="none"/>
        </w:rPr>
        <w:br w:type="page" w:clear="all"/>
      </w:r>
      <w:bookmarkStart w:id="50" w:name="_Toc156314242"/>
      <w:r>
        <w:rPr>
          <w:rFonts w:hint="eastAsia" w:ascii="宋体" w:hAnsi="宋体" w:cs="宋体"/>
          <w:b/>
          <w:bCs/>
          <w:color w:val="auto"/>
          <w:szCs w:val="21"/>
          <w:highlight w:val="none"/>
        </w:rPr>
        <w:t xml:space="preserve">附件1</w:t>
      </w:r>
      <w:r>
        <w:rPr>
          <w:rFonts w:ascii="宋体" w:hAnsi="宋体" w:cs="宋体"/>
          <w:b/>
          <w:bCs/>
          <w:color w:val="auto"/>
          <w:szCs w:val="21"/>
          <w:highlight w:val="none"/>
        </w:rPr>
        <w:t xml:space="preserve">2</w:t>
      </w:r>
      <w:r>
        <w:rPr>
          <w:rFonts w:hint="eastAsia" w:ascii="宋体" w:hAnsi="宋体" w:cs="宋体"/>
          <w:b/>
          <w:bCs/>
          <w:color w:val="auto"/>
          <w:szCs w:val="21"/>
          <w:highlight w:val="none"/>
        </w:rPr>
        <w:t xml:space="preserve">.</w:t>
      </w:r>
      <w:r>
        <w:rPr>
          <w:rFonts w:hint="eastAsia"/>
          <w:b/>
          <w:color w:val="auto"/>
          <w:highlight w:val="none"/>
        </w:rPr>
        <w:t xml:space="preserve">残疾人</w:t>
      </w:r>
      <w:r>
        <w:rPr>
          <w:rFonts w:hint="eastAsia" w:ascii="宋体" w:hAnsi="宋体" w:cs="宋体"/>
          <w:b/>
          <w:bCs/>
          <w:color w:val="auto"/>
          <w:szCs w:val="21"/>
          <w:highlight w:val="none"/>
          <w:lang w:val="zh-CN"/>
        </w:rPr>
        <w:t xml:space="preserve">福利性单位声明函</w:t>
      </w:r>
      <w:bookmarkEnd w:id="50"/>
      <w:r>
        <w:rPr>
          <w:rFonts w:hint="eastAsia" w:ascii="宋体" w:hAnsi="宋体" w:cs="宋体"/>
          <w:b/>
          <w:bCs/>
          <w:color w:val="auto"/>
          <w:szCs w:val="21"/>
          <w:highlight w:val="none"/>
        </w:rPr>
      </w:r>
      <w:r>
        <w:rPr>
          <w:color w:val="auto"/>
        </w:rPr>
      </w:r>
    </w:p>
    <w:p>
      <w:pPr>
        <w:pStyle w:val="702"/>
        <w:jc w:val="left"/>
        <w:spacing w:line="480" w:lineRule="exact"/>
        <w:rPr>
          <w:color w:val="auto"/>
          <w:highlight w:val="none"/>
        </w:rPr>
      </w:pPr>
      <w:r>
        <w:rPr>
          <w:color w:val="auto"/>
          <w:highlight w:val="none"/>
        </w:rPr>
      </w:r>
      <w:r>
        <w:rPr>
          <w:color w:val="auto"/>
        </w:rPr>
      </w:r>
    </w:p>
    <w:p>
      <w:pPr>
        <w:pStyle w:val="702"/>
        <w:jc w:val="center"/>
        <w:spacing w:line="480" w:lineRule="exact"/>
        <w:rPr>
          <w:rFonts w:hint="eastAsia" w:ascii="宋体" w:hAnsi="宋体"/>
          <w:b/>
          <w:color w:val="auto"/>
          <w:szCs w:val="21"/>
          <w:highlight w:val="none"/>
        </w:rPr>
      </w:pPr>
      <w:r>
        <w:rPr>
          <w:rFonts w:hint="eastAsia" w:ascii="宋体" w:hAnsi="宋体"/>
          <w:b/>
          <w:color w:val="auto"/>
          <w:szCs w:val="21"/>
          <w:highlight w:val="none"/>
        </w:rPr>
        <w:t xml:space="preserve">残疾人福利性单位声明函</w:t>
      </w:r>
      <w:r>
        <w:rPr>
          <w:rFonts w:hint="eastAsia" w:ascii="宋体" w:hAnsi="宋体"/>
          <w:b/>
          <w:color w:val="auto"/>
          <w:szCs w:val="21"/>
          <w:highlight w:val="none"/>
        </w:rPr>
      </w:r>
      <w:r>
        <w:rPr>
          <w:color w:val="auto"/>
        </w:rPr>
      </w:r>
    </w:p>
    <w:p>
      <w:pPr>
        <w:pStyle w:val="702"/>
        <w:spacing w:line="360" w:lineRule="auto"/>
        <w:rPr>
          <w:rFonts w:hint="eastAsia" w:ascii="宋体" w:hAnsi="宋体"/>
          <w:color w:val="auto"/>
          <w:szCs w:val="21"/>
          <w:highlight w:val="none"/>
        </w:rPr>
      </w:pPr>
      <w:r>
        <w:rPr>
          <w:color w:val="auto"/>
        </w:rPr>
      </w:r>
      <w:bookmarkStart w:id="51" w:name="_Toc15378"/>
      <w:r>
        <w:rPr>
          <w:color w:val="auto"/>
        </w:rPr>
      </w:r>
      <w:bookmarkStart w:id="52" w:name="_Toc32206"/>
      <w:r>
        <w:rPr>
          <w:color w:val="auto"/>
        </w:rPr>
      </w:r>
      <w:bookmarkStart w:id="53" w:name="_Toc3869"/>
      <w:r>
        <w:rPr>
          <w:rFonts w:hint="eastAsia" w:ascii="宋体" w:hAnsi="宋体"/>
          <w:color w:val="auto"/>
          <w:szCs w:val="21"/>
          <w:highlight w:val="none"/>
          <w:u w:val="single"/>
          <w:lang w:val="zh-CN"/>
        </w:rPr>
        <w:t xml:space="preserve">苏州捷信招投标咨询有限公司</w:t>
      </w:r>
      <w:r>
        <w:rPr>
          <w:rFonts w:hint="eastAsia" w:ascii="宋体" w:hAnsi="宋体"/>
          <w:color w:val="auto"/>
          <w:szCs w:val="21"/>
          <w:highlight w:val="none"/>
          <w:lang w:val="zh-CN"/>
        </w:rPr>
        <w:t xml:space="preserve">：</w:t>
      </w:r>
      <w:bookmarkEnd w:id="51"/>
      <w:r>
        <w:rPr>
          <w:color w:val="auto"/>
        </w:rPr>
      </w:r>
      <w:bookmarkEnd w:id="52"/>
      <w:r>
        <w:rPr>
          <w:color w:val="auto"/>
        </w:rPr>
      </w:r>
      <w:bookmarkEnd w:id="53"/>
      <w:r>
        <w:rPr>
          <w:rFonts w:hint="eastAsia" w:ascii="宋体" w:hAnsi="宋体"/>
          <w:color w:val="auto"/>
          <w:szCs w:val="21"/>
          <w:highlight w:val="none"/>
          <w:lang w:val="zh-CN"/>
        </w:rPr>
      </w:r>
      <w:r>
        <w:rPr>
          <w:color w:val="auto"/>
        </w:rPr>
      </w:r>
    </w:p>
    <w:p>
      <w:pPr>
        <w:pStyle w:val="702"/>
        <w:spacing w:line="360" w:lineRule="auto"/>
        <w:rPr>
          <w:rFonts w:hint="eastAsia"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Cs w:val="21"/>
          <w:highlight w:val="none"/>
          <w:lang w:val="zh-CN"/>
        </w:rPr>
        <w:t xml:space="preserve">贵公司组织实施的编号为</w:t>
      </w:r>
      <w:r>
        <w:rPr>
          <w:rFonts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号的采购活动</w:t>
      </w:r>
      <w:r>
        <w:rPr>
          <w:rFonts w:hint="eastAsia" w:ascii="宋体" w:hAnsi="宋体"/>
          <w:color w:val="auto"/>
          <w:szCs w:val="21"/>
          <w:highlight w:val="none"/>
        </w:rPr>
        <w:t xml:space="preserve">提供本单位制造的货物（由本单位承担工程/提供服务），或者提供其他残疾人福利性单位制造的货物（不包括使用非残疾人福利性单位注册商标的货物）。</w:t>
      </w:r>
      <w:r>
        <w:rPr>
          <w:rFonts w:hint="eastAsia" w:ascii="宋体" w:hAnsi="宋体"/>
          <w:color w:val="auto"/>
          <w:szCs w:val="21"/>
          <w:highlight w:val="none"/>
        </w:rPr>
      </w:r>
      <w:r>
        <w:rPr>
          <w:color w:val="auto"/>
        </w:rPr>
      </w:r>
    </w:p>
    <w:p>
      <w:pPr>
        <w:pStyle w:val="702"/>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rPr>
          <w:rFonts w:hint="eastAsia" w:ascii="宋体" w:hAnsi="宋体"/>
          <w:color w:val="auto"/>
          <w:szCs w:val="21"/>
          <w:highlight w:val="none"/>
        </w:rPr>
      </w:r>
      <w:r>
        <w:rPr>
          <w:color w:val="auto"/>
        </w:rPr>
      </w:r>
    </w:p>
    <w:p>
      <w:pPr>
        <w:pStyle w:val="942"/>
        <w:spacing w:line="360" w:lineRule="auto"/>
        <w:rPr>
          <w:rFonts w:hint="eastAsia" w:hAnsi="宋体"/>
          <w:color w:val="auto"/>
          <w:sz w:val="21"/>
          <w:szCs w:val="21"/>
          <w:highlight w:val="none"/>
        </w:rPr>
      </w:pPr>
      <w:r>
        <w:rPr>
          <w:rFonts w:hint="eastAsia" w:hAnsi="宋体"/>
          <w:color w:val="auto"/>
          <w:sz w:val="21"/>
          <w:szCs w:val="21"/>
          <w:highlight w:val="none"/>
        </w:rPr>
      </w:r>
      <w:r>
        <w:rPr>
          <w:color w:val="auto"/>
        </w:rPr>
      </w:r>
    </w:p>
    <w:p>
      <w:pPr>
        <w:pStyle w:val="702"/>
        <w:spacing w:line="360" w:lineRule="auto"/>
        <w:rPr>
          <w:rFonts w:hint="eastAsia" w:ascii="宋体" w:hAnsi="宋体"/>
          <w:b/>
          <w:color w:val="auto"/>
          <w:szCs w:val="21"/>
          <w:highlight w:val="none"/>
        </w:rPr>
      </w:pPr>
      <w:r>
        <w:rPr>
          <w:rFonts w:hint="eastAsia" w:ascii="宋体" w:hAnsi="宋体"/>
          <w:b/>
          <w:color w:val="auto"/>
          <w:szCs w:val="21"/>
          <w:highlight w:val="none"/>
        </w:rPr>
      </w:r>
      <w:r>
        <w:rPr>
          <w:color w:val="auto"/>
        </w:rPr>
      </w:r>
    </w:p>
    <w:p>
      <w:pPr>
        <w:pStyle w:val="702"/>
        <w:spacing w:line="360" w:lineRule="auto"/>
        <w:rPr>
          <w:rFonts w:hint="eastAsia" w:ascii="宋体" w:hAnsi="宋体"/>
          <w:b/>
          <w:color w:val="auto"/>
          <w:szCs w:val="21"/>
          <w:highlight w:val="none"/>
        </w:rPr>
      </w:pPr>
      <w:r>
        <w:rPr>
          <w:rFonts w:hint="eastAsia" w:ascii="宋体" w:hAnsi="宋体"/>
          <w:b/>
          <w:color w:val="auto"/>
          <w:szCs w:val="21"/>
          <w:highlight w:val="none"/>
        </w:rPr>
      </w:r>
      <w:r>
        <w:rPr>
          <w:color w:val="auto"/>
        </w:rPr>
      </w:r>
    </w:p>
    <w:p>
      <w:pPr>
        <w:pStyle w:val="702"/>
        <w:spacing w:line="360" w:lineRule="auto"/>
        <w:rPr>
          <w:rFonts w:hint="eastAsia" w:ascii="宋体" w:hAnsi="宋体"/>
          <w:b/>
          <w:color w:val="auto"/>
          <w:szCs w:val="21"/>
          <w:highlight w:val="none"/>
        </w:rPr>
      </w:pPr>
      <w:r>
        <w:rPr>
          <w:rFonts w:hint="eastAsia" w:ascii="宋体" w:hAnsi="宋体"/>
          <w:b/>
          <w:color w:val="auto"/>
          <w:szCs w:val="21"/>
          <w:highlight w:val="none"/>
        </w:rPr>
      </w:r>
      <w:r>
        <w:rPr>
          <w:color w:val="auto"/>
        </w:rPr>
      </w:r>
    </w:p>
    <w:p>
      <w:pPr>
        <w:pStyle w:val="702"/>
        <w:ind w:right="-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供应商名称</w:t>
      </w:r>
      <w:r>
        <w:rPr>
          <w:rFonts w:ascii="宋体" w:hAnsi="宋体"/>
          <w:color w:val="auto"/>
          <w:szCs w:val="21"/>
          <w:highlight w:val="none"/>
        </w:rPr>
        <w:t xml:space="preserve">：（公章）</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lang w:val="zh-CN"/>
        </w:rPr>
      </w:r>
      <w:r>
        <w:rPr>
          <w:color w:val="auto"/>
        </w:rPr>
      </w:r>
    </w:p>
    <w:p>
      <w:pPr>
        <w:pStyle w:val="702"/>
        <w:ind w:firstLine="21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法定代表人或</w:t>
      </w:r>
      <w:r>
        <w:rPr>
          <w:rFonts w:hint="eastAsia" w:ascii="宋体" w:hAnsi="宋体" w:cs="宋体"/>
          <w:color w:val="auto"/>
          <w:szCs w:val="21"/>
          <w:highlight w:val="none"/>
        </w:rPr>
        <w:t xml:space="preserve">被授权</w:t>
      </w:r>
      <w:r>
        <w:rPr>
          <w:rFonts w:hint="eastAsia" w:ascii="宋体" w:hAnsi="宋体" w:cs="宋体"/>
          <w:color w:val="auto"/>
          <w:szCs w:val="21"/>
          <w:highlight w:val="none"/>
          <w:lang w:val="zh-CN"/>
        </w:rPr>
        <w:t xml:space="preserve">人：（签字或盖章）</w:t>
      </w:r>
      <w:r>
        <w:rPr>
          <w:rFonts w:hint="eastAsia" w:ascii="宋体" w:hAnsi="宋体" w:cs="宋体"/>
          <w:color w:val="auto"/>
          <w:szCs w:val="21"/>
          <w:highlight w:val="none"/>
          <w:lang w:val="zh-CN"/>
        </w:rPr>
      </w:r>
      <w:r>
        <w:rPr>
          <w:color w:val="auto"/>
        </w:rPr>
      </w:r>
    </w:p>
    <w:p>
      <w:pPr>
        <w:pStyle w:val="702"/>
        <w:ind w:right="615" w:firstLine="840"/>
        <w:jc w:val="right"/>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 日    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rPr>
          <w:rFonts w:hint="eastAsia" w:ascii="宋体" w:hAnsi="宋体" w:cs="宋体"/>
          <w:color w:val="auto"/>
          <w:szCs w:val="21"/>
          <w:highlight w:val="none"/>
          <w:lang w:val="zh-CN"/>
        </w:rPr>
      </w:r>
      <w:r>
        <w:rPr>
          <w:color w:val="auto"/>
        </w:rPr>
      </w:r>
    </w:p>
    <w:p>
      <w:pPr>
        <w:pStyle w:val="702"/>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p>
      <w:pPr>
        <w:pStyle w:val="702"/>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p>
      <w:pPr>
        <w:pStyle w:val="908"/>
        <w:ind w:firstLine="0"/>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 w:val="21"/>
          <w:szCs w:val="21"/>
          <w:highlight w:val="none"/>
        </w:rPr>
        <w:t xml:space="preserve">附件13：投标（响应）保证承诺书</w:t>
      </w:r>
      <w:r>
        <w:rPr>
          <w:rFonts w:hint="eastAsia" w:ascii="宋体" w:hAnsi="宋体" w:eastAsia="宋体" w:cs="宋体"/>
          <w:b/>
          <w:color w:val="auto"/>
          <w:sz w:val="21"/>
          <w:szCs w:val="21"/>
          <w:highlight w:val="none"/>
        </w:rPr>
      </w:r>
      <w:r>
        <w:rPr>
          <w:color w:val="auto"/>
        </w:rPr>
      </w:r>
    </w:p>
    <w:p>
      <w:pPr>
        <w:pStyle w:val="70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p>
      <w:pPr>
        <w:pStyle w:val="702"/>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投标（响应）保证承诺书</w:t>
      </w:r>
      <w:r>
        <w:rPr>
          <w:rFonts w:hint="eastAsia" w:ascii="宋体" w:hAnsi="宋体" w:cs="宋体"/>
          <w:b/>
          <w:color w:val="auto"/>
          <w:szCs w:val="21"/>
          <w:highlight w:val="none"/>
        </w:rPr>
      </w:r>
      <w:r>
        <w:rPr>
          <w:color w:val="auto"/>
        </w:rPr>
      </w:r>
    </w:p>
    <w:p>
      <w:pPr>
        <w:pStyle w:val="70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p>
    <w:p>
      <w:pPr>
        <w:pStyle w:val="92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致：（采购代理机构名称）</w:t>
      </w:r>
      <w:r>
        <w:rPr>
          <w:rFonts w:hint="eastAsia" w:ascii="宋体" w:hAnsi="宋体" w:cs="宋体"/>
          <w:color w:val="auto"/>
          <w:sz w:val="21"/>
          <w:szCs w:val="21"/>
          <w:highlight w:val="none"/>
        </w:rPr>
      </w:r>
      <w:r>
        <w:rPr>
          <w:color w:val="auto"/>
        </w:rPr>
      </w:r>
    </w:p>
    <w:p>
      <w:pPr>
        <w:pStyle w:val="92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我（单位/本人，以下统称我单位）自愿参加 （项目名称和采购编号） 的投标（响应）,并做出如下承诺：</w:t>
      </w:r>
      <w:r>
        <w:rPr>
          <w:rFonts w:hint="eastAsia" w:ascii="宋体" w:hAnsi="宋体" w:cs="宋体"/>
          <w:color w:val="auto"/>
          <w:sz w:val="21"/>
          <w:szCs w:val="21"/>
          <w:highlight w:val="none"/>
        </w:rPr>
      </w:r>
      <w:r>
        <w:rPr>
          <w:color w:val="auto"/>
        </w:rPr>
      </w:r>
    </w:p>
    <w:p>
      <w:pPr>
        <w:pStyle w:val="92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或采购人）支付本招标文件公布的预算金额（或最高限价）的2%作为违约赔偿金（数量不确定的单价采购须约定具体金额）。</w:t>
      </w:r>
      <w:r>
        <w:rPr>
          <w:rFonts w:hint="eastAsia" w:ascii="宋体" w:hAnsi="宋体" w:cs="宋体"/>
          <w:color w:val="auto"/>
          <w:sz w:val="21"/>
          <w:szCs w:val="21"/>
          <w:highlight w:val="none"/>
        </w:rPr>
      </w:r>
      <w:r>
        <w:rPr>
          <w:color w:val="auto"/>
        </w:rPr>
      </w:r>
    </w:p>
    <w:p>
      <w:pPr>
        <w:pStyle w:val="92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1.自投标（响应）截止时间至本项目发布中标（成交）公告为止，撤销投标（响应）；</w:t>
      </w:r>
      <w:r>
        <w:rPr>
          <w:rFonts w:hint="eastAsia" w:ascii="宋体" w:hAnsi="宋体" w:cs="宋体"/>
          <w:color w:val="auto"/>
          <w:sz w:val="21"/>
          <w:szCs w:val="21"/>
          <w:highlight w:val="none"/>
        </w:rPr>
      </w:r>
      <w:r>
        <w:rPr>
          <w:color w:val="auto"/>
        </w:rPr>
      </w:r>
    </w:p>
    <w:p>
      <w:pPr>
        <w:pStyle w:val="92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2.中标（成交）后不依法与采购人签订合同；</w:t>
      </w:r>
      <w:r>
        <w:rPr>
          <w:rFonts w:hint="eastAsia" w:ascii="宋体" w:hAnsi="宋体" w:cs="宋体"/>
          <w:color w:val="auto"/>
          <w:sz w:val="21"/>
          <w:szCs w:val="21"/>
          <w:highlight w:val="none"/>
        </w:rPr>
      </w:r>
      <w:r>
        <w:rPr>
          <w:color w:val="auto"/>
        </w:rPr>
      </w:r>
    </w:p>
    <w:p>
      <w:pPr>
        <w:pStyle w:val="92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3.中标（成交）后不按本招标文件规定向贵方缴纳采购代理费。</w:t>
      </w:r>
      <w:r>
        <w:rPr>
          <w:rFonts w:hint="eastAsia" w:ascii="宋体" w:hAnsi="宋体" w:cs="宋体"/>
          <w:color w:val="auto"/>
          <w:sz w:val="21"/>
          <w:szCs w:val="21"/>
          <w:highlight w:val="none"/>
        </w:rPr>
      </w:r>
      <w:r>
        <w:rPr>
          <w:color w:val="auto"/>
        </w:rPr>
      </w:r>
    </w:p>
    <w:p>
      <w:pPr>
        <w:pStyle w:val="92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二、我单位知晓上述行为的法律后果，承认本承诺书作为贵方（或采购人）要求我单位履行违约赔偿义务的依据作用。</w:t>
      </w:r>
      <w:r>
        <w:rPr>
          <w:rFonts w:hint="eastAsia" w:ascii="宋体" w:hAnsi="宋体" w:cs="宋体"/>
          <w:color w:val="auto"/>
          <w:sz w:val="21"/>
          <w:szCs w:val="21"/>
          <w:highlight w:val="none"/>
        </w:rPr>
      </w:r>
      <w:r>
        <w:rPr>
          <w:color w:val="auto"/>
        </w:rPr>
      </w:r>
    </w:p>
    <w:p>
      <w:pPr>
        <w:pStyle w:val="92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p>
      <w:pPr>
        <w:pStyle w:val="92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p>
      <w:pPr>
        <w:pStyle w:val="92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投标（响应）人：（盖公章）</w:t>
      </w:r>
      <w:r>
        <w:rPr>
          <w:rFonts w:hint="eastAsia" w:ascii="宋体" w:hAnsi="宋体" w:cs="宋体"/>
          <w:color w:val="auto"/>
          <w:sz w:val="21"/>
          <w:szCs w:val="21"/>
          <w:highlight w:val="none"/>
        </w:rPr>
      </w:r>
      <w:r>
        <w:rPr>
          <w:color w:val="auto"/>
        </w:rPr>
      </w:r>
    </w:p>
    <w:p>
      <w:pPr>
        <w:pStyle w:val="92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w:t>
      </w:r>
      <w:r>
        <w:rPr>
          <w:rFonts w:hint="eastAsia" w:ascii="宋体" w:hAnsi="宋体" w:cs="宋体"/>
          <w:color w:val="auto"/>
          <w:sz w:val="21"/>
          <w:szCs w:val="21"/>
          <w:highlight w:val="none"/>
        </w:rPr>
      </w:r>
      <w:r>
        <w:rPr>
          <w:color w:val="auto"/>
        </w:rPr>
      </w:r>
    </w:p>
    <w:p>
      <w:pPr>
        <w:pStyle w:val="92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电话：                    传真：</w:t>
      </w:r>
      <w:r>
        <w:rPr>
          <w:rFonts w:hint="eastAsia" w:ascii="宋体" w:hAnsi="宋体" w:cs="宋体"/>
          <w:color w:val="auto"/>
          <w:sz w:val="21"/>
          <w:szCs w:val="21"/>
          <w:highlight w:val="none"/>
        </w:rPr>
      </w:r>
      <w:r>
        <w:rPr>
          <w:color w:val="auto"/>
        </w:rPr>
      </w:r>
    </w:p>
    <w:p>
      <w:pPr>
        <w:pStyle w:val="92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电子邮件：                 邮编：</w:t>
      </w:r>
      <w:r>
        <w:rPr>
          <w:rFonts w:hint="eastAsia" w:ascii="宋体" w:hAnsi="宋体" w:cs="宋体"/>
          <w:color w:val="auto"/>
          <w:sz w:val="21"/>
          <w:szCs w:val="21"/>
          <w:highlight w:val="none"/>
        </w:rPr>
      </w:r>
      <w:r>
        <w:rPr>
          <w:color w:val="auto"/>
        </w:rPr>
      </w:r>
    </w:p>
    <w:p>
      <w:pPr>
        <w:pStyle w:val="92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法定代表人或委托代理人(签字或签章)：</w:t>
      </w:r>
      <w:r>
        <w:rPr>
          <w:rFonts w:hint="eastAsia" w:ascii="宋体" w:hAnsi="宋体" w:cs="宋体"/>
          <w:color w:val="auto"/>
          <w:sz w:val="21"/>
          <w:szCs w:val="21"/>
          <w:highlight w:val="none"/>
        </w:rPr>
      </w:r>
      <w:r>
        <w:rPr>
          <w:color w:val="auto"/>
        </w:rPr>
      </w:r>
    </w:p>
    <w:p>
      <w:pPr>
        <w:pStyle w:val="92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rPr>
      </w:r>
      <w:r>
        <w:rPr>
          <w:color w:val="auto"/>
        </w:rPr>
      </w:r>
    </w:p>
    <w:p>
      <w:pPr>
        <w:pStyle w:val="92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rPr>
      </w:r>
    </w:p>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p>
      <w:pPr>
        <w:pStyle w:val="896"/>
        <w:jc w:val="center"/>
        <w:spacing w:before="0" w:after="0" w:line="360" w:lineRule="auto"/>
        <w:rPr>
          <w:rFonts w:hint="eastAsia" w:ascii="宋体" w:hAnsi="宋体"/>
          <w:b w:val="0"/>
          <w:color w:val="auto"/>
          <w:sz w:val="36"/>
          <w:szCs w:val="36"/>
          <w:highlight w:val="none"/>
        </w:rPr>
      </w:pPr>
      <w:r>
        <w:rPr>
          <w:rFonts w:hint="eastAsia" w:ascii="宋体" w:hAnsi="宋体" w:eastAsia="宋体"/>
          <w:color w:val="auto"/>
          <w:sz w:val="24"/>
          <w:szCs w:val="24"/>
          <w:highlight w:val="none"/>
        </w:rPr>
        <w:br w:type="page" w:clear="all"/>
      </w:r>
      <w:bookmarkStart w:id="54" w:name="_Toc27358"/>
      <w:r>
        <w:rPr>
          <w:color w:val="auto"/>
        </w:rPr>
      </w:r>
      <w:bookmarkStart w:id="55" w:name="_Toc19302"/>
      <w:r>
        <w:rPr>
          <w:color w:val="auto"/>
        </w:rPr>
      </w:r>
      <w:bookmarkStart w:id="56" w:name="_Toc7843"/>
      <w:r>
        <w:rPr>
          <w:color w:val="auto"/>
        </w:rPr>
      </w:r>
      <w:bookmarkStart w:id="57" w:name="_Toc12115"/>
      <w:r>
        <w:rPr>
          <w:color w:val="auto"/>
        </w:rPr>
      </w:r>
      <w:bookmarkStart w:id="58" w:name="_Toc4756"/>
      <w:r>
        <w:rPr>
          <w:color w:val="auto"/>
        </w:rPr>
      </w:r>
      <w:bookmarkStart w:id="59" w:name="_Toc9105"/>
      <w:r>
        <w:rPr>
          <w:color w:val="auto"/>
        </w:rPr>
      </w:r>
      <w:bookmarkStart w:id="60" w:name="_Toc1799"/>
      <w:r>
        <w:rPr>
          <w:color w:val="auto"/>
        </w:rPr>
      </w:r>
      <w:bookmarkStart w:id="61" w:name="_Toc30446"/>
      <w:r>
        <w:rPr>
          <w:color w:val="auto"/>
        </w:rPr>
      </w:r>
      <w:bookmarkStart w:id="62" w:name="_Toc12631"/>
      <w:r>
        <w:rPr>
          <w:color w:val="auto"/>
        </w:rPr>
      </w:r>
      <w:bookmarkStart w:id="63" w:name="_Toc889"/>
      <w:r>
        <w:rPr>
          <w:color w:val="auto"/>
        </w:rPr>
      </w:r>
      <w:bookmarkStart w:id="64" w:name="_Toc30927"/>
      <w:r>
        <w:rPr>
          <w:rFonts w:hint="eastAsia" w:ascii="宋体" w:hAnsi="宋体" w:eastAsia="宋体"/>
          <w:color w:val="auto"/>
          <w:sz w:val="36"/>
          <w:szCs w:val="36"/>
          <w:highlight w:val="none"/>
        </w:rPr>
        <w:t xml:space="preserve">第四章  招标书</w:t>
      </w:r>
      <w:bookmarkEnd w:id="4"/>
      <w:r>
        <w:rPr>
          <w:color w:val="auto"/>
        </w:rPr>
      </w:r>
      <w:bookmarkEnd w:id="54"/>
      <w:r>
        <w:rPr>
          <w:color w:val="auto"/>
        </w:rPr>
      </w:r>
      <w:bookmarkEnd w:id="55"/>
      <w:r>
        <w:rPr>
          <w:color w:val="auto"/>
        </w:rPr>
      </w:r>
      <w:bookmarkEnd w:id="56"/>
      <w:r>
        <w:rPr>
          <w:color w:val="auto"/>
        </w:rPr>
      </w:r>
      <w:bookmarkEnd w:id="57"/>
      <w:r>
        <w:rPr>
          <w:color w:val="auto"/>
        </w:rPr>
      </w:r>
      <w:bookmarkEnd w:id="58"/>
      <w:r>
        <w:rPr>
          <w:color w:val="auto"/>
        </w:rPr>
      </w:r>
      <w:bookmarkEnd w:id="59"/>
      <w:r>
        <w:rPr>
          <w:color w:val="auto"/>
        </w:rPr>
      </w:r>
      <w:bookmarkEnd w:id="60"/>
      <w:r>
        <w:rPr>
          <w:color w:val="auto"/>
        </w:rPr>
      </w:r>
      <w:bookmarkEnd w:id="61"/>
      <w:r>
        <w:rPr>
          <w:color w:val="auto"/>
        </w:rPr>
      </w:r>
      <w:bookmarkEnd w:id="62"/>
      <w:r>
        <w:rPr>
          <w:color w:val="auto"/>
        </w:rPr>
      </w:r>
      <w:bookmarkEnd w:id="63"/>
      <w:r>
        <w:rPr>
          <w:color w:val="auto"/>
        </w:rPr>
      </w:r>
      <w:bookmarkEnd w:id="64"/>
      <w:r>
        <w:rPr>
          <w:rFonts w:hint="eastAsia" w:ascii="宋体" w:hAnsi="宋体"/>
          <w:b w:val="0"/>
          <w:color w:val="auto"/>
          <w:sz w:val="36"/>
          <w:szCs w:val="36"/>
          <w:highlight w:val="none"/>
        </w:rPr>
      </w:r>
      <w:r>
        <w:rPr>
          <w:color w:val="auto"/>
        </w:rPr>
      </w:r>
    </w:p>
    <w:p>
      <w:pPr>
        <w:pStyle w:val="940"/>
        <w:ind w:firstLine="48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受苏州市相城区人民政府黄桥街道办事处的委托，苏州捷信招投标咨询有限公司就其所需原苏州其安工艺品有限公司地块土壤污染状况调查及风险评估项目进行国内公开招标。欢迎有资格的供应商前来参加投标。</w:t>
      </w:r>
      <w:r>
        <w:rPr>
          <w:rFonts w:hint="eastAsia" w:ascii="宋体" w:hAnsi="宋体" w:cs="宋体"/>
          <w:color w:val="auto"/>
          <w:sz w:val="21"/>
          <w:szCs w:val="21"/>
          <w:highlight w:val="none"/>
        </w:rPr>
      </w:r>
      <w:r>
        <w:rPr>
          <w:color w:val="auto"/>
        </w:rPr>
      </w:r>
    </w:p>
    <w:p>
      <w:pPr>
        <w:pStyle w:val="940"/>
        <w:ind w:firstLine="482"/>
        <w:jc w:val="lef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一、招标编号：</w:t>
      </w:r>
      <w:r>
        <w:rPr>
          <w:rFonts w:hint="eastAsia" w:ascii="宋体" w:hAnsi="宋体" w:cs="宋体"/>
          <w:color w:val="auto"/>
          <w:sz w:val="21"/>
          <w:szCs w:val="21"/>
          <w:highlight w:val="none"/>
          <w:lang w:eastAsia="zh-CN"/>
        </w:rPr>
        <w:t xml:space="preserve">JSZC-320507-SZJX-G2024-0066</w:t>
      </w:r>
      <w:r>
        <w:rPr>
          <w:rFonts w:hint="eastAsia" w:ascii="宋体" w:hAnsi="宋体" w:cs="宋体"/>
          <w:color w:val="auto"/>
          <w:sz w:val="21"/>
          <w:szCs w:val="21"/>
          <w:highlight w:val="none"/>
        </w:rPr>
        <w:t xml:space="preserve">号</w:t>
      </w:r>
      <w:r>
        <w:rPr>
          <w:rFonts w:hint="eastAsia" w:ascii="宋体" w:hAnsi="宋体" w:cs="宋体"/>
          <w:color w:val="auto"/>
          <w:sz w:val="21"/>
          <w:szCs w:val="21"/>
          <w:highlight w:val="none"/>
        </w:rPr>
      </w:r>
      <w:r>
        <w:rPr>
          <w:color w:val="auto"/>
        </w:rPr>
      </w:r>
    </w:p>
    <w:p>
      <w:pPr>
        <w:pStyle w:val="940"/>
        <w:ind w:firstLine="482"/>
        <w:jc w:val="lef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二、招标内容：</w:t>
      </w:r>
      <w:r>
        <w:rPr>
          <w:rFonts w:hint="eastAsia" w:ascii="宋体" w:hAnsi="宋体" w:cs="宋体"/>
          <w:color w:val="auto"/>
          <w:sz w:val="21"/>
          <w:szCs w:val="21"/>
          <w:highlight w:val="none"/>
        </w:rPr>
        <w:t xml:space="preserve">原苏州其安工艺品有限公司地块土壤污染状况调查及风险评估项目</w:t>
      </w:r>
      <w:r>
        <w:rPr>
          <w:rFonts w:hint="eastAsia" w:ascii="宋体" w:hAnsi="宋体" w:cs="宋体"/>
          <w:color w:val="auto"/>
          <w:sz w:val="21"/>
          <w:szCs w:val="21"/>
          <w:highlight w:val="none"/>
        </w:rPr>
      </w:r>
      <w:r>
        <w:rPr>
          <w:color w:val="auto"/>
        </w:rPr>
      </w:r>
    </w:p>
    <w:p>
      <w:pPr>
        <w:pStyle w:val="940"/>
        <w:ind w:firstLine="482"/>
        <w:jc w:val="lef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三、预算金额：</w:t>
      </w:r>
      <w:r>
        <w:rPr>
          <w:rFonts w:hint="eastAsia" w:ascii="宋体" w:hAnsi="宋体" w:cs="宋体"/>
          <w:color w:val="auto"/>
          <w:szCs w:val="21"/>
          <w:highlight w:val="none"/>
        </w:rPr>
        <w:t xml:space="preserve">人民币肆佰零捌万陆仟伍佰壹拾柒元捌角柒分（¥：</w:t>
      </w:r>
      <w:r>
        <w:rPr>
          <w:rFonts w:ascii="宋体" w:hAnsi="宋体" w:cs="宋体"/>
          <w:color w:val="auto"/>
          <w:szCs w:val="21"/>
          <w:highlight w:val="none"/>
        </w:rPr>
        <w:t xml:space="preserve">4086517.87</w:t>
      </w:r>
      <w:r>
        <w:rPr>
          <w:rFonts w:hint="eastAsia" w:ascii="宋体" w:hAnsi="宋体" w:cs="宋体"/>
          <w:color w:val="auto"/>
          <w:szCs w:val="21"/>
          <w:highlight w:val="none"/>
        </w:rPr>
        <w:t xml:space="preserve">）</w:t>
      </w:r>
      <w:r>
        <w:rPr>
          <w:rFonts w:hint="eastAsia" w:ascii="宋体" w:hAnsi="宋体" w:cs="宋体"/>
          <w:color w:val="auto"/>
          <w:sz w:val="21"/>
          <w:szCs w:val="21"/>
          <w:highlight w:val="none"/>
        </w:rPr>
      </w:r>
      <w:r>
        <w:rPr>
          <w:color w:val="auto"/>
        </w:rPr>
      </w:r>
    </w:p>
    <w:p>
      <w:pPr>
        <w:pStyle w:val="940"/>
        <w:ind w:firstLine="480"/>
        <w:jc w:val="lef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四、采购内容及要求</w:t>
      </w:r>
      <w:r>
        <w:rPr>
          <w:rFonts w:hint="eastAsia" w:ascii="宋体" w:hAnsi="宋体" w:cs="宋体"/>
          <w:b/>
          <w:bCs/>
          <w:color w:val="auto"/>
          <w:sz w:val="21"/>
          <w:szCs w:val="21"/>
          <w:highlight w:val="none"/>
        </w:rPr>
      </w:r>
      <w:r>
        <w:rPr>
          <w:color w:val="auto"/>
        </w:rPr>
      </w:r>
    </w:p>
    <w:p>
      <w:pPr>
        <w:pStyle w:val="702"/>
        <w:ind w:firstLine="480"/>
        <w:spacing w:line="360" w:lineRule="auto"/>
        <w:rPr>
          <w:rFonts w:hint="eastAsia" w:ascii="宋体" w:hAnsi="宋体" w:cs="宋体"/>
          <w:b/>
          <w:color w:val="auto"/>
          <w:szCs w:val="21"/>
          <w:highlight w:val="none"/>
        </w:rPr>
        <w:outlineLvl w:val="1"/>
      </w:pPr>
      <w:r>
        <w:rPr>
          <w:color w:val="auto"/>
        </w:rPr>
      </w:r>
      <w:bookmarkStart w:id="65" w:name="_Toc7829"/>
      <w:r>
        <w:rPr>
          <w:color w:val="auto"/>
        </w:rPr>
      </w:r>
      <w:bookmarkStart w:id="66" w:name="_Toc230"/>
      <w:r>
        <w:rPr>
          <w:rFonts w:hint="eastAsia" w:ascii="宋体" w:hAnsi="宋体" w:cs="宋体"/>
          <w:b/>
          <w:color w:val="auto"/>
          <w:szCs w:val="21"/>
          <w:highlight w:val="none"/>
        </w:rPr>
        <w:t xml:space="preserve">（一）项目概况：</w:t>
      </w:r>
      <w:r>
        <w:rPr>
          <w:rFonts w:hint="eastAsia" w:ascii="宋体" w:hAnsi="宋体" w:cs="宋体"/>
          <w:b/>
          <w:color w:val="auto"/>
          <w:szCs w:val="21"/>
          <w:highlight w:val="none"/>
        </w:rPr>
      </w:r>
      <w:r>
        <w:rPr>
          <w:color w:val="auto"/>
        </w:rPr>
      </w:r>
    </w:p>
    <w:p>
      <w:pPr>
        <w:pStyle w:val="702"/>
        <w:ind w:firstLine="480"/>
        <w:spacing w:line="360" w:lineRule="auto"/>
        <w:rPr>
          <w:rFonts w:hint="eastAsia" w:ascii="宋体" w:hAnsi="宋体" w:cs="宋体"/>
          <w:bCs/>
          <w:color w:val="auto"/>
          <w:szCs w:val="21"/>
          <w:highlight w:val="none"/>
        </w:rPr>
        <w:outlineLvl w:val="1"/>
      </w:pPr>
      <w:r>
        <w:rPr>
          <w:rFonts w:hint="eastAsia" w:ascii="宋体" w:hAnsi="宋体"/>
          <w:color w:val="auto"/>
          <w:szCs w:val="21"/>
          <w:highlight w:val="none"/>
        </w:rPr>
        <w:t xml:space="preserve">根据《关于印发苏州市进一步加强化工等企业关闭遗留地块土壤污染风险管控工作整改方案的函》（苏环办字[2023]21号）文件要求，需对原苏州其安工艺品有限公司地块出具土壤污染状况详细调查报告、土壤污染风险评估报告和土壤污染风险管控报告</w:t>
      </w:r>
      <w:r>
        <w:rPr>
          <w:rFonts w:hint="eastAsia" w:ascii="宋体" w:hAnsi="宋体" w:cs="宋体"/>
          <w:color w:val="auto"/>
          <w:szCs w:val="21"/>
          <w:highlight w:val="none"/>
        </w:rPr>
        <w:t xml:space="preserve">并进行长期监测</w:t>
      </w:r>
      <w:r>
        <w:rPr>
          <w:rFonts w:hint="eastAsia" w:ascii="宋体" w:hAnsi="宋体"/>
          <w:color w:val="auto"/>
          <w:szCs w:val="21"/>
          <w:highlight w:val="none"/>
        </w:rPr>
        <w:t xml:space="preserve">。如发现土壤或地下水污染边界临近或超出地块红线的，调查范围应自污染边界向外延伸至查清污染范围</w:t>
      </w:r>
      <w:r>
        <w:rPr>
          <w:rFonts w:hint="eastAsia" w:ascii="宋体" w:hAnsi="宋体" w:cs="宋体"/>
          <w:bCs/>
          <w:color w:val="auto"/>
          <w:szCs w:val="21"/>
          <w:highlight w:val="none"/>
        </w:rPr>
        <w:t xml:space="preserve">。</w:t>
      </w:r>
      <w:r>
        <w:rPr>
          <w:rFonts w:hint="eastAsia" w:ascii="宋体" w:hAnsi="宋体" w:cs="宋体"/>
          <w:bCs/>
          <w:color w:val="auto"/>
          <w:szCs w:val="21"/>
          <w:highlight w:val="none"/>
        </w:rPr>
      </w:r>
      <w:r>
        <w:rPr>
          <w:color w:val="auto"/>
        </w:rPr>
      </w:r>
    </w:p>
    <w:p>
      <w:pPr>
        <w:pStyle w:val="702"/>
        <w:ind w:firstLine="48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（二）采购清单：</w:t>
      </w:r>
      <w:r>
        <w:rPr>
          <w:rFonts w:hint="eastAsia" w:ascii="宋体" w:hAnsi="宋体" w:cs="宋体"/>
          <w:b/>
          <w:color w:val="auto"/>
          <w:szCs w:val="21"/>
          <w:highlight w:val="none"/>
        </w:rPr>
      </w:r>
      <w:r>
        <w:rPr>
          <w:color w:val="auto"/>
        </w:rPr>
      </w:r>
    </w:p>
    <w:tbl>
      <w:tblPr>
        <w:tblW w:w="8746" w:type="dxa"/>
        <w:tblInd w:w="-149" w:type="dxa"/>
        <w:tblLayout w:type="fixed"/>
        <w:tblCellMar>
          <w:left w:w="108" w:type="dxa"/>
          <w:top w:w="0" w:type="dxa"/>
          <w:right w:w="108" w:type="dxa"/>
          <w:bottom w:w="0" w:type="dxa"/>
        </w:tblCellMar>
        <w:tblLook w:val="04A0" w:firstRow="1" w:lastRow="0" w:firstColumn="1" w:lastColumn="0" w:noHBand="0" w:noVBand="1"/>
      </w:tblPr>
      <w:tblGrid>
        <w:gridCol w:w="472"/>
        <w:gridCol w:w="953"/>
        <w:gridCol w:w="1147"/>
        <w:gridCol w:w="3675"/>
        <w:gridCol w:w="653"/>
        <w:gridCol w:w="721"/>
        <w:gridCol w:w="1125"/>
      </w:tblGrid>
      <w:tr>
        <w:trPr>
          <w:trHeight w:val="540"/>
        </w:trPr>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02"/>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序号</w:t>
            </w:r>
            <w:r>
              <w:rPr>
                <w:rFonts w:hint="eastAsia" w:ascii="宋体" w:hAnsi="宋体" w:cs="宋体"/>
                <w:b/>
                <w:bCs/>
                <w:color w:val="auto"/>
                <w:sz w:val="22"/>
                <w:szCs w:val="22"/>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pStyle w:val="702"/>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类别</w:t>
            </w:r>
            <w:r>
              <w:rPr>
                <w:rFonts w:hint="eastAsia" w:ascii="宋体" w:hAnsi="宋体" w:cs="宋体"/>
                <w:b/>
                <w:bCs/>
                <w:color w:val="auto"/>
                <w:sz w:val="22"/>
                <w:szCs w:val="22"/>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02"/>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阶段名称</w:t>
            </w:r>
            <w:r>
              <w:rPr>
                <w:rFonts w:hint="eastAsia" w:ascii="宋体" w:hAnsi="宋体" w:cs="宋体"/>
                <w:b/>
                <w:bCs/>
                <w:color w:val="auto"/>
                <w:sz w:val="22"/>
                <w:szCs w:val="22"/>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分项名称</w:t>
            </w:r>
            <w:r>
              <w:rPr>
                <w:rFonts w:hint="eastAsia" w:ascii="宋体" w:hAnsi="宋体" w:cs="宋体"/>
                <w:b/>
                <w:bCs/>
                <w:color w:val="auto"/>
                <w:sz w:val="22"/>
                <w:szCs w:val="22"/>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702"/>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单位</w:t>
            </w:r>
            <w:r>
              <w:rPr>
                <w:rFonts w:hint="eastAsia" w:ascii="宋体" w:hAnsi="宋体" w:cs="宋体"/>
                <w:b/>
                <w:bCs/>
                <w:color w:val="auto"/>
                <w:sz w:val="22"/>
                <w:szCs w:val="22"/>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02"/>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数量</w:t>
            </w:r>
            <w:r>
              <w:rPr>
                <w:rFonts w:hint="eastAsia" w:ascii="宋体" w:hAnsi="宋体" w:cs="宋体"/>
                <w:b/>
                <w:bCs/>
                <w:color w:val="auto"/>
                <w:sz w:val="22"/>
                <w:szCs w:val="22"/>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02"/>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备注</w:t>
            </w:r>
            <w:r>
              <w:rPr>
                <w:rFonts w:hint="eastAsia" w:ascii="宋体" w:hAnsi="宋体" w:cs="宋体"/>
                <w:b/>
                <w:bCs/>
                <w:color w:val="auto"/>
                <w:sz w:val="22"/>
                <w:szCs w:val="22"/>
                <w:highlight w:val="none"/>
              </w:rPr>
            </w:r>
            <w:r>
              <w:rPr>
                <w:color w:val="auto"/>
              </w:rPr>
            </w:r>
          </w:p>
        </w:tc>
      </w:tr>
      <w:tr>
        <w:trPr>
          <w:trHeight w:val="218"/>
        </w:trPr>
        <w:tc>
          <w:tcPr>
            <w:tcBorders>
              <w:top w:val="single" w:color="000000" w:sz="4" w:space="0"/>
              <w:left w:val="single" w:color="000000" w:sz="4" w:space="0"/>
              <w:bottom w:val="single" w:color="000000" w:sz="4" w:space="0"/>
              <w:right w:val="single" w:color="000000" w:sz="4" w:space="0"/>
            </w:tcBorders>
            <w:tcW w:w="472" w:type="dxa"/>
            <w:vAlign w:val="center"/>
            <w:vMerge w:val="restart"/>
            <w:textDirection w:val="lrTb"/>
            <w:noWrap w:val="false"/>
          </w:tcPr>
          <w:p>
            <w:pPr>
              <w:pStyle w:val="702"/>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一</w:t>
            </w:r>
            <w:r>
              <w:rPr>
                <w:rFonts w:hint="eastAsia" w:ascii="宋体" w:hAnsi="宋体" w:cs="宋体"/>
                <w:b/>
                <w:bCs/>
                <w:color w:val="auto"/>
                <w:sz w:val="22"/>
                <w:szCs w:val="22"/>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702"/>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调查服务</w:t>
            </w:r>
            <w:r>
              <w:rPr>
                <w:rFonts w:hint="eastAsia" w:ascii="宋体" w:hAnsi="宋体" w:cs="宋体"/>
                <w:b/>
                <w:bCs/>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pStyle w:val="702"/>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地质勘察、物探及地下管线探测</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水文地质勘查</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0" w:space="0"/>
              <w:right w:val="single" w:color="000000" w:sz="4" w:space="0"/>
            </w:tcBorders>
            <w:tcW w:w="1125" w:type="dxa"/>
            <w:vAlign w:val="center"/>
            <w:vMerge w:val="restart"/>
            <w:textDirection w:val="lrTb"/>
            <w:noWrap w:val="false"/>
          </w:tcPr>
          <w:p>
            <w:pPr>
              <w:pStyle w:val="702"/>
              <w:jc w:val="both"/>
              <w:widowControl/>
              <w:rPr>
                <w:rFonts w:hint="eastAsia" w:ascii="宋体" w:hAnsi="宋体" w:cs="宋体"/>
                <w:color w:val="auto"/>
                <w:sz w:val="20"/>
                <w:szCs w:val="20"/>
                <w:highlight w:val="none"/>
              </w:rPr>
            </w:pPr>
            <w:r>
              <w:rPr>
                <w:rFonts w:hint="eastAsia" w:ascii="宋体" w:hAnsi="宋体" w:eastAsia="宋体" w:cs="宋体"/>
                <w:color w:val="auto"/>
                <w:sz w:val="20"/>
                <w:highlight w:val="none"/>
                <w:lang w:bidi="ar"/>
              </w:rPr>
              <w:t xml:space="preserve">具体详见附件。</w:t>
            </w:r>
            <w:r>
              <w:rPr>
                <w:rFonts w:hint="eastAsia" w:ascii="宋体" w:hAnsi="宋体" w:cs="宋体"/>
                <w:color w:val="auto"/>
                <w:sz w:val="20"/>
                <w:szCs w:val="20"/>
                <w:highlight w:val="none"/>
              </w:rPr>
            </w:r>
            <w:r>
              <w:rPr>
                <w:color w:val="auto"/>
              </w:rPr>
            </w:r>
          </w:p>
        </w:tc>
      </w:tr>
      <w:tr>
        <w:trPr>
          <w:trHeight w:val="207"/>
        </w:trPr>
        <w:tc>
          <w:tcPr>
            <w:tcBorders>
              <w:top w:val="singl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02"/>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高密度电阻法</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rPr>
            </w:r>
            <w:r>
              <w:rPr>
                <w:color w:val="auto"/>
              </w:rPr>
            </w:r>
          </w:p>
        </w:tc>
        <w:tc>
          <w:tcPr>
            <w:tcBorders>
              <w:top w:val="none" w:color="000000" w:sz="0" w:space="0"/>
              <w:left w:val="single" w:color="000000" w:sz="4" w:space="0"/>
              <w:bottom w:val="none" w:color="000000" w:sz="0" w:space="0"/>
              <w:right w:val="single" w:color="000000" w:sz="4" w:space="0"/>
            </w:tcBorders>
            <w:tcW w:w="1125" w:type="dxa"/>
            <w:vAlign w:val="center"/>
            <w:vMerge w:val="continue"/>
            <w:textDirection w:val="lrTb"/>
            <w:noWrap w:val="false"/>
          </w:tcPr>
          <w:p>
            <w:pPr>
              <w:pStyle w:val="70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174"/>
        </w:trPr>
        <w:tc>
          <w:tcPr>
            <w:tcBorders>
              <w:top w:val="singl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02"/>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物探及地下管线探测</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rPr>
            </w:r>
            <w:r>
              <w:rPr>
                <w:color w:val="auto"/>
              </w:rPr>
            </w:r>
          </w:p>
        </w:tc>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70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110"/>
        </w:trPr>
        <w:tc>
          <w:tcPr>
            <w:tcBorders>
              <w:top w:val="singl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02"/>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经纬度定位</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天</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rPr>
                <w:color w:val="auto"/>
              </w:rPr>
            </w:r>
          </w:p>
        </w:tc>
      </w:tr>
      <w:tr>
        <w:trPr>
          <w:trHeight w:val="90"/>
        </w:trPr>
        <w:tc>
          <w:tcPr>
            <w:tcBorders>
              <w:top w:val="single" w:color="000000" w:sz="4" w:space="0"/>
              <w:left w:val="single" w:color="000000" w:sz="4" w:space="0"/>
              <w:bottom w:val="none" w:color="000000" w:sz="4" w:space="0"/>
              <w:right w:val="single" w:color="000000" w:sz="4" w:space="0"/>
            </w:tcBorders>
            <w:tcW w:w="472" w:type="dxa"/>
            <w:vAlign w:val="center"/>
            <w:vMerge w:val="restart"/>
            <w:textDirection w:val="lrTb"/>
            <w:noWrap w:val="false"/>
          </w:tcPr>
          <w:p>
            <w:pPr>
              <w:pStyle w:val="702"/>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二</w:t>
            </w:r>
            <w:r>
              <w:rPr>
                <w:rFonts w:hint="eastAsia" w:ascii="宋体" w:hAnsi="宋体" w:cs="宋体"/>
                <w:b/>
                <w:bCs/>
                <w:color w:val="auto"/>
                <w:sz w:val="22"/>
                <w:szCs w:val="22"/>
                <w:highlight w:val="none"/>
              </w:rPr>
            </w:r>
            <w:r>
              <w:rPr>
                <w:color w:val="auto"/>
              </w:rPr>
            </w:r>
          </w:p>
        </w:tc>
        <w:tc>
          <w:tcPr>
            <w:tcBorders>
              <w:top w:val="single" w:color="000000" w:sz="4" w:space="0"/>
              <w:left w:val="single" w:color="000000" w:sz="4" w:space="0"/>
              <w:bottom w:val="none" w:color="000000" w:sz="4" w:space="0"/>
              <w:right w:val="single" w:color="000000" w:sz="4" w:space="0"/>
            </w:tcBorders>
            <w:tcW w:w="953" w:type="dxa"/>
            <w:vAlign w:val="center"/>
            <w:vMerge w:val="restart"/>
            <w:textDirection w:val="lrTb"/>
            <w:noWrap w:val="false"/>
          </w:tcPr>
          <w:p>
            <w:pPr>
              <w:pStyle w:val="702"/>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检测服务</w:t>
            </w:r>
            <w:r>
              <w:rPr>
                <w:rFonts w:hint="eastAsia" w:ascii="宋体" w:hAnsi="宋体" w:cs="宋体"/>
                <w:b/>
                <w:bCs/>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1147" w:type="dxa"/>
            <w:vAlign w:val="center"/>
            <w:vMerge w:val="restart"/>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现场实施</w:t>
            </w:r>
            <w:r>
              <w:rPr>
                <w:rFonts w:hint="eastAsia" w:ascii="宋体" w:hAnsi="宋体" w:cs="宋体"/>
                <w:color w:val="auto"/>
                <w:sz w:val="20"/>
                <w:szCs w:val="20"/>
                <w:highlight w:val="none"/>
                <w:lang w:bidi="ar"/>
              </w:rPr>
            </w:r>
            <w:r>
              <w:rPr>
                <w:color w:val="auto"/>
              </w:rPr>
            </w:r>
          </w:p>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服务</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土壤钻探采取</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米</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1380</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02"/>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rPr>
                <w:color w:val="auto"/>
              </w:rPr>
            </w:r>
          </w:p>
        </w:tc>
      </w:tr>
      <w:tr>
        <w:trPr>
          <w:trHeight w:val="323"/>
        </w:trPr>
        <w:tc>
          <w:tcPr>
            <w:tcBorders>
              <w:top w:val="single" w:color="000000" w:sz="4" w:space="0"/>
              <w:left w:val="single" w:color="000000" w:sz="4" w:space="0"/>
              <w:bottom w:val="non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1147"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地下水钻探建井</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米</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562.5</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02"/>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rPr>
                <w:color w:val="auto"/>
              </w:rPr>
            </w:r>
          </w:p>
        </w:tc>
      </w:tr>
      <w:tr>
        <w:trPr>
          <w:trHeight w:val="540"/>
        </w:trPr>
        <w:tc>
          <w:tcPr>
            <w:tcBorders>
              <w:top w:val="single" w:color="000000" w:sz="4" w:space="0"/>
              <w:left w:val="single" w:color="000000" w:sz="4" w:space="0"/>
              <w:bottom w:val="non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1147"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土壤样品（重金属、挥发性有机物）含量快速筛查</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天</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10</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02"/>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rPr>
                <w:color w:val="auto"/>
              </w:rPr>
            </w:r>
          </w:p>
        </w:tc>
      </w:tr>
      <w:tr>
        <w:trPr>
          <w:trHeight w:val="238"/>
        </w:trPr>
        <w:tc>
          <w:tcPr>
            <w:tcBorders>
              <w:top w:val="single" w:color="000000" w:sz="4" w:space="0"/>
              <w:left w:val="single" w:color="000000" w:sz="4" w:space="0"/>
              <w:bottom w:val="non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1147"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人工及车辆（2工程师+1车）</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天</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15</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02"/>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rPr>
                <w:color w:val="auto"/>
              </w:rPr>
            </w:r>
          </w:p>
        </w:tc>
      </w:tr>
      <w:tr>
        <w:trPr>
          <w:trHeight w:val="119"/>
        </w:trPr>
        <w:tc>
          <w:tcPr>
            <w:tcBorders>
              <w:top w:val="single" w:color="000000" w:sz="4" w:space="0"/>
              <w:left w:val="single" w:color="000000" w:sz="4" w:space="0"/>
              <w:bottom w:val="non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样品检测，</w:t>
            </w:r>
            <w:r>
              <w:rPr>
                <w:rFonts w:hint="eastAsia" w:ascii="宋体" w:hAnsi="宋体" w:cs="宋体"/>
                <w:color w:val="auto"/>
                <w:sz w:val="20"/>
                <w:szCs w:val="20"/>
                <w:highlight w:val="none"/>
                <w:lang w:bidi="ar"/>
              </w:rPr>
            </w:r>
            <w:r>
              <w:rPr>
                <w:color w:val="auto"/>
              </w:rPr>
            </w:r>
          </w:p>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含报告编制</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土壤重金属检测（7项）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个</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21" w:type="dxa"/>
            <w:vAlign w:val="center"/>
            <w:vMerge w:val="restart"/>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1380</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0" w:space="0"/>
              <w:right w:val="single" w:color="000000" w:sz="4" w:space="0"/>
            </w:tcBorders>
            <w:tcW w:w="1125" w:type="dxa"/>
            <w:vAlign w:val="center"/>
            <w:vMerge w:val="restart"/>
            <w:textDirection w:val="lrTb"/>
            <w:noWrap w:val="false"/>
          </w:tcPr>
          <w:p>
            <w:pPr>
              <w:pStyle w:val="702"/>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具体检测项见服务内容说明</w:t>
            </w:r>
            <w:r>
              <w:rPr>
                <w:rFonts w:hint="eastAsia" w:ascii="宋体" w:hAnsi="宋体" w:cs="宋体"/>
                <w:color w:val="auto"/>
                <w:sz w:val="20"/>
                <w:szCs w:val="20"/>
                <w:highlight w:val="none"/>
              </w:rPr>
            </w:r>
            <w:r>
              <w:rPr>
                <w:color w:val="auto"/>
              </w:rPr>
            </w:r>
          </w:p>
        </w:tc>
      </w:tr>
      <w:tr>
        <w:trPr>
          <w:trHeight w:val="311"/>
        </w:trPr>
        <w:tc>
          <w:tcPr>
            <w:tcBorders>
              <w:top w:val="single" w:color="000000" w:sz="4" w:space="0"/>
              <w:left w:val="single" w:color="000000" w:sz="4" w:space="0"/>
              <w:bottom w:val="non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土壤挥发性有机物检测（27项）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none" w:color="000000" w:sz="0" w:space="0"/>
              <w:left w:val="single" w:color="000000" w:sz="4" w:space="0"/>
              <w:bottom w:val="none" w:color="000000" w:sz="0" w:space="0"/>
              <w:right w:val="single" w:color="000000" w:sz="4" w:space="0"/>
            </w:tcBorders>
            <w:tcW w:w="1125" w:type="dxa"/>
            <w:vAlign w:val="center"/>
            <w:vMerge w:val="continue"/>
            <w:textDirection w:val="lrTb"/>
            <w:noWrap w:val="false"/>
          </w:tcPr>
          <w:p>
            <w:pPr>
              <w:pStyle w:val="702"/>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247"/>
        </w:trPr>
        <w:tc>
          <w:tcPr>
            <w:tcBorders>
              <w:top w:val="single" w:color="000000" w:sz="4" w:space="0"/>
              <w:left w:val="single" w:color="000000" w:sz="4" w:space="0"/>
              <w:bottom w:val="non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土壤半挥发性有机物检（11项）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none" w:color="000000" w:sz="0" w:space="0"/>
              <w:left w:val="single" w:color="000000" w:sz="4" w:space="0"/>
              <w:bottom w:val="none" w:color="000000" w:sz="0" w:space="0"/>
              <w:right w:val="single" w:color="000000" w:sz="4" w:space="0"/>
            </w:tcBorders>
            <w:tcW w:w="1125" w:type="dxa"/>
            <w:vAlign w:val="center"/>
            <w:vMerge w:val="continue"/>
            <w:textDirection w:val="lrTb"/>
            <w:noWrap w:val="false"/>
          </w:tcPr>
          <w:p>
            <w:pPr>
              <w:pStyle w:val="702"/>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237"/>
        </w:trPr>
        <w:tc>
          <w:tcPr>
            <w:tcBorders>
              <w:top w:val="single" w:color="000000" w:sz="4" w:space="0"/>
              <w:left w:val="single" w:color="000000" w:sz="4" w:space="0"/>
              <w:bottom w:val="non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地下水重金属检测（7项）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个</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21" w:type="dxa"/>
            <w:vAlign w:val="center"/>
            <w:vMerge w:val="restart"/>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50</w:t>
            </w:r>
            <w:r>
              <w:rPr>
                <w:rFonts w:hint="eastAsia" w:ascii="宋体" w:hAnsi="宋体" w:cs="宋体"/>
                <w:color w:val="auto"/>
                <w:sz w:val="20"/>
                <w:szCs w:val="20"/>
                <w:highlight w:val="none"/>
              </w:rPr>
            </w:r>
            <w:r>
              <w:rPr>
                <w:color w:val="auto"/>
              </w:rPr>
            </w:r>
          </w:p>
        </w:tc>
        <w:tc>
          <w:tcPr>
            <w:tcBorders>
              <w:top w:val="none" w:color="000000" w:sz="0" w:space="0"/>
              <w:left w:val="single" w:color="000000" w:sz="4" w:space="0"/>
              <w:bottom w:val="none" w:color="000000" w:sz="0" w:space="0"/>
              <w:right w:val="single" w:color="000000" w:sz="4" w:space="0"/>
            </w:tcBorders>
            <w:tcW w:w="1125" w:type="dxa"/>
            <w:vAlign w:val="center"/>
            <w:vMerge w:val="continue"/>
            <w:textDirection w:val="lrTb"/>
            <w:noWrap w:val="false"/>
          </w:tcPr>
          <w:p>
            <w:pPr>
              <w:pStyle w:val="702"/>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258"/>
        </w:trPr>
        <w:tc>
          <w:tcPr>
            <w:tcBorders>
              <w:top w:val="single" w:color="000000" w:sz="4" w:space="0"/>
              <w:left w:val="single" w:color="000000" w:sz="4" w:space="0"/>
              <w:bottom w:val="non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地下水挥发性有机物检（27项）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none" w:color="000000" w:sz="0" w:space="0"/>
              <w:left w:val="single" w:color="000000" w:sz="4" w:space="0"/>
              <w:bottom w:val="none" w:color="000000" w:sz="0" w:space="0"/>
              <w:right w:val="single" w:color="000000" w:sz="4" w:space="0"/>
            </w:tcBorders>
            <w:tcW w:w="1125" w:type="dxa"/>
            <w:vAlign w:val="center"/>
            <w:vMerge w:val="continue"/>
            <w:textDirection w:val="lrTb"/>
            <w:noWrap w:val="false"/>
          </w:tcPr>
          <w:p>
            <w:pPr>
              <w:pStyle w:val="702"/>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307"/>
        </w:trPr>
        <w:tc>
          <w:tcPr>
            <w:tcBorders>
              <w:top w:val="single" w:color="000000" w:sz="4" w:space="0"/>
              <w:left w:val="single" w:color="000000" w:sz="4" w:space="0"/>
              <w:bottom w:val="non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地下水半挥发性有机物检测（11项）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702"/>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984"/>
        </w:trPr>
        <w:tc>
          <w:tcPr>
            <w:tcBorders>
              <w:top w:val="single" w:color="000000" w:sz="4" w:space="0"/>
              <w:left w:val="single" w:color="000000" w:sz="4" w:space="0"/>
              <w:bottom w:val="none" w:color="000000" w:sz="4" w:space="0"/>
              <w:right w:val="single" w:color="000000" w:sz="4" w:space="0"/>
            </w:tcBorders>
            <w:tcW w:w="472" w:type="dxa"/>
            <w:vAlign w:val="center"/>
            <w:vMerge w:val="restart"/>
            <w:textDirection w:val="lrTb"/>
            <w:noWrap w:val="false"/>
          </w:tcPr>
          <w:p>
            <w:pPr>
              <w:pStyle w:val="702"/>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三</w:t>
            </w:r>
            <w:r>
              <w:rPr>
                <w:rFonts w:hint="eastAsia" w:ascii="宋体" w:hAnsi="宋体" w:cs="宋体"/>
                <w:b/>
                <w:bCs/>
                <w:color w:val="auto"/>
                <w:sz w:val="22"/>
                <w:szCs w:val="22"/>
                <w:highlight w:val="none"/>
              </w:rPr>
            </w:r>
            <w:r>
              <w:rPr>
                <w:color w:val="auto"/>
              </w:rPr>
            </w:r>
          </w:p>
        </w:tc>
        <w:tc>
          <w:tcPr>
            <w:tcBorders>
              <w:top w:val="single" w:color="000000" w:sz="4" w:space="0"/>
              <w:left w:val="single" w:color="000000" w:sz="4" w:space="0"/>
              <w:bottom w:val="none" w:color="000000" w:sz="4" w:space="0"/>
              <w:right w:val="single" w:color="000000" w:sz="4" w:space="0"/>
            </w:tcBorders>
            <w:tcW w:w="953" w:type="dxa"/>
            <w:vAlign w:val="center"/>
            <w:vMerge w:val="restart"/>
            <w:textDirection w:val="lrTb"/>
            <w:noWrap w:val="false"/>
          </w:tcPr>
          <w:p>
            <w:pPr>
              <w:pStyle w:val="702"/>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风险评估</w:t>
            </w:r>
            <w:r>
              <w:rPr>
                <w:rFonts w:hint="eastAsia" w:ascii="宋体" w:hAnsi="宋体" w:cs="宋体"/>
                <w:b/>
                <w:bCs/>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风险评估</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3675" w:type="dxa"/>
            <w:vAlign w:val="center"/>
            <w:textDirection w:val="lrTb"/>
            <w:noWrap w:val="false"/>
          </w:tcPr>
          <w:p>
            <w:pPr>
              <w:pStyle w:val="702"/>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1、资料收集、现场踏勘（整理检查之前收集的关于场地的所有相关资料，如文件、历史档案、照片等）</w:t>
            </w:r>
            <w:r>
              <w:rPr>
                <w:rFonts w:hint="eastAsia" w:ascii="宋体" w:hAnsi="宋体" w:cs="宋体"/>
                <w:color w:val="auto"/>
                <w:sz w:val="20"/>
                <w:szCs w:val="20"/>
                <w:highlight w:val="none"/>
                <w:lang w:bidi="ar"/>
              </w:rPr>
            </w:r>
            <w:r>
              <w:rPr>
                <w:color w:val="auto"/>
              </w:rPr>
            </w:r>
          </w:p>
          <w:p>
            <w:pPr>
              <w:pStyle w:val="702"/>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2、人员访谈（2人不少于一周）</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721"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pStyle w:val="702"/>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rPr>
                <w:color w:val="auto"/>
              </w:rPr>
            </w:r>
          </w:p>
        </w:tc>
      </w:tr>
      <w:tr>
        <w:trPr>
          <w:trHeight w:val="1140"/>
        </w:trPr>
        <w:tc>
          <w:tcPr>
            <w:tcBorders>
              <w:top w:val="single" w:color="000000" w:sz="4" w:space="0"/>
              <w:left w:val="single" w:color="000000" w:sz="4" w:space="0"/>
              <w:bottom w:val="non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技术服务</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创建地块概念模型，包括危害识别、分析污染物的主要暴露途径、毒性评估、风险表征、以及土壤和地下水风险值计算等</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721"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702"/>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842"/>
        </w:trPr>
        <w:tc>
          <w:tcPr>
            <w:tcBorders>
              <w:top w:val="single" w:color="000000" w:sz="4" w:space="0"/>
              <w:left w:val="single" w:color="000000" w:sz="4" w:space="0"/>
              <w:bottom w:val="non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报告编制</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风险评估报告，需根据污染物种类、数量、是否涉及地下水等难度影响因素计取，专家评审（至少3名专家）</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721"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702"/>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1760"/>
        </w:trPr>
        <w:tc>
          <w:tcPr>
            <w:tcBorders>
              <w:top w:val="single" w:color="000000" w:sz="4" w:space="0"/>
              <w:left w:val="single" w:color="000000" w:sz="4" w:space="0"/>
              <w:bottom w:val="single" w:color="000000" w:sz="4" w:space="0"/>
              <w:right w:val="single" w:color="000000" w:sz="4" w:space="0"/>
            </w:tcBorders>
            <w:tcW w:w="472" w:type="dxa"/>
            <w:vAlign w:val="center"/>
            <w:vMerge w:val="restart"/>
            <w:textDirection w:val="lrTb"/>
            <w:noWrap w:val="false"/>
          </w:tcPr>
          <w:p>
            <w:pPr>
              <w:pStyle w:val="702"/>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四</w:t>
            </w:r>
            <w:r>
              <w:rPr>
                <w:rFonts w:hint="eastAsia" w:ascii="宋体" w:hAnsi="宋体" w:cs="宋体"/>
                <w:b/>
                <w:bCs/>
                <w:color w:val="auto"/>
                <w:sz w:val="22"/>
                <w:szCs w:val="22"/>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702"/>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制度性管控</w:t>
            </w:r>
            <w:r>
              <w:rPr>
                <w:rFonts w:hint="eastAsia" w:ascii="宋体" w:hAnsi="宋体" w:cs="宋体"/>
                <w:b/>
                <w:bCs/>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管控方案编制</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3675" w:type="dxa"/>
            <w:vAlign w:val="center"/>
            <w:textDirection w:val="lrTb"/>
            <w:noWrap w:val="false"/>
          </w:tcPr>
          <w:p>
            <w:pPr>
              <w:pStyle w:val="702"/>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1、根据各项检测、评估数据、地块特征条件、目标污染物、修复目标、修复范围和时长等因素确定修复技术方案、参数信息、修复工程量等，最终编制修复方案</w:t>
            </w:r>
            <w:r>
              <w:rPr>
                <w:rFonts w:hint="eastAsia" w:ascii="宋体" w:hAnsi="宋体" w:cs="宋体"/>
                <w:color w:val="auto"/>
                <w:sz w:val="20"/>
                <w:szCs w:val="20"/>
                <w:highlight w:val="none"/>
                <w:lang w:bidi="ar"/>
              </w:rPr>
            </w:r>
            <w:r>
              <w:rPr>
                <w:color w:val="auto"/>
              </w:rPr>
            </w:r>
          </w:p>
          <w:p>
            <w:pPr>
              <w:pStyle w:val="702"/>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2、含资料收集、现场踏勘、报告编制、专家评审等</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721"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1125" w:type="dxa"/>
            <w:vAlign w:val="center"/>
            <w:textDirection w:val="lrTb"/>
            <w:noWrap w:val="false"/>
          </w:tcPr>
          <w:p>
            <w:pPr>
              <w:pStyle w:val="702"/>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rPr>
                <w:color w:val="auto"/>
              </w:rPr>
            </w:r>
          </w:p>
        </w:tc>
      </w:tr>
      <w:tr>
        <w:trPr>
          <w:trHeight w:val="2933"/>
        </w:trPr>
        <w:tc>
          <w:tcPr>
            <w:tcBorders>
              <w:top w:val="singl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围挡建设</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1、40m旧彩钢板围栏拆除、重新安装；</w:t>
            </w:r>
            <w:r>
              <w:rPr>
                <w:rFonts w:hint="eastAsia" w:ascii="宋体" w:hAnsi="宋体" w:cs="宋体"/>
                <w:color w:val="auto"/>
                <w:sz w:val="20"/>
                <w:szCs w:val="20"/>
                <w:highlight w:val="none"/>
                <w:lang w:bidi="ar"/>
              </w:rPr>
            </w:r>
            <w:r>
              <w:rPr>
                <w:color w:val="auto"/>
              </w:rPr>
            </w:r>
          </w:p>
          <w:p>
            <w:pPr>
              <w:pStyle w:val="702"/>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2、新建围挡188.2m；</w:t>
            </w:r>
            <w:r>
              <w:rPr>
                <w:rFonts w:hint="eastAsia" w:ascii="宋体" w:hAnsi="宋体" w:cs="宋体"/>
                <w:color w:val="auto"/>
                <w:sz w:val="20"/>
                <w:szCs w:val="20"/>
                <w:highlight w:val="none"/>
                <w:lang w:bidi="ar"/>
              </w:rPr>
            </w:r>
            <w:r>
              <w:rPr>
                <w:color w:val="auto"/>
              </w:rPr>
            </w:r>
          </w:p>
          <w:p>
            <w:pPr>
              <w:pStyle w:val="702"/>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3、彩钢板门：2.5m*3.8m</w:t>
            </w:r>
            <w:r>
              <w:rPr>
                <w:rFonts w:hint="eastAsia" w:ascii="宋体" w:hAnsi="宋体" w:cs="宋体"/>
                <w:color w:val="auto"/>
                <w:sz w:val="20"/>
                <w:szCs w:val="20"/>
                <w:highlight w:val="none"/>
                <w:lang w:bidi="ar"/>
              </w:rPr>
            </w:r>
            <w:r>
              <w:rPr>
                <w:color w:val="auto"/>
              </w:rPr>
            </w:r>
          </w:p>
          <w:p>
            <w:pPr>
              <w:pStyle w:val="702"/>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4、50*50*2.5mm镀锌方管立柱，地面2.5m，埋地0.5m，间隔3m设置一根；</w:t>
            </w:r>
            <w:r>
              <w:rPr>
                <w:rFonts w:hint="eastAsia" w:ascii="宋体" w:hAnsi="宋体" w:cs="宋体"/>
                <w:color w:val="auto"/>
                <w:sz w:val="20"/>
                <w:szCs w:val="20"/>
                <w:highlight w:val="none"/>
                <w:lang w:bidi="ar"/>
              </w:rPr>
            </w:r>
            <w:r>
              <w:rPr>
                <w:color w:val="auto"/>
              </w:rPr>
            </w:r>
          </w:p>
          <w:p>
            <w:pPr>
              <w:pStyle w:val="702"/>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5、50*50*2.5mm镀锌方管横杆，通长3道；</w:t>
            </w:r>
            <w:r>
              <w:rPr>
                <w:rFonts w:hint="eastAsia" w:ascii="宋体" w:hAnsi="宋体" w:cs="宋体"/>
                <w:color w:val="auto"/>
                <w:sz w:val="20"/>
                <w:szCs w:val="20"/>
                <w:highlight w:val="none"/>
                <w:lang w:bidi="ar"/>
              </w:rPr>
            </w:r>
            <w:r>
              <w:rPr>
                <w:color w:val="auto"/>
              </w:rPr>
            </w:r>
          </w:p>
          <w:p>
            <w:pPr>
              <w:pStyle w:val="702"/>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6、50*50*2.5mm镀锌方管斜撑，长1.5m，间隔3m设置一根；</w:t>
            </w:r>
            <w:r>
              <w:rPr>
                <w:rFonts w:hint="eastAsia" w:ascii="宋体" w:hAnsi="宋体" w:cs="宋体"/>
                <w:color w:val="auto"/>
                <w:sz w:val="20"/>
                <w:szCs w:val="20"/>
                <w:highlight w:val="none"/>
                <w:lang w:bidi="ar"/>
              </w:rPr>
            </w:r>
            <w:r>
              <w:rPr>
                <w:color w:val="auto"/>
              </w:rPr>
            </w:r>
          </w:p>
          <w:p>
            <w:pPr>
              <w:pStyle w:val="702"/>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7、0.36mm彩钢板围挡，商铺2cm加厚带背胶草皮（原利旧处无草皮，需增加）；</w:t>
            </w:r>
            <w:r>
              <w:rPr>
                <w:rFonts w:hint="eastAsia" w:ascii="宋体" w:hAnsi="宋体" w:cs="宋体"/>
                <w:color w:val="auto"/>
                <w:sz w:val="20"/>
                <w:szCs w:val="20"/>
                <w:highlight w:val="none"/>
                <w:lang w:bidi="ar"/>
              </w:rPr>
            </w:r>
            <w:r>
              <w:rPr>
                <w:color w:val="auto"/>
              </w:rPr>
            </w:r>
          </w:p>
          <w:p>
            <w:pPr>
              <w:pStyle w:val="702"/>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8、含主材、辅材、运输、制作、安装等</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721"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02"/>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rPr>
                <w:color w:val="auto"/>
              </w:rPr>
            </w:r>
          </w:p>
        </w:tc>
      </w:tr>
      <w:tr>
        <w:trPr>
          <w:trHeight w:val="596"/>
        </w:trPr>
        <w:tc>
          <w:tcPr>
            <w:tcBorders>
              <w:top w:val="singl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标识制作</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根据建设方要求制作、安装风险管控标识、信息公告标牌等</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721"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02"/>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rPr>
                <w:color w:val="auto"/>
              </w:rPr>
            </w:r>
          </w:p>
        </w:tc>
      </w:tr>
      <w:tr>
        <w:trPr>
          <w:trHeight w:val="361"/>
        </w:trPr>
        <w:tc>
          <w:tcPr>
            <w:tcBorders>
              <w:top w:val="singl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定期巡查</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定期巡查（1年），每月不少于5次</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none" w:color="000000" w:sz="4" w:space="0"/>
              <w:right w:val="single" w:color="000000" w:sz="4" w:space="0"/>
            </w:tcBorders>
            <w:tcW w:w="721"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02"/>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rPr>
                <w:color w:val="auto"/>
              </w:rPr>
            </w:r>
          </w:p>
        </w:tc>
      </w:tr>
      <w:tr>
        <w:trPr>
          <w:trHeight w:val="371"/>
        </w:trPr>
        <w:tc>
          <w:tcPr>
            <w:tcBorders>
              <w:top w:val="single" w:color="000000" w:sz="4" w:space="0"/>
              <w:left w:val="single" w:color="000000" w:sz="4" w:space="0"/>
              <w:bottom w:val="single" w:color="000000" w:sz="4" w:space="0"/>
              <w:right w:val="single" w:color="000000" w:sz="4" w:space="0"/>
            </w:tcBorders>
            <w:tcW w:w="472" w:type="dxa"/>
            <w:vAlign w:val="center"/>
            <w:vMerge w:val="restart"/>
            <w:textDirection w:val="lrTb"/>
            <w:noWrap w:val="false"/>
          </w:tcPr>
          <w:p>
            <w:pPr>
              <w:pStyle w:val="702"/>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五</w:t>
            </w:r>
            <w:r>
              <w:rPr>
                <w:rFonts w:hint="eastAsia" w:ascii="宋体" w:hAnsi="宋体" w:cs="宋体"/>
                <w:b/>
                <w:bCs/>
                <w:color w:val="auto"/>
                <w:sz w:val="22"/>
                <w:szCs w:val="22"/>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702"/>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长期监测服务</w:t>
            </w:r>
            <w:r>
              <w:rPr>
                <w:rFonts w:hint="eastAsia" w:ascii="宋体" w:hAnsi="宋体" w:cs="宋体"/>
                <w:b/>
                <w:bCs/>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现场实施</w:t>
            </w:r>
            <w:r>
              <w:rPr>
                <w:rFonts w:hint="eastAsia" w:ascii="宋体" w:hAnsi="宋体" w:cs="宋体"/>
                <w:color w:val="auto"/>
                <w:sz w:val="20"/>
                <w:szCs w:val="20"/>
                <w:highlight w:val="none"/>
                <w:lang w:bidi="ar"/>
              </w:rPr>
            </w:r>
            <w:r>
              <w:rPr>
                <w:color w:val="auto"/>
              </w:rPr>
            </w:r>
          </w:p>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服务</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土壤钻探采取</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米</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100</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土壤及地下水钻探深度均为10m；土壤一年一次，地下水一年四次。</w:t>
            </w:r>
            <w:r>
              <w:rPr>
                <w:rFonts w:hint="eastAsia" w:ascii="宋体" w:hAnsi="宋体" w:cs="宋体"/>
                <w:color w:val="auto"/>
                <w:sz w:val="20"/>
                <w:szCs w:val="20"/>
                <w:highlight w:val="none"/>
              </w:rPr>
              <w:t xml:space="preserve">具体检测项见服务内容说明</w:t>
            </w:r>
            <w:r>
              <w:rPr>
                <w:rFonts w:hint="eastAsia" w:ascii="宋体" w:hAnsi="宋体" w:cs="宋体"/>
                <w:color w:val="auto"/>
                <w:sz w:val="20"/>
                <w:szCs w:val="20"/>
                <w:highlight w:val="none"/>
              </w:rPr>
            </w:r>
            <w:r>
              <w:rPr>
                <w:color w:val="auto"/>
              </w:rPr>
            </w:r>
          </w:p>
        </w:tc>
      </w:tr>
      <w:tr>
        <w:trPr>
          <w:trHeight w:val="376"/>
        </w:trPr>
        <w:tc>
          <w:tcPr>
            <w:tcBorders>
              <w:top w:val="singl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地下水钻探建井</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米</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100</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土壤样品（重金属、挥发性有机物）含量快速筛查</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天</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313"/>
        </w:trPr>
        <w:tc>
          <w:tcPr>
            <w:tcBorders>
              <w:top w:val="singl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人工及车辆（2工程师+1车）</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天</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333"/>
        </w:trPr>
        <w:tc>
          <w:tcPr>
            <w:tcBorders>
              <w:top w:val="singl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样品检测，</w:t>
            </w:r>
            <w:r>
              <w:rPr>
                <w:rFonts w:hint="eastAsia" w:ascii="宋体" w:hAnsi="宋体" w:cs="宋体"/>
                <w:color w:val="auto"/>
                <w:sz w:val="20"/>
                <w:szCs w:val="20"/>
                <w:highlight w:val="none"/>
                <w:lang w:bidi="ar"/>
              </w:rPr>
            </w:r>
            <w:r>
              <w:rPr>
                <w:color w:val="auto"/>
              </w:rPr>
            </w:r>
          </w:p>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含报告编制</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土壤重金属检测（7项）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个</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21" w:type="dxa"/>
            <w:vAlign w:val="center"/>
            <w:vMerge w:val="restart"/>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100</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301"/>
        </w:trPr>
        <w:tc>
          <w:tcPr>
            <w:tcBorders>
              <w:top w:val="singl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土壤挥发性有机物检测（27项）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301"/>
        </w:trPr>
        <w:tc>
          <w:tcPr>
            <w:tcBorders>
              <w:top w:val="singl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土壤半挥发性有机物检（11项）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290"/>
        </w:trPr>
        <w:tc>
          <w:tcPr>
            <w:tcBorders>
              <w:top w:val="singl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地下水重金属检测（7项）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个</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721" w:type="dxa"/>
            <w:vAlign w:val="center"/>
            <w:vMerge w:val="restart"/>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44</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354"/>
        </w:trPr>
        <w:tc>
          <w:tcPr>
            <w:tcBorders>
              <w:top w:val="singl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地下水挥发性有机物检（27项）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306"/>
        </w:trPr>
        <w:tc>
          <w:tcPr>
            <w:tcBorders>
              <w:top w:val="singl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70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702"/>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02"/>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地下水半挥发性有机物检测（11项）</w:t>
            </w:r>
            <w:r>
              <w:rPr>
                <w:rFonts w:hint="eastAsia" w:ascii="宋体" w:hAnsi="宋体" w:cs="宋体"/>
                <w:color w:val="auto"/>
                <w:sz w:val="20"/>
                <w:szCs w:val="20"/>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702"/>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bl>
    <w:p>
      <w:pPr>
        <w:pStyle w:val="702"/>
        <w:ind w:firstLine="480"/>
        <w:spacing w:line="360" w:lineRule="auto"/>
        <w:rPr>
          <w:rFonts w:hint="eastAsia" w:ascii="宋体" w:hAnsi="宋体" w:cs="宋体"/>
          <w:bCs/>
          <w:color w:val="auto"/>
          <w:szCs w:val="21"/>
          <w:highlight w:val="none"/>
        </w:rPr>
        <w:outlineLvl w:val="1"/>
      </w:pPr>
      <w:r>
        <w:rPr>
          <w:rFonts w:hint="eastAsia" w:ascii="宋体" w:hAnsi="宋体" w:cs="宋体"/>
          <w:color w:val="auto"/>
          <w:szCs w:val="21"/>
          <w:highlight w:val="none"/>
        </w:rPr>
        <w:t xml:space="preserve">以上数量为预估量，投标单位按清单数量填报单价和总价，最终根据中标单价及实际工作量按实结算。</w:t>
      </w:r>
      <w:r>
        <w:rPr>
          <w:rFonts w:hint="eastAsia" w:ascii="宋体" w:hAnsi="宋体" w:cs="宋体"/>
          <w:bCs/>
          <w:color w:val="auto"/>
          <w:szCs w:val="21"/>
          <w:highlight w:val="none"/>
        </w:rPr>
      </w:r>
      <w:r>
        <w:rPr>
          <w:color w:val="auto"/>
        </w:rPr>
      </w:r>
    </w:p>
    <w:p>
      <w:pPr>
        <w:pStyle w:val="702"/>
        <w:numPr>
          <w:ilvl w:val="0"/>
          <w:numId w:val="4"/>
        </w:num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工作依据</w:t>
      </w:r>
      <w:r>
        <w:rPr>
          <w:rFonts w:hint="eastAsia" w:ascii="宋体" w:hAnsi="宋体" w:cs="宋体"/>
          <w:b/>
          <w:bCs/>
          <w:color w:val="auto"/>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sz w:val="21"/>
          <w:szCs w:val="21"/>
          <w:highlight w:val="none"/>
        </w:rPr>
        <w:t xml:space="preserve">《中华人民共和国土壤污染防治法》（2019</w:t>
      </w:r>
      <w:r>
        <w:rPr>
          <w:rFonts w:hint="eastAsia"/>
          <w:color w:val="auto"/>
          <w:sz w:val="21"/>
          <w:szCs w:val="21"/>
          <w:highlight w:val="none"/>
        </w:rPr>
        <w:t xml:space="preserve">年</w:t>
      </w:r>
      <w:r>
        <w:rPr>
          <w:color w:val="auto"/>
          <w:sz w:val="21"/>
          <w:szCs w:val="21"/>
          <w:highlight w:val="none"/>
        </w:rPr>
        <w:t xml:space="preserve">1</w:t>
      </w:r>
      <w:r>
        <w:rPr>
          <w:rFonts w:hint="eastAsia"/>
          <w:color w:val="auto"/>
          <w:sz w:val="21"/>
          <w:szCs w:val="21"/>
          <w:highlight w:val="none"/>
        </w:rPr>
        <w:t xml:space="preserve">月</w:t>
      </w:r>
      <w:r>
        <w:rPr>
          <w:color w:val="auto"/>
          <w:sz w:val="21"/>
          <w:szCs w:val="21"/>
          <w:highlight w:val="none"/>
        </w:rPr>
        <w:t xml:space="preserve">1</w:t>
      </w:r>
      <w:r>
        <w:rPr>
          <w:rFonts w:hint="eastAsia"/>
          <w:color w:val="auto"/>
          <w:sz w:val="21"/>
          <w:szCs w:val="21"/>
          <w:highlight w:val="none"/>
        </w:rPr>
        <w:t xml:space="preserve">日施行</w:t>
      </w:r>
      <w:r>
        <w:rPr>
          <w:color w:val="auto"/>
          <w:sz w:val="21"/>
          <w:szCs w:val="21"/>
          <w:highlight w:val="none"/>
        </w:rPr>
        <w:t xml:space="preserve">）</w:t>
      </w:r>
      <w:r>
        <w:rPr>
          <w:color w:val="auto"/>
          <w:sz w:val="21"/>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sz w:val="21"/>
          <w:szCs w:val="21"/>
          <w:highlight w:val="none"/>
        </w:rPr>
        <w:t xml:space="preserve">《中华人民共和国固体废物污染环境防治法》（2020年修订）</w:t>
      </w:r>
      <w:r>
        <w:rPr>
          <w:color w:val="auto"/>
          <w:sz w:val="21"/>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sz w:val="21"/>
          <w:szCs w:val="21"/>
          <w:highlight w:val="none"/>
        </w:rPr>
        <w:t xml:space="preserve">《中华人民共和国水污染防治法》（2018年1月1日施行）</w:t>
      </w:r>
      <w:r>
        <w:rPr>
          <w:color w:val="auto"/>
          <w:sz w:val="21"/>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sz w:val="21"/>
          <w:szCs w:val="21"/>
          <w:highlight w:val="none"/>
        </w:rPr>
        <w:t xml:space="preserve">《土壤污染防治行动计划》（国发[2016]31号）</w:t>
      </w:r>
      <w:r>
        <w:rPr>
          <w:color w:val="auto"/>
          <w:sz w:val="21"/>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sz w:val="21"/>
          <w:szCs w:val="21"/>
          <w:highlight w:val="none"/>
        </w:rPr>
        <w:t xml:space="preserve">《关于加强企业关停、搬迁及原址场地再开发利用过程中污染防治工作的通知》（环发[2014]66号）</w:t>
      </w:r>
      <w:r>
        <w:rPr>
          <w:color w:val="auto"/>
          <w:sz w:val="21"/>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sz w:val="21"/>
          <w:szCs w:val="21"/>
          <w:highlight w:val="none"/>
        </w:rPr>
        <w:t xml:space="preserve">《污染地块土壤环境管理办法（试行）》（环境保护部令第42号）</w:t>
      </w:r>
      <w:r>
        <w:rPr>
          <w:color w:val="auto"/>
          <w:sz w:val="21"/>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sz w:val="21"/>
          <w:szCs w:val="21"/>
          <w:highlight w:val="none"/>
        </w:rPr>
        <w:t xml:space="preserve">《江苏省土壤污染防治工作方案》（苏政发[2016]169号）</w:t>
      </w:r>
      <w:r>
        <w:rPr>
          <w:color w:val="auto"/>
          <w:sz w:val="21"/>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sz w:val="21"/>
          <w:szCs w:val="21"/>
          <w:highlight w:val="none"/>
        </w:rPr>
        <w:t xml:space="preserve">《市政府关于印发苏州市土壤污染防治工作方案的通知》（苏府[2017]102号）</w:t>
      </w:r>
      <w:r>
        <w:rPr>
          <w:color w:val="auto"/>
          <w:sz w:val="21"/>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sz w:val="21"/>
          <w:szCs w:val="21"/>
          <w:highlight w:val="none"/>
        </w:rPr>
        <w:t xml:space="preserve">《苏州市建设用地土壤污染状况调查报告评审工作指南》（苏环办字〔2023〕82号）</w:t>
      </w:r>
      <w:r>
        <w:rPr>
          <w:color w:val="auto"/>
          <w:sz w:val="21"/>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sz w:val="21"/>
          <w:szCs w:val="21"/>
          <w:highlight w:val="none"/>
        </w:rPr>
        <w:t xml:space="preserve">《土壤环境质量 建设用地土壤污染风险管控标准（试行）》（GB 36600-2018）</w:t>
      </w:r>
      <w:r>
        <w:rPr>
          <w:color w:val="auto"/>
          <w:sz w:val="21"/>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sz w:val="21"/>
          <w:szCs w:val="21"/>
          <w:highlight w:val="none"/>
        </w:rPr>
        <w:t xml:space="preserve">《地下水质量标准》（GB/T 14848-2017）</w:t>
      </w:r>
      <w:r>
        <w:rPr>
          <w:color w:val="auto"/>
          <w:sz w:val="21"/>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sz w:val="21"/>
          <w:szCs w:val="21"/>
          <w:highlight w:val="none"/>
        </w:rPr>
        <w:t xml:space="preserve">《建设用地土壤污染风险管控和修复术语》（HJ 682-2019）</w:t>
      </w:r>
      <w:r>
        <w:rPr>
          <w:color w:val="auto"/>
          <w:sz w:val="21"/>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rPr>
      </w:r>
      <w:bookmarkStart w:id="67" w:name="_Hlk26880568"/>
      <w:r>
        <w:rPr>
          <w:color w:val="auto"/>
          <w:sz w:val="21"/>
          <w:szCs w:val="21"/>
          <w:highlight w:val="none"/>
        </w:rPr>
        <w:t xml:space="preserve">《建设用地土壤污染状况调查技术导则》（HJ25.1-2019）</w:t>
      </w:r>
      <w:bookmarkEnd w:id="67"/>
      <w:r>
        <w:rPr>
          <w:color w:val="auto"/>
          <w:sz w:val="21"/>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sz w:val="21"/>
          <w:szCs w:val="21"/>
          <w:highlight w:val="none"/>
        </w:rPr>
        <w:t xml:space="preserve">《建设用地土壤污染风险管控和修复监测技术导则》（HJ25.2-2019）</w:t>
      </w:r>
      <w:r>
        <w:rPr>
          <w:color w:val="auto"/>
          <w:sz w:val="21"/>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sz w:val="21"/>
          <w:szCs w:val="21"/>
          <w:highlight w:val="none"/>
        </w:rPr>
        <w:t xml:space="preserve">《建设用地土壤污染风险评估技术导则》（HJ 25.3-2019）</w:t>
      </w:r>
      <w:r>
        <w:rPr>
          <w:color w:val="auto"/>
          <w:sz w:val="21"/>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sz w:val="21"/>
          <w:szCs w:val="21"/>
          <w:highlight w:val="none"/>
        </w:rPr>
        <w:t xml:space="preserve">《建设用地土壤污染状况调查质量控制技术规定（试行）》（生态环境部2022年第17号公告）</w:t>
      </w:r>
      <w:r>
        <w:rPr>
          <w:color w:val="auto"/>
          <w:sz w:val="21"/>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sz w:val="21"/>
          <w:szCs w:val="21"/>
          <w:highlight w:val="none"/>
        </w:rPr>
        <w:t xml:space="preserve">《地下水环境状况调查评价工作指南》（2019年9月）</w:t>
      </w:r>
      <w:r>
        <w:rPr>
          <w:color w:val="auto"/>
          <w:sz w:val="21"/>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sz w:val="21"/>
          <w:szCs w:val="21"/>
          <w:highlight w:val="none"/>
        </w:rPr>
        <w:t xml:space="preserve">《地下水污染健康风险评估工作指南》（2019年9月）</w:t>
      </w:r>
      <w:r>
        <w:rPr>
          <w:color w:val="auto"/>
          <w:sz w:val="21"/>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sz w:val="21"/>
          <w:szCs w:val="21"/>
          <w:highlight w:val="none"/>
        </w:rPr>
        <w:t xml:space="preserve">《建设用地土壤环境调查评估技术指南》（环发[2017]72号）</w:t>
      </w:r>
      <w:r>
        <w:rPr>
          <w:color w:val="auto"/>
          <w:sz w:val="21"/>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sz w:val="21"/>
          <w:szCs w:val="21"/>
          <w:highlight w:val="none"/>
        </w:rPr>
        <w:t xml:space="preserve">《土壤环境监测技术规范》（HJ/T166-2004）</w:t>
      </w:r>
      <w:r>
        <w:rPr>
          <w:color w:val="auto"/>
          <w:sz w:val="21"/>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sz w:val="21"/>
          <w:szCs w:val="21"/>
          <w:highlight w:val="none"/>
        </w:rPr>
        <w:t xml:space="preserve">《地下水环境监测技术规范》（HJ164-2020）</w:t>
      </w:r>
      <w:r>
        <w:rPr>
          <w:color w:val="auto"/>
          <w:sz w:val="21"/>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sz w:val="21"/>
          <w:szCs w:val="21"/>
          <w:highlight w:val="none"/>
        </w:rPr>
        <w:t xml:space="preserve">《地表水环境质量监测技术规范》（HJ/T 91.2-2022）</w:t>
      </w:r>
      <w:r>
        <w:rPr>
          <w:color w:val="auto"/>
          <w:sz w:val="21"/>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sz w:val="21"/>
          <w:szCs w:val="21"/>
          <w:highlight w:val="none"/>
        </w:rPr>
        <w:t xml:space="preserve">《电镀行业地块土壤污染状况调查技术规范》（DB32/T 4425-2022）</w:t>
      </w:r>
      <w:r>
        <w:rPr>
          <w:color w:val="auto"/>
          <w:sz w:val="21"/>
          <w:szCs w:val="21"/>
          <w:highlight w:val="none"/>
        </w:rPr>
      </w:r>
      <w:r>
        <w:rPr>
          <w:color w:val="auto"/>
        </w:rPr>
      </w:r>
    </w:p>
    <w:p>
      <w:pPr>
        <w:pStyle w:val="750"/>
        <w:numPr>
          <w:ilvl w:val="0"/>
          <w:numId w:val="5"/>
        </w:numPr>
        <w:ind w:firstLine="420"/>
        <w:spacing w:after="0" w:line="360" w:lineRule="auto"/>
        <w:rPr>
          <w:color w:val="auto"/>
          <w:sz w:val="21"/>
          <w:szCs w:val="21"/>
          <w:highlight w:val="none"/>
        </w:rPr>
      </w:pPr>
      <w:r>
        <w:rPr>
          <w:color w:val="auto"/>
          <w:sz w:val="21"/>
          <w:szCs w:val="21"/>
          <w:highlight w:val="none"/>
        </w:rPr>
        <w:t xml:space="preserve">《岩土工程勘察规范》（GB 50021-2017）</w:t>
      </w:r>
      <w:r>
        <w:rPr>
          <w:color w:val="auto"/>
          <w:sz w:val="21"/>
          <w:szCs w:val="21"/>
          <w:highlight w:val="none"/>
        </w:rPr>
      </w:r>
      <w:r>
        <w:rPr>
          <w:color w:val="auto"/>
        </w:rPr>
      </w:r>
    </w:p>
    <w:p>
      <w:pPr>
        <w:pStyle w:val="750"/>
        <w:numPr>
          <w:ilvl w:val="0"/>
          <w:numId w:val="5"/>
        </w:numPr>
        <w:ind w:firstLine="460"/>
        <w:spacing w:after="0" w:line="360" w:lineRule="auto"/>
        <w:rPr>
          <w:color w:val="auto"/>
          <w:sz w:val="21"/>
          <w:szCs w:val="21"/>
          <w:highlight w:val="none"/>
        </w:rPr>
      </w:pPr>
      <w:r>
        <w:rPr>
          <w:rFonts w:hint="eastAsia" w:ascii="宋体" w:hAnsi="宋体" w:cs="宋体"/>
          <w:color w:val="auto"/>
          <w:spacing w:val="10"/>
          <w:sz w:val="21"/>
          <w:szCs w:val="21"/>
          <w:highlight w:val="none"/>
        </w:rPr>
        <w:t xml:space="preserve">《关于明确2024年度优先监管清单地块土壤污染管控有关工作的通知（征求意见稿）》</w:t>
      </w:r>
      <w:r>
        <w:rPr>
          <w:color w:val="auto"/>
          <w:sz w:val="21"/>
          <w:szCs w:val="21"/>
          <w:highlight w:val="none"/>
        </w:rPr>
      </w:r>
      <w:r>
        <w:rPr>
          <w:color w:val="auto"/>
        </w:rPr>
      </w:r>
    </w:p>
    <w:p>
      <w:pPr>
        <w:pStyle w:val="702"/>
        <w:ind w:firstLine="422"/>
        <w:spacing w:line="360" w:lineRule="auto"/>
        <w:rPr>
          <w:b/>
          <w:bCs/>
          <w:color w:val="auto"/>
          <w:szCs w:val="21"/>
          <w:highlight w:val="none"/>
        </w:rPr>
      </w:pPr>
      <w:r>
        <w:rPr>
          <w:rFonts w:hint="eastAsia"/>
          <w:b/>
          <w:bCs/>
          <w:color w:val="auto"/>
          <w:szCs w:val="21"/>
          <w:highlight w:val="none"/>
        </w:rPr>
        <w:t xml:space="preserve">（</w:t>
      </w:r>
      <w:r>
        <w:rPr>
          <w:b/>
          <w:bCs/>
          <w:color w:val="auto"/>
          <w:szCs w:val="21"/>
          <w:highlight w:val="none"/>
        </w:rPr>
        <w:t xml:space="preserve">以上依据若相关部门已发布最新标准，按最新标准执行</w:t>
      </w:r>
      <w:r>
        <w:rPr>
          <w:rFonts w:hint="eastAsia"/>
          <w:b/>
          <w:bCs/>
          <w:color w:val="auto"/>
          <w:szCs w:val="21"/>
          <w:highlight w:val="none"/>
        </w:rPr>
        <w:t xml:space="preserve">）</w:t>
      </w:r>
      <w:r>
        <w:rPr>
          <w:b/>
          <w:bCs/>
          <w:color w:val="auto"/>
          <w:szCs w:val="21"/>
          <w:highlight w:val="none"/>
        </w:rPr>
      </w:r>
      <w:r>
        <w:rPr>
          <w:color w:val="auto"/>
        </w:rPr>
      </w:r>
    </w:p>
    <w:p>
      <w:pPr>
        <w:pStyle w:val="702"/>
        <w:ind w:firstLine="48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（四）服务内容：</w:t>
      </w:r>
      <w:r>
        <w:rPr>
          <w:rFonts w:hint="eastAsia" w:ascii="宋体" w:hAnsi="宋体" w:cs="宋体"/>
          <w:b/>
          <w:color w:val="auto"/>
          <w:szCs w:val="21"/>
          <w:highlight w:val="none"/>
        </w:rPr>
      </w:r>
      <w:r>
        <w:rPr>
          <w:color w:val="auto"/>
        </w:rPr>
      </w:r>
    </w:p>
    <w:p>
      <w:pPr>
        <w:pStyle w:val="702"/>
        <w:ind w:firstLine="480"/>
        <w:spacing w:line="360" w:lineRule="auto"/>
        <w:rPr>
          <w:rFonts w:hint="eastAsia" w:ascii="宋体" w:hAnsi="宋体"/>
          <w:color w:val="auto"/>
          <w:szCs w:val="21"/>
          <w:highlight w:val="none"/>
        </w:rPr>
        <w:outlineLvl w:val="1"/>
      </w:pPr>
      <w:r>
        <w:rPr>
          <w:rFonts w:hint="eastAsia" w:ascii="宋体" w:hAnsi="宋体"/>
          <w:b/>
          <w:bCs/>
          <w:color w:val="auto"/>
          <w:szCs w:val="21"/>
          <w:highlight w:val="none"/>
        </w:rPr>
        <w:t xml:space="preserve">1、</w:t>
      </w:r>
      <w:r>
        <w:rPr>
          <w:rFonts w:hint="eastAsia" w:ascii="宋体" w:hAnsi="宋体" w:cs="宋体"/>
          <w:b/>
          <w:bCs/>
          <w:color w:val="auto"/>
          <w:sz w:val="20"/>
          <w:szCs w:val="20"/>
          <w:highlight w:val="none"/>
          <w:lang w:bidi="ar"/>
        </w:rPr>
        <w:t xml:space="preserve">调查服务</w:t>
      </w:r>
      <w:r>
        <w:rPr>
          <w:rFonts w:hint="eastAsia" w:ascii="宋体" w:hAnsi="宋体"/>
          <w:color w:val="auto"/>
          <w:szCs w:val="21"/>
          <w:highlight w:val="none"/>
        </w:rPr>
      </w:r>
      <w:r>
        <w:rPr>
          <w:color w:val="auto"/>
        </w:rPr>
      </w:r>
    </w:p>
    <w:p>
      <w:pPr>
        <w:pStyle w:val="702"/>
        <w:ind w:firstLine="480"/>
        <w:spacing w:line="360" w:lineRule="auto"/>
        <w:rPr>
          <w:rFonts w:hint="eastAsia" w:ascii="宋体" w:hAnsi="宋体"/>
          <w:color w:val="auto"/>
          <w:szCs w:val="21"/>
          <w:highlight w:val="none"/>
        </w:rPr>
        <w:outlineLvl w:val="1"/>
      </w:pPr>
      <w:r>
        <w:rPr>
          <w:rFonts w:hint="eastAsia" w:ascii="宋体" w:hAnsi="宋体"/>
          <w:color w:val="auto"/>
          <w:szCs w:val="21"/>
          <w:highlight w:val="none"/>
        </w:rPr>
        <w:t xml:space="preserve">根据地块初步调查情况及相关的技术规范，实施土壤污染状况详细调查，充分了解地块污染物浓度和空间分布情况。包括但不限于：编制土壤污染状况详细调查方案（开展资料收集、现场踏勘、人员访谈、污染识别等工作）、地块水文地质及环境风险参数调查、组织现场钻探采样与实验室检测分析、进行数据分析与评价和编制土壤污染调查报告并通过专家论证。（如发现土壤或地下水污染边界临近或超出地块红线的，调查范围应自污染边界向外延伸至查清污染范围</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rPr>
          <w:rFonts w:hint="eastAsia" w:ascii="宋体" w:hAnsi="宋体"/>
          <w:color w:val="auto"/>
          <w:szCs w:val="21"/>
          <w:highlight w:val="none"/>
        </w:rPr>
      </w:r>
      <w:r>
        <w:rPr>
          <w:color w:val="auto"/>
        </w:rPr>
      </w:r>
    </w:p>
    <w:p>
      <w:pPr>
        <w:pStyle w:val="950"/>
        <w:numPr>
          <w:ilvl w:val="0"/>
          <w:numId w:val="3"/>
        </w:numPr>
        <w:ind w:firstLine="480"/>
        <w:spacing w:line="360" w:lineRule="auto"/>
        <w:rPr>
          <w:rFonts w:ascii="宋体" w:hAnsi="宋体"/>
          <w:b/>
          <w:bCs/>
          <w:color w:val="auto"/>
          <w:szCs w:val="21"/>
          <w:highlight w:val="none"/>
        </w:rPr>
        <w:outlineLvl w:val="1"/>
      </w:pPr>
      <w:r>
        <w:rPr>
          <w:rFonts w:hint="eastAsia" w:ascii="宋体" w:hAnsi="宋体"/>
          <w:b/>
          <w:bCs/>
          <w:color w:val="auto"/>
          <w:szCs w:val="21"/>
          <w:highlight w:val="none"/>
        </w:rPr>
        <w:t xml:space="preserve">检测服务</w:t>
      </w:r>
      <w:r>
        <w:rPr>
          <w:rFonts w:ascii="宋体" w:hAnsi="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包括方案编制、现场土壤及地下水钻探、土壤地下水等样品采集及现场分析、样品保存和流转、样品实验室检测分析、检测数据的处理和调查报告的编制。具体要求如下：</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①方案编制：地块资料收集、现场踏勘、人员访谈、污染识别等工作，明确钻探点位及样品检测项目。</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②土壤钻探及地下水建井。</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③样品采集：中标单位现场取样人员须具备检测实际工作经验，具有相关上岗证或技术能力。样品采集过程中需使用X射线荧光分析仪和光离子检测仪对采集的样品进行快速筛查。</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④样品分析：中标单位需根据调查方案开展检测工作，分析项目包含不限于重金属7项（铜、铅、镍、镉、六价铬、汞、砷）、挥发性有机物27项（氯甲烷、四氯化碳、三氯甲烷、1,1-二氯乙烷、</w:t>
      </w:r>
      <w:r>
        <w:rPr>
          <w:rFonts w:hint="eastAsia" w:ascii="宋体" w:hAnsi="宋体" w:cs="宋体"/>
          <w:color w:val="auto"/>
          <w:szCs w:val="21"/>
          <w:highlight w:val="none"/>
        </w:rPr>
        <w:t xml:space="preserve">1,2-二氯乙烷、1,1-二氯乙烯、顺-1,2-二氯乙烯、反-1,2-二氯乙烯、二氯甲烷、1,2-二氯丙烷、1,1,1,2-四氯乙烷、1,1,2,2-四氯乙烷、四氯乙烯、1,1,1-三氯乙烷、1,1,2-三氯乙烷、三氯乙烯、1,2,3-三氯丙烷、氯乙烯、苯、氯苯、1,2-二氯苯、1,4-二氯苯、乙苯、苯乙烯、甲苯、间二甲苯+对二甲苯、邻二甲苯）和半挥发性有机物11项（硝基苯、苯胺、2-氯酚、苯并[a]蒽、苯并[a]芘、苯并[b]荧蒽、苯并[k]荧蒽、䓛、二苯并[a,h]蒽、茚并[1,2,3-cd]芘、萘）。</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⑤检测服务使用的所有仪器、设备均由中标单位自行提供，保证在用的仪器设备完好且必须经计量检定合格并且在检定有效期内，因使用或者故障发生的维修、维护保养、配件更换等费用，均由中标单位自行承担。</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b/>
          <w:bCs/>
          <w:color w:val="auto"/>
          <w:szCs w:val="21"/>
          <w:highlight w:val="none"/>
        </w:rPr>
        <w:outlineLvl w:val="1"/>
      </w:pPr>
      <w:r>
        <w:rPr>
          <w:rFonts w:hint="eastAsia" w:ascii="宋体" w:hAnsi="宋体"/>
          <w:b/>
          <w:bCs/>
          <w:color w:val="auto"/>
          <w:szCs w:val="21"/>
          <w:highlight w:val="none"/>
        </w:rPr>
        <w:t xml:space="preserve">3、风险评估</w:t>
      </w:r>
      <w:r>
        <w:rPr>
          <w:rFonts w:hint="eastAsia" w:ascii="宋体" w:hAnsi="宋体"/>
          <w:b/>
          <w:bCs/>
          <w:color w:val="auto"/>
          <w:szCs w:val="21"/>
          <w:highlight w:val="none"/>
        </w:rPr>
      </w:r>
      <w:r>
        <w:rPr>
          <w:color w:val="auto"/>
        </w:rPr>
      </w:r>
    </w:p>
    <w:p>
      <w:pPr>
        <w:pStyle w:val="702"/>
        <w:ind w:firstLine="480"/>
        <w:spacing w:line="360" w:lineRule="auto"/>
        <w:rPr>
          <w:rFonts w:hint="eastAsia" w:ascii="宋体" w:hAnsi="宋体"/>
          <w:color w:val="auto"/>
          <w:szCs w:val="21"/>
          <w:highlight w:val="none"/>
        </w:rPr>
        <w:outlineLvl w:val="1"/>
      </w:pPr>
      <w:r>
        <w:rPr>
          <w:rFonts w:hint="eastAsia" w:ascii="宋体" w:hAnsi="宋体"/>
          <w:color w:val="auto"/>
          <w:szCs w:val="21"/>
          <w:highlight w:val="none"/>
        </w:rPr>
        <w:t xml:space="preserve">根据国家及地方标准和技术导则最新要求，对地块开展土壤污染风险评估，通过</w:t>
      </w:r>
      <w:r>
        <w:rPr>
          <w:rFonts w:hint="eastAsia" w:ascii="宋体" w:hAnsi="宋体" w:cs="宋体"/>
          <w:color w:val="auto"/>
          <w:sz w:val="20"/>
          <w:szCs w:val="20"/>
          <w:highlight w:val="none"/>
          <w:lang w:bidi="ar"/>
        </w:rPr>
        <w:t xml:space="preserve">资料收集、现场踏勘（整理检查之前收集的关于场地的所有相关资料，如文件、历史档案、照片等）、人员访谈等途径评估。</w:t>
      </w:r>
      <w:r>
        <w:rPr>
          <w:rFonts w:hint="eastAsia" w:ascii="宋体" w:hAnsi="宋体"/>
          <w:color w:val="auto"/>
          <w:szCs w:val="21"/>
          <w:highlight w:val="none"/>
        </w:rPr>
        <w:t xml:space="preserve">主要工作内容包括不限于危害识别、暴露评估、毒性评估、风险表征，以及土壤和地下水风险控制值的计算。结合用地规划开展风险评估，确定地块管控方式和管控目标，编制土壤污染风险评估报告，并通过专家评审。</w:t>
      </w:r>
      <w:r>
        <w:rPr>
          <w:rFonts w:hint="eastAsia" w:ascii="宋体" w:hAnsi="宋体"/>
          <w:color w:val="auto"/>
          <w:szCs w:val="21"/>
          <w:highlight w:val="none"/>
        </w:rPr>
      </w:r>
      <w:r>
        <w:rPr>
          <w:color w:val="auto"/>
        </w:rPr>
      </w:r>
    </w:p>
    <w:p>
      <w:pPr>
        <w:pStyle w:val="714"/>
        <w:numPr>
          <w:ilvl w:val="0"/>
          <w:numId w:val="0"/>
        </w:numPr>
        <w:ind w:left="420"/>
        <w:rPr>
          <w:rFonts w:ascii="宋体" w:hAnsi="宋体"/>
          <w:b/>
          <w:bCs/>
          <w:color w:val="auto"/>
          <w:szCs w:val="21"/>
          <w:highlight w:val="none"/>
        </w:rPr>
      </w:pPr>
      <w:r>
        <w:rPr>
          <w:rFonts w:hint="eastAsia" w:ascii="宋体" w:hAnsi="宋体"/>
          <w:b/>
          <w:bCs/>
          <w:color w:val="auto"/>
          <w:szCs w:val="21"/>
          <w:highlight w:val="none"/>
          <w:lang w:val="en-US" w:eastAsia="zh-CN"/>
        </w:rPr>
        <w:t xml:space="preserve">4、</w:t>
      </w:r>
      <w:r>
        <w:rPr>
          <w:rFonts w:hint="eastAsia" w:ascii="宋体" w:hAnsi="宋体" w:cs="宋体"/>
          <w:b/>
          <w:bCs/>
          <w:color w:val="auto"/>
          <w:sz w:val="20"/>
          <w:szCs w:val="20"/>
          <w:highlight w:val="none"/>
          <w:lang w:bidi="ar"/>
        </w:rPr>
        <w:t xml:space="preserve">制度性管控</w:t>
      </w:r>
      <w:r>
        <w:rPr>
          <w:rFonts w:ascii="宋体" w:hAnsi="宋体"/>
          <w:b/>
          <w:bCs/>
          <w:color w:val="auto"/>
          <w:szCs w:val="21"/>
          <w:highlight w:val="none"/>
          <w:lang w:val="en-US" w:eastAsia="zh-CN"/>
        </w:rPr>
      </w:r>
      <w:r>
        <w:rPr>
          <w:color w:val="auto"/>
        </w:rPr>
      </w:r>
    </w:p>
    <w:p>
      <w:pPr>
        <w:pStyle w:val="730"/>
        <w:numPr>
          <w:ilvl w:val="0"/>
          <w:numId w:val="0"/>
        </w:numPr>
        <w:ind w:firstLine="420"/>
        <w:jc w:val="left"/>
        <w:spacing w:line="360" w:lineRule="auto"/>
        <w:widowControl w:val="off"/>
        <w:tabs>
          <w:tab w:val="left" w:pos="5250" w:leader="none"/>
        </w:tabs>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根据《关于明确2024年度优先监管清单地块土壤污染管控有关工作的通知（征求意见稿）》文件要求并结合地块污染情况，编制风险管控方案，主要工作内容包括但不限于地块风险识别、风险管控模式确定、定期巡查、长期检测等内容以及配套围挡建设、标识牌制作等。</w:t>
      </w:r>
      <w:r>
        <w:rPr>
          <w:rFonts w:ascii="宋体" w:hAnsi="宋体" w:eastAsia="宋体" w:cs="Times New Roman"/>
          <w:color w:val="auto"/>
          <w:sz w:val="21"/>
          <w:szCs w:val="21"/>
          <w:highlight w:val="none"/>
          <w:lang w:val="en-US" w:eastAsia="zh-CN" w:bidi="ar-SA"/>
        </w:rPr>
      </w:r>
      <w:r>
        <w:rPr>
          <w:color w:val="auto"/>
        </w:rPr>
      </w:r>
    </w:p>
    <w:p>
      <w:pPr>
        <w:pStyle w:val="702"/>
        <w:ind w:firstLine="480"/>
        <w:spacing w:line="360" w:lineRule="auto"/>
        <w:rPr>
          <w:rFonts w:hint="eastAsia" w:ascii="宋体" w:hAnsi="宋体"/>
          <w:color w:val="auto"/>
          <w:szCs w:val="21"/>
          <w:highlight w:val="none"/>
        </w:rPr>
        <w:outlineLvl w:val="1"/>
      </w:pPr>
      <w:r>
        <w:rPr>
          <w:rFonts w:hint="eastAsia" w:ascii="宋体" w:hAnsi="宋体"/>
          <w:color w:val="auto"/>
          <w:szCs w:val="21"/>
          <w:highlight w:val="none"/>
        </w:rPr>
        <w:t xml:space="preserve">5、</w:t>
      </w:r>
      <w:r>
        <w:rPr>
          <w:rFonts w:hint="eastAsia" w:ascii="宋体" w:hAnsi="宋体" w:cs="宋体"/>
          <w:b/>
          <w:bCs/>
          <w:color w:val="auto"/>
          <w:sz w:val="20"/>
          <w:szCs w:val="20"/>
          <w:highlight w:val="none"/>
          <w:lang w:bidi="ar"/>
        </w:rPr>
        <w:t xml:space="preserve">长期监测服务</w:t>
      </w:r>
      <w:r>
        <w:rPr>
          <w:rFonts w:hint="eastAsia" w:ascii="宋体" w:hAnsi="宋体"/>
          <w:color w:val="auto"/>
          <w:szCs w:val="21"/>
          <w:highlight w:val="none"/>
        </w:rPr>
      </w:r>
      <w:r>
        <w:rPr>
          <w:color w:val="auto"/>
        </w:rPr>
      </w:r>
    </w:p>
    <w:p>
      <w:pPr>
        <w:pStyle w:val="730"/>
        <w:numPr>
          <w:ilvl w:val="0"/>
          <w:numId w:val="0"/>
        </w:numPr>
        <w:ind w:firstLine="420"/>
        <w:jc w:val="left"/>
        <w:spacing w:line="360" w:lineRule="auto"/>
        <w:widowControl w:val="off"/>
        <w:tabs>
          <w:tab w:val="left" w:pos="5250" w:leader="none"/>
        </w:tabs>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地块风险管控方案开展长期管控，编制风险管控方案主要工作内容包括不限于土壤及地下水现场钻探、实验室检测分析和编制检测报告等内容。</w:t>
      </w:r>
      <w:r>
        <w:rPr>
          <w:rFonts w:hint="eastAsia" w:ascii="宋体" w:hAnsi="宋体" w:eastAsia="宋体" w:cs="Times New Roman"/>
          <w:color w:val="auto"/>
          <w:sz w:val="21"/>
          <w:szCs w:val="21"/>
          <w:highlight w:val="none"/>
          <w:lang w:val="en-US" w:eastAsia="zh-CN" w:bidi="ar-SA"/>
        </w:rPr>
      </w:r>
      <w:r>
        <w:rPr>
          <w:color w:val="auto"/>
        </w:rPr>
      </w:r>
    </w:p>
    <w:p>
      <w:pPr>
        <w:pStyle w:val="958"/>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bidi="ar"/>
        </w:rPr>
        <w:t xml:space="preserve">（五）服务要求</w:t>
      </w:r>
      <w:r>
        <w:rPr>
          <w:rFonts w:hint="eastAsia" w:ascii="宋体" w:hAnsi="宋体" w:cs="宋体"/>
          <w:b/>
          <w:bCs/>
          <w:color w:val="auto"/>
          <w:szCs w:val="21"/>
          <w:highlight w:val="none"/>
          <w:lang w:val="en-US" w:bidi="ar"/>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成果要求</w:t>
      </w:r>
      <w:r>
        <w:rPr>
          <w:rFonts w:hint="eastAsia" w:ascii="宋体" w:hAnsi="宋体" w:cs="宋体"/>
          <w:color w:val="auto"/>
          <w:szCs w:val="21"/>
          <w:highlight w:val="none"/>
        </w:rPr>
        <w:t xml:space="preserve">：</w:t>
      </w:r>
      <w:r>
        <w:rPr>
          <w:rFonts w:hint="eastAsia" w:ascii="宋体" w:hAnsi="宋体" w:cs="宋体"/>
          <w:color w:val="auto"/>
          <w:szCs w:val="21"/>
          <w:highlight w:val="none"/>
        </w:rPr>
      </w:r>
      <w:r>
        <w:rPr>
          <w:color w:val="auto"/>
        </w:rPr>
      </w:r>
    </w:p>
    <w:p>
      <w:pPr>
        <w:pStyle w:val="730"/>
        <w:numPr>
          <w:ilvl w:val="0"/>
          <w:numId w:val="0"/>
        </w:numPr>
        <w:ind w:firstLine="420"/>
        <w:spacing w:line="360" w:lineRule="auto"/>
        <w:widowControl w:val="off"/>
        <w:tabs>
          <w:tab w:val="left" w:pos="525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（1）土壤污染状况调查报告：满足国家规范要求的调查报告及附件等全部数据资料，包括纸质版（加盖公章）1套和电子版。</w:t>
      </w:r>
      <w:r>
        <w:rPr>
          <w:rFonts w:hint="eastAsia" w:ascii="宋体" w:hAnsi="宋体" w:eastAsia="宋体" w:cs="宋体"/>
          <w:color w:val="auto"/>
          <w:sz w:val="21"/>
          <w:szCs w:val="21"/>
          <w:highlight w:val="none"/>
          <w:lang w:val="en-US" w:eastAsia="zh-CN" w:bidi="ar-SA"/>
        </w:rPr>
      </w:r>
      <w:r>
        <w:rPr>
          <w:color w:val="auto"/>
        </w:rPr>
      </w:r>
    </w:p>
    <w:p>
      <w:pPr>
        <w:pStyle w:val="730"/>
        <w:numPr>
          <w:ilvl w:val="0"/>
          <w:numId w:val="0"/>
        </w:numPr>
        <w:ind w:firstLine="420"/>
        <w:spacing w:line="360" w:lineRule="auto"/>
        <w:widowControl w:val="off"/>
        <w:tabs>
          <w:tab w:val="left" w:pos="525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（2）土壤污染状况风险评估报告：满足国家规范要求的调查报告及附件等全部数据资料，包括纸质版（加盖公章）1套和电子版。</w:t>
      </w:r>
      <w:r>
        <w:rPr>
          <w:rFonts w:hint="eastAsia" w:ascii="宋体" w:hAnsi="宋体" w:eastAsia="宋体" w:cs="宋体"/>
          <w:color w:val="auto"/>
          <w:sz w:val="21"/>
          <w:szCs w:val="21"/>
          <w:highlight w:val="none"/>
          <w:lang w:val="en-US" w:eastAsia="zh-CN" w:bidi="ar-SA"/>
        </w:rPr>
      </w:r>
      <w:r>
        <w:rPr>
          <w:color w:val="auto"/>
        </w:rPr>
      </w:r>
    </w:p>
    <w:p>
      <w:pPr>
        <w:pStyle w:val="730"/>
        <w:numPr>
          <w:ilvl w:val="0"/>
          <w:numId w:val="0"/>
        </w:numPr>
        <w:ind w:firstLine="420"/>
        <w:spacing w:line="360" w:lineRule="auto"/>
        <w:widowControl w:val="off"/>
        <w:tabs>
          <w:tab w:val="left" w:pos="525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（2）风险管控方案：满足国家规范要求的调查报告及附件等全部数据资料，包括纸质版（加盖公章）1套和电子版。</w:t>
      </w:r>
      <w:r>
        <w:rPr>
          <w:rFonts w:hint="eastAsia" w:ascii="宋体" w:hAnsi="宋体" w:eastAsia="宋体" w:cs="宋体"/>
          <w:color w:val="auto"/>
          <w:sz w:val="21"/>
          <w:szCs w:val="21"/>
          <w:highlight w:val="none"/>
          <w:lang w:val="en-US" w:eastAsia="zh-CN" w:bidi="ar-SA"/>
        </w:rPr>
      </w:r>
      <w:r>
        <w:rPr>
          <w:color w:val="auto"/>
        </w:rPr>
      </w:r>
    </w:p>
    <w:p>
      <w:pPr>
        <w:pStyle w:val="70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（3）管控相关材料：检测报告、围挡和标识牌佐证资料。</w:t>
      </w:r>
      <w:r>
        <w:rPr>
          <w:rFonts w:hint="eastAsia" w:ascii="宋体" w:hAnsi="宋体" w:eastAsia="宋体" w:cs="宋体"/>
          <w:color w:val="auto"/>
          <w:sz w:val="21"/>
          <w:szCs w:val="21"/>
          <w:highlight w:val="none"/>
          <w:lang w:val="en-US" w:eastAsia="zh-CN" w:bidi="ar-SA"/>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报告要求：</w:t>
      </w:r>
      <w:r>
        <w:rPr>
          <w:rFonts w:hint="eastAsia" w:ascii="宋体" w:hAnsi="宋体" w:cs="宋体"/>
          <w:color w:val="auto"/>
          <w:szCs w:val="21"/>
          <w:highlight w:val="none"/>
          <w:lang w:val="en-US" w:eastAsia="zh-CN"/>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调查报告及风险评估报告</w:t>
      </w:r>
      <w:r>
        <w:rPr>
          <w:rFonts w:hint="eastAsia" w:ascii="宋体" w:hAnsi="宋体" w:cs="宋体"/>
          <w:color w:val="auto"/>
          <w:szCs w:val="21"/>
          <w:highlight w:val="none"/>
        </w:rPr>
        <w:t xml:space="preserve">均应附从业人员责任页，明确项目负责人，各分项工作承担者，并建立内部审核制度，明确报告的审核人、审定人，上述人员均需亲笔签字确认。另资质证明等文件也应作为附件附在调查报告内且报告需通过专家评审。</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检测报告：样品检测完成后需在15个工作日内出具检测报告，报告需具有三级审核制度并盖有CMA章。</w:t>
      </w:r>
      <w:r>
        <w:rPr>
          <w:rFonts w:hint="eastAsia" w:ascii="宋体" w:hAnsi="宋体" w:eastAsia="宋体" w:cs="宋体"/>
          <w:color w:val="auto"/>
          <w:sz w:val="21"/>
          <w:szCs w:val="21"/>
          <w:highlight w:val="none"/>
          <w:lang w:val="en-US" w:eastAsia="zh-CN" w:bidi="ar-SA"/>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2、人员要求：</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需配备项目负责人一名、项目组成员不得少于七名，项目组成员中需至少包含技术负责人一人，现场取样人员须具备检测实际工作经验，具有相关上岗证或技术能力。在项目实施期间，发现问题及时与项目负责人进行沟通并解决，同时应无条件的接受采购方的安排与监督管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服务期间原则上不得更换项目负责人，特殊情况确需更换的，应事先征得采购方批准。采购方有权要求中标单位撤换工作不负责任、管理不力、贻误工期和造成严重的安全事故和工程质量事故、违法乱纪的专业技术、管理人员及项目负责人，直至采购方满意为止。如项目负责人及相应资质的专业技术人员未按要求到位，视作违约，采购方有权单方面终止合同</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（六）其他要求</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1、技术依据：为保证本项目实施的科学性、规范性和准确性，技术实施方案需要严格遵照国家有关法律、法规、规章制度以及国家和行业颁布的相关技术标准和规范。</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2、保密要求：中标单位应切实履行保密义务，未经采购单位许可不得向第三方提供本项目的相关技术资料和数据。采购结束后，</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供应商应退还采购单位在采购过程中提供的所有相关资料。未经采购单位允许，</w:t>
      </w:r>
      <w:r>
        <w:rPr>
          <w:rFonts w:hint="eastAsia" w:ascii="宋体" w:hAnsi="宋体" w:cs="宋体"/>
          <w:color w:val="auto"/>
          <w:szCs w:val="21"/>
          <w:highlight w:val="none"/>
          <w:lang w:val="en-US" w:eastAsia="zh-CN"/>
        </w:rPr>
        <w:t xml:space="preserve">中标单位</w:t>
      </w:r>
      <w:r>
        <w:rPr>
          <w:rFonts w:hint="eastAsia" w:ascii="宋体" w:hAnsi="宋体" w:cs="宋体"/>
          <w:color w:val="auto"/>
          <w:szCs w:val="21"/>
          <w:highlight w:val="none"/>
        </w:rPr>
        <w:t xml:space="preserve">不得擅自将履行合同过程中所获得的关于甲方以及所调查项目的一切相关技术资料和数据对外公开，不允许在采购单位未许可的条件下发表与本合同相关的论文、看法、著作等。因</w:t>
      </w:r>
      <w:r>
        <w:rPr>
          <w:rFonts w:hint="eastAsia" w:ascii="宋体" w:hAnsi="宋体" w:cs="宋体"/>
          <w:color w:val="auto"/>
          <w:szCs w:val="21"/>
          <w:highlight w:val="none"/>
          <w:lang w:val="en-US" w:eastAsia="zh-CN"/>
        </w:rPr>
        <w:t xml:space="preserve">中标单位</w:t>
      </w:r>
      <w:r>
        <w:rPr>
          <w:rFonts w:hint="eastAsia" w:ascii="宋体" w:hAnsi="宋体" w:cs="宋体"/>
          <w:color w:val="auto"/>
          <w:szCs w:val="21"/>
          <w:highlight w:val="none"/>
        </w:rPr>
        <w:t xml:space="preserve">责任造成相关技术资料和数据外泄所引起的一切后果由</w:t>
      </w:r>
      <w:r>
        <w:rPr>
          <w:rFonts w:hint="eastAsia" w:ascii="宋体" w:hAnsi="宋体" w:cs="宋体"/>
          <w:color w:val="auto"/>
          <w:szCs w:val="21"/>
          <w:highlight w:val="none"/>
          <w:lang w:val="en-US" w:eastAsia="zh-CN"/>
        </w:rPr>
        <w:t xml:space="preserve">中标单位</w:t>
      </w:r>
      <w:r>
        <w:rPr>
          <w:rFonts w:hint="eastAsia" w:ascii="宋体" w:hAnsi="宋体" w:cs="宋体"/>
          <w:color w:val="auto"/>
          <w:szCs w:val="21"/>
          <w:highlight w:val="none"/>
        </w:rPr>
        <w:t xml:space="preserve">承担。</w:t>
      </w:r>
      <w:r>
        <w:rPr>
          <w:rFonts w:hint="eastAsia" w:ascii="宋体" w:hAnsi="宋体" w:cs="宋体"/>
          <w:color w:val="auto"/>
          <w:szCs w:val="21"/>
          <w:highlight w:val="none"/>
        </w:rPr>
      </w:r>
      <w:r>
        <w:rPr>
          <w:color w:val="auto"/>
        </w:rPr>
      </w:r>
    </w:p>
    <w:p>
      <w:pPr>
        <w:pStyle w:val="702"/>
        <w:ind w:firstLine="420"/>
        <w:spacing w:line="360" w:lineRule="auto"/>
        <w:rPr>
          <w:color w:val="auto"/>
          <w:highlight w:val="none"/>
        </w:rPr>
      </w:pPr>
      <w:r>
        <w:rPr>
          <w:rFonts w:hint="eastAsia" w:ascii="宋体" w:hAnsi="宋体" w:cs="宋体"/>
          <w:color w:val="auto"/>
          <w:szCs w:val="21"/>
          <w:highlight w:val="none"/>
        </w:rPr>
        <w:t xml:space="preserve">3、安全要求：工作人员在履行工作职责期间（包括上下班途中），发生自身的人身伤害、伤亡以及事故等，均由中标方负责处理并承担经济和道义上的责任，采购单位不承担任何责任。</w:t>
      </w:r>
      <w:r>
        <w:rPr>
          <w:color w:val="auto"/>
          <w:highlight w:val="none"/>
        </w:rPr>
      </w:r>
      <w:r>
        <w:rPr>
          <w:color w:val="auto"/>
        </w:rPr>
      </w:r>
    </w:p>
    <w:p>
      <w:pPr>
        <w:pStyle w:val="702"/>
        <w:ind w:firstLine="422"/>
        <w:spacing w:line="360" w:lineRule="auto"/>
        <w:rPr>
          <w:rFonts w:hint="eastAsia" w:ascii="宋体" w:hAnsi="宋体" w:cs="宋体"/>
          <w:color w:val="auto"/>
          <w:szCs w:val="21"/>
          <w:highlight w:val="none"/>
        </w:rPr>
        <w:outlineLvl w:val="1"/>
      </w:pPr>
      <w:r>
        <w:rPr>
          <w:rFonts w:hint="eastAsia"/>
          <w:b/>
          <w:bCs/>
          <w:color w:val="auto"/>
          <w:highlight w:val="none"/>
        </w:rPr>
        <w:t xml:space="preserve">（七）服务期限：</w:t>
      </w:r>
      <w:r>
        <w:rPr>
          <w:rFonts w:hint="eastAsia" w:ascii="宋体" w:hAnsi="宋体" w:cs="宋体"/>
          <w:color w:val="auto"/>
          <w:szCs w:val="21"/>
          <w:highlight w:val="none"/>
        </w:rPr>
        <w:t xml:space="preserve">项目整体期限一年</w:t>
      </w:r>
      <w:r>
        <w:rPr>
          <w:rFonts w:hint="eastAsia" w:ascii="宋体" w:hAnsi="宋体"/>
          <w:color w:val="auto"/>
          <w:szCs w:val="21"/>
          <w:highlight w:val="none"/>
        </w:rPr>
        <w:t xml:space="preserve">（其中调查及检测服务在六个月内完成，风险评估服务需在九个月内完成，制度性管控及长期监测服务时间为一年。具体根据采购单位要求）</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b/>
          <w:bCs/>
          <w:color w:val="auto"/>
          <w:highlight w:val="none"/>
        </w:rPr>
        <w:t xml:space="preserve">（八）</w:t>
      </w:r>
      <w:r>
        <w:rPr>
          <w:rFonts w:hint="eastAsia" w:ascii="宋体" w:hAnsi="宋体" w:cs="宋体"/>
          <w:color w:val="auto"/>
          <w:szCs w:val="21"/>
          <w:highlight w:val="none"/>
        </w:rPr>
        <w:t xml:space="preserve">验收标准：按照招标文件要求及相关国家标准执行。</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五、综合说明</w:t>
      </w:r>
      <w:r>
        <w:rPr>
          <w:rFonts w:hint="eastAsia" w:ascii="宋体" w:hAnsi="宋体" w:cs="宋体"/>
          <w:b/>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1、投标报价</w:t>
      </w:r>
      <w:r>
        <w:rPr>
          <w:rFonts w:hint="eastAsia" w:ascii="宋体" w:hAnsi="宋体" w:cs="宋体"/>
          <w:color w:val="auto"/>
          <w:szCs w:val="21"/>
          <w:highlight w:val="none"/>
          <w:lang w:val="zh-CN"/>
        </w:rPr>
        <w:t xml:space="preserve">包括</w:t>
      </w:r>
      <w:r>
        <w:rPr>
          <w:rFonts w:hint="eastAsia" w:ascii="宋体" w:hAnsi="宋体" w:cs="宋体"/>
          <w:color w:val="auto"/>
          <w:szCs w:val="21"/>
          <w:highlight w:val="none"/>
        </w:rPr>
        <w:t xml:space="preserve">完成本项工作所需的人工、调查检测、专家评审、报告编制、管理、机械设备、材料耗材、交通、管理、保险、利润、税金、中标服务费、政策性文件规定及合同包含的所有风险、责任等各项应有费用。</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单位须具备独立完成本项目的能力。因此各投标人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3、投标单位必须承诺招标文件中提出的全部服务要求，如果以其中某些条款不响应时，应在文件中逐条列出，未列出的视同响应。</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4、投标单位单位须为本项目配置专业技术团队人员。各类器材、装备由投标单位提供，投标单位在报价时应充分考虑，采购方不再另行支付。</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中标单位须严格按照国家和政府规定给所有的员工缴纳各种社会保险（包括养老、医疗、工伤、生育险、失业保险等）。负责其招聘员工的一切工资、福利；如发生工伤、疾病乃至死亡的一切责任及费用由中标单位全部负责；应严格遵守国家有关的法律、法规及行业标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6</w:t>
      </w:r>
      <w:r>
        <w:rPr>
          <w:rFonts w:hint="eastAsia" w:ascii="宋体" w:hAnsi="宋体" w:cs="宋体"/>
          <w:color w:val="auto"/>
          <w:szCs w:val="21"/>
          <w:highlight w:val="none"/>
        </w:rPr>
        <w:t xml:space="preserve">、违反招标服务相关要求，影响采购方正常工作的，采购方有权单方面终止合同。</w:t>
      </w:r>
      <w:r>
        <w:rPr>
          <w:rFonts w:hint="eastAsia" w:ascii="宋体" w:hAnsi="宋体" w:cs="宋体"/>
          <w:color w:val="auto"/>
          <w:szCs w:val="21"/>
          <w:highlight w:val="none"/>
        </w:rPr>
      </w:r>
      <w:r>
        <w:rPr>
          <w:color w:val="auto"/>
        </w:rPr>
      </w:r>
    </w:p>
    <w:p>
      <w:pPr>
        <w:pStyle w:val="702"/>
        <w:ind w:firstLine="480"/>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六、政府采购相关政策：</w:t>
      </w:r>
      <w:r>
        <w:rPr>
          <w:rFonts w:hint="eastAsia" w:ascii="宋体" w:hAnsi="宋体" w:cs="宋体"/>
          <w:b/>
          <w:color w:val="auto"/>
          <w:szCs w:val="21"/>
          <w:highlight w:val="none"/>
        </w:rPr>
      </w:r>
      <w:r>
        <w:rPr>
          <w:color w:val="auto"/>
        </w:rPr>
      </w:r>
    </w:p>
    <w:p>
      <w:pPr>
        <w:pStyle w:val="702"/>
        <w:ind w:firstLine="420"/>
        <w:spacing w:line="360" w:lineRule="auto"/>
        <w:tabs>
          <w:tab w:val="left" w:pos="567" w:leader="none"/>
        </w:tabs>
        <w:rPr>
          <w:rFonts w:hint="eastAsia" w:ascii="宋体" w:hAnsi="宋体"/>
          <w:color w:val="auto"/>
          <w:szCs w:val="20"/>
          <w:highlight w:val="none"/>
        </w:rPr>
      </w:pPr>
      <w:r>
        <w:rPr>
          <w:rFonts w:hint="eastAsia" w:ascii="宋体" w:hAnsi="宋体"/>
          <w:color w:val="auto"/>
          <w:highlight w:val="none"/>
        </w:rPr>
        <w:t xml:space="preserve">1.小、微企业</w:t>
      </w:r>
      <w:r>
        <w:rPr>
          <w:rFonts w:hint="eastAsia" w:ascii="宋体" w:hAnsi="宋体"/>
          <w:color w:val="auto"/>
          <w:szCs w:val="20"/>
          <w:highlight w:val="none"/>
        </w:rPr>
      </w:r>
      <w:r>
        <w:rPr>
          <w:color w:val="auto"/>
        </w:rPr>
      </w:r>
    </w:p>
    <w:p>
      <w:pPr>
        <w:pStyle w:val="702"/>
        <w:ind w:firstLine="420"/>
        <w:spacing w:line="360" w:lineRule="auto"/>
        <w:tabs>
          <w:tab w:val="left" w:pos="567" w:leader="none"/>
        </w:tabs>
        <w:rPr>
          <w:rFonts w:hint="eastAsia" w:ascii="宋体" w:hAnsi="宋体"/>
          <w:color w:val="auto"/>
          <w:highlight w:val="none"/>
        </w:rPr>
      </w:pPr>
      <w:r>
        <w:rPr>
          <w:rFonts w:hint="eastAsia" w:ascii="宋体" w:hAnsi="宋体"/>
          <w:color w:val="auto"/>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olor w:val="auto"/>
          <w:highlight w:val="none"/>
        </w:rPr>
      </w:r>
      <w:r>
        <w:rPr>
          <w:color w:val="auto"/>
        </w:rPr>
      </w:r>
    </w:p>
    <w:p>
      <w:pPr>
        <w:pStyle w:val="702"/>
        <w:ind w:firstLine="420"/>
        <w:spacing w:line="360" w:lineRule="auto"/>
        <w:tabs>
          <w:tab w:val="left" w:pos="567" w:leader="none"/>
        </w:tabs>
        <w:rPr>
          <w:rFonts w:hint="eastAsia" w:ascii="宋体" w:hAnsi="宋体"/>
          <w:color w:val="auto"/>
          <w:highlight w:val="none"/>
        </w:rPr>
      </w:pPr>
      <w:r>
        <w:rPr>
          <w:rFonts w:hint="eastAsia" w:ascii="宋体" w:hAnsi="宋体"/>
          <w:color w:val="auto"/>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auto"/>
          <w:highlight w:val="none"/>
        </w:rPr>
        <w:t xml:space="preserve">服务类项目中供应商若使用退休人员，将不享受相关扶持政策。</w:t>
      </w:r>
      <w:r>
        <w:rPr>
          <w:rFonts w:hint="eastAsia" w:ascii="宋体" w:hAnsi="宋体"/>
          <w:color w:val="auto"/>
          <w:highlight w:val="none"/>
        </w:rPr>
      </w:r>
      <w:r>
        <w:rPr>
          <w:color w:val="auto"/>
        </w:rPr>
      </w:r>
    </w:p>
    <w:p>
      <w:pPr>
        <w:pStyle w:val="702"/>
        <w:ind w:firstLine="422"/>
        <w:spacing w:line="360" w:lineRule="auto"/>
        <w:tabs>
          <w:tab w:val="left" w:pos="567" w:leader="none"/>
        </w:tabs>
        <w:rPr>
          <w:rFonts w:hint="eastAsia" w:ascii="宋体" w:hAnsi="宋体"/>
          <w:color w:val="auto"/>
          <w:highlight w:val="none"/>
        </w:rPr>
      </w:pPr>
      <w:r>
        <w:rPr>
          <w:rFonts w:hint="eastAsia" w:ascii="宋体" w:hAnsi="宋体"/>
          <w:b/>
          <w:color w:val="auto"/>
          <w:highlight w:val="none"/>
        </w:rPr>
        <w:t xml:space="preserve">根据《政府采购促进中小企业发展管理办法》（财库〔2020〕46号）及《中小企业划型标准规定》（工信部联企业〔2011〕300号），本采购标的对应的中小企业划分标准所属行业为：其他未列明行业。</w:t>
      </w:r>
      <w:r>
        <w:rPr>
          <w:rFonts w:hint="eastAsia" w:ascii="宋体" w:hAnsi="宋体"/>
          <w:color w:val="auto"/>
          <w:highlight w:val="none"/>
        </w:rPr>
      </w:r>
      <w:r>
        <w:rPr>
          <w:color w:val="auto"/>
        </w:rPr>
      </w:r>
    </w:p>
    <w:p>
      <w:pPr>
        <w:pStyle w:val="702"/>
        <w:ind w:firstLine="420"/>
        <w:spacing w:line="360" w:lineRule="auto"/>
        <w:tabs>
          <w:tab w:val="left" w:pos="567" w:leader="none"/>
        </w:tabs>
        <w:rPr>
          <w:rFonts w:hint="eastAsia" w:ascii="宋体" w:hAnsi="宋体"/>
          <w:color w:val="auto"/>
          <w:highlight w:val="none"/>
        </w:rPr>
      </w:pPr>
      <w:r>
        <w:rPr>
          <w:rFonts w:hint="eastAsia" w:ascii="宋体" w:hAnsi="宋体"/>
          <w:color w:val="auto"/>
          <w:highlight w:val="none"/>
        </w:rPr>
        <w:t xml:space="preserve">2.残疾人福利性单位</w:t>
      </w:r>
      <w:r>
        <w:rPr>
          <w:rFonts w:hint="eastAsia" w:ascii="宋体" w:hAnsi="宋体"/>
          <w:color w:val="auto"/>
          <w:highlight w:val="none"/>
        </w:rPr>
      </w:r>
      <w:r>
        <w:rPr>
          <w:color w:val="auto"/>
        </w:rPr>
      </w:r>
    </w:p>
    <w:p>
      <w:pPr>
        <w:pStyle w:val="702"/>
        <w:ind w:firstLine="420"/>
        <w:spacing w:line="360" w:lineRule="auto"/>
        <w:tabs>
          <w:tab w:val="left" w:pos="567" w:leader="none"/>
        </w:tabs>
        <w:rPr>
          <w:rFonts w:hint="eastAsia" w:ascii="宋体" w:hAnsi="宋体"/>
          <w:color w:val="auto"/>
          <w:highlight w:val="none"/>
        </w:rPr>
      </w:pPr>
      <w:r>
        <w:rPr>
          <w:rFonts w:hint="eastAsia" w:ascii="宋体" w:hAnsi="宋体"/>
          <w:color w:val="auto"/>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olor w:val="auto"/>
          <w:highlight w:val="none"/>
        </w:rPr>
      </w:r>
      <w:r>
        <w:rPr>
          <w:color w:val="auto"/>
        </w:rPr>
      </w:r>
    </w:p>
    <w:p>
      <w:pPr>
        <w:pStyle w:val="702"/>
        <w:ind w:firstLine="420"/>
        <w:spacing w:line="360" w:lineRule="auto"/>
        <w:tabs>
          <w:tab w:val="left" w:pos="567" w:leader="none"/>
        </w:tabs>
        <w:rPr>
          <w:rFonts w:hint="eastAsia" w:ascii="宋体" w:hAnsi="宋体"/>
          <w:color w:val="auto"/>
          <w:highlight w:val="none"/>
        </w:rPr>
      </w:pPr>
      <w:r>
        <w:rPr>
          <w:rFonts w:hint="eastAsia" w:ascii="宋体" w:hAnsi="宋体"/>
          <w:color w:val="auto"/>
          <w:highlight w:val="none"/>
        </w:rPr>
        <w:t xml:space="preserve">3.监狱企业</w:t>
      </w:r>
      <w:r>
        <w:rPr>
          <w:rFonts w:hint="eastAsia" w:ascii="宋体" w:hAnsi="宋体"/>
          <w:color w:val="auto"/>
          <w:highlight w:val="none"/>
        </w:rPr>
      </w:r>
      <w:r>
        <w:rPr>
          <w:color w:val="auto"/>
        </w:rPr>
      </w:r>
    </w:p>
    <w:p>
      <w:pPr>
        <w:pStyle w:val="702"/>
        <w:ind w:firstLine="420"/>
        <w:spacing w:line="360" w:lineRule="auto"/>
        <w:tabs>
          <w:tab w:val="left" w:pos="567" w:leader="none"/>
        </w:tabs>
        <w:rPr>
          <w:rFonts w:hint="eastAsia" w:ascii="宋体" w:hAnsi="宋体"/>
          <w:color w:val="auto"/>
          <w:highlight w:val="none"/>
        </w:rPr>
      </w:pPr>
      <w:r>
        <w:rPr>
          <w:rFonts w:hint="eastAsia" w:ascii="宋体" w:hAnsi="宋体"/>
          <w:color w:val="auto"/>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color w:val="auto"/>
          <w:highlight w:val="none"/>
        </w:rPr>
      </w:r>
      <w:r>
        <w:rPr>
          <w:color w:val="auto"/>
        </w:rPr>
      </w:r>
    </w:p>
    <w:p>
      <w:pPr>
        <w:pStyle w:val="702"/>
        <w:ind w:firstLine="420"/>
        <w:spacing w:line="360" w:lineRule="auto"/>
        <w:tabs>
          <w:tab w:val="left" w:pos="567" w:leader="none"/>
        </w:tabs>
        <w:rPr>
          <w:rFonts w:hint="eastAsia" w:ascii="宋体" w:hAnsi="宋体"/>
          <w:color w:val="auto"/>
          <w:highlight w:val="none"/>
        </w:rPr>
      </w:pPr>
      <w:r>
        <w:rPr>
          <w:rFonts w:hint="eastAsia" w:ascii="宋体" w:hAnsi="宋体"/>
          <w:color w:val="auto"/>
          <w:highlight w:val="none"/>
        </w:rPr>
        <w:t xml:space="preserve">4.绿色采购</w:t>
      </w:r>
      <w:r>
        <w:rPr>
          <w:rFonts w:hint="eastAsia" w:ascii="宋体" w:hAnsi="宋体"/>
          <w:color w:val="auto"/>
          <w:highlight w:val="none"/>
        </w:rPr>
      </w:r>
      <w:r>
        <w:rPr>
          <w:color w:val="auto"/>
        </w:rPr>
      </w:r>
    </w:p>
    <w:p>
      <w:pPr>
        <w:pStyle w:val="702"/>
        <w:ind w:firstLine="420"/>
        <w:spacing w:line="360" w:lineRule="auto"/>
        <w:tabs>
          <w:tab w:val="left" w:pos="567" w:leader="none"/>
        </w:tabs>
        <w:rPr>
          <w:rFonts w:hint="eastAsia" w:ascii="宋体" w:hAnsi="宋体"/>
          <w:color w:val="auto"/>
          <w:highlight w:val="none"/>
        </w:rPr>
      </w:pPr>
      <w:r>
        <w:rPr>
          <w:rFonts w:hint="eastAsia" w:ascii="宋体" w:hAnsi="宋体"/>
          <w:color w:val="auto"/>
          <w:highlight w:val="none"/>
        </w:rPr>
        <w:t xml:space="preserve">根据《关于调整优化节能产品、环境标志产品政府采购执行机制的通知》（财库〔2019〕9号）等相关文件的规定，</w:t>
      </w:r>
      <w:r>
        <w:rPr>
          <w:rFonts w:hint="eastAsia" w:ascii="宋体" w:hAnsi="宋体"/>
          <w:b/>
          <w:color w:val="auto"/>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hint="eastAsia" w:ascii="宋体" w:hAnsi="宋体"/>
          <w:color w:val="auto"/>
          <w:highlight w:val="none"/>
        </w:rPr>
      </w:r>
      <w:r>
        <w:rPr>
          <w:color w:val="auto"/>
        </w:rPr>
      </w:r>
    </w:p>
    <w:p>
      <w:pPr>
        <w:pStyle w:val="702"/>
        <w:ind w:firstLine="420"/>
        <w:spacing w:line="360" w:lineRule="auto"/>
        <w:tabs>
          <w:tab w:val="left" w:pos="567" w:leader="none"/>
        </w:tabs>
        <w:rPr>
          <w:rFonts w:hint="eastAsia" w:ascii="宋体" w:hAnsi="宋体"/>
          <w:color w:val="auto"/>
          <w:highlight w:val="none"/>
        </w:rPr>
      </w:pPr>
      <w:r>
        <w:rPr>
          <w:rFonts w:hint="eastAsia" w:ascii="宋体" w:hAnsi="宋体"/>
          <w:color w:val="auto"/>
          <w:highlight w:val="none"/>
        </w:rPr>
        <w:t xml:space="preserve">5、信用记录：供应商被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olor w:val="auto"/>
          <w:highlight w:val="none"/>
        </w:rPr>
      </w:r>
      <w:r>
        <w:rPr>
          <w:color w:val="auto"/>
        </w:rPr>
      </w:r>
    </w:p>
    <w:p>
      <w:pPr>
        <w:pStyle w:val="702"/>
        <w:ind w:firstLine="482"/>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w:t>
      </w:r>
      <w:r>
        <w:rPr>
          <w:rFonts w:hint="eastAsia"/>
          <w:b/>
          <w:bCs/>
          <w:color w:val="auto"/>
          <w:szCs w:val="21"/>
          <w:highlight w:val="none"/>
        </w:rPr>
        <w:t xml:space="preserve">有关该采购活动的澄清、修正及成交信息亦在苏州市政府采购网、江苏政府采购网上发布，请定期关注。</w:t>
      </w:r>
      <w:r>
        <w:rPr>
          <w:rFonts w:hint="eastAsia" w:ascii="宋体" w:hAnsi="宋体" w:cs="宋体"/>
          <w:color w:val="auto"/>
          <w:szCs w:val="21"/>
          <w:highlight w:val="none"/>
        </w:rPr>
      </w:r>
      <w:r>
        <w:rPr>
          <w:color w:val="auto"/>
        </w:rPr>
      </w:r>
    </w:p>
    <w:p>
      <w:pPr>
        <w:pStyle w:val="896"/>
        <w:ind w:firstLine="482"/>
        <w:jc w:val="center"/>
        <w:spacing w:before="0" w:after="0" w:line="360" w:lineRule="auto"/>
        <w:rPr>
          <w:rFonts w:hint="eastAsia" w:ascii="宋体" w:hAnsi="宋体" w:eastAsia="宋体"/>
          <w:color w:val="auto"/>
          <w:sz w:val="36"/>
          <w:szCs w:val="36"/>
          <w:highlight w:val="none"/>
        </w:rPr>
      </w:pPr>
      <w:r>
        <w:rPr>
          <w:rFonts w:hint="eastAsia" w:ascii="宋体" w:hAnsi="宋体" w:eastAsia="宋体" w:cs="宋体"/>
          <w:color w:val="auto"/>
          <w:sz w:val="24"/>
          <w:szCs w:val="24"/>
          <w:highlight w:val="none"/>
        </w:rPr>
        <w:br w:type="page" w:clear="all"/>
      </w:r>
      <w:bookmarkStart w:id="68" w:name="_Toc17782"/>
      <w:r>
        <w:rPr>
          <w:color w:val="auto"/>
        </w:rPr>
      </w:r>
      <w:bookmarkStart w:id="69" w:name="_Toc14453"/>
      <w:r>
        <w:rPr>
          <w:color w:val="auto"/>
        </w:rPr>
      </w:r>
      <w:bookmarkStart w:id="70" w:name="_Toc30455"/>
      <w:r>
        <w:rPr>
          <w:color w:val="auto"/>
        </w:rPr>
      </w:r>
      <w:bookmarkStart w:id="71" w:name="_Toc24646"/>
      <w:r>
        <w:rPr>
          <w:color w:val="auto"/>
        </w:rPr>
      </w:r>
      <w:bookmarkStart w:id="72" w:name="_Toc13187"/>
      <w:r>
        <w:rPr>
          <w:color w:val="auto"/>
        </w:rPr>
      </w:r>
      <w:bookmarkStart w:id="73" w:name="_Toc30096"/>
      <w:r>
        <w:rPr>
          <w:color w:val="auto"/>
        </w:rPr>
      </w:r>
      <w:bookmarkStart w:id="74" w:name="_Toc24694"/>
      <w:r>
        <w:rPr>
          <w:color w:val="auto"/>
        </w:rPr>
      </w:r>
      <w:bookmarkStart w:id="75" w:name="_Toc9540"/>
      <w:r>
        <w:rPr>
          <w:color w:val="auto"/>
        </w:rPr>
      </w:r>
      <w:bookmarkStart w:id="76" w:name="_Toc26780"/>
      <w:r>
        <w:rPr>
          <w:rFonts w:hint="eastAsia" w:ascii="宋体" w:hAnsi="宋体" w:eastAsia="宋体"/>
          <w:color w:val="auto"/>
          <w:sz w:val="36"/>
          <w:szCs w:val="36"/>
          <w:highlight w:val="none"/>
        </w:rPr>
        <w:t xml:space="preserve">第五章  合同文本</w:t>
      </w:r>
      <w:bookmarkEnd w:id="5"/>
      <w:r>
        <w:rPr>
          <w:color w:val="auto"/>
        </w:rPr>
      </w:r>
      <w:bookmarkEnd w:id="65"/>
      <w:r>
        <w:rPr>
          <w:color w:val="auto"/>
        </w:rPr>
      </w:r>
      <w:bookmarkEnd w:id="66"/>
      <w:r>
        <w:rPr>
          <w:color w:val="auto"/>
        </w:rPr>
      </w:r>
      <w:bookmarkEnd w:id="68"/>
      <w:r>
        <w:rPr>
          <w:color w:val="auto"/>
        </w:rPr>
      </w:r>
      <w:bookmarkEnd w:id="69"/>
      <w:r>
        <w:rPr>
          <w:color w:val="auto"/>
        </w:rPr>
      </w:r>
      <w:bookmarkEnd w:id="70"/>
      <w:r>
        <w:rPr>
          <w:color w:val="auto"/>
        </w:rPr>
      </w:r>
      <w:bookmarkEnd w:id="71"/>
      <w:r>
        <w:rPr>
          <w:color w:val="auto"/>
        </w:rPr>
      </w:r>
      <w:bookmarkEnd w:id="72"/>
      <w:r>
        <w:rPr>
          <w:color w:val="auto"/>
        </w:rPr>
      </w:r>
      <w:bookmarkEnd w:id="73"/>
      <w:r>
        <w:rPr>
          <w:color w:val="auto"/>
        </w:rPr>
      </w:r>
      <w:bookmarkEnd w:id="74"/>
      <w:r>
        <w:rPr>
          <w:color w:val="auto"/>
        </w:rPr>
      </w:r>
      <w:bookmarkEnd w:id="75"/>
      <w:r>
        <w:rPr>
          <w:color w:val="auto"/>
        </w:rPr>
      </w:r>
      <w:bookmarkEnd w:id="76"/>
      <w:r>
        <w:rPr>
          <w:rFonts w:hint="eastAsia" w:ascii="宋体" w:hAnsi="宋体" w:eastAsia="宋体"/>
          <w:color w:val="auto"/>
          <w:sz w:val="36"/>
          <w:szCs w:val="36"/>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甲方（采购人）：</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乙方（中标</w:t>
      </w:r>
      <w:r>
        <w:rPr>
          <w:rFonts w:hint="eastAsia" w:ascii="宋体" w:hAnsi="宋体" w:cs="宋体"/>
          <w:color w:val="auto"/>
          <w:szCs w:val="21"/>
          <w:highlight w:val="none"/>
          <w:lang w:val="en-US" w:eastAsia="zh-CN"/>
        </w:rPr>
        <w:t xml:space="preserve">单位</w:t>
      </w:r>
      <w:r>
        <w:rPr>
          <w:rFonts w:hint="eastAsia" w:ascii="宋体" w:hAnsi="宋体" w:cs="宋体"/>
          <w:color w:val="auto"/>
          <w:szCs w:val="21"/>
          <w:highlight w:val="none"/>
        </w:rPr>
        <w:t xml:space="preserve">）：</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int="eastAsia" w:hAnsi="宋体" w:eastAsia="宋体"/>
          <w:color w:val="auto"/>
          <w:sz w:val="21"/>
          <w:szCs w:val="22"/>
          <w:highlight w:val="none"/>
        </w:rPr>
        <w:t xml:space="preserve">根据苏州捷信招投标咨询有限公司招标编号为  </w:t>
      </w:r>
      <w:r>
        <w:rPr>
          <w:rFonts w:hint="eastAsia" w:hAnsi="宋体" w:eastAsia="宋体"/>
          <w:color w:val="auto"/>
          <w:sz w:val="21"/>
          <w:szCs w:val="22"/>
          <w:highlight w:val="none"/>
          <w:u w:val="single"/>
        </w:rPr>
        <w:t xml:space="preserve">                       </w:t>
      </w:r>
      <w:r>
        <w:rPr>
          <w:rFonts w:hint="eastAsia" w:hAnsi="宋体" w:eastAsia="宋体"/>
          <w:color w:val="auto"/>
          <w:sz w:val="21"/>
          <w:szCs w:val="22"/>
          <w:highlight w:val="none"/>
        </w:rPr>
        <w:t xml:space="preserve"> 号的采购结果，确定乙方为本次中标供应商，现依照采购文件、乙方的响应文件及相关文件的内容，签订本合同书。</w:t>
      </w:r>
      <w:r>
        <w:rPr>
          <w:rFonts w:hint="eastAsia" w:hAnsi="宋体" w:eastAsia="宋体"/>
          <w:color w:val="auto"/>
          <w:sz w:val="21"/>
          <w:szCs w:val="22"/>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int="eastAsia" w:hAnsi="宋体" w:eastAsia="宋体"/>
          <w:color w:val="auto"/>
          <w:sz w:val="21"/>
          <w:szCs w:val="22"/>
          <w:highlight w:val="none"/>
        </w:rPr>
        <w:t xml:space="preserve">一、</w:t>
      </w:r>
      <w:r>
        <w:rPr>
          <w:rFonts w:hAnsi="宋体" w:eastAsia="宋体"/>
          <w:color w:val="auto"/>
          <w:sz w:val="21"/>
          <w:szCs w:val="22"/>
          <w:highlight w:val="none"/>
        </w:rPr>
        <w:t xml:space="preserve">合同内容：</w:t>
      </w:r>
      <w:r>
        <w:rPr>
          <w:rFonts w:hint="eastAsia" w:hAnsi="宋体" w:eastAsia="宋体"/>
          <w:color w:val="auto"/>
          <w:sz w:val="21"/>
          <w:szCs w:val="22"/>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Ansi="宋体" w:eastAsia="宋体"/>
          <w:color w:val="auto"/>
          <w:sz w:val="21"/>
          <w:szCs w:val="22"/>
          <w:highlight w:val="none"/>
        </w:rPr>
        <w:t xml:space="preserve">1</w:t>
      </w:r>
      <w:r>
        <w:rPr>
          <w:rFonts w:hint="eastAsia" w:hAnsi="宋体" w:eastAsia="宋体"/>
          <w:color w:val="auto"/>
          <w:sz w:val="21"/>
          <w:szCs w:val="22"/>
          <w:highlight w:val="none"/>
        </w:rPr>
        <w:t xml:space="preserve">、乙方负责完成甲方的</w:t>
      </w:r>
      <w:r>
        <w:rPr>
          <w:rFonts w:hint="eastAsia" w:hAnsi="宋体" w:eastAsia="宋体"/>
          <w:color w:val="auto"/>
          <w:sz w:val="21"/>
          <w:szCs w:val="22"/>
          <w:highlight w:val="none"/>
          <w:u w:val="single"/>
        </w:rPr>
        <w:t xml:space="preserve">                        </w:t>
      </w:r>
      <w:r>
        <w:rPr>
          <w:rFonts w:hint="eastAsia" w:hAnsi="宋体" w:eastAsia="宋体"/>
          <w:color w:val="auto"/>
          <w:sz w:val="21"/>
          <w:szCs w:val="22"/>
          <w:highlight w:val="none"/>
        </w:rPr>
        <w:t xml:space="preserve">，详见乙方的投标文件。</w:t>
      </w:r>
      <w:r>
        <w:rPr>
          <w:rFonts w:hint="eastAsia" w:hAnsi="宋体" w:eastAsia="宋体"/>
          <w:color w:val="auto"/>
          <w:sz w:val="21"/>
          <w:szCs w:val="22"/>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hAnsi="宋体"/>
          <w:color w:val="auto"/>
          <w:szCs w:val="22"/>
          <w:highlight w:val="none"/>
        </w:rPr>
        <w:t xml:space="preserve">2、项目期限：</w:t>
      </w:r>
      <w:r>
        <w:rPr>
          <w:rFonts w:hint="eastAsia" w:ascii="宋体" w:hAnsi="宋体"/>
          <w:color w:val="auto"/>
          <w:szCs w:val="21"/>
          <w:highlight w:val="none"/>
        </w:rPr>
        <w:t xml:space="preserve"> </w:t>
      </w:r>
      <w:r>
        <w:rPr>
          <w:rFonts w:hint="eastAsia" w:ascii="宋体" w:hAnsi="宋体" w:cs="宋体"/>
          <w:color w:val="auto"/>
          <w:szCs w:val="21"/>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int="eastAsia" w:hAnsi="宋体" w:eastAsia="宋体"/>
          <w:color w:val="auto"/>
          <w:sz w:val="21"/>
          <w:szCs w:val="22"/>
          <w:highlight w:val="none"/>
        </w:rPr>
        <w:t xml:space="preserve">3、下列文件为本合同不可分割部分，与本合同具有同等法律效力：</w:t>
      </w:r>
      <w:r>
        <w:rPr>
          <w:rFonts w:hint="eastAsia" w:hAnsi="宋体" w:eastAsia="宋体"/>
          <w:color w:val="auto"/>
          <w:sz w:val="21"/>
          <w:szCs w:val="22"/>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Ansi="宋体" w:eastAsia="宋体"/>
          <w:color w:val="auto"/>
          <w:sz w:val="21"/>
          <w:szCs w:val="22"/>
          <w:highlight w:val="none"/>
        </w:rPr>
        <w:t xml:space="preserve"> </w:t>
      </w:r>
      <w:r>
        <w:rPr>
          <w:rFonts w:hint="eastAsia" w:hAnsi="宋体" w:eastAsia="宋体"/>
          <w:color w:val="auto"/>
          <w:sz w:val="21"/>
          <w:szCs w:val="22"/>
          <w:highlight w:val="none"/>
        </w:rPr>
        <w:t xml:space="preserve">①中标通知书；</w:t>
      </w:r>
      <w:r>
        <w:rPr>
          <w:rFonts w:hint="eastAsia" w:hAnsi="宋体" w:eastAsia="宋体"/>
          <w:color w:val="auto"/>
          <w:sz w:val="21"/>
          <w:szCs w:val="22"/>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Ansi="宋体" w:eastAsia="宋体"/>
          <w:color w:val="auto"/>
          <w:sz w:val="21"/>
          <w:szCs w:val="22"/>
          <w:highlight w:val="none"/>
        </w:rPr>
        <w:t xml:space="preserve"> </w:t>
      </w:r>
      <w:r>
        <w:rPr>
          <w:rFonts w:hint="eastAsia" w:hAnsi="宋体" w:eastAsia="宋体"/>
          <w:color w:val="auto"/>
          <w:sz w:val="21"/>
          <w:szCs w:val="22"/>
          <w:highlight w:val="none"/>
        </w:rPr>
        <w:t xml:space="preserve">②招标文件及其他补充文件（如有）；</w:t>
      </w:r>
      <w:r>
        <w:rPr>
          <w:rFonts w:hint="eastAsia" w:hAnsi="宋体" w:eastAsia="宋体"/>
          <w:color w:val="auto"/>
          <w:sz w:val="21"/>
          <w:szCs w:val="22"/>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Ansi="宋体" w:eastAsia="宋体"/>
          <w:color w:val="auto"/>
          <w:sz w:val="21"/>
          <w:szCs w:val="22"/>
          <w:highlight w:val="none"/>
        </w:rPr>
        <w:t xml:space="preserve"> </w:t>
      </w:r>
      <w:r>
        <w:rPr>
          <w:rFonts w:hint="eastAsia" w:hAnsi="宋体" w:eastAsia="宋体"/>
          <w:color w:val="auto"/>
          <w:sz w:val="21"/>
          <w:szCs w:val="22"/>
          <w:highlight w:val="none"/>
        </w:rPr>
        <w:t xml:space="preserve">③乙方中标的投标文件；</w:t>
      </w:r>
      <w:r>
        <w:rPr>
          <w:rFonts w:hint="eastAsia" w:hAnsi="宋体" w:eastAsia="宋体"/>
          <w:color w:val="auto"/>
          <w:sz w:val="21"/>
          <w:szCs w:val="22"/>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Ansi="宋体" w:eastAsia="宋体"/>
          <w:color w:val="auto"/>
          <w:sz w:val="21"/>
          <w:szCs w:val="22"/>
          <w:highlight w:val="none"/>
        </w:rPr>
        <w:t xml:space="preserve"> </w:t>
      </w:r>
      <w:r>
        <w:rPr>
          <w:rFonts w:hint="eastAsia" w:hAnsi="宋体" w:eastAsia="宋体"/>
          <w:color w:val="auto"/>
          <w:sz w:val="21"/>
          <w:szCs w:val="22"/>
          <w:highlight w:val="none"/>
        </w:rPr>
        <w:t xml:space="preserve">④乙方在招投标过程中所作的其它书面承诺、声明、澄清等。</w:t>
      </w:r>
      <w:r>
        <w:rPr>
          <w:rFonts w:hint="eastAsia" w:hAnsi="宋体" w:eastAsia="宋体"/>
          <w:color w:val="auto"/>
          <w:sz w:val="21"/>
          <w:szCs w:val="22"/>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int="eastAsia" w:hAnsi="宋体" w:eastAsia="宋体"/>
          <w:color w:val="auto"/>
          <w:sz w:val="21"/>
          <w:szCs w:val="22"/>
          <w:highlight w:val="none"/>
        </w:rPr>
        <w:t xml:space="preserve">二、价格与支付：</w:t>
      </w:r>
      <w:r>
        <w:rPr>
          <w:rFonts w:hint="eastAsia" w:hAnsi="宋体" w:eastAsia="宋体"/>
          <w:color w:val="auto"/>
          <w:sz w:val="21"/>
          <w:szCs w:val="22"/>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hAnsi="宋体"/>
          <w:color w:val="auto"/>
          <w:szCs w:val="22"/>
          <w:highlight w:val="none"/>
        </w:rPr>
        <w:t xml:space="preserve">1、合同总金额为人民币</w:t>
      </w:r>
      <w:r>
        <w:rPr>
          <w:rFonts w:hAnsi="宋体"/>
          <w:color w:val="auto"/>
          <w:szCs w:val="22"/>
          <w:highlight w:val="none"/>
          <w:u w:val="single"/>
        </w:rPr>
        <w:t xml:space="preserve"> </w:t>
      </w:r>
      <w:r>
        <w:rPr>
          <w:rFonts w:hint="eastAsia" w:hAnsi="宋体"/>
          <w:color w:val="auto"/>
          <w:szCs w:val="22"/>
          <w:highlight w:val="none"/>
          <w:u w:val="single"/>
        </w:rPr>
        <w:t xml:space="preserve">            </w:t>
      </w:r>
      <w:r>
        <w:rPr>
          <w:rFonts w:hint="eastAsia" w:hAnsi="宋体"/>
          <w:color w:val="auto"/>
          <w:szCs w:val="22"/>
          <w:highlight w:val="none"/>
        </w:rPr>
        <w:t xml:space="preserve"> 元，</w:t>
      </w:r>
      <w:r>
        <w:rPr>
          <w:rFonts w:hint="eastAsia" w:ascii="宋体" w:hAnsi="宋体" w:cs="宋体"/>
          <w:color w:val="auto"/>
          <w:szCs w:val="21"/>
          <w:highlight w:val="none"/>
        </w:rPr>
        <w:t xml:space="preserve">报价</w:t>
      </w:r>
      <w:r>
        <w:rPr>
          <w:rFonts w:hint="eastAsia" w:ascii="宋体" w:hAnsi="宋体" w:cs="宋体"/>
          <w:color w:val="auto"/>
          <w:szCs w:val="21"/>
          <w:highlight w:val="none"/>
          <w:lang w:val="zh-CN"/>
        </w:rPr>
        <w:t xml:space="preserve">包括</w:t>
      </w:r>
      <w:r>
        <w:rPr>
          <w:rFonts w:hint="eastAsia" w:ascii="宋体" w:hAnsi="宋体" w:cs="宋体"/>
          <w:color w:val="auto"/>
          <w:szCs w:val="21"/>
          <w:highlight w:val="none"/>
        </w:rPr>
        <w:t xml:space="preserve">完成本项工作所需的人工、调查检测、专家评审、报告编制、管理、机械设备、材料耗材、交通、管理、保险、利润、税金、中标服务费、政策性文件规定及合同包含的所有风险、责任等各项应有费。同时，除非合同条款中另有规定，否则，供应商所报价格在合同实施期间不因市场变化因素而变动,政策性条款例外。</w:t>
      </w:r>
      <w:r>
        <w:rPr>
          <w:rFonts w:hint="eastAsia" w:ascii="宋体" w:hAnsi="宋体" w:cs="宋体"/>
          <w:color w:val="auto"/>
          <w:szCs w:val="21"/>
          <w:highlight w:val="none"/>
        </w:rPr>
      </w:r>
      <w:r>
        <w:rPr>
          <w:color w:val="auto"/>
        </w:rPr>
      </w:r>
    </w:p>
    <w:p>
      <w:pPr>
        <w:pStyle w:val="702"/>
        <w:ind w:firstLine="420"/>
        <w:spacing w:line="360" w:lineRule="auto"/>
        <w:tabs>
          <w:tab w:val="left" w:pos="0" w:leader="none"/>
        </w:tabs>
        <w:rPr>
          <w:rFonts w:hint="eastAsia" w:ascii="宋体" w:hAnsi="宋体"/>
          <w:color w:val="auto"/>
          <w:szCs w:val="22"/>
          <w:highlight w:val="none"/>
        </w:rPr>
      </w:pPr>
      <w:r>
        <w:rPr>
          <w:rFonts w:hint="eastAsia" w:ascii="宋体" w:hAnsi="宋体"/>
          <w:color w:val="auto"/>
          <w:szCs w:val="22"/>
          <w:highlight w:val="none"/>
        </w:rPr>
        <w:t xml:space="preserve">2、付款步骤：</w:t>
      </w:r>
      <w:r>
        <w:rPr>
          <w:rFonts w:hint="eastAsia" w:ascii="宋体" w:hAnsi="宋体"/>
          <w:color w:val="auto"/>
          <w:szCs w:val="22"/>
          <w:highlight w:val="none"/>
        </w:rPr>
      </w:r>
      <w:r>
        <w:rPr>
          <w:color w:val="auto"/>
        </w:rPr>
      </w:r>
    </w:p>
    <w:p>
      <w:pPr>
        <w:pStyle w:val="702"/>
        <w:ind w:firstLine="420"/>
        <w:spacing w:line="360" w:lineRule="auto"/>
        <w:tabs>
          <w:tab w:val="left" w:pos="0" w:leader="none"/>
        </w:tabs>
        <w:rPr>
          <w:rFonts w:hint="eastAsia" w:ascii="宋体" w:hAnsi="宋体"/>
          <w:color w:val="auto"/>
          <w:szCs w:val="22"/>
          <w:highlight w:val="none"/>
        </w:rPr>
      </w:pPr>
      <w:r>
        <w:rPr>
          <w:rFonts w:hint="eastAsia" w:ascii="宋体" w:hAnsi="宋体"/>
          <w:color w:val="auto"/>
          <w:szCs w:val="22"/>
          <w:highlight w:val="none"/>
        </w:rPr>
        <w:t xml:space="preserve">合同生效后，根据中标单价按实结算，甲方根据项目进度支付合同款，</w:t>
      </w:r>
      <w:r>
        <w:rPr>
          <w:rFonts w:hint="eastAsia" w:ascii="宋体" w:hAnsi="宋体"/>
          <w:color w:val="auto"/>
          <w:szCs w:val="22"/>
          <w:highlight w:val="none"/>
          <w:lang w:val="en-US" w:eastAsia="zh-CN"/>
        </w:rPr>
        <w:t xml:space="preserve">2024年底支付50%合同款，</w:t>
      </w:r>
      <w:r>
        <w:rPr>
          <w:rFonts w:hint="eastAsia" w:ascii="宋体" w:hAnsi="宋体"/>
          <w:color w:val="auto"/>
          <w:szCs w:val="22"/>
          <w:highlight w:val="none"/>
        </w:rPr>
        <w:t xml:space="preserve">待项目完成且验收通过后，甲方于2025年底前向乙方付清合同款。</w:t>
      </w:r>
      <w:r>
        <w:rPr>
          <w:rFonts w:hint="eastAsia" w:ascii="宋体" w:hAnsi="宋体"/>
          <w:color w:val="auto"/>
          <w:szCs w:val="22"/>
          <w:highlight w:val="none"/>
        </w:rPr>
      </w:r>
      <w:r>
        <w:rPr>
          <w:color w:val="auto"/>
        </w:rPr>
      </w:r>
    </w:p>
    <w:p>
      <w:pPr>
        <w:pStyle w:val="702"/>
        <w:ind w:firstLine="420"/>
        <w:spacing w:line="360" w:lineRule="auto"/>
        <w:tabs>
          <w:tab w:val="left" w:pos="0" w:leader="none"/>
        </w:tabs>
        <w:rPr>
          <w:rFonts w:hint="eastAsia" w:ascii="宋体" w:hAnsi="宋体"/>
          <w:color w:val="auto"/>
          <w:szCs w:val="22"/>
          <w:highlight w:val="none"/>
        </w:rPr>
      </w:pPr>
      <w:r>
        <w:rPr>
          <w:rFonts w:hint="eastAsia" w:ascii="宋体" w:hAnsi="宋体"/>
          <w:color w:val="auto"/>
          <w:szCs w:val="22"/>
          <w:highlight w:val="none"/>
        </w:rPr>
        <w:t xml:space="preserve">3、甲方支付此项费用外不再承担其它任何费用（包括个人），服务人员的薪金（包括国家或地方政府政策性调整基础工资）、福利、保险、休假日补贴等所有工资福利待遇由乙方付给，与甲方无关。</w:t>
      </w:r>
      <w:r>
        <w:rPr>
          <w:rFonts w:hint="eastAsia" w:ascii="宋体" w:hAnsi="宋体"/>
          <w:color w:val="auto"/>
          <w:szCs w:val="22"/>
          <w:highlight w:val="none"/>
        </w:rPr>
      </w:r>
      <w:r>
        <w:rPr>
          <w:color w:val="auto"/>
        </w:rPr>
      </w:r>
    </w:p>
    <w:p>
      <w:pPr>
        <w:pStyle w:val="702"/>
        <w:ind w:firstLine="420"/>
        <w:spacing w:line="360" w:lineRule="auto"/>
        <w:tabs>
          <w:tab w:val="left" w:pos="0" w:leader="none"/>
        </w:tabs>
        <w:rPr>
          <w:rFonts w:hint="eastAsia" w:ascii="宋体" w:hAnsi="宋体"/>
          <w:color w:val="auto"/>
          <w:szCs w:val="22"/>
          <w:highlight w:val="none"/>
        </w:rPr>
      </w:pPr>
      <w:r>
        <w:rPr>
          <w:rFonts w:hint="eastAsia" w:ascii="宋体" w:hAnsi="宋体"/>
          <w:color w:val="auto"/>
          <w:szCs w:val="22"/>
          <w:highlight w:val="none"/>
        </w:rPr>
        <w:t xml:space="preserve">4、确因甲方工作需要，乙方应无条件配合甲方完成一些突击工作。如：安排服务人员（内部）临时加班。</w:t>
      </w:r>
      <w:r>
        <w:rPr>
          <w:rFonts w:hint="eastAsia" w:ascii="宋体" w:hAnsi="宋体"/>
          <w:color w:val="auto"/>
          <w:szCs w:val="22"/>
          <w:highlight w:val="none"/>
        </w:rPr>
      </w:r>
      <w:r>
        <w:rPr>
          <w:color w:val="auto"/>
        </w:rPr>
      </w:r>
    </w:p>
    <w:p>
      <w:pPr>
        <w:pStyle w:val="702"/>
        <w:ind w:firstLine="420"/>
        <w:spacing w:line="360" w:lineRule="auto"/>
        <w:tabs>
          <w:tab w:val="left" w:pos="0" w:leader="none"/>
        </w:tabs>
        <w:rPr>
          <w:rFonts w:hint="eastAsia" w:ascii="宋体" w:hAnsi="宋体"/>
          <w:color w:val="auto"/>
          <w:szCs w:val="22"/>
          <w:highlight w:val="none"/>
        </w:rPr>
      </w:pPr>
      <w:r>
        <w:rPr>
          <w:color w:val="auto"/>
        </w:rPr>
      </w:r>
      <w:bookmarkStart w:id="77" w:name="_Toc364927101"/>
      <w:r>
        <w:rPr>
          <w:color w:val="auto"/>
        </w:rPr>
      </w:r>
      <w:bookmarkStart w:id="78" w:name="_Toc400718931"/>
      <w:r>
        <w:rPr>
          <w:color w:val="auto"/>
        </w:rPr>
      </w:r>
      <w:bookmarkStart w:id="79" w:name="_Toc325101341"/>
      <w:r>
        <w:rPr>
          <w:rFonts w:hint="eastAsia" w:ascii="宋体" w:hAnsi="宋体"/>
          <w:color w:val="auto"/>
          <w:szCs w:val="22"/>
          <w:highlight w:val="none"/>
        </w:rPr>
        <w:t xml:space="preserve">5、税收：根据现行税法</w:t>
      </w:r>
      <w:bookmarkEnd w:id="77"/>
      <w:r>
        <w:rPr>
          <w:color w:val="auto"/>
        </w:rPr>
      </w:r>
      <w:bookmarkEnd w:id="78"/>
      <w:r>
        <w:rPr>
          <w:color w:val="auto"/>
        </w:rPr>
      </w:r>
      <w:bookmarkEnd w:id="79"/>
      <w:r>
        <w:rPr>
          <w:rFonts w:hint="eastAsia" w:ascii="宋体" w:hAnsi="宋体"/>
          <w:color w:val="auto"/>
          <w:szCs w:val="22"/>
          <w:highlight w:val="none"/>
        </w:rPr>
        <w:t xml:space="preserve">及相关法律法规。</w:t>
      </w:r>
      <w:r>
        <w:rPr>
          <w:rFonts w:hint="eastAsia" w:ascii="宋体" w:hAnsi="宋体"/>
          <w:color w:val="auto"/>
          <w:szCs w:val="22"/>
          <w:highlight w:val="none"/>
        </w:rPr>
      </w:r>
      <w:r>
        <w:rPr>
          <w:color w:val="auto"/>
        </w:rPr>
      </w:r>
    </w:p>
    <w:p>
      <w:pPr>
        <w:pStyle w:val="702"/>
        <w:ind w:firstLine="420"/>
        <w:spacing w:line="360" w:lineRule="auto"/>
        <w:tabs>
          <w:tab w:val="left" w:pos="0" w:leader="none"/>
        </w:tabs>
        <w:rPr>
          <w:rFonts w:hint="eastAsia" w:ascii="宋体" w:hAnsi="宋体"/>
          <w:color w:val="auto"/>
          <w:szCs w:val="22"/>
          <w:highlight w:val="none"/>
        </w:rPr>
      </w:pPr>
      <w:r>
        <w:rPr>
          <w:color w:val="auto"/>
        </w:rPr>
      </w:r>
      <w:bookmarkStart w:id="80" w:name="_Toc325101342"/>
      <w:r>
        <w:rPr>
          <w:color w:val="auto"/>
        </w:rPr>
      </w:r>
      <w:bookmarkStart w:id="81" w:name="_Toc364927102"/>
      <w:r>
        <w:rPr>
          <w:color w:val="auto"/>
        </w:rPr>
      </w:r>
      <w:bookmarkStart w:id="82" w:name="_Toc400718932"/>
      <w:r>
        <w:rPr>
          <w:rFonts w:hint="eastAsia" w:ascii="宋体" w:hAnsi="宋体"/>
          <w:color w:val="auto"/>
          <w:szCs w:val="22"/>
          <w:highlight w:val="none"/>
        </w:rPr>
        <w:t xml:space="preserve">6、支付方式：银行转账。</w:t>
      </w:r>
      <w:bookmarkEnd w:id="80"/>
      <w:r>
        <w:rPr>
          <w:color w:val="auto"/>
        </w:rPr>
      </w:r>
      <w:bookmarkEnd w:id="81"/>
      <w:r>
        <w:rPr>
          <w:color w:val="auto"/>
        </w:rPr>
      </w:r>
      <w:bookmarkEnd w:id="82"/>
      <w:r>
        <w:rPr>
          <w:rFonts w:hint="eastAsia" w:ascii="宋体" w:hAnsi="宋体"/>
          <w:color w:val="auto"/>
          <w:szCs w:val="22"/>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hAnsi="宋体"/>
          <w:color w:val="auto"/>
          <w:szCs w:val="22"/>
          <w:highlight w:val="none"/>
        </w:rPr>
        <w:t xml:space="preserve">三、</w:t>
      </w:r>
      <w:r>
        <w:rPr>
          <w:rFonts w:hint="eastAsia" w:ascii="宋体" w:hAnsi="宋体" w:cs="宋体"/>
          <w:color w:val="auto"/>
          <w:szCs w:val="21"/>
          <w:highlight w:val="none"/>
        </w:rPr>
        <w:t xml:space="preserve">服务要求：具体见招标文件规定及乙方投标文件。</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仿宋_GB2312"/>
          <w:color w:val="auto"/>
          <w:szCs w:val="21"/>
          <w:highlight w:val="none"/>
        </w:rPr>
      </w:pPr>
      <w:r>
        <w:rPr>
          <w:rFonts w:hint="eastAsia" w:ascii="宋体" w:hAnsi="宋体" w:cs="宋体"/>
          <w:color w:val="auto"/>
          <w:szCs w:val="21"/>
          <w:highlight w:val="none"/>
        </w:rPr>
        <w:t xml:space="preserve">四、质量及验收</w:t>
      </w:r>
      <w:r>
        <w:rPr>
          <w:rFonts w:hint="eastAsia" w:ascii="宋体" w:hAnsi="宋体" w:cs="仿宋_GB2312"/>
          <w:color w:val="auto"/>
          <w:szCs w:val="21"/>
          <w:highlight w:val="none"/>
        </w:rPr>
      </w:r>
      <w:r>
        <w:rPr>
          <w:color w:val="auto"/>
        </w:rPr>
      </w:r>
    </w:p>
    <w:p>
      <w:pPr>
        <w:pStyle w:val="702"/>
        <w:ind w:firstLine="411"/>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1、根据招标文件及国家规定标准验收通过。验收时甲乙双方应作详细记录，不足部分由乙方立即无条件为甲方补充提供，同时由乙方承担因此而产生的一切后果。</w:t>
      </w:r>
      <w:r>
        <w:rPr>
          <w:rFonts w:hint="eastAsia" w:ascii="宋体" w:hAnsi="宋体" w:cs="宋体"/>
          <w:color w:val="auto"/>
          <w:szCs w:val="21"/>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int="eastAsia" w:hAnsi="宋体" w:eastAsia="宋体"/>
          <w:color w:val="auto"/>
          <w:sz w:val="21"/>
          <w:szCs w:val="22"/>
          <w:highlight w:val="none"/>
        </w:rPr>
        <w:t xml:space="preserve">2、乙方交付验收时应先用书面、电传等方式通告甲方。</w:t>
      </w:r>
      <w:r>
        <w:rPr>
          <w:rFonts w:hint="eastAsia" w:hAnsi="宋体" w:eastAsia="宋体"/>
          <w:color w:val="auto"/>
          <w:sz w:val="21"/>
          <w:szCs w:val="22"/>
          <w:highlight w:val="none"/>
        </w:rPr>
      </w:r>
      <w:r>
        <w:rPr>
          <w:color w:val="auto"/>
        </w:rPr>
      </w:r>
    </w:p>
    <w:p>
      <w:pPr>
        <w:pStyle w:val="702"/>
        <w:ind w:firstLine="525"/>
        <w:spacing w:line="360" w:lineRule="auto"/>
        <w:rPr>
          <w:rFonts w:hint="eastAsia" w:ascii="宋体" w:hAnsi="宋体" w:cs="仿宋_GB2312"/>
          <w:color w:val="auto"/>
          <w:szCs w:val="21"/>
          <w:highlight w:val="none"/>
        </w:rPr>
        <w:outlineLvl w:val="0"/>
      </w:pPr>
      <w:r>
        <w:rPr>
          <w:rFonts w:hint="eastAsia" w:ascii="宋体" w:hAnsi="宋体" w:cs="宋体"/>
          <w:bCs/>
          <w:color w:val="auto"/>
          <w:szCs w:val="21"/>
          <w:highlight w:val="none"/>
        </w:rPr>
        <w:t xml:space="preserve">五、</w:t>
      </w:r>
      <w:r>
        <w:rPr>
          <w:rFonts w:hint="eastAsia" w:ascii="宋体" w:hAnsi="宋体" w:cs="仿宋_GB2312"/>
          <w:color w:val="auto"/>
          <w:szCs w:val="21"/>
          <w:highlight w:val="none"/>
          <w:lang w:val="zh-CN"/>
        </w:rPr>
        <w:t xml:space="preserve">其它</w:t>
      </w:r>
      <w:r>
        <w:rPr>
          <w:rFonts w:hint="eastAsia" w:ascii="宋体" w:hAnsi="宋体" w:cs="仿宋_GB2312"/>
          <w:color w:val="auto"/>
          <w:szCs w:val="21"/>
          <w:highlight w:val="none"/>
        </w:rPr>
      </w:r>
      <w:r>
        <w:rPr>
          <w:color w:val="auto"/>
        </w:rPr>
      </w:r>
    </w:p>
    <w:p>
      <w:pPr>
        <w:pStyle w:val="702"/>
        <w:ind w:firstLine="525"/>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1</w:t>
      </w:r>
      <w:r>
        <w:rPr>
          <w:rFonts w:hint="eastAsia" w:ascii="宋体" w:hAnsi="宋体" w:cs="仿宋_GB2312"/>
          <w:color w:val="auto"/>
          <w:szCs w:val="21"/>
          <w:highlight w:val="none"/>
          <w:lang w:val="zh-CN"/>
        </w:rPr>
        <w:t xml:space="preserve">、乙方除应为相关人员提供必要的劳动保护条件并支付员工工资和缴纳正常的社会保险外，还应为其办理</w:t>
      </w:r>
      <w:r>
        <w:rPr>
          <w:rFonts w:hint="eastAsia" w:ascii="宋体" w:hAnsi="宋体" w:cs="仿宋_GB2312"/>
          <w:color w:val="auto"/>
          <w:szCs w:val="21"/>
          <w:highlight w:val="none"/>
          <w:lang w:val="en-US" w:eastAsia="zh-CN"/>
        </w:rPr>
        <w:t xml:space="preserve">服务</w:t>
      </w:r>
      <w:r>
        <w:rPr>
          <w:rFonts w:hint="eastAsia" w:ascii="宋体" w:hAnsi="宋体" w:cs="仿宋_GB2312"/>
          <w:color w:val="auto"/>
          <w:szCs w:val="21"/>
          <w:highlight w:val="none"/>
          <w:lang w:val="zh-CN"/>
        </w:rPr>
        <w:t xml:space="preserve">时的人身安全保险和意外伤害险，乙方在合同期限内发生的一切安全责任事故均由乙方自行负责（保险种类由乙方自行选择）。</w:t>
      </w:r>
      <w:r>
        <w:rPr>
          <w:rFonts w:hint="eastAsia" w:ascii="宋体" w:hAnsi="宋体" w:cs="仿宋_GB2312"/>
          <w:color w:val="auto"/>
          <w:szCs w:val="21"/>
          <w:highlight w:val="none"/>
        </w:rPr>
      </w:r>
      <w:r>
        <w:rPr>
          <w:color w:val="auto"/>
        </w:rPr>
      </w:r>
    </w:p>
    <w:p>
      <w:pPr>
        <w:pStyle w:val="702"/>
        <w:ind w:firstLine="525"/>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2</w:t>
      </w:r>
      <w:r>
        <w:rPr>
          <w:rFonts w:hint="eastAsia" w:ascii="宋体" w:hAnsi="宋体" w:cs="仿宋_GB2312"/>
          <w:color w:val="auto"/>
          <w:szCs w:val="21"/>
          <w:highlight w:val="none"/>
          <w:lang w:val="zh-CN"/>
        </w:rPr>
        <w:t xml:space="preserve">、乙方应做好职工的安全生产教育，并配备一定的劳动保护必需品以供职工使用。</w:t>
      </w:r>
      <w:r>
        <w:rPr>
          <w:rFonts w:hint="eastAsia" w:ascii="宋体" w:hAnsi="宋体" w:cs="仿宋_GB2312"/>
          <w:color w:val="auto"/>
          <w:szCs w:val="21"/>
          <w:highlight w:val="none"/>
          <w:lang w:val="zh-CN"/>
        </w:rPr>
      </w:r>
      <w:r>
        <w:rPr>
          <w:color w:val="auto"/>
        </w:rPr>
      </w:r>
    </w:p>
    <w:p>
      <w:pPr>
        <w:pStyle w:val="702"/>
        <w:ind w:firstLine="525"/>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lang w:val="zh-CN"/>
        </w:rPr>
        <w:t xml:space="preserve">3、乙方服务人员需遵守有关保密规定。</w:t>
      </w:r>
      <w:r>
        <w:rPr>
          <w:rFonts w:hint="eastAsia" w:ascii="宋体" w:hAnsi="宋体" w:cs="仿宋_GB2312"/>
          <w:color w:val="auto"/>
          <w:szCs w:val="21"/>
          <w:highlight w:val="none"/>
          <w:lang w:val="zh-CN"/>
        </w:rPr>
      </w:r>
      <w:r>
        <w:rPr>
          <w:color w:val="auto"/>
        </w:rPr>
      </w:r>
    </w:p>
    <w:p>
      <w:pPr>
        <w:pStyle w:val="702"/>
        <w:ind w:firstLine="525"/>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lang w:val="zh-CN"/>
        </w:rPr>
        <w:t xml:space="preserve">4、乙方服务人员需遵守甲方管理规定。</w:t>
      </w:r>
      <w:r>
        <w:rPr>
          <w:rFonts w:hint="eastAsia" w:ascii="宋体" w:hAnsi="宋体" w:cs="仿宋_GB2312"/>
          <w:color w:val="auto"/>
          <w:szCs w:val="21"/>
          <w:highlight w:val="none"/>
          <w:lang w:val="zh-CN"/>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w:t>
      </w:r>
      <w:r>
        <w:rPr>
          <w:rFonts w:hint="eastAsia" w:ascii="宋体" w:hAnsi="宋体" w:cs="宋体"/>
          <w:color w:val="auto"/>
          <w:szCs w:val="21"/>
          <w:highlight w:val="none"/>
          <w:lang w:val="zh-CN"/>
        </w:rPr>
        <w:t xml:space="preserve">、违约责任：</w:t>
      </w:r>
      <w:r>
        <w:rPr>
          <w:rFonts w:hint="eastAsia" w:ascii="宋体" w:hAnsi="宋体" w:cs="宋体"/>
          <w:color w:val="auto"/>
          <w:szCs w:val="21"/>
          <w:highlight w:val="none"/>
          <w:lang w:val="zh-CN"/>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合同一方不履行合同义务或者履行合同义务不符合约定的，应当承担继续履行、采取补救措施或者赔偿损失等违约责任。</w:t>
      </w:r>
      <w:r>
        <w:rPr>
          <w:rFonts w:hint="eastAsia" w:ascii="宋体" w:hAnsi="宋体" w:cs="宋体"/>
          <w:color w:val="auto"/>
          <w:szCs w:val="21"/>
          <w:highlight w:val="none"/>
          <w:lang w:val="zh-CN"/>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w:t>
      </w:r>
      <w:r>
        <w:rPr>
          <w:rFonts w:hint="eastAsia" w:ascii="宋体" w:hAnsi="宋体" w:cs="宋体"/>
          <w:color w:val="auto"/>
          <w:szCs w:val="21"/>
          <w:highlight w:val="none"/>
          <w:lang w:val="zh-CN"/>
        </w:rPr>
        <w:t xml:space="preserve">甲方违约责任</w:t>
      </w:r>
      <w:r>
        <w:rPr>
          <w:rFonts w:hint="eastAsia" w:ascii="宋体" w:hAnsi="宋体" w:cs="宋体"/>
          <w:color w:val="auto"/>
          <w:szCs w:val="21"/>
          <w:highlight w:val="none"/>
          <w:lang w:val="zh-CN"/>
        </w:rPr>
      </w:r>
      <w:r>
        <w:rPr>
          <w:color w:val="auto"/>
        </w:rPr>
      </w:r>
    </w:p>
    <w:p>
      <w:pPr>
        <w:pStyle w:val="702"/>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乙方按合同履约，甲方不按期付款应向乙方偿付违约金，每逾期一天，按合同价格的万分之四偿付违约金。</w:t>
      </w:r>
      <w:r>
        <w:rPr>
          <w:rFonts w:hint="eastAsia" w:ascii="宋体" w:hAnsi="宋体" w:cs="仿宋_GB2312"/>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w:t>
      </w:r>
      <w:r>
        <w:rPr>
          <w:rFonts w:hint="eastAsia" w:ascii="宋体" w:hAnsi="宋体" w:cs="宋体"/>
          <w:color w:val="auto"/>
          <w:szCs w:val="21"/>
          <w:highlight w:val="none"/>
          <w:lang w:val="zh-CN"/>
        </w:rPr>
        <w:t xml:space="preserve">乙方违约责任</w:t>
      </w:r>
      <w:r>
        <w:rPr>
          <w:rFonts w:hint="eastAsia" w:ascii="宋体" w:hAnsi="宋体" w:cs="宋体"/>
          <w:color w:val="auto"/>
          <w:szCs w:val="21"/>
          <w:highlight w:val="none"/>
          <w:lang w:val="zh-CN"/>
        </w:rPr>
      </w:r>
      <w:r>
        <w:rPr>
          <w:color w:val="auto"/>
        </w:rPr>
      </w:r>
    </w:p>
    <w:p>
      <w:pPr>
        <w:pStyle w:val="702"/>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1）乙方未按合同规定的时间、质量要求提供服务，不能完成合同时，甲方有权终止合同，重新组织招标,由此造成乙方的直接损失和间接损失甲方不给予补偿和赔偿，造成甲方损失时，甲方有权要求乙方赔偿，可从余款中扣除并可提出索赔要求。</w:t>
      </w:r>
      <w:r>
        <w:rPr>
          <w:rFonts w:hint="eastAsia" w:ascii="宋体" w:hAnsi="宋体" w:cs="仿宋_GB2312"/>
          <w:color w:val="auto"/>
          <w:szCs w:val="21"/>
          <w:highlight w:val="none"/>
        </w:rPr>
      </w:r>
      <w:r>
        <w:rPr>
          <w:color w:val="auto"/>
        </w:rPr>
      </w:r>
    </w:p>
    <w:p>
      <w:pPr>
        <w:pStyle w:val="702"/>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w:t>
      </w:r>
      <w:r>
        <w:rPr>
          <w:rFonts w:ascii="宋体" w:hAnsi="宋体" w:cs="仿宋_GB2312"/>
          <w:color w:val="auto"/>
          <w:szCs w:val="21"/>
          <w:highlight w:val="none"/>
        </w:rPr>
        <w:t xml:space="preserve">2</w:t>
      </w:r>
      <w:r>
        <w:rPr>
          <w:rFonts w:hint="eastAsia" w:ascii="宋体" w:hAnsi="宋体" w:cs="仿宋_GB2312"/>
          <w:color w:val="auto"/>
          <w:szCs w:val="21"/>
          <w:highlight w:val="none"/>
        </w:rPr>
        <w:t xml:space="preserve">）乙方应执行国家有关规定（如苏州市最低工资标准和其他规定），负责乙方员工的生病、事故、伤残、死亡和劳务纠纷，甲方不承担任何相关责任。</w:t>
      </w:r>
      <w:r>
        <w:rPr>
          <w:rFonts w:hint="eastAsia" w:ascii="宋体" w:hAnsi="宋体" w:cs="仿宋_GB2312"/>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仿宋_GB2312"/>
          <w:color w:val="auto"/>
          <w:szCs w:val="21"/>
          <w:highlight w:val="none"/>
        </w:rPr>
        <w:t xml:space="preserve">（</w:t>
      </w:r>
      <w:r>
        <w:rPr>
          <w:rFonts w:ascii="宋体" w:hAnsi="宋体" w:cs="仿宋_GB2312"/>
          <w:color w:val="auto"/>
          <w:szCs w:val="21"/>
          <w:highlight w:val="none"/>
        </w:rPr>
        <w:t xml:space="preserve">3</w:t>
      </w:r>
      <w:r>
        <w:rPr>
          <w:rFonts w:hint="eastAsia" w:ascii="宋体" w:hAnsi="宋体" w:cs="仿宋_GB2312"/>
          <w:color w:val="auto"/>
          <w:szCs w:val="21"/>
          <w:highlight w:val="none"/>
        </w:rPr>
        <w:t xml:space="preserve">）乙方负有对自己员工的安全责任，甲方不承担任何相关责任。</w:t>
      </w:r>
      <w:r>
        <w:rPr>
          <w:rFonts w:hint="eastAsia" w:ascii="宋体" w:hAnsi="宋体" w:cs="宋体"/>
          <w:color w:val="auto"/>
          <w:szCs w:val="21"/>
          <w:highlight w:val="none"/>
          <w:lang w:val="zh-CN"/>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6.3</w:t>
      </w:r>
      <w:r>
        <w:rPr>
          <w:rFonts w:hint="eastAsia" w:ascii="宋体" w:hAnsi="宋体" w:cs="宋体"/>
          <w:color w:val="auto"/>
          <w:szCs w:val="21"/>
          <w:highlight w:val="none"/>
          <w:lang w:val="zh-CN"/>
        </w:rPr>
        <w:t xml:space="preserve">不可抗力</w:t>
      </w:r>
      <w:r>
        <w:rPr>
          <w:rFonts w:hint="eastAsia" w:ascii="宋体" w:hAnsi="宋体" w:cs="宋体"/>
          <w:color w:val="auto"/>
          <w:szCs w:val="21"/>
          <w:highlight w:val="none"/>
          <w:lang w:val="zh-CN"/>
        </w:rPr>
      </w:r>
      <w:r>
        <w:rPr>
          <w:color w:val="auto"/>
        </w:rPr>
      </w:r>
    </w:p>
    <w:p>
      <w:pPr>
        <w:pStyle w:val="702"/>
        <w:ind w:firstLine="525"/>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1、因不可抗力不能履行合同的，根据不可抗力的影响，部分或者全部免除责任。但合同一方延迟履行后发生不可抗力的，不能免除责任。</w:t>
      </w:r>
      <w:r>
        <w:rPr>
          <w:rFonts w:hint="eastAsia" w:ascii="宋体" w:hAnsi="宋体" w:cs="仿宋_GB2312"/>
          <w:color w:val="auto"/>
          <w:szCs w:val="21"/>
          <w:highlight w:val="none"/>
        </w:rPr>
      </w:r>
      <w:r>
        <w:rPr>
          <w:color w:val="auto"/>
        </w:rPr>
      </w:r>
    </w:p>
    <w:p>
      <w:pPr>
        <w:pStyle w:val="702"/>
        <w:ind w:firstLine="525"/>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2、 合同一方因不可抗力不能履行合同的，应当及时通知对方，以减轻可能给对方造成的损失，并应当在合理期限内提供证明。</w:t>
      </w:r>
      <w:r>
        <w:rPr>
          <w:rFonts w:hint="eastAsia" w:ascii="宋体" w:hAnsi="宋体" w:cs="仿宋_GB2312"/>
          <w:color w:val="auto"/>
          <w:szCs w:val="21"/>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int="eastAsia" w:hAnsi="宋体" w:eastAsia="宋体"/>
          <w:color w:val="auto"/>
          <w:sz w:val="21"/>
          <w:szCs w:val="22"/>
          <w:highlight w:val="none"/>
        </w:rPr>
        <w:t xml:space="preserve">七、合同的解除和转让：</w:t>
      </w:r>
      <w:r>
        <w:rPr>
          <w:rFonts w:hint="eastAsia" w:hAnsi="宋体" w:eastAsia="宋体"/>
          <w:color w:val="auto"/>
          <w:sz w:val="21"/>
          <w:szCs w:val="22"/>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Ansi="宋体" w:eastAsia="宋体"/>
          <w:color w:val="auto"/>
          <w:sz w:val="21"/>
          <w:szCs w:val="22"/>
          <w:highlight w:val="none"/>
        </w:rPr>
        <w:t xml:space="preserve">1</w:t>
      </w:r>
      <w:r>
        <w:rPr>
          <w:rFonts w:hint="eastAsia" w:hAnsi="宋体" w:eastAsia="宋体"/>
          <w:color w:val="auto"/>
          <w:sz w:val="21"/>
          <w:szCs w:val="22"/>
          <w:highlight w:val="none"/>
        </w:rPr>
        <w:t xml:space="preserve">、 甲方和乙方协商一致，可以解除合同。</w:t>
      </w:r>
      <w:r>
        <w:rPr>
          <w:rFonts w:hint="eastAsia" w:hAnsi="宋体" w:eastAsia="宋体"/>
          <w:color w:val="auto"/>
          <w:sz w:val="21"/>
          <w:szCs w:val="22"/>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Ansi="宋体" w:eastAsia="宋体"/>
          <w:color w:val="auto"/>
          <w:sz w:val="21"/>
          <w:szCs w:val="22"/>
          <w:highlight w:val="none"/>
        </w:rPr>
        <w:t xml:space="preserve">2</w:t>
      </w:r>
      <w:r>
        <w:rPr>
          <w:rFonts w:hint="eastAsia" w:hAnsi="宋体" w:eastAsia="宋体"/>
          <w:color w:val="auto"/>
          <w:sz w:val="21"/>
          <w:szCs w:val="22"/>
          <w:highlight w:val="none"/>
        </w:rPr>
        <w:t xml:space="preserve">、有下列情形之一，合同一方可以解除合同：</w:t>
      </w:r>
      <w:r>
        <w:rPr>
          <w:rFonts w:hint="eastAsia" w:hAnsi="宋体" w:eastAsia="宋体"/>
          <w:color w:val="auto"/>
          <w:sz w:val="21"/>
          <w:szCs w:val="22"/>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int="eastAsia" w:hAnsi="宋体" w:eastAsia="宋体"/>
          <w:color w:val="auto"/>
          <w:sz w:val="21"/>
          <w:szCs w:val="22"/>
          <w:highlight w:val="none"/>
        </w:rPr>
        <w:t xml:space="preserve">（1） 因不可抗力致使不能实现合同目的，未受不可抗力影响的一方有权解除合同。</w:t>
      </w:r>
      <w:r>
        <w:rPr>
          <w:rFonts w:hint="eastAsia" w:hAnsi="宋体" w:eastAsia="宋体"/>
          <w:color w:val="auto"/>
          <w:sz w:val="21"/>
          <w:szCs w:val="22"/>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int="eastAsia" w:hAnsi="宋体" w:eastAsia="宋体"/>
          <w:color w:val="auto"/>
          <w:sz w:val="21"/>
          <w:szCs w:val="22"/>
          <w:highlight w:val="none"/>
        </w:rPr>
        <w:t xml:space="preserve">（2） 因合同一方违约导致合同不能履行，另一方有权解除合同。</w:t>
      </w:r>
      <w:r>
        <w:rPr>
          <w:rFonts w:hint="eastAsia" w:hAnsi="宋体" w:eastAsia="宋体"/>
          <w:color w:val="auto"/>
          <w:sz w:val="21"/>
          <w:szCs w:val="22"/>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int="eastAsia" w:hAnsi="宋体" w:eastAsia="宋体"/>
          <w:color w:val="auto"/>
          <w:sz w:val="21"/>
          <w:szCs w:val="22"/>
          <w:highlight w:val="none"/>
        </w:rPr>
        <w:t xml:space="preserve">（3） 有权解除合同的一方，应当在违约事实或不可抗力发生之后三十天内书面通知对方以主张解除合同，合同在书面通知到达对方时解除。</w:t>
      </w:r>
      <w:r>
        <w:rPr>
          <w:rFonts w:hint="eastAsia" w:hAnsi="宋体" w:eastAsia="宋体"/>
          <w:color w:val="auto"/>
          <w:sz w:val="21"/>
          <w:szCs w:val="22"/>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Ansi="宋体" w:eastAsia="宋体"/>
          <w:color w:val="auto"/>
          <w:sz w:val="21"/>
          <w:szCs w:val="22"/>
          <w:highlight w:val="none"/>
        </w:rPr>
        <w:t xml:space="preserve">3</w:t>
      </w:r>
      <w:r>
        <w:rPr>
          <w:rFonts w:hint="eastAsia" w:hAnsi="宋体" w:eastAsia="宋体"/>
          <w:color w:val="auto"/>
          <w:sz w:val="21"/>
          <w:szCs w:val="22"/>
          <w:highlight w:val="none"/>
        </w:rPr>
        <w:t xml:space="preserve">、合同的部分和全部都不得转让。</w:t>
      </w:r>
      <w:r>
        <w:rPr>
          <w:rFonts w:hint="eastAsia" w:hAnsi="宋体" w:eastAsia="宋体"/>
          <w:color w:val="auto"/>
          <w:sz w:val="21"/>
          <w:szCs w:val="22"/>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int="eastAsia" w:hAnsi="宋体" w:eastAsia="宋体"/>
          <w:color w:val="auto"/>
          <w:sz w:val="21"/>
          <w:szCs w:val="22"/>
          <w:highlight w:val="none"/>
        </w:rPr>
        <w:t xml:space="preserve">八、合同的生效：</w:t>
      </w:r>
      <w:r>
        <w:rPr>
          <w:rFonts w:hint="eastAsia" w:hAnsi="宋体" w:eastAsia="宋体"/>
          <w:color w:val="auto"/>
          <w:sz w:val="21"/>
          <w:szCs w:val="22"/>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Ansi="宋体" w:eastAsia="宋体"/>
          <w:color w:val="auto"/>
          <w:sz w:val="21"/>
          <w:szCs w:val="22"/>
          <w:highlight w:val="none"/>
        </w:rPr>
        <w:t xml:space="preserve">1</w:t>
      </w:r>
      <w:r>
        <w:rPr>
          <w:rFonts w:hint="eastAsia" w:hAnsi="宋体" w:eastAsia="宋体"/>
          <w:color w:val="auto"/>
          <w:sz w:val="21"/>
          <w:szCs w:val="22"/>
          <w:highlight w:val="none"/>
        </w:rPr>
        <w:t xml:space="preserve">、本合同经双方法定（授权）代表人签字（或盖章）并盖单位公章后生效，生效合同经政府采购管理部门备案。</w:t>
      </w:r>
      <w:r>
        <w:rPr>
          <w:rFonts w:hint="eastAsia" w:hAnsi="宋体" w:eastAsia="宋体"/>
          <w:color w:val="auto"/>
          <w:sz w:val="21"/>
          <w:szCs w:val="22"/>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int="eastAsia" w:hAnsi="宋体" w:eastAsia="宋体"/>
          <w:color w:val="auto"/>
          <w:sz w:val="21"/>
          <w:szCs w:val="22"/>
          <w:highlight w:val="none"/>
        </w:rPr>
        <w:t xml:space="preserve">九、争议的解决：</w:t>
      </w:r>
      <w:r>
        <w:rPr>
          <w:rFonts w:hint="eastAsia" w:hAnsi="宋体" w:eastAsia="宋体"/>
          <w:color w:val="auto"/>
          <w:sz w:val="21"/>
          <w:szCs w:val="22"/>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int="eastAsia" w:hAnsi="宋体" w:eastAsia="宋体"/>
          <w:color w:val="auto"/>
          <w:sz w:val="21"/>
          <w:szCs w:val="22"/>
          <w:highlight w:val="none"/>
        </w:rPr>
        <w:t xml:space="preserve">因本合同或与本合同有关的一切事项发生争议，由双方友好协商解决。协商不成的，任何一方均可选择以下</w:t>
      </w:r>
      <w:r>
        <w:rPr>
          <w:rFonts w:hint="eastAsia" w:hAnsi="宋体" w:eastAsia="宋体"/>
          <w:color w:val="auto"/>
          <w:sz w:val="21"/>
          <w:szCs w:val="22"/>
          <w:highlight w:val="none"/>
          <w:u w:val="single"/>
        </w:rPr>
        <w:t xml:space="preserve"> 方式二 </w:t>
      </w:r>
      <w:r>
        <w:rPr>
          <w:rFonts w:hint="eastAsia" w:hAnsi="宋体" w:eastAsia="宋体"/>
          <w:color w:val="auto"/>
          <w:sz w:val="21"/>
          <w:szCs w:val="22"/>
          <w:highlight w:val="none"/>
        </w:rPr>
        <w:t xml:space="preserve">解决：</w:t>
      </w:r>
      <w:r>
        <w:rPr>
          <w:rFonts w:hint="eastAsia" w:hAnsi="宋体" w:eastAsia="宋体"/>
          <w:color w:val="auto"/>
          <w:sz w:val="21"/>
          <w:szCs w:val="22"/>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int="eastAsia" w:hAnsi="宋体" w:eastAsia="宋体"/>
          <w:color w:val="auto"/>
          <w:sz w:val="21"/>
          <w:szCs w:val="22"/>
          <w:highlight w:val="none"/>
        </w:rPr>
        <w:t xml:space="preserve">方式一：双方达成仲裁协议，向约定的仲裁委员会申请仲裁，本合同约定的仲裁委员会是 </w:t>
      </w:r>
      <w:r>
        <w:rPr>
          <w:rFonts w:hint="eastAsia" w:hAnsi="宋体" w:eastAsia="宋体"/>
          <w:color w:val="auto"/>
          <w:sz w:val="21"/>
          <w:szCs w:val="22"/>
          <w:highlight w:val="none"/>
          <w:u w:val="single"/>
        </w:rPr>
        <w:t xml:space="preserve">                 </w:t>
      </w:r>
      <w:r>
        <w:rPr>
          <w:rFonts w:hint="eastAsia" w:hAnsi="宋体" w:eastAsia="宋体"/>
          <w:color w:val="auto"/>
          <w:sz w:val="21"/>
          <w:szCs w:val="22"/>
          <w:highlight w:val="none"/>
        </w:rPr>
        <w:t xml:space="preserve">；</w:t>
      </w:r>
      <w:r>
        <w:rPr>
          <w:rFonts w:hint="eastAsia" w:hAnsi="宋体" w:eastAsia="宋体"/>
          <w:color w:val="auto"/>
          <w:sz w:val="21"/>
          <w:szCs w:val="22"/>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int="eastAsia" w:hAnsi="宋体" w:eastAsia="宋体"/>
          <w:color w:val="auto"/>
          <w:sz w:val="21"/>
          <w:szCs w:val="22"/>
          <w:highlight w:val="none"/>
        </w:rPr>
        <w:t xml:space="preserve">方式二：向甲方所在地有管辖权的人民法院起诉。</w:t>
      </w:r>
      <w:r>
        <w:rPr>
          <w:rFonts w:hint="eastAsia" w:hAnsi="宋体" w:eastAsia="宋体"/>
          <w:color w:val="auto"/>
          <w:sz w:val="21"/>
          <w:szCs w:val="22"/>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int="eastAsia" w:hAnsi="宋体" w:eastAsia="宋体"/>
          <w:color w:val="auto"/>
          <w:sz w:val="21"/>
          <w:szCs w:val="22"/>
          <w:highlight w:val="none"/>
        </w:rPr>
        <w:t xml:space="preserve">十、合同份数：</w:t>
      </w:r>
      <w:r>
        <w:rPr>
          <w:rFonts w:hint="eastAsia" w:hAnsi="宋体" w:eastAsia="宋体"/>
          <w:color w:val="auto"/>
          <w:sz w:val="21"/>
          <w:szCs w:val="22"/>
          <w:highlight w:val="none"/>
        </w:rPr>
      </w:r>
      <w:r>
        <w:rPr>
          <w:color w:val="auto"/>
        </w:rPr>
      </w:r>
    </w:p>
    <w:p>
      <w:pPr>
        <w:pStyle w:val="734"/>
        <w:ind w:firstLine="420"/>
        <w:spacing w:line="360" w:lineRule="auto"/>
        <w:rPr>
          <w:rFonts w:hint="eastAsia" w:hAnsi="宋体" w:eastAsia="宋体"/>
          <w:color w:val="auto"/>
          <w:sz w:val="21"/>
          <w:szCs w:val="22"/>
          <w:highlight w:val="none"/>
        </w:rPr>
      </w:pPr>
      <w:r>
        <w:rPr>
          <w:rFonts w:hint="eastAsia" w:hAnsi="宋体" w:eastAsia="宋体"/>
          <w:color w:val="auto"/>
          <w:sz w:val="21"/>
          <w:szCs w:val="22"/>
          <w:highlight w:val="none"/>
        </w:rPr>
        <w:t xml:space="preserve">合同份数：本合同一式肆份，甲乙双方各执壹份，招标机构壹份，政府采购管理部门壹份。</w:t>
      </w:r>
      <w:r>
        <w:rPr>
          <w:rFonts w:hint="eastAsia" w:hAnsi="宋体" w:eastAsia="宋体"/>
          <w:color w:val="auto"/>
          <w:sz w:val="21"/>
          <w:szCs w:val="22"/>
          <w:highlight w:val="none"/>
        </w:rPr>
      </w:r>
      <w:r>
        <w:rPr>
          <w:color w:val="auto"/>
        </w:rPr>
      </w:r>
    </w:p>
    <w:p>
      <w:pPr>
        <w:pStyle w:val="702"/>
        <w:ind w:firstLine="482"/>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p>
      <w:pPr>
        <w:pStyle w:val="702"/>
        <w:ind w:firstLine="48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r>
      <w:r>
        <w:rPr>
          <w:color w:val="auto"/>
        </w:rP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4259"/>
        <w:gridCol w:w="4261"/>
      </w:tblGrid>
      <w:tr>
        <w:trPr/>
        <w:tc>
          <w:tcPr>
            <w:tcBorders>
              <w:top w:val="none" w:color="000000" w:sz="4" w:space="0"/>
              <w:left w:val="none" w:color="000000" w:sz="4" w:space="0"/>
              <w:bottom w:val="none" w:color="000000" w:sz="4" w:space="0"/>
              <w:right w:val="none" w:color="000000" w:sz="4" w:space="0"/>
            </w:tcBorders>
            <w:tcW w:w="2499" w:type="dxa"/>
            <w:vAlign w:val="center"/>
            <w:textDirection w:val="lrTb"/>
            <w:noWrap w:val="false"/>
          </w:tcPr>
          <w:p>
            <w:pPr>
              <w:pStyle w:val="702"/>
              <w:spacing w:line="60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甲方（盖章）：</w:t>
            </w:r>
            <w:r>
              <w:rPr>
                <w:rFonts w:hint="eastAsia" w:ascii="宋体" w:hAnsi="宋体" w:cs="宋体"/>
                <w:color w:val="auto"/>
                <w:szCs w:val="21"/>
                <w:highlight w:val="none"/>
              </w:rPr>
            </w:r>
            <w:r>
              <w:rPr>
                <w:color w:val="auto"/>
              </w:rP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702"/>
              <w:spacing w:line="60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乙方（盖章）：</w:t>
            </w:r>
            <w:r>
              <w:rPr>
                <w:rFonts w:hint="eastAsia" w:ascii="宋体" w:hAnsi="宋体" w:cs="宋体"/>
                <w:color w:val="auto"/>
                <w:szCs w:val="21"/>
                <w:highlight w:val="none"/>
              </w:rPr>
            </w:r>
            <w:r>
              <w:rPr>
                <w:color w:val="auto"/>
              </w:rPr>
            </w:r>
          </w:p>
        </w:tc>
      </w:tr>
      <w:tr>
        <w:trPr/>
        <w:tc>
          <w:tcPr>
            <w:tcBorders>
              <w:top w:val="none" w:color="000000" w:sz="4" w:space="0"/>
              <w:left w:val="none" w:color="000000" w:sz="4" w:space="0"/>
              <w:bottom w:val="none" w:color="000000" w:sz="4" w:space="0"/>
              <w:right w:val="none" w:color="000000" w:sz="4" w:space="0"/>
            </w:tcBorders>
            <w:tcW w:w="2499" w:type="dxa"/>
            <w:vAlign w:val="center"/>
            <w:textDirection w:val="lrTb"/>
            <w:noWrap w:val="false"/>
          </w:tcPr>
          <w:p>
            <w:pPr>
              <w:pStyle w:val="702"/>
              <w:spacing w:line="60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法定（授权）代表人（签字）：</w:t>
            </w:r>
            <w:r>
              <w:rPr>
                <w:rFonts w:hint="eastAsia" w:ascii="宋体" w:hAnsi="宋体" w:cs="宋体"/>
                <w:color w:val="auto"/>
                <w:szCs w:val="21"/>
                <w:highlight w:val="none"/>
              </w:rPr>
            </w:r>
            <w:r>
              <w:rPr>
                <w:color w:val="auto"/>
              </w:rP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702"/>
              <w:spacing w:line="60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法定（授权）代表人（签字）：</w:t>
            </w:r>
            <w:r>
              <w:rPr>
                <w:rFonts w:hint="eastAsia" w:ascii="宋体" w:hAnsi="宋体" w:cs="宋体"/>
                <w:color w:val="auto"/>
                <w:szCs w:val="21"/>
                <w:highlight w:val="none"/>
              </w:rPr>
            </w:r>
            <w:r>
              <w:rPr>
                <w:color w:val="auto"/>
              </w:rPr>
            </w:r>
          </w:p>
        </w:tc>
      </w:tr>
      <w:tr>
        <w:trPr/>
        <w:tc>
          <w:tcPr>
            <w:tcBorders>
              <w:top w:val="none" w:color="000000" w:sz="4" w:space="0"/>
              <w:left w:val="none" w:color="000000" w:sz="4" w:space="0"/>
              <w:bottom w:val="none" w:color="000000" w:sz="4" w:space="0"/>
              <w:right w:val="none" w:color="000000" w:sz="4" w:space="0"/>
            </w:tcBorders>
            <w:tcW w:w="2499" w:type="dxa"/>
            <w:vAlign w:val="center"/>
            <w:textDirection w:val="lrTb"/>
            <w:noWrap w:val="false"/>
          </w:tcPr>
          <w:p>
            <w:pPr>
              <w:pStyle w:val="702"/>
              <w:spacing w:line="60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rPr>
            </w:r>
            <w:r>
              <w:rPr>
                <w:color w:val="auto"/>
              </w:rP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702"/>
              <w:spacing w:line="60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rPr>
            </w:r>
            <w:r>
              <w:rPr>
                <w:color w:val="auto"/>
              </w:rPr>
            </w:r>
          </w:p>
        </w:tc>
      </w:tr>
    </w:tbl>
    <w:p>
      <w:pPr>
        <w:pStyle w:val="702"/>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p>
      <w:pPr>
        <w:pStyle w:val="908"/>
        <w:ind w:firstLine="0"/>
        <w:jc w:val="center"/>
        <w:spacing w:line="360" w:lineRule="auto"/>
        <w:rPr>
          <w:rFonts w:hint="eastAsia" w:ascii="宋体" w:hAnsi="宋体" w:eastAsia="宋体"/>
          <w:color w:val="auto"/>
          <w:sz w:val="36"/>
          <w:szCs w:val="36"/>
          <w:highlight w:val="none"/>
        </w:rPr>
      </w:pPr>
      <w:r>
        <w:rPr>
          <w:color w:val="auto"/>
          <w:szCs w:val="24"/>
          <w:highlight w:val="none"/>
        </w:rPr>
        <w:br w:type="page" w:clear="all"/>
      </w:r>
      <w:bookmarkStart w:id="83" w:name="_Toc19637"/>
      <w:r>
        <w:rPr>
          <w:color w:val="auto"/>
        </w:rPr>
      </w:r>
      <w:bookmarkStart w:id="84" w:name="_Toc950"/>
      <w:r>
        <w:rPr>
          <w:color w:val="auto"/>
        </w:rPr>
      </w:r>
      <w:bookmarkStart w:id="85" w:name="_Toc9753"/>
      <w:r>
        <w:rPr>
          <w:color w:val="auto"/>
        </w:rPr>
      </w:r>
      <w:bookmarkStart w:id="86" w:name="_Toc25013"/>
      <w:r>
        <w:rPr>
          <w:color w:val="auto"/>
        </w:rPr>
      </w:r>
      <w:bookmarkStart w:id="87" w:name="_Toc7550"/>
      <w:r>
        <w:rPr>
          <w:color w:val="auto"/>
        </w:rPr>
      </w:r>
      <w:bookmarkStart w:id="88" w:name="_Toc19851"/>
      <w:r>
        <w:rPr>
          <w:color w:val="auto"/>
        </w:rPr>
      </w:r>
      <w:bookmarkStart w:id="89" w:name="_Toc9150"/>
      <w:r>
        <w:rPr>
          <w:color w:val="auto"/>
        </w:rPr>
      </w:r>
      <w:bookmarkStart w:id="90" w:name="_Toc16153"/>
      <w:r>
        <w:rPr>
          <w:color w:val="auto"/>
        </w:rPr>
      </w:r>
      <w:bookmarkStart w:id="91" w:name="_Toc14476"/>
      <w:r>
        <w:rPr>
          <w:color w:val="auto"/>
        </w:rPr>
      </w:r>
      <w:bookmarkStart w:id="92" w:name="_Toc6346"/>
      <w:r>
        <w:rPr>
          <w:color w:val="auto"/>
        </w:rPr>
      </w:r>
      <w:bookmarkStart w:id="93" w:name="_Toc31351"/>
      <w:r>
        <w:rPr>
          <w:rFonts w:hint="eastAsia" w:ascii="宋体" w:hAnsi="宋体" w:eastAsia="宋体"/>
          <w:color w:val="auto"/>
          <w:sz w:val="36"/>
          <w:szCs w:val="36"/>
          <w:highlight w:val="none"/>
        </w:rPr>
        <w:t xml:space="preserve">第六章  评分办法及评分标准</w:t>
      </w:r>
      <w:bookmarkEnd w:id="3"/>
      <w:r>
        <w:rPr>
          <w:color w:val="auto"/>
        </w:rPr>
      </w:r>
      <w:bookmarkEnd w:id="83"/>
      <w:r>
        <w:rPr>
          <w:color w:val="auto"/>
        </w:rPr>
      </w:r>
      <w:bookmarkEnd w:id="84"/>
      <w:r>
        <w:rPr>
          <w:color w:val="auto"/>
        </w:rPr>
      </w:r>
      <w:bookmarkEnd w:id="85"/>
      <w:r>
        <w:rPr>
          <w:color w:val="auto"/>
        </w:rPr>
      </w:r>
      <w:bookmarkEnd w:id="86"/>
      <w:r>
        <w:rPr>
          <w:color w:val="auto"/>
        </w:rPr>
      </w:r>
      <w:bookmarkEnd w:id="87"/>
      <w:r>
        <w:rPr>
          <w:color w:val="auto"/>
        </w:rPr>
      </w:r>
      <w:bookmarkEnd w:id="88"/>
      <w:r>
        <w:rPr>
          <w:color w:val="auto"/>
        </w:rPr>
      </w:r>
      <w:bookmarkEnd w:id="89"/>
      <w:r>
        <w:rPr>
          <w:color w:val="auto"/>
        </w:rPr>
      </w:r>
      <w:bookmarkEnd w:id="90"/>
      <w:r>
        <w:rPr>
          <w:color w:val="auto"/>
        </w:rPr>
      </w:r>
      <w:bookmarkEnd w:id="91"/>
      <w:r>
        <w:rPr>
          <w:color w:val="auto"/>
        </w:rPr>
      </w:r>
      <w:bookmarkEnd w:id="92"/>
      <w:r>
        <w:rPr>
          <w:color w:val="auto"/>
        </w:rPr>
      </w:r>
      <w:bookmarkEnd w:id="93"/>
      <w:r>
        <w:rPr>
          <w:rFonts w:hint="eastAsia" w:ascii="宋体" w:hAnsi="宋体" w:eastAsia="宋体"/>
          <w:color w:val="auto"/>
          <w:sz w:val="36"/>
          <w:szCs w:val="36"/>
          <w:highlight w:val="none"/>
        </w:rPr>
      </w:r>
      <w:r>
        <w:rPr>
          <w:color w:val="auto"/>
        </w:rPr>
      </w:r>
    </w:p>
    <w:p>
      <w:pPr>
        <w:pStyle w:val="702"/>
        <w:ind w:right="-2" w:firstLine="480"/>
        <w:jc w:val="left"/>
        <w:spacing w:line="360" w:lineRule="auto"/>
        <w:tabs>
          <w:tab w:val="left" w:pos="96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一、评标办法：</w:t>
      </w:r>
      <w:r>
        <w:rPr>
          <w:rFonts w:hint="eastAsia" w:ascii="宋体" w:hAnsi="宋体" w:cs="宋体"/>
          <w:b/>
          <w:bCs/>
          <w:color w:val="auto"/>
          <w:szCs w:val="21"/>
          <w:highlight w:val="none"/>
        </w:rPr>
      </w:r>
      <w:r>
        <w:rPr>
          <w:color w:val="auto"/>
        </w:rPr>
      </w:r>
    </w:p>
    <w:p>
      <w:pPr>
        <w:pStyle w:val="702"/>
        <w:ind w:right="-2" w:firstLine="480"/>
        <w:jc w:val="left"/>
        <w:spacing w:line="360" w:lineRule="auto"/>
        <w:tabs>
          <w:tab w:val="left" w:pos="9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1、评价和比较采用综合评分法，即指投标文件满足招标文件全部实质性要求，且按照评审因素的量化指标评审得分最高的投标人为中标候选人的评标方法。</w:t>
      </w:r>
      <w:r>
        <w:rPr>
          <w:rFonts w:hint="eastAsia" w:ascii="宋体" w:hAnsi="宋体" w:cs="宋体"/>
          <w:color w:val="auto"/>
          <w:szCs w:val="21"/>
          <w:highlight w:val="none"/>
        </w:rPr>
      </w:r>
      <w:r>
        <w:rPr>
          <w:color w:val="auto"/>
        </w:rPr>
      </w:r>
    </w:p>
    <w:p>
      <w:pPr>
        <w:pStyle w:val="702"/>
        <w:ind w:right="-2" w:firstLine="480"/>
        <w:jc w:val="left"/>
        <w:spacing w:line="360" w:lineRule="auto"/>
        <w:tabs>
          <w:tab w:val="left" w:pos="9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2、评标委员会各成员独立对每个进入打分程序的有效投标人的标书技术和资质部分以打分的形式进行评审和评价。</w:t>
      </w:r>
      <w:r>
        <w:rPr>
          <w:rFonts w:hint="eastAsia" w:ascii="宋体" w:hAnsi="宋体" w:cs="宋体"/>
          <w:color w:val="auto"/>
          <w:szCs w:val="21"/>
          <w:highlight w:val="none"/>
        </w:rPr>
      </w:r>
      <w:r>
        <w:rPr>
          <w:color w:val="auto"/>
        </w:rPr>
      </w:r>
    </w:p>
    <w:p>
      <w:pPr>
        <w:pStyle w:val="702"/>
        <w:ind w:right="-2" w:firstLine="480"/>
        <w:jc w:val="left"/>
        <w:spacing w:line="360" w:lineRule="auto"/>
        <w:tabs>
          <w:tab w:val="left" w:pos="9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对评委的评分(除价格分外)进行统计汇总，直接算术平均，计算出每个投标人的得分，加上价格得分即为每个投标人的综合得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color w:val="auto"/>
          <w:szCs w:val="21"/>
          <w:highlight w:val="none"/>
        </w:rPr>
      </w:r>
      <w:r>
        <w:rPr>
          <w:color w:val="auto"/>
        </w:rPr>
      </w:r>
    </w:p>
    <w:p>
      <w:pPr>
        <w:pStyle w:val="702"/>
        <w:ind w:right="-2" w:firstLine="480"/>
        <w:jc w:val="left"/>
        <w:spacing w:line="360" w:lineRule="auto"/>
        <w:tabs>
          <w:tab w:val="left" w:pos="9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4、如出现评审得分最高的投标人有两个或两个以上的，以投标报价较低者优先作为该标段中标候选人，如果投标报价也相同的，则由公证机构组织以抽签方式确定中标候选人。</w:t>
      </w:r>
      <w:r>
        <w:rPr>
          <w:rFonts w:hint="eastAsia" w:ascii="宋体" w:hAnsi="宋体" w:cs="宋体"/>
          <w:color w:val="auto"/>
          <w:szCs w:val="21"/>
          <w:highlight w:val="none"/>
        </w:rPr>
      </w:r>
      <w:r>
        <w:rPr>
          <w:color w:val="auto"/>
        </w:rPr>
      </w:r>
    </w:p>
    <w:p>
      <w:pPr>
        <w:pStyle w:val="702"/>
        <w:ind w:firstLine="420"/>
        <w:spacing w:line="360" w:lineRule="auto"/>
        <w:rPr>
          <w:color w:val="auto"/>
          <w:highlight w:val="none"/>
        </w:rPr>
      </w:pPr>
      <w:r>
        <w:rPr>
          <w:rFonts w:hint="eastAsia" w:ascii="宋体" w:hAnsi="宋体"/>
          <w:color w:val="auto"/>
          <w:highlight w:val="none"/>
        </w:rPr>
        <w:t xml:space="preserve">5、如投标人存在“苏财购〔</w:t>
      </w:r>
      <w:r>
        <w:rPr>
          <w:rFonts w:hint="eastAsia" w:ascii="宋体" w:hAnsi="宋体"/>
          <w:color w:val="auto"/>
          <w:sz w:val="22"/>
          <w:highlight w:val="none"/>
        </w:rPr>
        <w:t xml:space="preserve">2017</w:t>
      </w:r>
      <w:r>
        <w:rPr>
          <w:rFonts w:hint="eastAsia" w:ascii="宋体" w:hAnsi="宋体"/>
          <w:color w:val="auto"/>
          <w:highlight w:val="none"/>
        </w:rPr>
        <w:t xml:space="preserve">〕</w:t>
      </w:r>
      <w:r>
        <w:rPr>
          <w:rFonts w:hint="eastAsia" w:ascii="宋体" w:hAnsi="宋体"/>
          <w:color w:val="auto"/>
          <w:sz w:val="22"/>
          <w:highlight w:val="none"/>
        </w:rPr>
        <w:t xml:space="preserve">11</w:t>
      </w:r>
      <w:r>
        <w:rPr>
          <w:rFonts w:hint="eastAsia" w:ascii="宋体" w:hAnsi="宋体"/>
          <w:color w:val="auto"/>
          <w:highlight w:val="none"/>
        </w:rPr>
        <w:t xml:space="preserve">号”文件中所列的失信或不良行为，按照相关规定执行。关于较大数额罚款的认定按照《财政部关于</w:t>
      </w:r>
      <w:r>
        <w:rPr>
          <w:rFonts w:hint="eastAsia" w:ascii="宋体" w:hAnsi="宋体"/>
          <w:color w:val="auto"/>
          <w:sz w:val="22"/>
          <w:highlight w:val="none"/>
        </w:rPr>
        <w:t xml:space="preserve">&lt;</w:t>
      </w:r>
      <w:r>
        <w:rPr>
          <w:rFonts w:hint="eastAsia" w:ascii="宋体" w:hAnsi="宋体"/>
          <w:color w:val="auto"/>
          <w:highlight w:val="none"/>
        </w:rPr>
        <w:t xml:space="preserve">中华人民共和国政府采购法实施条例</w:t>
      </w:r>
      <w:r>
        <w:rPr>
          <w:rFonts w:hint="eastAsia" w:ascii="宋体" w:hAnsi="宋体"/>
          <w:color w:val="auto"/>
          <w:sz w:val="22"/>
          <w:highlight w:val="none"/>
        </w:rPr>
        <w:t xml:space="preserve">&gt;</w:t>
      </w:r>
      <w:r>
        <w:rPr>
          <w:rFonts w:hint="eastAsia" w:ascii="宋体" w:hAnsi="宋体"/>
          <w:color w:val="auto"/>
          <w:highlight w:val="none"/>
        </w:rPr>
        <w:t xml:space="preserve">第十九条第一款“较大数额罚款”具体适用问题的意见》（财库〔</w:t>
      </w:r>
      <w:r>
        <w:rPr>
          <w:rFonts w:hint="eastAsia" w:ascii="宋体" w:hAnsi="宋体"/>
          <w:color w:val="auto"/>
          <w:sz w:val="22"/>
          <w:highlight w:val="none"/>
        </w:rPr>
        <w:t xml:space="preserve">2022</w:t>
      </w:r>
      <w:r>
        <w:rPr>
          <w:rFonts w:hint="eastAsia" w:ascii="宋体" w:hAnsi="宋体"/>
          <w:color w:val="auto"/>
          <w:highlight w:val="none"/>
        </w:rPr>
        <w:t xml:space="preserve">〕</w:t>
      </w:r>
      <w:r>
        <w:rPr>
          <w:rFonts w:hint="eastAsia" w:ascii="宋体" w:hAnsi="宋体"/>
          <w:color w:val="auto"/>
          <w:sz w:val="22"/>
          <w:highlight w:val="none"/>
        </w:rPr>
        <w:t xml:space="preserve">3 </w:t>
      </w:r>
      <w:r>
        <w:rPr>
          <w:rFonts w:hint="eastAsia" w:ascii="宋体" w:hAnsi="宋体"/>
          <w:color w:val="auto"/>
          <w:highlight w:val="none"/>
        </w:rPr>
        <w:t xml:space="preserve">号）文件执行。</w:t>
      </w:r>
      <w:r>
        <w:rPr>
          <w:color w:val="auto"/>
          <w:highlight w:val="none"/>
        </w:rPr>
      </w:r>
      <w:r>
        <w:rPr>
          <w:color w:val="auto"/>
        </w:rPr>
      </w:r>
    </w:p>
    <w:p>
      <w:pPr>
        <w:pStyle w:val="702"/>
        <w:ind w:firstLine="420"/>
        <w:spacing w:line="360" w:lineRule="auto"/>
        <w:rPr>
          <w:color w:val="auto"/>
          <w:highlight w:val="none"/>
        </w:rPr>
      </w:pPr>
      <w:r>
        <w:rPr>
          <w:rFonts w:hint="eastAsia" w:ascii="宋体" w:hAnsi="宋体"/>
          <w:color w:val="auto"/>
          <w:highlight w:val="none"/>
        </w:rPr>
        <w:t xml:space="preserve">6、针对中小型企业、残疾人福利企业和监狱企业的评审：</w:t>
      </w:r>
      <w:r>
        <w:rPr>
          <w:color w:val="auto"/>
          <w:highlight w:val="none"/>
        </w:rPr>
      </w:r>
      <w:r>
        <w:rPr>
          <w:color w:val="auto"/>
        </w:rPr>
      </w:r>
    </w:p>
    <w:p>
      <w:pPr>
        <w:pStyle w:val="702"/>
        <w:ind w:firstLine="420"/>
        <w:spacing w:line="360" w:lineRule="auto"/>
        <w:rPr>
          <w:color w:val="auto"/>
          <w:highlight w:val="none"/>
        </w:rPr>
      </w:pPr>
      <w:r>
        <w:rPr>
          <w:rFonts w:hint="eastAsia" w:ascii="宋体" w:hAnsi="宋体"/>
          <w:color w:val="auto"/>
          <w:highlight w:val="none"/>
        </w:rPr>
        <w:t xml:space="preserve">根据《政府采购促进中小企业发展管理办法》（财库〔</w:t>
      </w:r>
      <w:r>
        <w:rPr>
          <w:rFonts w:hint="eastAsia" w:ascii="宋体" w:hAnsi="宋体"/>
          <w:color w:val="auto"/>
          <w:sz w:val="22"/>
          <w:highlight w:val="none"/>
        </w:rPr>
        <w:t xml:space="preserve">2020</w:t>
      </w:r>
      <w:r>
        <w:rPr>
          <w:rFonts w:hint="eastAsia" w:ascii="宋体" w:hAnsi="宋体"/>
          <w:color w:val="auto"/>
          <w:highlight w:val="none"/>
        </w:rPr>
        <w:t xml:space="preserve">〕</w:t>
      </w:r>
      <w:r>
        <w:rPr>
          <w:rFonts w:hint="eastAsia" w:ascii="宋体" w:hAnsi="宋体"/>
          <w:color w:val="auto"/>
          <w:sz w:val="22"/>
          <w:highlight w:val="none"/>
        </w:rPr>
        <w:t xml:space="preserve">46</w:t>
      </w:r>
      <w:r>
        <w:rPr>
          <w:rFonts w:hint="eastAsia" w:ascii="宋体" w:hAnsi="宋体"/>
          <w:color w:val="auto"/>
          <w:highlight w:val="none"/>
        </w:rPr>
        <w:t xml:space="preserve">号）、《关于促进残疾人就业政府采购政策的通知》（财库〔</w:t>
      </w:r>
      <w:r>
        <w:rPr>
          <w:rFonts w:hint="eastAsia" w:ascii="宋体" w:hAnsi="宋体"/>
          <w:color w:val="auto"/>
          <w:sz w:val="22"/>
          <w:highlight w:val="none"/>
        </w:rPr>
        <w:t xml:space="preserve">2017</w:t>
      </w:r>
      <w:r>
        <w:rPr>
          <w:rFonts w:hint="eastAsia" w:ascii="宋体" w:hAnsi="宋体"/>
          <w:color w:val="auto"/>
          <w:highlight w:val="none"/>
        </w:rPr>
        <w:t xml:space="preserve">〕</w:t>
      </w:r>
      <w:r>
        <w:rPr>
          <w:rFonts w:hint="eastAsia" w:ascii="宋体" w:hAnsi="宋体"/>
          <w:color w:val="auto"/>
          <w:sz w:val="22"/>
          <w:highlight w:val="none"/>
        </w:rPr>
        <w:t xml:space="preserve">141</w:t>
      </w:r>
      <w:r>
        <w:rPr>
          <w:rFonts w:hint="eastAsia" w:ascii="宋体" w:hAnsi="宋体"/>
          <w:color w:val="auto"/>
          <w:highlight w:val="none"/>
        </w:rPr>
        <w:t xml:space="preserve">号）、《关于政府采购支持监狱企业发展有关问题的通知》（财库〔</w:t>
      </w:r>
      <w:r>
        <w:rPr>
          <w:rFonts w:hint="eastAsia" w:ascii="宋体" w:hAnsi="宋体"/>
          <w:color w:val="auto"/>
          <w:sz w:val="22"/>
          <w:highlight w:val="none"/>
        </w:rPr>
        <w:t xml:space="preserve">2014</w:t>
      </w:r>
      <w:r>
        <w:rPr>
          <w:rFonts w:hint="eastAsia" w:ascii="宋体" w:hAnsi="宋体"/>
          <w:color w:val="auto"/>
          <w:highlight w:val="none"/>
        </w:rPr>
        <w:t xml:space="preserve">〕</w:t>
      </w:r>
      <w:r>
        <w:rPr>
          <w:rFonts w:hint="eastAsia" w:ascii="宋体" w:hAnsi="宋体"/>
          <w:color w:val="auto"/>
          <w:sz w:val="22"/>
          <w:highlight w:val="none"/>
        </w:rPr>
        <w:t xml:space="preserve">68</w:t>
      </w:r>
      <w:r>
        <w:rPr>
          <w:rFonts w:hint="eastAsia" w:ascii="宋体" w:hAnsi="宋体"/>
          <w:color w:val="auto"/>
          <w:highlight w:val="none"/>
        </w:rPr>
        <w:t xml:space="preserve">号）和《关于做好政府采购支持企业发展有关事项的通知》（苏财购〔</w:t>
      </w:r>
      <w:r>
        <w:rPr>
          <w:rFonts w:hint="eastAsia" w:ascii="宋体" w:hAnsi="宋体"/>
          <w:color w:val="auto"/>
          <w:sz w:val="22"/>
          <w:highlight w:val="none"/>
        </w:rPr>
        <w:t xml:space="preserve">2020</w:t>
      </w:r>
      <w:r>
        <w:rPr>
          <w:rFonts w:hint="eastAsia" w:ascii="宋体" w:hAnsi="宋体"/>
          <w:color w:val="auto"/>
          <w:highlight w:val="none"/>
        </w:rPr>
        <w:t xml:space="preserve">〕</w:t>
      </w:r>
      <w:r>
        <w:rPr>
          <w:rFonts w:hint="eastAsia" w:ascii="宋体" w:hAnsi="宋体"/>
          <w:color w:val="auto"/>
          <w:sz w:val="22"/>
          <w:highlight w:val="none"/>
        </w:rPr>
        <w:t xml:space="preserve">52</w:t>
      </w:r>
      <w:r>
        <w:rPr>
          <w:rFonts w:hint="eastAsia" w:ascii="宋体" w:hAnsi="宋体"/>
          <w:color w:val="auto"/>
          <w:highlight w:val="none"/>
        </w:rPr>
        <w:t xml:space="preserve">号）及《关于印发</w:t>
      </w:r>
      <w:r>
        <w:rPr>
          <w:rFonts w:hint="eastAsia" w:ascii="宋体" w:hAnsi="宋体"/>
          <w:color w:val="auto"/>
          <w:sz w:val="22"/>
          <w:highlight w:val="none"/>
        </w:rPr>
        <w:t xml:space="preserve">&lt;</w:t>
      </w:r>
      <w:r>
        <w:rPr>
          <w:rFonts w:hint="eastAsia" w:ascii="宋体" w:hAnsi="宋体"/>
          <w:color w:val="auto"/>
          <w:highlight w:val="none"/>
        </w:rPr>
        <w:t xml:space="preserve">苏州市政府采购促进中小企业发展实施意见</w:t>
      </w:r>
      <w:r>
        <w:rPr>
          <w:rFonts w:hint="eastAsia" w:ascii="宋体" w:hAnsi="宋体"/>
          <w:color w:val="auto"/>
          <w:sz w:val="22"/>
          <w:highlight w:val="none"/>
        </w:rPr>
        <w:t xml:space="preserve">&gt;</w:t>
      </w:r>
      <w:r>
        <w:rPr>
          <w:rFonts w:hint="eastAsia" w:ascii="宋体" w:hAnsi="宋体"/>
          <w:color w:val="auto"/>
          <w:highlight w:val="none"/>
        </w:rPr>
        <w:t xml:space="preserve">的通知》（苏财购〔</w:t>
      </w:r>
      <w:r>
        <w:rPr>
          <w:rFonts w:hint="eastAsia" w:ascii="宋体" w:hAnsi="宋体"/>
          <w:color w:val="auto"/>
          <w:sz w:val="22"/>
          <w:highlight w:val="none"/>
        </w:rPr>
        <w:t xml:space="preserve">2022</w:t>
      </w:r>
      <w:r>
        <w:rPr>
          <w:rFonts w:hint="eastAsia" w:ascii="宋体" w:hAnsi="宋体"/>
          <w:color w:val="auto"/>
          <w:highlight w:val="none"/>
        </w:rPr>
        <w:t xml:space="preserve">〕</w:t>
      </w:r>
      <w:r>
        <w:rPr>
          <w:rFonts w:hint="eastAsia" w:ascii="宋体" w:hAnsi="宋体"/>
          <w:color w:val="auto"/>
          <w:sz w:val="22"/>
          <w:highlight w:val="none"/>
        </w:rPr>
        <w:t xml:space="preserve">16</w:t>
      </w:r>
      <w:r>
        <w:rPr>
          <w:rFonts w:hint="eastAsia" w:ascii="宋体" w:hAnsi="宋体"/>
          <w:color w:val="auto"/>
          <w:highlight w:val="none"/>
        </w:rPr>
        <w:t xml:space="preserve">号）的有关规定，对于符合上述文件规定情形的小微企业、残疾人福利性单位及监狱企业报价给予</w:t>
      </w:r>
      <w:r>
        <w:rPr>
          <w:rFonts w:hint="eastAsia" w:ascii="宋体" w:hAnsi="宋体"/>
          <w:b/>
          <w:color w:val="auto"/>
          <w:sz w:val="22"/>
          <w:highlight w:val="none"/>
        </w:rPr>
        <w:t xml:space="preserve">20%</w:t>
      </w:r>
      <w:r>
        <w:rPr>
          <w:rFonts w:hint="eastAsia" w:ascii="宋体" w:hAnsi="宋体"/>
          <w:color w:val="auto"/>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color w:val="auto"/>
          <w:sz w:val="22"/>
          <w:highlight w:val="none"/>
        </w:rPr>
        <w:t xml:space="preserve">服务类项目中供应商若使用退休人员，将不享受中小企业扶持政策。</w:t>
      </w:r>
      <w:r>
        <w:rPr>
          <w:color w:val="auto"/>
          <w:highlight w:val="none"/>
        </w:rPr>
      </w:r>
      <w:r>
        <w:rPr>
          <w:color w:val="auto"/>
        </w:rPr>
      </w:r>
    </w:p>
    <w:p>
      <w:pPr>
        <w:pStyle w:val="702"/>
        <w:ind w:firstLine="420"/>
        <w:spacing w:line="360" w:lineRule="auto"/>
        <w:rPr>
          <w:rFonts w:hint="eastAsia" w:ascii="宋体" w:hAnsi="宋体"/>
          <w:color w:val="auto"/>
          <w:highlight w:val="none"/>
        </w:rPr>
      </w:pPr>
      <w:r>
        <w:rPr>
          <w:rFonts w:hint="eastAsia" w:ascii="宋体" w:hAnsi="宋体"/>
          <w:color w:val="auto"/>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int="eastAsia" w:ascii="宋体" w:hAnsi="宋体"/>
          <w:color w:val="auto"/>
          <w:highlight w:val="none"/>
        </w:rPr>
      </w:r>
      <w:r>
        <w:rPr>
          <w:color w:val="auto"/>
        </w:rPr>
      </w:r>
    </w:p>
    <w:p>
      <w:pPr>
        <w:pStyle w:val="702"/>
        <w:ind w:firstLine="420"/>
        <w:spacing w:line="360" w:lineRule="auto"/>
        <w:rPr>
          <w:rFonts w:hint="eastAsia" w:ascii="宋体" w:hAnsi="宋体"/>
          <w:color w:val="auto"/>
          <w:highlight w:val="none"/>
        </w:rPr>
      </w:pPr>
      <w:r>
        <w:rPr>
          <w:rFonts w:hint="eastAsia" w:ascii="宋体" w:hAnsi="宋体"/>
          <w:color w:val="auto"/>
          <w:highlight w:val="none"/>
        </w:rPr>
        <w:t xml:space="preserve">注：</w:t>
      </w:r>
      <w:r>
        <w:rPr>
          <w:rFonts w:hint="eastAsia" w:ascii="宋体" w:hAnsi="宋体"/>
          <w:color w:val="auto"/>
          <w:highlight w:val="none"/>
        </w:rPr>
      </w:r>
      <w:r>
        <w:rPr>
          <w:color w:val="auto"/>
        </w:rPr>
      </w:r>
    </w:p>
    <w:p>
      <w:pPr>
        <w:pStyle w:val="702"/>
        <w:ind w:firstLine="420"/>
        <w:spacing w:line="360" w:lineRule="auto"/>
        <w:rPr>
          <w:rFonts w:hint="eastAsia" w:ascii="宋体" w:hAnsi="宋体"/>
          <w:color w:val="auto"/>
          <w:highlight w:val="none"/>
        </w:rPr>
      </w:pPr>
      <w:r>
        <w:rPr>
          <w:rFonts w:hint="eastAsia" w:ascii="宋体" w:hAnsi="宋体"/>
          <w:color w:val="auto"/>
          <w:highlight w:val="none"/>
        </w:rPr>
        <w:t xml:space="preserve">①填报“中小企业声明函”需严格按“工信部联企业〔2011〕300号通知中的《中小企业划型标准规定》进行。</w:t>
      </w:r>
      <w:r>
        <w:rPr>
          <w:rFonts w:hint="eastAsia" w:ascii="宋体" w:hAnsi="宋体"/>
          <w:color w:val="auto"/>
          <w:highlight w:val="none"/>
        </w:rPr>
      </w:r>
      <w:r>
        <w:rPr>
          <w:color w:val="auto"/>
        </w:rPr>
      </w:r>
    </w:p>
    <w:p>
      <w:pPr>
        <w:pStyle w:val="702"/>
        <w:ind w:firstLine="420"/>
        <w:spacing w:line="360" w:lineRule="auto"/>
        <w:rPr>
          <w:rFonts w:hint="eastAsia" w:ascii="宋体" w:hAnsi="宋体"/>
          <w:color w:val="auto"/>
          <w:highlight w:val="none"/>
        </w:rPr>
      </w:pPr>
      <w:r>
        <w:rPr>
          <w:rFonts w:hint="eastAsia" w:ascii="宋体" w:hAnsi="宋体"/>
          <w:color w:val="auto"/>
          <w:highlight w:val="none"/>
        </w:rPr>
        <w:t xml:space="preserve">②若供应商提供的声明函或认定证明为虚假材料，按“政府采购法”相关规定处理并报请政府监管部门给予行政处罚。</w:t>
      </w:r>
      <w:r>
        <w:rPr>
          <w:rFonts w:hint="eastAsia" w:ascii="宋体" w:hAnsi="宋体"/>
          <w:color w:val="auto"/>
          <w:highlight w:val="none"/>
        </w:rPr>
      </w:r>
      <w:r>
        <w:rPr>
          <w:color w:val="auto"/>
        </w:rPr>
      </w:r>
    </w:p>
    <w:p>
      <w:pPr>
        <w:pStyle w:val="702"/>
        <w:ind w:firstLine="422"/>
        <w:jc w:val="left"/>
        <w:spacing w:line="360" w:lineRule="auto"/>
        <w:tabs>
          <w:tab w:val="left" w:pos="96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二、评分标准：</w:t>
      </w:r>
      <w:r>
        <w:rPr>
          <w:rFonts w:hint="eastAsia" w:ascii="宋体" w:hAnsi="宋体" w:cs="宋体"/>
          <w:b/>
          <w:bCs/>
          <w:color w:val="auto"/>
          <w:szCs w:val="21"/>
          <w:highlight w:val="none"/>
        </w:rPr>
      </w:r>
      <w:r>
        <w:rPr>
          <w:color w:val="auto"/>
        </w:rPr>
      </w:r>
    </w:p>
    <w:p>
      <w:pPr>
        <w:pStyle w:val="702"/>
        <w:ind w:firstLine="422"/>
        <w:jc w:val="left"/>
        <w:spacing w:line="360" w:lineRule="auto"/>
        <w:tabs>
          <w:tab w:val="left" w:pos="96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（一）价格分（10分）</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color w:val="auto"/>
        </w:rPr>
      </w:r>
      <w:bookmarkStart w:id="94" w:name="_Toc31528"/>
      <w:r>
        <w:rPr>
          <w:rFonts w:hint="eastAsia" w:ascii="宋体" w:hAnsi="宋体" w:cs="宋体"/>
          <w:color w:val="auto"/>
          <w:szCs w:val="21"/>
          <w:highlight w:val="none"/>
        </w:rPr>
        <w:t xml:space="preserve">第一步：投标报价低于或等于财政预算价格，为有效投标报价，否则投标报价文件均为非实质性响应文件，不参与评审。</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第二步：在所有有效投标报价中满足招标文件要求，且投标价格最低的投标报价为评标基准价，其价格分为10分，其他投标人的价格分按照下列公式计算（计算结果四舍五入保留两位小数）</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投标报价得分＝（评标基准价/投标报价）×10%×100</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color w:val="auto"/>
          <w:szCs w:val="21"/>
          <w:highlight w:val="none"/>
        </w:rPr>
      </w:r>
      <w:r>
        <w:rPr>
          <w:color w:val="auto"/>
        </w:rPr>
      </w:r>
    </w:p>
    <w:p>
      <w:pPr>
        <w:pStyle w:val="702"/>
        <w:numPr>
          <w:ilvl w:val="0"/>
          <w:numId w:val="6"/>
        </w:numPr>
        <w:ind w:firstLine="422"/>
        <w:spacing w:line="360" w:lineRule="auto"/>
        <w:rPr>
          <w:rFonts w:hint="eastAsia" w:ascii="宋体" w:hAnsi="宋体" w:cs="宋体"/>
          <w:b/>
          <w:bCs/>
          <w:color w:val="auto"/>
          <w:szCs w:val="21"/>
          <w:highlight w:val="none"/>
        </w:rPr>
        <w:outlineLvl w:val="0"/>
      </w:pPr>
      <w:r>
        <w:rPr>
          <w:color w:val="auto"/>
        </w:rPr>
      </w:r>
      <w:bookmarkStart w:id="95" w:name="_Toc22150"/>
      <w:r>
        <w:rPr>
          <w:color w:val="auto"/>
        </w:rPr>
      </w:r>
      <w:bookmarkStart w:id="96" w:name="_Toc13716_WPSOffice_Level1"/>
      <w:r>
        <w:rPr>
          <w:color w:val="auto"/>
        </w:rPr>
      </w:r>
      <w:bookmarkStart w:id="97" w:name="_Toc1671"/>
      <w:r>
        <w:rPr>
          <w:rFonts w:hint="eastAsia" w:ascii="宋体" w:hAnsi="宋体" w:cs="宋体"/>
          <w:b/>
          <w:bCs/>
          <w:color w:val="auto"/>
          <w:szCs w:val="21"/>
          <w:highlight w:val="none"/>
        </w:rPr>
        <w:t xml:space="preserve">技术方案（</w:t>
      </w:r>
      <w:r>
        <w:rPr>
          <w:rFonts w:hint="eastAsia" w:ascii="宋体" w:hAnsi="宋体" w:cs="宋体"/>
          <w:b/>
          <w:bCs/>
          <w:color w:val="auto"/>
          <w:szCs w:val="21"/>
          <w:highlight w:val="none"/>
          <w:lang w:val="en-US" w:eastAsia="zh-CN"/>
        </w:rPr>
        <w:t xml:space="preserve">59</w:t>
      </w:r>
      <w:r>
        <w:rPr>
          <w:rFonts w:hint="eastAsia" w:ascii="宋体" w:hAnsi="宋体" w:cs="宋体"/>
          <w:b/>
          <w:bCs/>
          <w:color w:val="auto"/>
          <w:szCs w:val="21"/>
          <w:highlight w:val="none"/>
        </w:rPr>
        <w:t xml:space="preserve">分）</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1、针对本项目实际的理解情况（</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针对本项目服务区域</w:t>
      </w:r>
      <w:r>
        <w:rPr>
          <w:rFonts w:hint="eastAsia" w:ascii="宋体" w:hAnsi="宋体" w:cs="宋体"/>
          <w:color w:val="auto"/>
          <w:szCs w:val="21"/>
          <w:highlight w:val="none"/>
          <w:lang w:val="en-US" w:eastAsia="zh-CN"/>
        </w:rPr>
        <w:t xml:space="preserve">实际</w:t>
      </w:r>
      <w:r>
        <w:rPr>
          <w:rFonts w:hint="eastAsia" w:ascii="宋体" w:hAnsi="宋体" w:cs="宋体"/>
          <w:color w:val="auto"/>
          <w:szCs w:val="21"/>
          <w:highlight w:val="none"/>
        </w:rPr>
        <w:t xml:space="preserve">情况及服务内容情况了解充分，针对性强得6分；了解一般，针对性一般得4分；了解欠缺，针对性较差的得2分</w:t>
      </w:r>
      <w:r>
        <w:rPr>
          <w:rFonts w:hint="eastAsia" w:ascii="宋体" w:hAnsi="宋体" w:cs="宋体"/>
          <w:color w:val="auto"/>
          <w:szCs w:val="21"/>
          <w:highlight w:val="none"/>
        </w:rPr>
        <w:t xml:space="preserve">；未作说明的不得分。</w:t>
      </w:r>
      <w:r>
        <w:rPr>
          <w:rFonts w:hint="eastAsia" w:ascii="宋体" w:hAnsi="宋体" w:cs="宋体"/>
          <w:color w:val="auto"/>
          <w:szCs w:val="21"/>
          <w:highlight w:val="none"/>
        </w:rPr>
      </w:r>
      <w:r>
        <w:rPr>
          <w:color w:val="auto"/>
        </w:rPr>
      </w:r>
    </w:p>
    <w:p>
      <w:pPr>
        <w:pStyle w:val="702"/>
        <w:ind w:firstLine="420"/>
        <w:spacing w:line="360" w:lineRule="auto"/>
        <w:rPr>
          <w:rFonts w:ascii="宋体" w:hAnsi="宋体" w:eastAsia="宋体" w:cs="宋体"/>
          <w:color w:val="auto"/>
          <w:szCs w:val="21"/>
          <w:highlight w:val="none"/>
        </w:rPr>
        <w:outlineLvl w:val="0"/>
      </w:pPr>
      <w:r>
        <w:rPr>
          <w:rFonts w:hint="eastAsia" w:ascii="宋体" w:hAnsi="宋体" w:cs="宋体"/>
          <w:color w:val="auto"/>
          <w:szCs w:val="21"/>
          <w:highlight w:val="none"/>
          <w:lang w:val="en-US" w:eastAsia="zh-CN"/>
        </w:rPr>
        <w:t xml:space="preserve">2、调查服务方案（6分）</w:t>
      </w:r>
      <w:r>
        <w:rPr>
          <w:rFonts w:ascii="宋体" w:hAnsi="宋体" w:eastAsia="宋体" w:cs="宋体"/>
          <w:color w:val="auto"/>
          <w:szCs w:val="21"/>
          <w:highlight w:val="none"/>
          <w:lang w:val="en-US" w:eastAsia="zh-CN"/>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根据投标单位提供的</w:t>
      </w:r>
      <w:r>
        <w:rPr>
          <w:rFonts w:hint="eastAsia" w:ascii="宋体" w:hAnsi="宋体" w:cs="宋体"/>
          <w:color w:val="auto"/>
          <w:szCs w:val="21"/>
          <w:highlight w:val="none"/>
          <w:lang w:val="en-US" w:eastAsia="zh-CN"/>
        </w:rPr>
        <w:t xml:space="preserve">调查服务方案</w:t>
      </w:r>
      <w:r>
        <w:rPr>
          <w:rFonts w:hint="eastAsia" w:ascii="宋体" w:hAnsi="宋体" w:cs="宋体"/>
          <w:color w:val="auto"/>
          <w:szCs w:val="21"/>
          <w:highlight w:val="none"/>
        </w:rPr>
        <w:t xml:space="preserve">进行综合评定，</w:t>
      </w:r>
      <w:r>
        <w:rPr>
          <w:rFonts w:hint="eastAsia" w:ascii="宋体" w:hAnsi="宋体" w:cs="宋体"/>
          <w:color w:val="auto"/>
          <w:szCs w:val="21"/>
          <w:highlight w:val="none"/>
          <w:lang w:val="en-US" w:eastAsia="zh-CN"/>
        </w:rPr>
        <w:t xml:space="preserve">调查</w:t>
      </w:r>
      <w:r>
        <w:rPr>
          <w:rFonts w:hint="eastAsia" w:ascii="宋体" w:hAnsi="宋体" w:cs="宋体"/>
          <w:color w:val="auto"/>
          <w:szCs w:val="21"/>
          <w:highlight w:val="none"/>
        </w:rPr>
        <w:t xml:space="preserve">方案详细完善、科学合理、考虑全面、可行性高的得6分；方案较完善、较合理、可行性一般的得4分；方案有所欠缺、可行性差的得2分；未作说明的不得分。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eastAsia="宋体" w:cs="宋体"/>
          <w:color w:val="auto"/>
          <w:szCs w:val="21"/>
          <w:highlight w:val="none"/>
        </w:rPr>
        <w:outlineLvl w:val="0"/>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、检测服务方案（1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eastAsia="宋体" w:cs="宋体"/>
          <w:color w:val="auto"/>
          <w:szCs w:val="21"/>
          <w:highlight w:val="none"/>
          <w:lang w:eastAsia="zh-CN"/>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（1）现场实施服务方案（6分）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根据投标单位提供的现场采样组织实施方案进行综合评定，方案具有针对性、操作流程清晰、明确、科学完善的得6分；方案较有针对性、描述较清晰、操作性</w:t>
      </w:r>
      <w:r>
        <w:rPr>
          <w:rFonts w:hint="eastAsia" w:ascii="宋体" w:hAnsi="宋体" w:cs="宋体"/>
          <w:color w:val="auto"/>
          <w:szCs w:val="21"/>
          <w:highlight w:val="none"/>
          <w:lang w:val="en-US" w:eastAsia="zh-CN"/>
        </w:rPr>
        <w:t xml:space="preserve">良好</w:t>
      </w:r>
      <w:r>
        <w:rPr>
          <w:rFonts w:hint="eastAsia" w:ascii="宋体" w:hAnsi="宋体" w:cs="宋体"/>
          <w:color w:val="auto"/>
          <w:szCs w:val="21"/>
          <w:highlight w:val="none"/>
        </w:rPr>
        <w:t xml:space="preserve">的得4分；方案一般、操作性</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得2分；未作说明的不得分。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（2）样品分析检测组织实施方案（6分）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根据投标单位提供的样品分析检测组织实施方案进行综合评定，方案详细完善、科学合理、可行性高的得6分；方案较完善、较合理、可行性</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的得4分；</w:t>
      </w:r>
      <w:r>
        <w:rPr>
          <w:rFonts w:hint="eastAsia" w:ascii="宋体" w:hAnsi="宋体" w:cs="宋体"/>
          <w:color w:val="auto"/>
          <w:szCs w:val="21"/>
          <w:highlight w:val="none"/>
        </w:rPr>
        <w:t xml:space="preserve">方案有所欠缺、可行性差的</w:t>
      </w:r>
      <w:r>
        <w:rPr>
          <w:rFonts w:hint="eastAsia" w:ascii="宋体" w:hAnsi="宋体" w:cs="宋体"/>
          <w:color w:val="auto"/>
          <w:szCs w:val="21"/>
          <w:highlight w:val="none"/>
        </w:rPr>
        <w:t xml:space="preserve">得2分；未作说明的不得分。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3、风险评估实施方案（6分）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根据投标单位提供的风险评估实施方案进行综合评定，评估方案详细完善、科学合理、资料收集及勘踏方案考虑全面、可行性高的得6分；方案较完善、较合理、可行性一般的得4分；方案有所欠缺、可行性差的得2分；未作说明的不得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4、制度性管控实施方案（6分）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根据投标单位提供的制度性管控实施方案进行综合评定，方案详细完善、科学合理、定期巡查安排等可行性高的得6分；方案较完善、较合理、可行性一般的得4分；方案有所欠缺、可行性差的得2分；未作说明的不得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bCs/>
          <w:color w:val="auto"/>
          <w:szCs w:val="21"/>
          <w:highlight w:val="none"/>
        </w:rPr>
        <w:outlineLvl w:val="0"/>
      </w:pPr>
      <w:r>
        <w:rPr>
          <w:rFonts w:hint="eastAsia" w:ascii="宋体" w:hAnsi="宋体" w:cs="宋体"/>
          <w:color w:val="auto"/>
          <w:szCs w:val="21"/>
          <w:highlight w:val="none"/>
          <w:lang w:val="en-US" w:eastAsia="zh-CN"/>
        </w:rPr>
        <w:t xml:space="preserve">5、</w:t>
      </w:r>
      <w:r>
        <w:rPr>
          <w:rFonts w:hint="eastAsia" w:ascii="宋体" w:hAnsi="宋体" w:cs="宋体"/>
          <w:bCs/>
          <w:color w:val="auto"/>
          <w:szCs w:val="21"/>
          <w:highlight w:val="none"/>
        </w:rPr>
        <w:t xml:space="preserve">长期监测服务方案（</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w:t>
      </w:r>
      <w:r>
        <w:rPr>
          <w:rFonts w:hint="eastAsia" w:ascii="宋体" w:hAnsi="宋体" w:cs="宋体"/>
          <w:bCs/>
          <w:color w:val="auto"/>
          <w:szCs w:val="21"/>
          <w:highlight w:val="none"/>
        </w:rPr>
      </w:r>
      <w:r>
        <w:rPr>
          <w:color w:val="auto"/>
        </w:rPr>
      </w:r>
    </w:p>
    <w:p>
      <w:pPr>
        <w:pStyle w:val="702"/>
        <w:ind w:firstLine="420"/>
        <w:spacing w:line="360" w:lineRule="auto"/>
        <w:rPr>
          <w:rFonts w:hint="eastAsia" w:ascii="宋体" w:hAnsi="宋体" w:cs="宋体"/>
          <w:bCs/>
          <w:color w:val="auto"/>
          <w:szCs w:val="21"/>
          <w:highlight w:val="none"/>
        </w:rPr>
        <w:outlineLvl w:val="0"/>
      </w:pPr>
      <w:r>
        <w:rPr>
          <w:rFonts w:hint="eastAsia" w:ascii="宋体" w:hAnsi="宋体" w:cs="宋体"/>
          <w:color w:val="auto"/>
          <w:szCs w:val="21"/>
          <w:highlight w:val="none"/>
        </w:rPr>
        <w:t xml:space="preserve">根据投标单位提供的针对本项目长期监测服务方案综合评定，方案科学完善、考虑周全、服务响应迅速、针对性及可行性强得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分；方案较全、服务响应较快、针对性及可行性一般得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分；服务响应较慢、针对性及可行性欠缺得2分；未作说明的不得分。</w:t>
      </w:r>
      <w:r>
        <w:rPr>
          <w:rFonts w:hint="eastAsia" w:ascii="宋体" w:hAnsi="宋体" w:cs="宋体"/>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、调查报告</w:t>
      </w:r>
      <w:r>
        <w:rPr>
          <w:rStyle w:val="762"/>
          <w:rFonts w:hint="eastAsia"/>
          <w:color w:val="auto"/>
          <w:highlight w:val="none"/>
          <w:lang w:val="en-US" w:eastAsia="zh-CN"/>
        </w:rPr>
        <w:t xml:space="preserve">及风险评估报告</w:t>
      </w:r>
      <w:r>
        <w:rPr>
          <w:rFonts w:hint="eastAsia" w:ascii="宋体" w:hAnsi="宋体" w:cs="宋体"/>
          <w:color w:val="auto"/>
          <w:szCs w:val="21"/>
          <w:highlight w:val="none"/>
        </w:rPr>
        <w:t xml:space="preserve">编制框架（6分）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根据</w:t>
      </w: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提供的地块土壤污染状况调查报告编制框架进行综合评定，编制完整规范、科学合理、可行性高的得6分；较规范、较合理、可行性一般的得4分；</w:t>
      </w:r>
      <w:r>
        <w:rPr>
          <w:rFonts w:hint="eastAsia" w:ascii="宋体" w:hAnsi="宋体" w:cs="宋体"/>
          <w:color w:val="auto"/>
          <w:szCs w:val="21"/>
          <w:highlight w:val="none"/>
          <w:lang w:val="en-US" w:eastAsia="zh-CN"/>
        </w:rPr>
        <w:t xml:space="preserve">规范合理性</w:t>
      </w:r>
      <w:r>
        <w:rPr>
          <w:rFonts w:hint="eastAsia" w:ascii="宋体" w:hAnsi="宋体" w:cs="宋体"/>
          <w:color w:val="auto"/>
          <w:szCs w:val="21"/>
          <w:highlight w:val="none"/>
        </w:rPr>
        <w:t xml:space="preserve">有所欠缺、可行性差的得2分；未作说明的不得分。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、质量保障措施方案（</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根据投标单位提供的项目实施质量保障措施进行综合评定，措施考虑全面、切实可行、实用性强的得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分；措施较全面、实用性一般的得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分；措施考虑有所欠缺、实用性差的得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分；未作说明的不得分。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、安全保证措施（5分）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根据投标单位提供的项目实施安全保证措施进行综合评定，安全保证措施考虑全面、切实可行、实用性强的得5分；措施较全面、可行性一般的得3分；措施考虑有所欠缺、可行性差的得1分；未作说明的不得分。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（三）人员配置情况（13分）</w:t>
      </w:r>
      <w:r>
        <w:rPr>
          <w:rFonts w:hint="eastAsia" w:ascii="宋体" w:hAnsi="宋体" w:cs="宋体"/>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1、项目负责人（1人）（2分）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具有环境类（或化工类）高级及以上职称的，得2分；中级职称得1分。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2、技术负责人（1人）（2分）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具有环境类（或化工类）高级及以上职称的，得2分；中级职称得1分。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、项目组成员（不含项目负责人、技术负责人）（</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（1）项目组成员在12人及以上的，得3分；10-11人得2分；8-9人得1分；最高3分。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（2）项目组成员中具有注册岩土工程师证书的得2分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最高4分。</w:t>
      </w:r>
      <w:r>
        <w:rPr>
          <w:rFonts w:hint="eastAsia" w:ascii="宋体" w:hAnsi="宋体" w:cs="宋体"/>
          <w:color w:val="auto"/>
          <w:szCs w:val="21"/>
          <w:highlight w:val="none"/>
        </w:rPr>
      </w:r>
      <w:r>
        <w:rPr>
          <w:color w:val="auto"/>
        </w:rPr>
      </w:r>
    </w:p>
    <w:p>
      <w:pPr>
        <w:pStyle w:val="702"/>
        <w:ind w:firstLine="420"/>
        <w:spacing w:line="360" w:lineRule="auto"/>
        <w:rPr>
          <w:rFonts w:ascii="宋体" w:hAnsi="宋体" w:eastAsia="宋体" w:cs="宋体"/>
          <w:color w:val="auto"/>
          <w:szCs w:val="21"/>
          <w:highlight w:val="none"/>
        </w:rPr>
        <w:outlineLvl w:val="0"/>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项目组成员中具有</w:t>
      </w:r>
      <w:r>
        <w:rPr>
          <w:rFonts w:hint="eastAsia" w:ascii="宋体" w:hAnsi="宋体" w:cs="宋体"/>
          <w:color w:val="auto"/>
          <w:szCs w:val="21"/>
          <w:highlight w:val="none"/>
        </w:rPr>
        <w:t xml:space="preserve">环境类（或化工类）中级及以上职称的得2分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最高2分</w:t>
      </w:r>
      <w:r>
        <w:rPr>
          <w:rFonts w:ascii="宋体" w:hAnsi="宋体" w:eastAsia="宋体" w:cs="宋体"/>
          <w:color w:val="auto"/>
          <w:szCs w:val="21"/>
          <w:highlight w:val="none"/>
          <w:lang w:val="en-US" w:eastAsia="zh-CN"/>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注：投标文件中提供以上人员证书复印件及投标单位为其缴纳的最近一期社保证明。</w:t>
      </w:r>
      <w:r>
        <w:rPr>
          <w:rFonts w:hint="eastAsia" w:ascii="宋体" w:hAnsi="宋体" w:cs="宋体"/>
          <w:color w:val="auto"/>
          <w:szCs w:val="21"/>
          <w:highlight w:val="none"/>
        </w:rPr>
      </w:r>
      <w:r>
        <w:rPr>
          <w:color w:val="auto"/>
        </w:rPr>
      </w:r>
    </w:p>
    <w:p>
      <w:pPr>
        <w:pStyle w:val="702"/>
        <w:ind w:firstLine="422"/>
        <w:spacing w:line="360" w:lineRule="auto"/>
        <w:rPr>
          <w:rFonts w:hint="eastAsia" w:ascii="宋体" w:hAnsi="宋体" w:cs="宋体"/>
          <w:b/>
          <w:bCs/>
          <w:color w:val="auto"/>
          <w:szCs w:val="21"/>
          <w:highlight w:val="none"/>
        </w:rPr>
        <w:outlineLvl w:val="0"/>
      </w:pPr>
      <w:r>
        <w:rPr>
          <w:rFonts w:hint="eastAsia" w:ascii="宋体" w:hAnsi="宋体" w:cs="宋体"/>
          <w:b/>
          <w:bCs/>
          <w:color w:val="auto"/>
          <w:szCs w:val="21"/>
          <w:highlight w:val="none"/>
        </w:rPr>
        <w:t xml:space="preserve">（三）单位综合实力（</w:t>
      </w:r>
      <w:r>
        <w:rPr>
          <w:rFonts w:hint="eastAsia" w:ascii="宋体" w:hAnsi="宋体" w:cs="宋体"/>
          <w:b/>
          <w:bCs/>
          <w:color w:val="auto"/>
          <w:szCs w:val="21"/>
          <w:highlight w:val="none"/>
          <w:lang w:val="en-US" w:eastAsia="zh-CN"/>
        </w:rPr>
        <w:t xml:space="preserve">18</w:t>
      </w:r>
      <w:r>
        <w:rPr>
          <w:rFonts w:hint="eastAsia" w:ascii="宋体" w:hAnsi="宋体" w:cs="宋体"/>
          <w:b/>
          <w:bCs/>
          <w:color w:val="auto"/>
          <w:szCs w:val="21"/>
          <w:highlight w:val="none"/>
        </w:rPr>
        <w:t xml:space="preserve">分）</w:t>
      </w:r>
      <w:r>
        <w:rPr>
          <w:rFonts w:hint="eastAsia" w:ascii="宋体" w:hAnsi="宋体" w:cs="宋体"/>
          <w:b/>
          <w:bCs/>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color w:val="auto"/>
        </w:rPr>
      </w:r>
      <w:bookmarkEnd w:id="95"/>
      <w:r>
        <w:rPr>
          <w:color w:val="auto"/>
        </w:rPr>
      </w:r>
      <w:bookmarkEnd w:id="96"/>
      <w:r>
        <w:rPr>
          <w:color w:val="auto"/>
        </w:rPr>
      </w:r>
      <w:bookmarkEnd w:id="97"/>
      <w:r>
        <w:rPr>
          <w:rFonts w:hint="eastAsia" w:ascii="宋体" w:hAnsi="宋体" w:cs="宋体"/>
          <w:color w:val="auto"/>
          <w:szCs w:val="21"/>
          <w:highlight w:val="none"/>
        </w:rPr>
        <w:t xml:space="preserve">1、投标单位2019至今获得</w:t>
      </w:r>
      <w:r>
        <w:rPr>
          <w:rFonts w:hint="eastAsia" w:ascii="宋体" w:hAnsi="宋体" w:cs="宋体"/>
          <w:color w:val="auto"/>
          <w:szCs w:val="21"/>
          <w:highlight w:val="none"/>
          <w:lang w:val="en-US" w:eastAsia="zh-CN"/>
        </w:rPr>
        <w:t xml:space="preserve">过</w:t>
      </w:r>
      <w:r>
        <w:rPr>
          <w:rFonts w:hint="eastAsia" w:ascii="宋体" w:hAnsi="宋体" w:cs="宋体"/>
          <w:color w:val="auto"/>
          <w:szCs w:val="21"/>
          <w:highlight w:val="none"/>
        </w:rPr>
        <w:t xml:space="preserve">市级及以上政府部门颁发得荣誉奖项的得2分。</w:t>
      </w:r>
      <w:r>
        <w:rPr>
          <w:rFonts w:hint="eastAsia" w:ascii="宋体" w:hAnsi="宋体" w:cs="宋体"/>
          <w:color w:val="auto"/>
          <w:szCs w:val="21"/>
          <w:highlight w:val="none"/>
        </w:rPr>
      </w:r>
      <w:r>
        <w:rPr>
          <w:color w:val="auto"/>
        </w:rPr>
      </w:r>
    </w:p>
    <w:p>
      <w:pPr>
        <w:pStyle w:val="714"/>
        <w:ind w:left="0" w:firstLine="420"/>
        <w:rPr>
          <w:rFonts w:eastAsia="宋体"/>
          <w:color w:val="auto"/>
          <w:highlight w:val="none"/>
        </w:rPr>
      </w:pPr>
      <w:r>
        <w:rPr>
          <w:rFonts w:hint="eastAsia" w:ascii="宋体" w:hAnsi="宋体" w:cs="宋体"/>
          <w:color w:val="auto"/>
          <w:szCs w:val="21"/>
          <w:highlight w:val="none"/>
          <w:lang w:val="en-US" w:eastAsia="zh-CN"/>
        </w:rPr>
        <w:t xml:space="preserve">注：投标文件中提供相关证书或发文复印件。</w:t>
      </w:r>
      <w:r>
        <w:rPr>
          <w:rFonts w:eastAsia="宋体"/>
          <w:color w:val="auto"/>
          <w:highlight w:val="none"/>
          <w:lang w:val="en-US" w:eastAsia="zh-CN"/>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2、投标单位</w:t>
      </w:r>
      <w:r>
        <w:rPr>
          <w:rFonts w:hint="eastAsia" w:ascii="宋体" w:hAnsi="宋体" w:cs="宋体"/>
          <w:color w:val="auto"/>
          <w:spacing w:val="-3"/>
          <w:szCs w:val="21"/>
          <w:highlight w:val="none"/>
        </w:rPr>
        <w:t xml:space="preserve">具有有效期内的质量管理体系认证证书、环境管理体系认证证书、职业健康安全管理体系认证证书，每提供1个得2分，</w:t>
      </w:r>
      <w:r>
        <w:rPr>
          <w:rFonts w:hint="eastAsia" w:ascii="宋体" w:hAnsi="宋体" w:cs="宋体"/>
          <w:color w:val="auto"/>
          <w:szCs w:val="21"/>
          <w:highlight w:val="none"/>
        </w:rPr>
        <w:t xml:space="preserve">最高6分。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注：投标文件中提供以上证书复印件及</w:t>
      </w:r>
      <w:r>
        <w:rPr>
          <w:rFonts w:hint="eastAsia" w:ascii="宋体" w:hAnsi="宋体" w:cs="宋体"/>
          <w:bCs/>
          <w:color w:val="auto"/>
          <w:szCs w:val="21"/>
          <w:highlight w:val="none"/>
        </w:rPr>
        <w:t xml:space="preserve">中国国家认证认可监督管理委员会网站http://www.cnca.gov.cn/</w:t>
      </w:r>
      <w:r>
        <w:rPr>
          <w:rFonts w:hint="eastAsia" w:ascii="宋体" w:hAnsi="宋体" w:cs="宋体"/>
          <w:color w:val="auto"/>
          <w:szCs w:val="21"/>
          <w:highlight w:val="none"/>
        </w:rPr>
        <w:t xml:space="preserve">查询链接及有效截图，资料不全不得分。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3、类似业绩（10分）</w:t>
      </w:r>
      <w:r>
        <w:rPr>
          <w:rFonts w:hint="eastAsia" w:ascii="宋体" w:hAnsi="宋体" w:cs="宋体"/>
          <w:color w:val="auto"/>
          <w:szCs w:val="21"/>
          <w:highlight w:val="none"/>
        </w:rPr>
      </w:r>
      <w:r>
        <w:rPr>
          <w:color w:val="auto"/>
        </w:rPr>
      </w:r>
    </w:p>
    <w:p>
      <w:pPr>
        <w:pStyle w:val="702"/>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投标单位自2020年（以合同签订日期为准）至今独立承担过类似项目，每有1项得2分；本项最高10分</w:t>
      </w:r>
      <w:r>
        <w:rPr>
          <w:rFonts w:ascii="宋体" w:hAnsi="宋体" w:cs="宋体"/>
          <w:color w:val="auto"/>
          <w:sz w:val="21"/>
          <w:szCs w:val="21"/>
          <w:highlight w:val="none"/>
        </w:rPr>
        <w:t xml:space="preserve">（项目数量以具体实际完成调查</w:t>
      </w:r>
      <w:r>
        <w:rPr>
          <w:rFonts w:hint="eastAsia" w:ascii="宋体" w:hAnsi="宋体" w:cs="宋体"/>
          <w:color w:val="auto"/>
          <w:sz w:val="21"/>
          <w:szCs w:val="21"/>
          <w:highlight w:val="none"/>
          <w:lang w:val="en-US" w:eastAsia="zh-CN"/>
        </w:rPr>
        <w:t xml:space="preserve">或风险评估</w:t>
      </w:r>
      <w:r>
        <w:rPr>
          <w:rFonts w:ascii="宋体" w:hAnsi="宋体" w:cs="宋体"/>
          <w:color w:val="auto"/>
          <w:sz w:val="21"/>
          <w:szCs w:val="21"/>
          <w:highlight w:val="none"/>
        </w:rPr>
        <w:t xml:space="preserve">的地块数量为准，每个地块计</w:t>
      </w:r>
      <w:r>
        <w:rPr>
          <w:rFonts w:eastAsia="Times New Roman"/>
          <w:color w:val="auto"/>
          <w:sz w:val="21"/>
          <w:szCs w:val="21"/>
          <w:highlight w:val="none"/>
        </w:rPr>
        <w:t xml:space="preserve">1</w:t>
      </w:r>
      <w:r>
        <w:rPr>
          <w:rFonts w:ascii="宋体" w:hAnsi="宋体" w:cs="宋体"/>
          <w:color w:val="auto"/>
          <w:sz w:val="21"/>
          <w:szCs w:val="21"/>
          <w:highlight w:val="none"/>
        </w:rPr>
        <w:t xml:space="preserve">项，投标单位须同时提供：</w:t>
      </w:r>
      <w:r>
        <w:rPr>
          <w:rFonts w:eastAsia="Times New Roman"/>
          <w:color w:val="auto"/>
          <w:sz w:val="21"/>
          <w:szCs w:val="21"/>
          <w:highlight w:val="none"/>
        </w:rPr>
        <w:t xml:space="preserve">①</w:t>
      </w:r>
      <w:r>
        <w:rPr>
          <w:rFonts w:ascii="宋体" w:hAnsi="宋体" w:cs="宋体"/>
          <w:color w:val="auto"/>
          <w:sz w:val="21"/>
          <w:szCs w:val="21"/>
          <w:highlight w:val="none"/>
        </w:rPr>
        <w:t xml:space="preserve">业绩合同复印件，</w:t>
      </w:r>
      <w:r>
        <w:rPr>
          <w:rFonts w:eastAsia="Times New Roman"/>
          <w:color w:val="auto"/>
          <w:sz w:val="21"/>
          <w:szCs w:val="21"/>
          <w:highlight w:val="none"/>
        </w:rPr>
        <w:t xml:space="preserve">②</w:t>
      </w:r>
      <w:r>
        <w:rPr>
          <w:rFonts w:ascii="宋体" w:hAnsi="宋体" w:cs="宋体"/>
          <w:color w:val="auto"/>
          <w:sz w:val="21"/>
          <w:szCs w:val="21"/>
          <w:highlight w:val="none"/>
        </w:rPr>
        <w:t xml:space="preserve">经主管部门确认的建设用地土壤污染状况调查报告存档审查表复印件。）</w:t>
      </w:r>
      <w:r>
        <w:rPr>
          <w:rFonts w:hint="eastAsia" w:ascii="宋体" w:hAnsi="宋体" w:cs="宋体"/>
          <w:color w:val="auto"/>
          <w:szCs w:val="21"/>
          <w:highlight w:val="none"/>
        </w:rPr>
      </w:r>
      <w:r>
        <w:rPr>
          <w:color w:val="auto"/>
        </w:rPr>
      </w:r>
    </w:p>
    <w:p>
      <w:pPr>
        <w:pStyle w:val="715"/>
        <w:ind w:firstLine="0"/>
        <w:rPr>
          <w:rFonts w:ascii="宋体" w:hAnsi="宋体" w:cs="宋体"/>
          <w:bCs/>
          <w:color w:val="auto"/>
          <w:sz w:val="21"/>
          <w:szCs w:val="21"/>
          <w:highlight w:val="none"/>
        </w:rPr>
      </w:pPr>
      <w:r>
        <w:rPr>
          <w:color w:val="auto"/>
        </w:rPr>
      </w:r>
      <w:bookmarkStart w:id="98" w:name="_Toc3448"/>
      <w:r>
        <w:rPr>
          <w:rFonts w:ascii="宋体" w:hAnsi="宋体" w:cs="宋体"/>
          <w:bCs/>
          <w:color w:val="auto"/>
          <w:sz w:val="21"/>
          <w:szCs w:val="21"/>
          <w:highlight w:val="none"/>
        </w:rPr>
      </w:r>
      <w:r>
        <w:rPr>
          <w:color w:val="auto"/>
        </w:rPr>
      </w:r>
    </w:p>
    <w:p>
      <w:pPr>
        <w:pStyle w:val="95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TW" w:eastAsia="zh-TW"/>
        </w:rPr>
        <w:t xml:space="preserve">注：</w:t>
      </w:r>
      <w:r>
        <w:rPr>
          <w:rFonts w:hint="eastAsia" w:ascii="宋体" w:hAnsi="宋体" w:cs="宋体"/>
          <w:color w:val="auto"/>
          <w:szCs w:val="21"/>
          <w:highlight w:val="none"/>
          <w:lang w:val="zh-TW" w:eastAsia="zh-TW"/>
        </w:rPr>
      </w:r>
      <w:r>
        <w:rPr>
          <w:color w:val="auto"/>
        </w:rPr>
      </w:r>
    </w:p>
    <w:p>
      <w:pPr>
        <w:pStyle w:val="95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TW" w:eastAsia="zh-TW"/>
        </w:rPr>
        <w:t xml:space="preserve">1</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投标单位</w:t>
      </w:r>
      <w:r>
        <w:rPr>
          <w:rFonts w:hint="eastAsia" w:ascii="宋体" w:hAnsi="宋体" w:cs="宋体"/>
          <w:color w:val="auto"/>
          <w:szCs w:val="21"/>
          <w:highlight w:val="none"/>
          <w:lang w:val="zh-TW"/>
        </w:rPr>
        <w:t xml:space="preserve">针对评分内容提供对应材料并作出相关说明，所提供的相关材料缺失、不符或不提供者，有关评分内容不得分。评标未尽事宜由评标委员会根据有关规定讨论决定。</w:t>
      </w:r>
      <w:r>
        <w:rPr>
          <w:rFonts w:hint="eastAsia" w:ascii="宋体" w:hAnsi="宋体" w:cs="宋体"/>
          <w:color w:val="auto"/>
          <w:szCs w:val="21"/>
          <w:highlight w:val="none"/>
          <w:lang w:val="zh-TW" w:eastAsia="zh-TW"/>
        </w:rPr>
      </w:r>
      <w:r>
        <w:rPr>
          <w:color w:val="auto"/>
        </w:rPr>
      </w:r>
    </w:p>
    <w:p>
      <w:pPr>
        <w:pStyle w:val="95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TW" w:eastAsia="zh-TW"/>
        </w:rPr>
        <w:t xml:space="preserve">2</w:t>
      </w:r>
      <w:r>
        <w:rPr>
          <w:rFonts w:hint="eastAsia" w:ascii="宋体" w:hAnsi="宋体" w:cs="宋体"/>
          <w:color w:val="auto"/>
          <w:szCs w:val="21"/>
          <w:highlight w:val="none"/>
          <w:lang w:val="zh-TW"/>
        </w:rPr>
        <w:t xml:space="preserve">、报价超过采购预算的不得</w:t>
      </w:r>
      <w:r>
        <w:rPr>
          <w:rFonts w:hint="eastAsia" w:ascii="宋体" w:hAnsi="宋体" w:cs="宋体"/>
          <w:color w:val="auto"/>
          <w:szCs w:val="21"/>
          <w:highlight w:val="none"/>
        </w:rPr>
        <w:t xml:space="preserve">中标</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r>
      <w:r>
        <w:rPr>
          <w:color w:val="auto"/>
        </w:rPr>
      </w:r>
    </w:p>
    <w:p>
      <w:pPr>
        <w:pStyle w:val="702"/>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TW" w:eastAsia="zh-TW"/>
        </w:rPr>
        <w:t xml:space="preserve">3</w:t>
      </w:r>
      <w:r>
        <w:rPr>
          <w:rFonts w:hint="eastAsia" w:ascii="宋体" w:hAnsi="宋体" w:cs="宋体"/>
          <w:color w:val="auto"/>
          <w:szCs w:val="21"/>
          <w:highlight w:val="none"/>
          <w:lang w:val="zh-TW"/>
        </w:rPr>
        <w:t xml:space="preserve">、付款步骤、服务期限如有负偏离的不得</w:t>
      </w:r>
      <w:r>
        <w:rPr>
          <w:rFonts w:hint="eastAsia" w:ascii="宋体" w:hAnsi="宋体" w:cs="宋体"/>
          <w:color w:val="auto"/>
          <w:szCs w:val="21"/>
          <w:highlight w:val="none"/>
        </w:rPr>
        <w:t xml:space="preserve">中标</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r>
      <w:r>
        <w:rPr>
          <w:color w:val="auto"/>
        </w:rPr>
      </w:r>
    </w:p>
    <w:p>
      <w:pPr>
        <w:pStyle w:val="702"/>
        <w:rPr>
          <w:color w:val="auto"/>
          <w:highlight w:val="none"/>
        </w:rPr>
      </w:pPr>
      <w:r>
        <w:rPr>
          <w:color w:val="auto"/>
          <w:highlight w:val="none"/>
        </w:rPr>
      </w:r>
      <w:r>
        <w:rPr>
          <w:color w:val="auto"/>
        </w:rPr>
      </w:r>
    </w:p>
    <w:p>
      <w:pPr>
        <w:pStyle w:val="702"/>
        <w:ind w:firstLine="0"/>
        <w:jc w:val="left"/>
        <w:spacing w:line="24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TW"/>
        </w:rPr>
      </w:r>
      <w:r>
        <w:rPr>
          <w:color w:val="auto"/>
        </w:rPr>
      </w:r>
    </w:p>
    <w:p>
      <w:pPr>
        <w:pStyle w:val="726"/>
        <w:ind w:left="0" w:firstLine="0"/>
        <w:jc w:val="center"/>
        <w:rPr>
          <w:rFonts w:hint="eastAsia" w:eastAsia="宋体"/>
          <w:color w:val="auto"/>
          <w:highlight w:val="none"/>
        </w:rPr>
      </w:pPr>
      <w:r>
        <w:rPr>
          <w:rFonts w:hint="eastAsia"/>
          <w:color w:val="auto"/>
          <w:highlight w:val="none"/>
          <w:lang w:val="en-US" w:eastAsia="zh-CN"/>
        </w:rPr>
        <w:br w:type="page" w:clear="all"/>
      </w:r>
      <w:r>
        <w:rPr>
          <w:rFonts w:hint="eastAsia" w:ascii="宋体" w:hAnsi="宋体" w:eastAsia="宋体"/>
          <w:color w:val="auto"/>
          <w:sz w:val="36"/>
          <w:szCs w:val="36"/>
          <w:highlight w:val="none"/>
        </w:rPr>
        <w:t xml:space="preserve">第</w:t>
      </w:r>
      <w:r>
        <w:rPr>
          <w:rFonts w:hint="eastAsia" w:ascii="宋体" w:hAnsi="宋体"/>
          <w:color w:val="auto"/>
          <w:sz w:val="36"/>
          <w:szCs w:val="36"/>
          <w:highlight w:val="none"/>
          <w:lang w:val="en-US" w:eastAsia="zh-CN"/>
        </w:rPr>
        <w:t xml:space="preserve">七</w:t>
      </w:r>
      <w:r>
        <w:rPr>
          <w:rFonts w:hint="eastAsia" w:ascii="宋体" w:hAnsi="宋体" w:eastAsia="宋体"/>
          <w:color w:val="auto"/>
          <w:sz w:val="36"/>
          <w:szCs w:val="36"/>
          <w:highlight w:val="none"/>
        </w:rPr>
        <w:t xml:space="preserve">章  </w:t>
      </w:r>
      <w:r>
        <w:rPr>
          <w:rFonts w:hint="eastAsia" w:ascii="宋体" w:hAnsi="宋体"/>
          <w:color w:val="auto"/>
          <w:sz w:val="36"/>
          <w:szCs w:val="36"/>
          <w:highlight w:val="none"/>
          <w:lang w:val="en-US" w:eastAsia="zh-CN"/>
        </w:rPr>
        <w:t xml:space="preserve">附件</w:t>
      </w:r>
      <w:r>
        <w:rPr>
          <w:rFonts w:hint="eastAsia" w:eastAsia="宋体"/>
          <w:color w:val="auto"/>
          <w:highlight w:val="none"/>
          <w:lang w:val="en-US" w:eastAsia="zh-CN"/>
        </w:rPr>
      </w:r>
      <w:r>
        <w:rPr>
          <w:color w:val="auto"/>
        </w:rPr>
      </w:r>
    </w:p>
    <w:p>
      <w:pPr>
        <w:pStyle w:val="714"/>
        <w:ind w:firstLine="400"/>
        <w:rPr>
          <w:rFonts w:ascii="宋体" w:hAnsi="宋体" w:eastAsia="宋体" w:cs="宋体"/>
          <w:color w:val="auto"/>
          <w:sz w:val="20"/>
          <w:highlight w:val="none"/>
        </w:rPr>
      </w:pPr>
      <w:r>
        <w:rPr>
          <w:rFonts w:hint="eastAsia" w:ascii="宋体" w:hAnsi="宋体" w:eastAsia="宋体" w:cs="宋体"/>
          <w:color w:val="auto"/>
          <w:sz w:val="20"/>
          <w:highlight w:val="none"/>
          <w:lang w:bidi="ar"/>
        </w:rPr>
        <w:t xml:space="preserve">1、水文地质勘察</w:t>
      </w:r>
      <w:r>
        <w:rPr>
          <w:rFonts w:ascii="宋体" w:hAnsi="宋体" w:eastAsia="宋体" w:cs="宋体"/>
          <w:color w:val="auto"/>
          <w:sz w:val="20"/>
          <w:highlight w:val="none"/>
          <w:lang w:bidi="ar"/>
        </w:rPr>
      </w:r>
      <w:r>
        <w:rPr>
          <w:color w:val="auto"/>
        </w:rPr>
      </w:r>
    </w:p>
    <w:tbl>
      <w:tblPr>
        <w:tblW w:w="710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33"/>
        <w:gridCol w:w="2552"/>
        <w:gridCol w:w="2500"/>
        <w:gridCol w:w="222"/>
      </w:tblGrid>
      <w:tr>
        <w:trPr>
          <w:gridAfter w:val="1"/>
          <w:trHeight w:val="270"/>
        </w:trPr>
        <w:tc>
          <w:tcPr>
            <w:gridSpan w:val="3"/>
            <w:tcBorders>
              <w:top w:val="single" w:color="000000" w:sz="8" w:space="0"/>
              <w:left w:val="single" w:color="000000" w:sz="8" w:space="0"/>
              <w:bottom w:val="single" w:color="000000" w:sz="4" w:space="0"/>
              <w:right w:val="single" w:color="000000" w:sz="4" w:space="0"/>
            </w:tcBorders>
            <w:tcW w:w="6885" w:type="dxa"/>
            <w:vAlign w:val="center"/>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钻 探</w:t>
            </w:r>
            <w:r>
              <w:rPr>
                <w:rFonts w:ascii="宋体" w:hAnsi="宋体" w:eastAsia="宋体" w:cs="宋体"/>
                <w:color w:val="auto"/>
                <w:sz w:val="21"/>
                <w:szCs w:val="21"/>
                <w:highlight w:val="none"/>
              </w:rPr>
            </w:r>
            <w:r>
              <w:rPr>
                <w:color w:val="auto"/>
              </w:rPr>
            </w:r>
          </w:p>
        </w:tc>
      </w:tr>
      <w:tr>
        <w:trPr>
          <w:gridAfter w:val="1"/>
          <w:trHeight w:val="272"/>
        </w:trPr>
        <w:tc>
          <w:tcPr>
            <w:tcBorders>
              <w:top w:val="none" w:color="000000" w:sz="4" w:space="0"/>
              <w:left w:val="single" w:color="000000" w:sz="8" w:space="0"/>
              <w:bottom w:val="single" w:color="000000" w:sz="4" w:space="0"/>
              <w:right w:val="single" w:color="000000" w:sz="4" w:space="0"/>
            </w:tcBorders>
            <w:tcW w:w="1833" w:type="dxa"/>
            <w:vAlign w:val="center"/>
            <w:vMerge w:val="restart"/>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深度</w:t>
            </w:r>
            <w:r>
              <w:rPr>
                <w:rFonts w:ascii="宋体" w:hAnsi="宋体" w:eastAsia="宋体" w:cs="宋体"/>
                <w:color w:val="auto"/>
                <w:sz w:val="21"/>
                <w:szCs w:val="21"/>
                <w:highlight w:val="none"/>
              </w:rPr>
            </w:r>
            <w:r>
              <w:rPr>
                <w:color w:val="auto"/>
              </w:rPr>
            </w:r>
          </w:p>
        </w:tc>
        <w:tc>
          <w:tcPr>
            <w:tcBorders>
              <w:top w:val="none" w:color="000000" w:sz="4" w:space="0"/>
              <w:left w:val="single" w:color="000000" w:sz="4" w:space="0"/>
              <w:bottom w:val="single" w:color="000000" w:sz="4" w:space="0"/>
              <w:right w:val="single" w:color="000000" w:sz="4" w:space="0"/>
            </w:tcBorders>
            <w:tcW w:w="2552" w:type="dxa"/>
            <w:vAlign w:val="center"/>
            <w:vMerge w:val="restart"/>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类别</w:t>
            </w:r>
            <w:r>
              <w:rPr>
                <w:rFonts w:ascii="宋体" w:hAnsi="宋体" w:eastAsia="宋体" w:cs="宋体"/>
                <w:color w:val="auto"/>
                <w:sz w:val="21"/>
                <w:szCs w:val="21"/>
                <w:highlight w:val="none"/>
              </w:rPr>
            </w:r>
            <w:r>
              <w:rPr>
                <w:color w:val="auto"/>
              </w:rPr>
            </w:r>
          </w:p>
        </w:tc>
        <w:tc>
          <w:tcPr>
            <w:tcBorders>
              <w:top w:val="none" w:color="000000" w:sz="4" w:space="0"/>
              <w:left w:val="single" w:color="000000" w:sz="4" w:space="0"/>
              <w:bottom w:val="single" w:color="000000" w:sz="4" w:space="0"/>
              <w:right w:val="single" w:color="000000" w:sz="4" w:space="0"/>
            </w:tcBorders>
            <w:tcW w:w="2500" w:type="dxa"/>
            <w:vAlign w:val="center"/>
            <w:vMerge w:val="restart"/>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陆上工作量</w:t>
            </w:r>
            <w:r>
              <w:rPr>
                <w:rFonts w:ascii="宋体" w:hAnsi="宋体" w:eastAsia="宋体"/>
                <w:color w:val="auto"/>
                <w:sz w:val="21"/>
                <w:szCs w:val="21"/>
                <w:highlight w:val="none"/>
              </w:rPr>
              <w:t xml:space="preserve">m</w:t>
            </w:r>
            <w:r>
              <w:rPr>
                <w:rFonts w:ascii="宋体" w:hAnsi="宋体" w:eastAsia="宋体" w:cs="宋体"/>
                <w:color w:val="auto"/>
                <w:sz w:val="21"/>
                <w:szCs w:val="21"/>
                <w:highlight w:val="none"/>
              </w:rPr>
            </w:r>
            <w:r>
              <w:rPr>
                <w:color w:val="auto"/>
              </w:rPr>
            </w:r>
          </w:p>
        </w:tc>
      </w:tr>
      <w:tr>
        <w:trPr>
          <w:trHeight w:val="143"/>
        </w:trPr>
        <w:tc>
          <w:tcPr>
            <w:tcBorders>
              <w:top w:val="none" w:color="000000" w:sz="4" w:space="0"/>
              <w:left w:val="single" w:color="000000" w:sz="8" w:space="0"/>
              <w:bottom w:val="single" w:color="000000" w:sz="4" w:space="0"/>
              <w:right w:val="single" w:color="000000" w:sz="4" w:space="0"/>
            </w:tcBorders>
            <w:tcW w:w="1833" w:type="dxa"/>
            <w:vAlign w:val="center"/>
            <w:vMerge w:val="continue"/>
            <w:textDirection w:val="lrTb"/>
            <w:noWrap w:val="false"/>
          </w:tcPr>
          <w:p>
            <w:pPr>
              <w:pStyle w:val="702"/>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702"/>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2500" w:type="dxa"/>
            <w:vAlign w:val="center"/>
            <w:vMerge w:val="continue"/>
            <w:textDirection w:val="lrTb"/>
            <w:noWrap w:val="false"/>
          </w:tcPr>
          <w:p>
            <w:pPr>
              <w:pStyle w:val="702"/>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222" w:type="dxa"/>
            <w:vAlign w:val="center"/>
            <w:textDirection w:val="lrTb"/>
            <w:noWrap w:val="false"/>
          </w:tcPr>
          <w:p>
            <w:pPr>
              <w:pStyle w:val="702"/>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rPr>
            </w:r>
          </w:p>
        </w:tc>
      </w:tr>
      <w:tr>
        <w:trPr>
          <w:trHeight w:val="385"/>
        </w:trPr>
        <w:tc>
          <w:tcPr>
            <w:tcBorders>
              <w:top w:val="none" w:color="000000" w:sz="4" w:space="0"/>
              <w:left w:val="single" w:color="000000" w:sz="8" w:space="0"/>
              <w:bottom w:val="single" w:color="000000" w:sz="4" w:space="0"/>
              <w:right w:val="single" w:color="000000" w:sz="4" w:space="0"/>
            </w:tcBorders>
            <w:tcW w:w="1833" w:type="dxa"/>
            <w:vAlign w:val="center"/>
            <w:textDirection w:val="lrTb"/>
            <w:noWrap w:val="false"/>
          </w:tcPr>
          <w:p>
            <w:pPr>
              <w:pStyle w:val="702"/>
              <w:jc w:val="center"/>
              <w:widowControl/>
              <w:rPr>
                <w:rFonts w:ascii="宋体" w:hAnsi="宋体" w:eastAsia="宋体"/>
                <w:color w:val="auto"/>
                <w:sz w:val="21"/>
                <w:szCs w:val="21"/>
                <w:highlight w:val="none"/>
              </w:rPr>
            </w:pPr>
            <w:r>
              <w:rPr>
                <w:rFonts w:ascii="宋体" w:hAnsi="宋体" w:eastAsia="宋体" w:cs="宋体"/>
                <w:color w:val="auto"/>
                <w:sz w:val="21"/>
                <w:szCs w:val="21"/>
                <w:highlight w:val="none"/>
              </w:rPr>
              <w:t xml:space="preserve">0~10m</w:t>
            </w:r>
            <w:r>
              <w:rPr>
                <w:rFonts w:ascii="宋体" w:hAnsi="宋体" w:eastAsia="宋体"/>
                <w:color w:val="auto"/>
                <w:sz w:val="21"/>
                <w:szCs w:val="21"/>
                <w:highlight w:val="none"/>
              </w:rPr>
            </w:r>
            <w:r>
              <w:rPr>
                <w:color w:val="auto"/>
              </w:rP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Ⅰ</w:t>
            </w:r>
            <w:r>
              <w:rPr>
                <w:rFonts w:ascii="宋体" w:hAnsi="宋体" w:eastAsia="宋体" w:cs="宋体"/>
                <w:color w:val="auto"/>
                <w:sz w:val="21"/>
                <w:szCs w:val="21"/>
                <w:highlight w:val="none"/>
              </w:rPr>
            </w:r>
            <w:r>
              <w:rPr>
                <w:color w:val="auto"/>
              </w:rPr>
            </w:r>
          </w:p>
        </w:tc>
        <w:tc>
          <w:tcPr>
            <w:shd w:val="clear" w:color="000000" w:fill="auto"/>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w:t>
            </w:r>
            <w:r>
              <w:rPr>
                <w:rFonts w:ascii="宋体" w:hAnsi="宋体" w:eastAsia="宋体" w:cs="宋体"/>
                <w:color w:val="auto"/>
                <w:sz w:val="21"/>
                <w:szCs w:val="21"/>
                <w:highlight w:val="none"/>
              </w:rPr>
            </w:r>
            <w:r>
              <w:rPr>
                <w:color w:val="auto"/>
              </w:rP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702"/>
              <w:jc w:val="left"/>
              <w:widowControl/>
              <w:rPr>
                <w:rFonts w:ascii="宋体" w:hAnsi="宋体" w:eastAsia="宋体"/>
                <w:color w:val="auto"/>
                <w:sz w:val="21"/>
                <w:szCs w:val="21"/>
                <w:highlight w:val="none"/>
              </w:rPr>
            </w:pPr>
            <w:r>
              <w:rPr>
                <w:rFonts w:ascii="宋体" w:hAnsi="宋体" w:eastAsia="宋体"/>
                <w:color w:val="auto"/>
                <w:sz w:val="21"/>
                <w:szCs w:val="21"/>
                <w:highlight w:val="none"/>
              </w:rPr>
            </w:r>
            <w:r>
              <w:rPr>
                <w:color w:val="auto"/>
              </w:rPr>
            </w:r>
          </w:p>
        </w:tc>
      </w:tr>
      <w:tr>
        <w:trPr>
          <w:trHeight w:val="420"/>
        </w:trPr>
        <w:tc>
          <w:tcPr>
            <w:tcBorders>
              <w:top w:val="none" w:color="000000" w:sz="4" w:space="0"/>
              <w:left w:val="single" w:color="000000" w:sz="8" w:space="0"/>
              <w:bottom w:val="single" w:color="000000" w:sz="4" w:space="0"/>
              <w:right w:val="single" w:color="000000" w:sz="4" w:space="0"/>
            </w:tcBorders>
            <w:tcW w:w="1833" w:type="dxa"/>
            <w:vAlign w:val="center"/>
            <w:textDirection w:val="lrTb"/>
            <w:noWrap w:val="false"/>
          </w:tcPr>
          <w:p>
            <w:pPr>
              <w:pStyle w:val="702"/>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10~20m</w:t>
            </w:r>
            <w:r>
              <w:rPr>
                <w:rFonts w:ascii="宋体" w:hAnsi="宋体" w:eastAsia="宋体" w:cs="宋体"/>
                <w:color w:val="auto"/>
                <w:sz w:val="21"/>
                <w:szCs w:val="21"/>
                <w:highlight w:val="none"/>
              </w:rPr>
            </w:r>
            <w:r>
              <w:rPr>
                <w:color w:val="auto"/>
              </w:rP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Ⅰ</w:t>
            </w:r>
            <w:r>
              <w:rPr>
                <w:rFonts w:ascii="宋体" w:hAnsi="宋体" w:eastAsia="宋体" w:cs="宋体"/>
                <w:color w:val="auto"/>
                <w:sz w:val="21"/>
                <w:szCs w:val="21"/>
                <w:highlight w:val="none"/>
              </w:rPr>
            </w:r>
            <w:r>
              <w:rPr>
                <w:color w:val="auto"/>
              </w:rPr>
            </w:r>
          </w:p>
        </w:tc>
        <w:tc>
          <w:tcPr>
            <w:shd w:val="clear" w:color="000000" w:fill="auto"/>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w:t>
            </w:r>
            <w:r>
              <w:rPr>
                <w:rFonts w:ascii="宋体" w:hAnsi="宋体" w:eastAsia="宋体" w:cs="宋体"/>
                <w:color w:val="auto"/>
                <w:sz w:val="21"/>
                <w:szCs w:val="21"/>
                <w:highlight w:val="none"/>
              </w:rPr>
            </w:r>
            <w:r>
              <w:rPr>
                <w:color w:val="auto"/>
              </w:rP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702"/>
              <w:jc w:val="left"/>
              <w:widowControl/>
              <w:rPr>
                <w:rFonts w:ascii="宋体" w:hAnsi="宋体" w:eastAsia="宋体"/>
                <w:color w:val="auto"/>
                <w:sz w:val="21"/>
                <w:szCs w:val="21"/>
                <w:highlight w:val="none"/>
              </w:rPr>
            </w:pPr>
            <w:r>
              <w:rPr>
                <w:rFonts w:ascii="宋体" w:hAnsi="宋体" w:eastAsia="宋体"/>
                <w:color w:val="auto"/>
                <w:sz w:val="21"/>
                <w:szCs w:val="21"/>
                <w:highlight w:val="none"/>
              </w:rPr>
            </w:r>
            <w:r>
              <w:rPr>
                <w:color w:val="auto"/>
              </w:rPr>
            </w:r>
          </w:p>
        </w:tc>
      </w:tr>
      <w:tr>
        <w:trPr>
          <w:gridAfter w:val="1"/>
          <w:trHeight w:val="270"/>
        </w:trPr>
        <w:tc>
          <w:tcPr>
            <w:gridSpan w:val="3"/>
            <w:tcBorders>
              <w:top w:val="single" w:color="000000" w:sz="8" w:space="0"/>
              <w:left w:val="single" w:color="000000" w:sz="4" w:space="0"/>
              <w:bottom w:val="single" w:color="000000" w:sz="4" w:space="0"/>
              <w:right w:val="single" w:color="000000" w:sz="4" w:space="0"/>
            </w:tcBorders>
            <w:tcW w:w="6885" w:type="dxa"/>
            <w:vAlign w:val="center"/>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双桥静力触探</w:t>
            </w:r>
            <w:r>
              <w:rPr>
                <w:rFonts w:ascii="宋体" w:hAnsi="宋体" w:eastAsia="宋体" w:cs="宋体"/>
                <w:color w:val="auto"/>
                <w:sz w:val="21"/>
                <w:szCs w:val="21"/>
                <w:highlight w:val="none"/>
              </w:rPr>
            </w:r>
            <w:r>
              <w:rPr>
                <w:color w:val="auto"/>
              </w:rPr>
            </w:r>
          </w:p>
        </w:tc>
      </w:tr>
      <w:tr>
        <w:trPr>
          <w:gridAfter w:val="1"/>
          <w:trHeight w:val="272"/>
        </w:trPr>
        <w:tc>
          <w:tcPr>
            <w:tcBorders>
              <w:top w:val="none" w:color="000000" w:sz="4" w:space="0"/>
              <w:left w:val="single" w:color="000000" w:sz="4" w:space="0"/>
              <w:bottom w:val="single" w:color="000000" w:sz="4" w:space="0"/>
              <w:right w:val="single" w:color="000000" w:sz="4" w:space="0"/>
            </w:tcBorders>
            <w:tcW w:w="1833" w:type="dxa"/>
            <w:vAlign w:val="center"/>
            <w:vMerge w:val="restart"/>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深度</w:t>
            </w:r>
            <w:r>
              <w:rPr>
                <w:rFonts w:ascii="宋体" w:hAnsi="宋体" w:eastAsia="宋体" w:cs="宋体"/>
                <w:color w:val="auto"/>
                <w:sz w:val="21"/>
                <w:szCs w:val="21"/>
                <w:highlight w:val="none"/>
              </w:rPr>
            </w:r>
            <w:r>
              <w:rPr>
                <w:color w:val="auto"/>
              </w:rPr>
            </w:r>
          </w:p>
        </w:tc>
        <w:tc>
          <w:tcPr>
            <w:tcBorders>
              <w:top w:val="none" w:color="000000" w:sz="4" w:space="0"/>
              <w:left w:val="single" w:color="000000" w:sz="4" w:space="0"/>
              <w:bottom w:val="single" w:color="000000" w:sz="4" w:space="0"/>
              <w:right w:val="single" w:color="000000" w:sz="4" w:space="0"/>
            </w:tcBorders>
            <w:tcW w:w="2552" w:type="dxa"/>
            <w:vAlign w:val="center"/>
            <w:vMerge w:val="restart"/>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类别</w:t>
            </w:r>
            <w:r>
              <w:rPr>
                <w:rFonts w:ascii="宋体" w:hAnsi="宋体" w:eastAsia="宋体" w:cs="宋体"/>
                <w:color w:val="auto"/>
                <w:sz w:val="21"/>
                <w:szCs w:val="21"/>
                <w:highlight w:val="none"/>
              </w:rPr>
            </w:r>
            <w:r>
              <w:rPr>
                <w:color w:val="auto"/>
              </w:rPr>
            </w:r>
          </w:p>
        </w:tc>
        <w:tc>
          <w:tcPr>
            <w:tcBorders>
              <w:top w:val="none" w:color="000000" w:sz="4" w:space="0"/>
              <w:left w:val="single" w:color="000000" w:sz="4" w:space="0"/>
              <w:bottom w:val="single" w:color="000000" w:sz="4" w:space="0"/>
              <w:right w:val="single" w:color="000000" w:sz="4" w:space="0"/>
            </w:tcBorders>
            <w:tcW w:w="2500" w:type="dxa"/>
            <w:vAlign w:val="center"/>
            <w:vMerge w:val="restart"/>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工作量</w:t>
            </w:r>
            <w:r>
              <w:rPr>
                <w:rFonts w:ascii="宋体" w:hAnsi="宋体" w:eastAsia="宋体"/>
                <w:color w:val="auto"/>
                <w:sz w:val="21"/>
                <w:szCs w:val="21"/>
                <w:highlight w:val="none"/>
              </w:rPr>
              <w:t xml:space="preserve">(m)</w:t>
            </w:r>
            <w:r>
              <w:rPr>
                <w:rFonts w:ascii="宋体" w:hAnsi="宋体" w:eastAsia="宋体" w:cs="宋体"/>
                <w:color w:val="auto"/>
                <w:sz w:val="21"/>
                <w:szCs w:val="21"/>
                <w:highlight w:val="none"/>
              </w:rPr>
            </w:r>
            <w:r>
              <w:rPr>
                <w:color w:val="auto"/>
              </w:rPr>
            </w:r>
          </w:p>
        </w:tc>
      </w:tr>
      <w:tr>
        <w:trPr>
          <w:trHeight w:val="270"/>
        </w:trPr>
        <w:tc>
          <w:tcPr>
            <w:tcBorders>
              <w:top w:val="none" w:color="000000" w:sz="4" w:space="0"/>
              <w:left w:val="single" w:color="000000" w:sz="4" w:space="0"/>
              <w:bottom w:val="single" w:color="000000" w:sz="4" w:space="0"/>
              <w:right w:val="single" w:color="000000" w:sz="4" w:space="0"/>
            </w:tcBorders>
            <w:tcW w:w="1833" w:type="dxa"/>
            <w:vAlign w:val="center"/>
            <w:vMerge w:val="continue"/>
            <w:textDirection w:val="lrTb"/>
            <w:noWrap w:val="false"/>
          </w:tcPr>
          <w:p>
            <w:pPr>
              <w:pStyle w:val="702"/>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702"/>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2500" w:type="dxa"/>
            <w:vAlign w:val="center"/>
            <w:vMerge w:val="continue"/>
            <w:textDirection w:val="lrTb"/>
            <w:noWrap w:val="false"/>
          </w:tcPr>
          <w:p>
            <w:pPr>
              <w:pStyle w:val="702"/>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222" w:type="dxa"/>
            <w:vAlign w:val="center"/>
            <w:textDirection w:val="lrTb"/>
            <w:noWrap w:val="false"/>
          </w:tcPr>
          <w:p>
            <w:pPr>
              <w:pStyle w:val="702"/>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rPr>
            </w:r>
          </w:p>
        </w:tc>
      </w:tr>
      <w:tr>
        <w:trPr>
          <w:trHeight w:val="409"/>
        </w:trPr>
        <w:tc>
          <w:tcPr>
            <w:tcBorders>
              <w:top w:val="non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02"/>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0~10 m</w:t>
            </w:r>
            <w:r>
              <w:rPr>
                <w:rFonts w:ascii="宋体" w:hAnsi="宋体" w:eastAsia="宋体" w:cs="宋体"/>
                <w:color w:val="auto"/>
                <w:sz w:val="21"/>
                <w:szCs w:val="21"/>
                <w:highlight w:val="none"/>
              </w:rPr>
            </w:r>
            <w:r>
              <w:rPr>
                <w:color w:val="auto"/>
              </w:rP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Ⅰ</w:t>
            </w:r>
            <w:r>
              <w:rPr>
                <w:rFonts w:ascii="宋体" w:hAnsi="宋体" w:eastAsia="宋体" w:cs="宋体"/>
                <w:color w:val="auto"/>
                <w:sz w:val="21"/>
                <w:szCs w:val="21"/>
                <w:highlight w:val="none"/>
              </w:rPr>
            </w:r>
            <w:r>
              <w:rPr>
                <w:color w:val="auto"/>
              </w:rPr>
            </w:r>
          </w:p>
        </w:tc>
        <w:tc>
          <w:tcPr>
            <w:shd w:val="clear" w:color="000000" w:fill="auto"/>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w:t>
            </w:r>
            <w:r>
              <w:rPr>
                <w:rFonts w:ascii="宋体" w:hAnsi="宋体" w:eastAsia="宋体" w:cs="宋体"/>
                <w:color w:val="auto"/>
                <w:sz w:val="21"/>
                <w:szCs w:val="21"/>
                <w:highlight w:val="none"/>
              </w:rPr>
            </w:r>
            <w:r>
              <w:rPr>
                <w:color w:val="auto"/>
              </w:rP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702"/>
              <w:jc w:val="left"/>
              <w:widowControl/>
              <w:rPr>
                <w:rFonts w:ascii="宋体" w:hAnsi="宋体" w:eastAsia="宋体"/>
                <w:color w:val="auto"/>
                <w:sz w:val="21"/>
                <w:szCs w:val="21"/>
                <w:highlight w:val="none"/>
              </w:rPr>
            </w:pPr>
            <w:r>
              <w:rPr>
                <w:rFonts w:ascii="宋体" w:hAnsi="宋体" w:eastAsia="宋体"/>
                <w:color w:val="auto"/>
                <w:sz w:val="21"/>
                <w:szCs w:val="21"/>
                <w:highlight w:val="none"/>
              </w:rPr>
            </w:r>
            <w:r>
              <w:rPr>
                <w:color w:val="auto"/>
              </w:rPr>
            </w:r>
          </w:p>
        </w:tc>
      </w:tr>
      <w:tr>
        <w:trPr>
          <w:trHeight w:val="415"/>
        </w:trPr>
        <w:tc>
          <w:tcPr>
            <w:tcBorders>
              <w:top w:val="non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02"/>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10~20 m</w:t>
            </w:r>
            <w:r>
              <w:rPr>
                <w:rFonts w:ascii="宋体" w:hAnsi="宋体" w:eastAsia="宋体" w:cs="宋体"/>
                <w:color w:val="auto"/>
                <w:sz w:val="21"/>
                <w:szCs w:val="21"/>
                <w:highlight w:val="none"/>
              </w:rPr>
            </w:r>
            <w:r>
              <w:rPr>
                <w:color w:val="auto"/>
              </w:rP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Ⅰ</w:t>
            </w:r>
            <w:r>
              <w:rPr>
                <w:rFonts w:ascii="宋体" w:hAnsi="宋体" w:eastAsia="宋体" w:cs="宋体"/>
                <w:color w:val="auto"/>
                <w:sz w:val="21"/>
                <w:szCs w:val="21"/>
                <w:highlight w:val="none"/>
              </w:rPr>
            </w:r>
            <w:r>
              <w:rPr>
                <w:color w:val="auto"/>
              </w:rPr>
            </w:r>
          </w:p>
        </w:tc>
        <w:tc>
          <w:tcPr>
            <w:shd w:val="clear" w:color="000000" w:fill="auto"/>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w:t>
            </w:r>
            <w:r>
              <w:rPr>
                <w:rFonts w:ascii="宋体" w:hAnsi="宋体" w:eastAsia="宋体" w:cs="宋体"/>
                <w:color w:val="auto"/>
                <w:sz w:val="21"/>
                <w:szCs w:val="21"/>
                <w:highlight w:val="none"/>
              </w:rPr>
            </w:r>
            <w:r>
              <w:rPr>
                <w:color w:val="auto"/>
              </w:rP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702"/>
              <w:jc w:val="left"/>
              <w:widowControl/>
              <w:rPr>
                <w:rFonts w:ascii="宋体" w:hAnsi="宋体" w:eastAsia="宋体"/>
                <w:color w:val="auto"/>
                <w:sz w:val="21"/>
                <w:szCs w:val="21"/>
                <w:highlight w:val="none"/>
              </w:rPr>
            </w:pPr>
            <w:r>
              <w:rPr>
                <w:rFonts w:ascii="宋体" w:hAnsi="宋体" w:eastAsia="宋体"/>
                <w:color w:val="auto"/>
                <w:sz w:val="21"/>
                <w:szCs w:val="21"/>
                <w:highlight w:val="none"/>
              </w:rPr>
            </w:r>
            <w:r>
              <w:rPr>
                <w:color w:val="auto"/>
              </w:rPr>
            </w:r>
          </w:p>
        </w:tc>
      </w:tr>
      <w:tr>
        <w:trPr>
          <w:gridAfter w:val="1"/>
          <w:trHeight w:val="270"/>
        </w:trPr>
        <w:tc>
          <w:tcPr>
            <w:gridSpan w:val="3"/>
            <w:tcBorders>
              <w:top w:val="single" w:color="000000" w:sz="8" w:space="0"/>
              <w:left w:val="single" w:color="000000" w:sz="4" w:space="0"/>
              <w:bottom w:val="single" w:color="000000" w:sz="4" w:space="0"/>
              <w:right w:val="single" w:color="000000" w:sz="4" w:space="0"/>
            </w:tcBorders>
            <w:tcW w:w="6885" w:type="dxa"/>
            <w:vAlign w:val="center"/>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取</w:t>
            </w:r>
            <w:r>
              <w:rPr>
                <w:rFonts w:ascii="宋体" w:hAnsi="宋体" w:eastAsia="宋体"/>
                <w:color w:val="auto"/>
                <w:sz w:val="21"/>
                <w:szCs w:val="21"/>
                <w:highlight w:val="none"/>
              </w:rPr>
              <w:t xml:space="preserve"> </w:t>
            </w:r>
            <w:r>
              <w:rPr>
                <w:rFonts w:hint="eastAsia" w:ascii="宋体" w:hAnsi="宋体" w:eastAsia="宋体" w:cs="宋体"/>
                <w:color w:val="auto"/>
                <w:sz w:val="21"/>
                <w:szCs w:val="21"/>
                <w:highlight w:val="none"/>
              </w:rPr>
              <w:t xml:space="preserve">土、水</w:t>
            </w:r>
            <w:r>
              <w:rPr>
                <w:rFonts w:ascii="宋体" w:hAnsi="宋体" w:eastAsia="宋体"/>
                <w:color w:val="auto"/>
                <w:sz w:val="21"/>
                <w:szCs w:val="21"/>
                <w:highlight w:val="none"/>
              </w:rPr>
              <w:t xml:space="preserve"> </w:t>
            </w:r>
            <w:r>
              <w:rPr>
                <w:rFonts w:hint="eastAsia" w:ascii="宋体" w:hAnsi="宋体" w:eastAsia="宋体" w:cs="宋体"/>
                <w:color w:val="auto"/>
                <w:sz w:val="21"/>
                <w:szCs w:val="21"/>
                <w:highlight w:val="none"/>
              </w:rPr>
              <w:t xml:space="preserve">样</w:t>
            </w:r>
            <w:r>
              <w:rPr>
                <w:rFonts w:ascii="宋体" w:hAnsi="宋体" w:eastAsia="宋体" w:cs="宋体"/>
                <w:color w:val="auto"/>
                <w:sz w:val="21"/>
                <w:szCs w:val="21"/>
                <w:highlight w:val="none"/>
              </w:rPr>
            </w:r>
            <w:r>
              <w:rPr>
                <w:color w:val="auto"/>
              </w:rPr>
            </w:r>
          </w:p>
        </w:tc>
      </w:tr>
      <w:tr>
        <w:trPr>
          <w:gridAfter w:val="1"/>
          <w:trHeight w:val="270"/>
        </w:trPr>
        <w:tc>
          <w:tcPr>
            <w:gridSpan w:val="2"/>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深度（</w:t>
            </w:r>
            <w:r>
              <w:rPr>
                <w:rFonts w:ascii="宋体" w:hAnsi="宋体" w:eastAsia="宋体"/>
                <w:color w:val="auto"/>
                <w:sz w:val="21"/>
                <w:szCs w:val="21"/>
                <w:highlight w:val="none"/>
              </w:rPr>
              <w:t xml:space="preserve">m</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r>
            <w:r>
              <w:rPr>
                <w:color w:val="auto"/>
              </w:rPr>
            </w:r>
          </w:p>
        </w:tc>
        <w:tc>
          <w:tcPr>
            <w:tcBorders>
              <w:top w:val="none" w:color="000000" w:sz="4" w:space="0"/>
              <w:left w:val="single" w:color="000000" w:sz="4" w:space="0"/>
              <w:bottom w:val="single" w:color="000000" w:sz="4" w:space="0"/>
              <w:right w:val="single" w:color="000000" w:sz="4" w:space="0"/>
            </w:tcBorders>
            <w:tcW w:w="2500" w:type="dxa"/>
            <w:vAlign w:val="center"/>
            <w:textDirection w:val="lrTb"/>
            <w:noWrap w:val="false"/>
          </w:tcPr>
          <w:p>
            <w:pPr>
              <w:pStyle w:val="702"/>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只数</w:t>
            </w:r>
            <w:r>
              <w:rPr>
                <w:rFonts w:hint="eastAsia" w:ascii="宋体" w:hAnsi="宋体" w:eastAsia="宋体" w:cs="宋体"/>
                <w:color w:val="auto"/>
                <w:sz w:val="21"/>
                <w:szCs w:val="21"/>
                <w:highlight w:val="none"/>
              </w:rPr>
            </w:r>
            <w:r>
              <w:rPr>
                <w:color w:val="auto"/>
              </w:rPr>
            </w:r>
          </w:p>
        </w:tc>
      </w:tr>
      <w:tr>
        <w:trPr>
          <w:gridAfter w:val="1"/>
          <w:trHeight w:val="405"/>
        </w:trPr>
        <w:tc>
          <w:tcPr>
            <w:tcBorders>
              <w:top w:val="non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rPr>
                <w:rFonts w:ascii="宋体" w:hAnsi="宋体" w:eastAsia="宋体" w:cs="宋体"/>
                <w:color w:val="auto"/>
                <w:sz w:val="21"/>
                <w:szCs w:val="21"/>
                <w:highlight w:val="none"/>
              </w:rPr>
            </w:r>
            <w:r>
              <w:rPr>
                <w:color w:val="auto"/>
              </w:rPr>
            </w:r>
          </w:p>
        </w:tc>
        <w:tc>
          <w:tcPr>
            <w:tcBorders>
              <w:top w:val="none" w:color="000000" w:sz="0" w:space="0"/>
              <w:left w:val="none" w:color="000000" w:sz="4" w:space="0"/>
              <w:bottom w:val="single" w:color="000000" w:sz="4" w:space="0"/>
              <w:right w:val="single" w:color="000000" w:sz="4" w:space="0"/>
            </w:tcBorders>
            <w:tcW w:w="2552" w:type="dxa"/>
            <w:vAlign w:val="center"/>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活塞法</w:t>
            </w:r>
            <w:r>
              <w:rPr>
                <w:rFonts w:ascii="宋体" w:hAnsi="宋体" w:eastAsia="宋体" w:cs="宋体"/>
                <w:color w:val="auto"/>
                <w:sz w:val="21"/>
                <w:szCs w:val="21"/>
                <w:highlight w:val="none"/>
              </w:rPr>
            </w:r>
            <w:r>
              <w:rPr>
                <w:color w:val="auto"/>
              </w:rPr>
            </w:r>
          </w:p>
        </w:tc>
        <w:tc>
          <w:tcPr>
            <w:shd w:val="clear" w:color="000000" w:fill="auto"/>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rPr>
                <w:rFonts w:ascii="宋体" w:hAnsi="宋体" w:eastAsia="宋体" w:cs="宋体"/>
                <w:color w:val="auto"/>
                <w:sz w:val="21"/>
                <w:szCs w:val="21"/>
                <w:highlight w:val="none"/>
              </w:rPr>
            </w:r>
            <w:r>
              <w:rPr>
                <w:color w:val="auto"/>
              </w:rPr>
            </w:r>
          </w:p>
        </w:tc>
      </w:tr>
    </w:tbl>
    <w:p>
      <w:pPr>
        <w:pStyle w:val="714"/>
        <w:ind w:firstLine="400"/>
        <w:rPr>
          <w:rFonts w:ascii="宋体" w:hAnsi="宋体" w:eastAsia="宋体" w:cs="宋体"/>
          <w:color w:val="auto"/>
          <w:sz w:val="20"/>
          <w:highlight w:val="none"/>
        </w:rPr>
      </w:pPr>
      <w:r>
        <w:rPr>
          <w:rFonts w:ascii="宋体" w:hAnsi="宋体" w:eastAsia="宋体" w:cs="宋体"/>
          <w:color w:val="auto"/>
          <w:sz w:val="20"/>
          <w:highlight w:val="none"/>
          <w:lang w:bidi="ar"/>
        </w:rPr>
      </w:r>
      <w:r>
        <w:rPr>
          <w:color w:val="auto"/>
        </w:rPr>
      </w:r>
    </w:p>
    <w:p>
      <w:pPr>
        <w:pStyle w:val="714"/>
        <w:ind w:firstLine="400"/>
        <w:rPr>
          <w:rFonts w:eastAsia="宋体"/>
          <w:color w:val="auto"/>
          <w:highlight w:val="none"/>
        </w:rPr>
      </w:pPr>
      <w:r>
        <w:rPr>
          <w:rFonts w:hint="eastAsia" w:ascii="宋体" w:hAnsi="宋体" w:eastAsia="宋体" w:cs="宋体"/>
          <w:color w:val="auto"/>
          <w:sz w:val="20"/>
          <w:highlight w:val="none"/>
          <w:lang w:bidi="ar"/>
        </w:rPr>
        <w:t xml:space="preserve">2、高密度电阻法</w:t>
      </w:r>
      <w:r>
        <w:rPr>
          <w:rFonts w:hint="eastAsia" w:ascii="宋体" w:hAnsi="宋体" w:eastAsia="宋体" w:cs="宋体"/>
          <w:color w:val="auto"/>
          <w:sz w:val="21"/>
          <w:szCs w:val="21"/>
          <w:highlight w:val="none"/>
        </w:rPr>
        <w:t xml:space="preserve">测量</w:t>
      </w:r>
      <w:r>
        <w:rPr>
          <w:rFonts w:eastAsia="宋体"/>
          <w:color w:val="auto"/>
          <w:highlight w:val="none"/>
        </w:rPr>
      </w:r>
      <w:r>
        <w:rPr>
          <w:color w:val="auto"/>
        </w:rPr>
      </w:r>
    </w:p>
    <w:tbl>
      <w:tblPr>
        <w:tblW w:w="6825" w:type="dxa"/>
        <w:tblInd w:w="617" w:type="dxa"/>
        <w:tblLayout w:type="fixed"/>
        <w:tblCellMar>
          <w:left w:w="108" w:type="dxa"/>
          <w:top w:w="0" w:type="dxa"/>
          <w:right w:w="108" w:type="dxa"/>
          <w:bottom w:w="0" w:type="dxa"/>
        </w:tblCellMar>
        <w:tblLook w:val="04A0" w:firstRow="1" w:lastRow="0" w:firstColumn="1" w:lastColumn="0" w:noHBand="0" w:noVBand="1"/>
      </w:tblPr>
      <w:tblGrid>
        <w:gridCol w:w="975"/>
        <w:gridCol w:w="2118"/>
        <w:gridCol w:w="1842"/>
        <w:gridCol w:w="1890"/>
      </w:tblGrid>
      <w:tr>
        <w:trPr>
          <w:trHeight w:val="465"/>
        </w:trPr>
        <w:tc>
          <w:tcPr>
            <w:shd w:val="clear" w:color="000000" w:fill="ffffff"/>
            <w:tcBorders>
              <w:top w:val="single" w:color="000000" w:sz="8" w:space="0"/>
              <w:left w:val="single" w:color="000000" w:sz="8" w:space="0"/>
              <w:bottom w:val="single" w:color="000000" w:sz="4" w:space="0"/>
              <w:right w:val="single" w:color="000000" w:sz="4" w:space="0"/>
            </w:tcBorders>
            <w:tcW w:w="975" w:type="dxa"/>
            <w:vAlign w:val="center"/>
            <w:textDirection w:val="lrTb"/>
            <w:noWrap w:val="false"/>
          </w:tcPr>
          <w:p>
            <w:pPr>
              <w:pStyle w:val="702"/>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序号</w:t>
            </w:r>
            <w:r>
              <w:rPr>
                <w:rFonts w:ascii="宋体" w:hAnsi="宋体" w:eastAsia="宋体" w:cs="宋体"/>
                <w:color w:val="auto"/>
                <w:sz w:val="20"/>
                <w:highlight w:val="none"/>
              </w:rPr>
            </w:r>
            <w:r>
              <w:rPr>
                <w:color w:val="auto"/>
              </w:rPr>
            </w:r>
          </w:p>
        </w:tc>
        <w:tc>
          <w:tcPr>
            <w:shd w:val="clear" w:color="000000" w:fill="ffffff"/>
            <w:tcBorders>
              <w:top w:val="single" w:color="000000" w:sz="8" w:space="0"/>
              <w:left w:val="none" w:color="000000" w:sz="4" w:space="0"/>
              <w:bottom w:val="single" w:color="000000" w:sz="4" w:space="0"/>
              <w:right w:val="single" w:color="000000" w:sz="4" w:space="0"/>
            </w:tcBorders>
            <w:tcW w:w="2118" w:type="dxa"/>
            <w:vAlign w:val="center"/>
            <w:textDirection w:val="lrTb"/>
            <w:noWrap w:val="false"/>
          </w:tcPr>
          <w:p>
            <w:pPr>
              <w:pStyle w:val="702"/>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工作内容</w:t>
            </w:r>
            <w:r>
              <w:rPr>
                <w:rFonts w:ascii="宋体" w:hAnsi="宋体" w:eastAsia="宋体" w:cs="宋体"/>
                <w:color w:val="auto"/>
                <w:sz w:val="20"/>
                <w:highlight w:val="none"/>
              </w:rPr>
            </w:r>
            <w:r>
              <w:rPr>
                <w:color w:val="auto"/>
              </w:rPr>
            </w:r>
          </w:p>
        </w:tc>
        <w:tc>
          <w:tcPr>
            <w:shd w:val="clear" w:color="000000" w:fill="ffffff"/>
            <w:tcBorders>
              <w:top w:val="single" w:color="000000" w:sz="8" w:space="0"/>
              <w:left w:val="none" w:color="000000" w:sz="4" w:space="0"/>
              <w:bottom w:val="single" w:color="000000" w:sz="4" w:space="0"/>
              <w:right w:val="single" w:color="000000" w:sz="4" w:space="0"/>
            </w:tcBorders>
            <w:tcW w:w="1842" w:type="dxa"/>
            <w:vAlign w:val="center"/>
            <w:textDirection w:val="lrTb"/>
            <w:noWrap w:val="false"/>
          </w:tcPr>
          <w:p>
            <w:pPr>
              <w:pStyle w:val="702"/>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单位</w:t>
            </w:r>
            <w:r>
              <w:rPr>
                <w:rFonts w:ascii="宋体" w:hAnsi="宋体" w:eastAsia="宋体" w:cs="宋体"/>
                <w:color w:val="auto"/>
                <w:sz w:val="20"/>
                <w:highlight w:val="none"/>
              </w:rPr>
            </w:r>
            <w:r>
              <w:rPr>
                <w:color w:val="auto"/>
              </w:rPr>
            </w:r>
          </w:p>
        </w:tc>
        <w:tc>
          <w:tcPr>
            <w:shd w:val="clear" w:color="000000" w:fill="ffffff"/>
            <w:tcBorders>
              <w:top w:val="single" w:color="000000" w:sz="8" w:space="0"/>
              <w:left w:val="none" w:color="000000" w:sz="4" w:space="0"/>
              <w:bottom w:val="single" w:color="000000" w:sz="4" w:space="0"/>
              <w:right w:val="single" w:color="000000" w:sz="4" w:space="0"/>
            </w:tcBorders>
            <w:tcW w:w="1890" w:type="dxa"/>
            <w:vAlign w:val="center"/>
            <w:textDirection w:val="lrTb"/>
            <w:noWrap w:val="false"/>
          </w:tcPr>
          <w:p>
            <w:pPr>
              <w:pStyle w:val="702"/>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工作量</w:t>
            </w:r>
            <w:r>
              <w:rPr>
                <w:rFonts w:ascii="宋体" w:hAnsi="宋体" w:eastAsia="宋体" w:cs="宋体"/>
                <w:color w:val="auto"/>
                <w:sz w:val="20"/>
                <w:highlight w:val="none"/>
              </w:rPr>
            </w:r>
            <w:r>
              <w:rPr>
                <w:color w:val="auto"/>
              </w:rPr>
            </w:r>
          </w:p>
        </w:tc>
      </w:tr>
      <w:tr>
        <w:trPr>
          <w:trHeight w:val="368"/>
        </w:trPr>
        <w:tc>
          <w:tcPr>
            <w:shd w:val="clear" w:color="000000" w:fill="ffffff"/>
            <w:tcBorders>
              <w:top w:val="none" w:color="000000" w:sz="4" w:space="0"/>
              <w:left w:val="single" w:color="000000" w:sz="8" w:space="0"/>
              <w:bottom w:val="single" w:color="000000" w:sz="4" w:space="0"/>
              <w:right w:val="single" w:color="000000" w:sz="4" w:space="0"/>
            </w:tcBorders>
            <w:tcW w:w="975" w:type="dxa"/>
            <w:vAlign w:val="center"/>
            <w:vMerge w:val="restart"/>
            <w:textDirection w:val="lrTb"/>
            <w:noWrap w:val="false"/>
          </w:tcPr>
          <w:p>
            <w:pPr>
              <w:pStyle w:val="702"/>
              <w:jc w:val="center"/>
              <w:widowControl/>
              <w:rPr>
                <w:rFonts w:eastAsia="宋体"/>
                <w:color w:val="auto"/>
                <w:sz w:val="20"/>
                <w:highlight w:val="none"/>
              </w:rPr>
            </w:pPr>
            <w:r>
              <w:rPr>
                <w:rFonts w:eastAsia="宋体"/>
                <w:color w:val="auto"/>
                <w:sz w:val="20"/>
                <w:highlight w:val="none"/>
              </w:rPr>
              <w:t xml:space="preserve">1</w:t>
            </w:r>
            <w:r>
              <w:rPr>
                <w:rFonts w:eastAsia="宋体"/>
                <w:color w:val="auto"/>
                <w:sz w:val="20"/>
                <w:highlight w:val="none"/>
              </w:rPr>
            </w:r>
            <w:r>
              <w:rPr>
                <w:color w:val="auto"/>
              </w:rPr>
            </w:r>
          </w:p>
        </w:tc>
        <w:tc>
          <w:tcPr>
            <w:shd w:val="clear" w:color="000000" w:fill="ffffff"/>
            <w:tcBorders>
              <w:top w:val="none" w:color="000000" w:sz="4" w:space="0"/>
              <w:left w:val="single" w:color="000000" w:sz="4" w:space="0"/>
              <w:bottom w:val="single" w:color="000000" w:sz="4" w:space="0"/>
              <w:right w:val="single" w:color="000000" w:sz="4" w:space="0"/>
            </w:tcBorders>
            <w:tcW w:w="2118" w:type="dxa"/>
            <w:vAlign w:val="center"/>
            <w:vMerge w:val="restart"/>
            <w:textDirection w:val="lrTb"/>
            <w:noWrap w:val="false"/>
          </w:tcPr>
          <w:p>
            <w:pPr>
              <w:pStyle w:val="702"/>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场地规格</w:t>
            </w:r>
            <w:r>
              <w:rPr>
                <w:rFonts w:ascii="宋体" w:hAnsi="宋体" w:eastAsia="宋体" w:cs="宋体"/>
                <w:color w:val="auto"/>
                <w:sz w:val="20"/>
                <w:highlight w:val="none"/>
              </w:rPr>
            </w:r>
            <w:r>
              <w:rPr>
                <w:color w:val="auto"/>
              </w:rPr>
            </w:r>
          </w:p>
        </w:tc>
        <w:tc>
          <w:tcPr>
            <w:shd w:val="clear" w:color="000000" w:fill="ffffff"/>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702"/>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面积（</w:t>
            </w:r>
            <w:r>
              <w:rPr>
                <w:rFonts w:eastAsia="宋体"/>
                <w:color w:val="auto"/>
                <w:sz w:val="20"/>
                <w:highlight w:val="none"/>
              </w:rPr>
              <w:t xml:space="preserve">M²</w:t>
            </w:r>
            <w:r>
              <w:rPr>
                <w:rFonts w:hint="eastAsia" w:ascii="宋体" w:hAnsi="宋体" w:eastAsia="宋体" w:cs="宋体"/>
                <w:color w:val="auto"/>
                <w:sz w:val="20"/>
                <w:highlight w:val="none"/>
              </w:rPr>
              <w:t xml:space="preserve">）</w:t>
            </w:r>
            <w:r>
              <w:rPr>
                <w:rFonts w:ascii="宋体" w:hAnsi="宋体" w:eastAsia="宋体" w:cs="宋体"/>
                <w:color w:val="auto"/>
                <w:sz w:val="20"/>
                <w:highlight w:val="none"/>
              </w:rPr>
            </w:r>
            <w:r>
              <w:rPr>
                <w:color w:val="auto"/>
              </w:rPr>
            </w:r>
          </w:p>
        </w:tc>
        <w:tc>
          <w:tcPr>
            <w:shd w:val="clear" w:color="000000" w:fill="ffffff"/>
            <w:tcBorders>
              <w:top w:val="none" w:color="000000" w:sz="4" w:space="0"/>
              <w:left w:val="none" w:color="000000" w:sz="4" w:space="0"/>
              <w:bottom w:val="single" w:color="000000" w:sz="4" w:space="0"/>
              <w:right w:val="single" w:color="000000" w:sz="8" w:space="0"/>
            </w:tcBorders>
            <w:tcW w:w="1890" w:type="dxa"/>
            <w:vAlign w:val="center"/>
            <w:textDirection w:val="lrTb"/>
            <w:noWrap w:val="false"/>
          </w:tcPr>
          <w:p>
            <w:pPr>
              <w:pStyle w:val="702"/>
              <w:jc w:val="center"/>
              <w:keepLines w:val="0"/>
              <w:keepNext w:val="0"/>
              <w:widowControl/>
              <w:rPr>
                <w:rFonts w:eastAsia="宋体"/>
                <w:color w:val="auto"/>
                <w:sz w:val="20"/>
                <w:highlight w:val="none"/>
              </w:rPr>
              <w:suppressLineNumbers w:val="0"/>
            </w:pPr>
            <w:r>
              <w:rPr>
                <w:rFonts w:ascii="Times New Roman" w:hAnsi="Times New Roman" w:eastAsia="宋体" w:cs="Times New Roman"/>
                <w:i w:val="0"/>
                <w:iCs w:val="0"/>
                <w:color w:val="auto"/>
                <w:sz w:val="20"/>
                <w:szCs w:val="20"/>
                <w:highlight w:val="none"/>
                <w:u w:val="none"/>
                <w:lang w:val="en-US" w:eastAsia="zh-CN" w:bidi="ar"/>
              </w:rPr>
              <w:t xml:space="preserve">4985 </w:t>
            </w:r>
            <w:r>
              <w:rPr>
                <w:rFonts w:eastAsia="宋体"/>
                <w:color w:val="auto"/>
                <w:sz w:val="20"/>
                <w:highlight w:val="none"/>
              </w:rPr>
            </w:r>
            <w:r>
              <w:rPr>
                <w:color w:val="auto"/>
              </w:rPr>
            </w:r>
          </w:p>
        </w:tc>
      </w:tr>
      <w:tr>
        <w:trPr>
          <w:trHeight w:val="358"/>
        </w:trPr>
        <w:tc>
          <w:tcPr>
            <w:tcBorders>
              <w:top w:val="none" w:color="000000" w:sz="4" w:space="0"/>
              <w:left w:val="single" w:color="000000" w:sz="8" w:space="0"/>
              <w:bottom w:val="single" w:color="000000" w:sz="4" w:space="0"/>
              <w:right w:val="single" w:color="000000" w:sz="4" w:space="0"/>
            </w:tcBorders>
            <w:tcW w:w="975" w:type="dxa"/>
            <w:vAlign w:val="center"/>
            <w:vMerge w:val="continue"/>
            <w:textDirection w:val="lrTb"/>
            <w:noWrap w:val="false"/>
          </w:tcPr>
          <w:p>
            <w:pPr>
              <w:pStyle w:val="702"/>
              <w:jc w:val="left"/>
              <w:widowControl/>
              <w:rPr>
                <w:rFonts w:eastAsia="宋体"/>
                <w:color w:val="000000"/>
                <w:sz w:val="20"/>
                <w:highlight w:val="none"/>
              </w:rPr>
            </w:pPr>
            <w:r>
              <w:rPr>
                <w:rFonts w:eastAsia="宋体"/>
                <w:color w:val="000000"/>
                <w:sz w:val="20"/>
                <w:highlight w:val="none"/>
              </w:rPr>
            </w:r>
            <w:r/>
          </w:p>
        </w:tc>
        <w:tc>
          <w:tcPr>
            <w:tcBorders>
              <w:top w:val="none" w:color="000000" w:sz="4" w:space="0"/>
              <w:left w:val="single" w:color="000000" w:sz="4" w:space="0"/>
              <w:bottom w:val="single" w:color="000000" w:sz="4" w:space="0"/>
              <w:right w:val="single" w:color="000000" w:sz="4" w:space="0"/>
            </w:tcBorders>
            <w:tcW w:w="2118" w:type="dxa"/>
            <w:vAlign w:val="center"/>
            <w:vMerge w:val="continue"/>
            <w:textDirection w:val="lrTb"/>
            <w:noWrap w:val="false"/>
          </w:tcPr>
          <w:p>
            <w:pPr>
              <w:pStyle w:val="702"/>
              <w:jc w:val="left"/>
              <w:widowControl/>
              <w:rPr>
                <w:rFonts w:ascii="宋体" w:hAnsi="宋体" w:eastAsia="宋体" w:cs="宋体"/>
                <w:color w:val="000000"/>
                <w:sz w:val="20"/>
                <w:highlight w:val="none"/>
              </w:rPr>
            </w:pPr>
            <w:r>
              <w:rPr>
                <w:rFonts w:ascii="宋体" w:hAnsi="宋体" w:eastAsia="宋体" w:cs="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702"/>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长（m）</w:t>
            </w:r>
            <w:r>
              <w:rPr>
                <w:rFonts w:ascii="宋体" w:hAnsi="宋体" w:eastAsia="宋体" w:cs="宋体"/>
                <w:color w:val="auto"/>
                <w:sz w:val="20"/>
                <w:highlight w:val="none"/>
              </w:rPr>
            </w:r>
            <w:r>
              <w:rPr>
                <w:color w:val="auto"/>
              </w:rPr>
            </w:r>
          </w:p>
        </w:tc>
        <w:tc>
          <w:tcPr>
            <w:shd w:val="clear" w:color="000000" w:fill="ffffff"/>
            <w:tcBorders>
              <w:top w:val="none" w:color="000000" w:sz="4" w:space="0"/>
              <w:left w:val="none" w:color="000000" w:sz="4" w:space="0"/>
              <w:bottom w:val="single" w:color="000000" w:sz="4" w:space="0"/>
              <w:right w:val="single" w:color="000000" w:sz="8" w:space="0"/>
            </w:tcBorders>
            <w:tcW w:w="1890" w:type="dxa"/>
            <w:vAlign w:val="center"/>
            <w:textDirection w:val="lrTb"/>
            <w:noWrap w:val="false"/>
          </w:tcPr>
          <w:p>
            <w:pPr>
              <w:pStyle w:val="702"/>
              <w:jc w:val="center"/>
              <w:keepLines w:val="0"/>
              <w:keepNext w:val="0"/>
              <w:widowControl/>
              <w:rPr>
                <w:rFonts w:eastAsia="宋体"/>
                <w:color w:val="auto"/>
                <w:sz w:val="20"/>
                <w:highlight w:val="none"/>
              </w:rPr>
              <w:suppressLineNumbers w:val="0"/>
            </w:pPr>
            <w:r>
              <w:rPr>
                <w:rFonts w:ascii="Times New Roman" w:hAnsi="Times New Roman" w:eastAsia="宋体" w:cs="Times New Roman"/>
                <w:i w:val="0"/>
                <w:iCs w:val="0"/>
                <w:color w:val="auto"/>
                <w:sz w:val="20"/>
                <w:szCs w:val="20"/>
                <w:highlight w:val="none"/>
                <w:u w:val="none"/>
                <w:lang w:val="en-US" w:eastAsia="zh-CN" w:bidi="ar"/>
              </w:rPr>
              <w:t xml:space="preserve">70</w:t>
            </w:r>
            <w:r>
              <w:rPr>
                <w:rFonts w:eastAsia="宋体"/>
                <w:color w:val="auto"/>
                <w:sz w:val="20"/>
                <w:highlight w:val="none"/>
              </w:rPr>
            </w:r>
            <w:r>
              <w:rPr>
                <w:color w:val="auto"/>
              </w:rPr>
            </w:r>
          </w:p>
        </w:tc>
      </w:tr>
      <w:tr>
        <w:trPr>
          <w:trHeight w:val="304"/>
        </w:trPr>
        <w:tc>
          <w:tcPr>
            <w:tcBorders>
              <w:top w:val="none" w:color="000000" w:sz="4" w:space="0"/>
              <w:left w:val="single" w:color="000000" w:sz="8" w:space="0"/>
              <w:bottom w:val="single" w:color="000000" w:sz="4" w:space="0"/>
              <w:right w:val="single" w:color="000000" w:sz="4" w:space="0"/>
            </w:tcBorders>
            <w:tcW w:w="975" w:type="dxa"/>
            <w:vAlign w:val="center"/>
            <w:vMerge w:val="continue"/>
            <w:textDirection w:val="lrTb"/>
            <w:noWrap w:val="false"/>
          </w:tcPr>
          <w:p>
            <w:pPr>
              <w:pStyle w:val="702"/>
              <w:jc w:val="left"/>
              <w:widowControl/>
              <w:rPr>
                <w:rFonts w:eastAsia="宋体"/>
                <w:color w:val="000000"/>
                <w:sz w:val="20"/>
                <w:highlight w:val="none"/>
              </w:rPr>
            </w:pPr>
            <w:r>
              <w:rPr>
                <w:rFonts w:eastAsia="宋体"/>
                <w:color w:val="000000"/>
                <w:sz w:val="20"/>
                <w:highlight w:val="none"/>
              </w:rPr>
            </w:r>
            <w:r/>
          </w:p>
        </w:tc>
        <w:tc>
          <w:tcPr>
            <w:tcBorders>
              <w:top w:val="none" w:color="000000" w:sz="4" w:space="0"/>
              <w:left w:val="single" w:color="000000" w:sz="4" w:space="0"/>
              <w:bottom w:val="single" w:color="000000" w:sz="4" w:space="0"/>
              <w:right w:val="single" w:color="000000" w:sz="4" w:space="0"/>
            </w:tcBorders>
            <w:tcW w:w="2118" w:type="dxa"/>
            <w:vAlign w:val="center"/>
            <w:vMerge w:val="continue"/>
            <w:textDirection w:val="lrTb"/>
            <w:noWrap w:val="false"/>
          </w:tcPr>
          <w:p>
            <w:pPr>
              <w:pStyle w:val="702"/>
              <w:jc w:val="left"/>
              <w:widowControl/>
              <w:rPr>
                <w:rFonts w:ascii="宋体" w:hAnsi="宋体" w:eastAsia="宋体" w:cs="宋体"/>
                <w:color w:val="000000"/>
                <w:sz w:val="20"/>
                <w:highlight w:val="none"/>
              </w:rPr>
            </w:pPr>
            <w:r>
              <w:rPr>
                <w:rFonts w:ascii="宋体" w:hAnsi="宋体" w:eastAsia="宋体" w:cs="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702"/>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宽（m）</w:t>
            </w:r>
            <w:r>
              <w:rPr>
                <w:rFonts w:ascii="宋体" w:hAnsi="宋体" w:eastAsia="宋体" w:cs="宋体"/>
                <w:color w:val="auto"/>
                <w:sz w:val="20"/>
                <w:highlight w:val="none"/>
              </w:rPr>
            </w:r>
            <w:r>
              <w:rPr>
                <w:color w:val="auto"/>
              </w:rPr>
            </w:r>
          </w:p>
        </w:tc>
        <w:tc>
          <w:tcPr>
            <w:shd w:val="clear" w:color="000000" w:fill="ffffff"/>
            <w:tcBorders>
              <w:top w:val="none" w:color="000000" w:sz="4" w:space="0"/>
              <w:left w:val="none" w:color="000000" w:sz="4" w:space="0"/>
              <w:bottom w:val="single" w:color="000000" w:sz="4" w:space="0"/>
              <w:right w:val="single" w:color="000000" w:sz="8" w:space="0"/>
            </w:tcBorders>
            <w:tcW w:w="1890" w:type="dxa"/>
            <w:vAlign w:val="center"/>
            <w:textDirection w:val="lrTb"/>
            <w:noWrap w:val="false"/>
          </w:tcPr>
          <w:p>
            <w:pPr>
              <w:pStyle w:val="702"/>
              <w:jc w:val="center"/>
              <w:keepLines w:val="0"/>
              <w:keepNext w:val="0"/>
              <w:widowControl/>
              <w:rPr>
                <w:rFonts w:eastAsia="宋体"/>
                <w:color w:val="auto"/>
                <w:sz w:val="20"/>
                <w:highlight w:val="none"/>
              </w:rPr>
              <w:suppressLineNumbers w:val="0"/>
            </w:pPr>
            <w:r>
              <w:rPr>
                <w:rFonts w:ascii="Times New Roman" w:hAnsi="Times New Roman" w:eastAsia="宋体" w:cs="Times New Roman"/>
                <w:i w:val="0"/>
                <w:iCs w:val="0"/>
                <w:color w:val="auto"/>
                <w:sz w:val="20"/>
                <w:szCs w:val="20"/>
                <w:highlight w:val="none"/>
                <w:u w:val="none"/>
                <w:lang w:val="en-US" w:eastAsia="zh-CN" w:bidi="ar"/>
              </w:rPr>
              <w:t xml:space="preserve">72</w:t>
            </w:r>
            <w:r>
              <w:rPr>
                <w:rFonts w:eastAsia="宋体"/>
                <w:color w:val="auto"/>
                <w:sz w:val="20"/>
                <w:highlight w:val="none"/>
              </w:rPr>
            </w:r>
            <w:r>
              <w:rPr>
                <w:color w:val="auto"/>
              </w:rPr>
            </w:r>
          </w:p>
        </w:tc>
      </w:tr>
      <w:tr>
        <w:trPr>
          <w:trHeight w:val="326"/>
        </w:trPr>
        <w:tc>
          <w:tcPr>
            <w:shd w:val="clear" w:color="000000" w:fill="ffffff"/>
            <w:tcBorders>
              <w:top w:val="none" w:color="000000" w:sz="4" w:space="0"/>
              <w:left w:val="single" w:color="000000" w:sz="8" w:space="0"/>
              <w:bottom w:val="single" w:color="000000" w:sz="4" w:space="0"/>
              <w:right w:val="single" w:color="000000" w:sz="4" w:space="0"/>
            </w:tcBorders>
            <w:tcW w:w="975" w:type="dxa"/>
            <w:vAlign w:val="center"/>
            <w:textDirection w:val="lrTb"/>
            <w:noWrap w:val="false"/>
          </w:tcPr>
          <w:p>
            <w:pPr>
              <w:pStyle w:val="702"/>
              <w:jc w:val="center"/>
              <w:widowControl/>
              <w:rPr>
                <w:rFonts w:eastAsia="宋体"/>
                <w:color w:val="auto"/>
                <w:sz w:val="20"/>
                <w:highlight w:val="none"/>
              </w:rPr>
            </w:pPr>
            <w:r>
              <w:rPr>
                <w:rFonts w:eastAsia="宋体"/>
                <w:color w:val="auto"/>
                <w:sz w:val="20"/>
                <w:highlight w:val="none"/>
              </w:rPr>
              <w:t xml:space="preserve">2</w:t>
            </w:r>
            <w:r>
              <w:rPr>
                <w:rFonts w:eastAsia="宋体"/>
                <w:color w:val="auto"/>
                <w:sz w:val="20"/>
                <w:highlight w:val="none"/>
              </w:rPr>
            </w:r>
            <w:r>
              <w:rPr>
                <w:color w:val="auto"/>
              </w:rP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960" w:type="dxa"/>
            <w:vAlign w:val="center"/>
            <w:textDirection w:val="lrTb"/>
            <w:noWrap w:val="false"/>
          </w:tcPr>
          <w:p>
            <w:pPr>
              <w:pStyle w:val="702"/>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电极间距（m）</w:t>
            </w:r>
            <w:r>
              <w:rPr>
                <w:rFonts w:ascii="宋体" w:hAnsi="宋体" w:eastAsia="宋体" w:cs="宋体"/>
                <w:color w:val="auto"/>
                <w:sz w:val="20"/>
                <w:highlight w:val="none"/>
              </w:rPr>
            </w:r>
            <w:r>
              <w:rPr>
                <w:color w:val="auto"/>
              </w:rPr>
            </w:r>
          </w:p>
        </w:tc>
        <w:tc>
          <w:tcPr>
            <w:shd w:val="clear" w:color="000000" w:fill="ffffff"/>
            <w:tcBorders>
              <w:top w:val="none" w:color="000000" w:sz="4" w:space="0"/>
              <w:left w:val="none" w:color="000000" w:sz="4" w:space="0"/>
              <w:bottom w:val="single" w:color="000000" w:sz="4" w:space="0"/>
              <w:right w:val="single" w:color="000000" w:sz="8" w:space="0"/>
            </w:tcBorders>
            <w:tcW w:w="1890" w:type="dxa"/>
            <w:vAlign w:val="center"/>
            <w:textDirection w:val="lrTb"/>
            <w:noWrap w:val="false"/>
          </w:tcPr>
          <w:p>
            <w:pPr>
              <w:pStyle w:val="702"/>
              <w:jc w:val="center"/>
              <w:widowControl/>
              <w:rPr>
                <w:rFonts w:eastAsia="宋体"/>
                <w:color w:val="auto"/>
                <w:sz w:val="20"/>
                <w:highlight w:val="none"/>
              </w:rPr>
            </w:pPr>
            <w:r>
              <w:rPr>
                <w:rFonts w:eastAsia="宋体"/>
                <w:color w:val="auto"/>
                <w:sz w:val="20"/>
                <w:highlight w:val="none"/>
              </w:rPr>
              <w:t xml:space="preserve">1</w:t>
            </w:r>
            <w:r>
              <w:rPr>
                <w:rFonts w:eastAsia="宋体"/>
                <w:color w:val="auto"/>
                <w:sz w:val="20"/>
                <w:highlight w:val="none"/>
              </w:rPr>
            </w:r>
            <w:r>
              <w:rPr>
                <w:color w:val="auto"/>
              </w:rPr>
            </w:r>
          </w:p>
        </w:tc>
      </w:tr>
      <w:tr>
        <w:trPr>
          <w:trHeight w:val="304"/>
        </w:trPr>
        <w:tc>
          <w:tcPr>
            <w:shd w:val="clear" w:color="000000" w:fill="ffffff"/>
            <w:tcBorders>
              <w:top w:val="none" w:color="000000" w:sz="4" w:space="0"/>
              <w:left w:val="single" w:color="000000" w:sz="8" w:space="0"/>
              <w:bottom w:val="single" w:color="000000" w:sz="4" w:space="0"/>
              <w:right w:val="single" w:color="000000" w:sz="4" w:space="0"/>
            </w:tcBorders>
            <w:tcW w:w="975" w:type="dxa"/>
            <w:vAlign w:val="center"/>
            <w:textDirection w:val="lrTb"/>
            <w:noWrap w:val="false"/>
          </w:tcPr>
          <w:p>
            <w:pPr>
              <w:pStyle w:val="702"/>
              <w:jc w:val="center"/>
              <w:widowControl/>
              <w:rPr>
                <w:rFonts w:eastAsia="宋体"/>
                <w:color w:val="auto"/>
                <w:sz w:val="20"/>
                <w:highlight w:val="none"/>
              </w:rPr>
            </w:pPr>
            <w:r>
              <w:rPr>
                <w:rFonts w:eastAsia="宋体"/>
                <w:color w:val="auto"/>
                <w:sz w:val="20"/>
                <w:highlight w:val="none"/>
              </w:rPr>
              <w:t xml:space="preserve">3</w:t>
            </w:r>
            <w:r>
              <w:rPr>
                <w:rFonts w:eastAsia="宋体"/>
                <w:color w:val="auto"/>
                <w:sz w:val="20"/>
                <w:highlight w:val="none"/>
              </w:rPr>
            </w:r>
            <w:r>
              <w:rPr>
                <w:color w:val="auto"/>
              </w:rP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960" w:type="dxa"/>
            <w:vAlign w:val="center"/>
            <w:textDirection w:val="lrTb"/>
            <w:noWrap w:val="false"/>
          </w:tcPr>
          <w:p>
            <w:pPr>
              <w:pStyle w:val="702"/>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观测深度（m）</w:t>
            </w:r>
            <w:r>
              <w:rPr>
                <w:rFonts w:ascii="宋体" w:hAnsi="宋体" w:eastAsia="宋体" w:cs="宋体"/>
                <w:color w:val="auto"/>
                <w:sz w:val="20"/>
                <w:highlight w:val="none"/>
              </w:rPr>
            </w:r>
            <w:r>
              <w:rPr>
                <w:color w:val="auto"/>
              </w:rPr>
            </w:r>
          </w:p>
        </w:tc>
        <w:tc>
          <w:tcPr>
            <w:shd w:val="clear" w:color="000000" w:fill="ffffff"/>
            <w:tcBorders>
              <w:top w:val="none" w:color="000000" w:sz="4" w:space="0"/>
              <w:left w:val="none" w:color="000000" w:sz="4" w:space="0"/>
              <w:bottom w:val="single" w:color="000000" w:sz="4" w:space="0"/>
              <w:right w:val="single" w:color="000000" w:sz="8" w:space="0"/>
            </w:tcBorders>
            <w:tcW w:w="1890" w:type="dxa"/>
            <w:vAlign w:val="center"/>
            <w:textDirection w:val="lrTb"/>
            <w:noWrap w:val="false"/>
          </w:tcPr>
          <w:p>
            <w:pPr>
              <w:pStyle w:val="702"/>
              <w:jc w:val="center"/>
              <w:widowControl/>
              <w:rPr>
                <w:rFonts w:eastAsia="宋体"/>
                <w:color w:val="auto"/>
                <w:sz w:val="20"/>
                <w:highlight w:val="none"/>
              </w:rPr>
            </w:pPr>
            <w:r>
              <w:rPr>
                <w:rFonts w:eastAsia="宋体"/>
                <w:color w:val="auto"/>
                <w:sz w:val="20"/>
                <w:highlight w:val="none"/>
              </w:rPr>
              <w:t xml:space="preserve">10</w:t>
            </w:r>
            <w:r>
              <w:rPr>
                <w:rFonts w:eastAsia="宋体"/>
                <w:color w:val="auto"/>
                <w:sz w:val="20"/>
                <w:highlight w:val="none"/>
              </w:rPr>
            </w:r>
            <w:r>
              <w:rPr>
                <w:color w:val="auto"/>
              </w:rPr>
            </w:r>
          </w:p>
        </w:tc>
      </w:tr>
      <w:tr>
        <w:trPr>
          <w:trHeight w:val="336"/>
        </w:trPr>
        <w:tc>
          <w:tcPr>
            <w:tcBorders>
              <w:top w:val="none" w:color="000000" w:sz="4" w:space="0"/>
              <w:left w:val="single" w:color="000000" w:sz="8" w:space="0"/>
              <w:bottom w:val="single" w:color="000000" w:sz="4" w:space="0"/>
              <w:right w:val="single" w:color="000000" w:sz="4" w:space="0"/>
            </w:tcBorders>
            <w:tcW w:w="975" w:type="dxa"/>
            <w:vAlign w:val="center"/>
            <w:vMerge w:val="restart"/>
            <w:textDirection w:val="lrTb"/>
            <w:noWrap w:val="false"/>
          </w:tcPr>
          <w:p>
            <w:pPr>
              <w:pStyle w:val="702"/>
              <w:jc w:val="center"/>
              <w:widowControl/>
              <w:rPr>
                <w:rFonts w:eastAsia="宋体"/>
                <w:color w:val="auto"/>
                <w:sz w:val="20"/>
                <w:highlight w:val="none"/>
              </w:rPr>
            </w:pPr>
            <w:r>
              <w:rPr>
                <w:rFonts w:eastAsia="宋体"/>
                <w:color w:val="auto"/>
                <w:sz w:val="20"/>
                <w:highlight w:val="none"/>
              </w:rPr>
              <w:t xml:space="preserve">4</w:t>
            </w:r>
            <w:r>
              <w:rPr>
                <w:rFonts w:eastAsia="宋体"/>
                <w:color w:val="auto"/>
                <w:sz w:val="20"/>
                <w:highlight w:val="none"/>
              </w:rPr>
            </w:r>
            <w:r>
              <w:rPr>
                <w:color w:val="auto"/>
              </w:rPr>
            </w:r>
          </w:p>
        </w:tc>
        <w:tc>
          <w:tcPr>
            <w:tcBorders>
              <w:top w:val="none" w:color="000000" w:sz="4" w:space="0"/>
              <w:left w:val="single" w:color="000000" w:sz="4" w:space="0"/>
              <w:bottom w:val="single" w:color="000000" w:sz="4" w:space="0"/>
              <w:right w:val="single" w:color="000000" w:sz="4" w:space="0"/>
            </w:tcBorders>
            <w:tcW w:w="2118" w:type="dxa"/>
            <w:vAlign w:val="center"/>
            <w:vMerge w:val="restart"/>
            <w:textDirection w:val="lrTb"/>
            <w:noWrap w:val="false"/>
          </w:tcPr>
          <w:p>
            <w:pPr>
              <w:pStyle w:val="702"/>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布线间距</w:t>
            </w:r>
            <w:r>
              <w:rPr>
                <w:rFonts w:ascii="宋体" w:hAnsi="宋体" w:eastAsia="宋体" w:cs="宋体"/>
                <w:color w:val="auto"/>
                <w:sz w:val="20"/>
                <w:highlight w:val="none"/>
              </w:rPr>
            </w:r>
            <w:r>
              <w:rPr>
                <w:color w:val="auto"/>
              </w:rP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702"/>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长（m）</w:t>
            </w:r>
            <w:r>
              <w:rPr>
                <w:rFonts w:ascii="宋体" w:hAnsi="宋体" w:eastAsia="宋体" w:cs="宋体"/>
                <w:color w:val="auto"/>
                <w:sz w:val="20"/>
                <w:highlight w:val="none"/>
              </w:rPr>
            </w:r>
            <w:r>
              <w:rPr>
                <w:color w:val="auto"/>
              </w:rPr>
            </w:r>
          </w:p>
        </w:tc>
        <w:tc>
          <w:tcPr>
            <w:tcBorders>
              <w:top w:val="none" w:color="000000" w:sz="4" w:space="0"/>
              <w:left w:val="none" w:color="000000" w:sz="4" w:space="0"/>
              <w:bottom w:val="single" w:color="000000" w:sz="4" w:space="0"/>
              <w:right w:val="single" w:color="000000" w:sz="8" w:space="0"/>
            </w:tcBorders>
            <w:tcW w:w="1890" w:type="dxa"/>
            <w:vAlign w:val="center"/>
            <w:textDirection w:val="lrTb"/>
            <w:noWrap w:val="false"/>
          </w:tcPr>
          <w:p>
            <w:pPr>
              <w:pStyle w:val="702"/>
              <w:jc w:val="center"/>
              <w:keepLines w:val="0"/>
              <w:keepNext w:val="0"/>
              <w:widowControl/>
              <w:rPr>
                <w:rFonts w:eastAsia="宋体"/>
                <w:color w:val="auto"/>
                <w:sz w:val="20"/>
                <w:highlight w:val="none"/>
              </w:rPr>
              <w:suppressLineNumbers w:val="0"/>
            </w:pPr>
            <w:r>
              <w:rPr>
                <w:rFonts w:ascii="Times New Roman" w:hAnsi="Times New Roman" w:eastAsia="宋体" w:cs="Times New Roman"/>
                <w:i w:val="0"/>
                <w:iCs w:val="0"/>
                <w:color w:val="auto"/>
                <w:sz w:val="20"/>
                <w:szCs w:val="20"/>
                <w:highlight w:val="none"/>
                <w:u w:val="none"/>
                <w:lang w:val="en-US" w:eastAsia="zh-CN" w:bidi="ar"/>
              </w:rPr>
              <w:t xml:space="preserve">3</w:t>
            </w:r>
            <w:r>
              <w:rPr>
                <w:rFonts w:eastAsia="宋体"/>
                <w:color w:val="auto"/>
                <w:sz w:val="20"/>
                <w:highlight w:val="none"/>
              </w:rPr>
            </w:r>
            <w:r>
              <w:rPr>
                <w:color w:val="auto"/>
              </w:rPr>
            </w:r>
          </w:p>
        </w:tc>
      </w:tr>
      <w:tr>
        <w:trPr>
          <w:trHeight w:val="305"/>
        </w:trPr>
        <w:tc>
          <w:tcPr>
            <w:tcBorders>
              <w:top w:val="none" w:color="000000" w:sz="4" w:space="0"/>
              <w:left w:val="single" w:color="000000" w:sz="8" w:space="0"/>
              <w:bottom w:val="single" w:color="000000" w:sz="4" w:space="0"/>
              <w:right w:val="single" w:color="000000" w:sz="4" w:space="0"/>
            </w:tcBorders>
            <w:tcW w:w="975" w:type="dxa"/>
            <w:vAlign w:val="center"/>
            <w:vMerge w:val="continue"/>
            <w:textDirection w:val="lrTb"/>
            <w:noWrap w:val="false"/>
          </w:tcPr>
          <w:p>
            <w:pPr>
              <w:pStyle w:val="702"/>
              <w:jc w:val="left"/>
              <w:widowControl/>
              <w:rPr>
                <w:rFonts w:eastAsia="宋体"/>
                <w:color w:val="000000"/>
                <w:sz w:val="20"/>
                <w:highlight w:val="none"/>
              </w:rPr>
            </w:pPr>
            <w:r>
              <w:rPr>
                <w:rFonts w:eastAsia="宋体"/>
                <w:color w:val="000000"/>
                <w:sz w:val="20"/>
                <w:highlight w:val="none"/>
              </w:rPr>
            </w:r>
            <w:r/>
          </w:p>
        </w:tc>
        <w:tc>
          <w:tcPr>
            <w:tcBorders>
              <w:top w:val="none" w:color="000000" w:sz="4" w:space="0"/>
              <w:left w:val="single" w:color="000000" w:sz="4" w:space="0"/>
              <w:bottom w:val="single" w:color="000000" w:sz="4" w:space="0"/>
              <w:right w:val="single" w:color="000000" w:sz="4" w:space="0"/>
            </w:tcBorders>
            <w:tcW w:w="2118" w:type="dxa"/>
            <w:vAlign w:val="center"/>
            <w:vMerge w:val="continue"/>
            <w:textDirection w:val="lrTb"/>
            <w:noWrap w:val="false"/>
          </w:tcPr>
          <w:p>
            <w:pPr>
              <w:pStyle w:val="702"/>
              <w:jc w:val="left"/>
              <w:widowControl/>
              <w:rPr>
                <w:rFonts w:ascii="宋体" w:hAnsi="宋体" w:eastAsia="宋体" w:cs="宋体"/>
                <w:color w:val="000000"/>
                <w:sz w:val="20"/>
                <w:highlight w:val="none"/>
              </w:rPr>
            </w:pPr>
            <w:r>
              <w:rPr>
                <w:rFonts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702"/>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宽（m）</w:t>
            </w:r>
            <w:r>
              <w:rPr>
                <w:rFonts w:ascii="宋体" w:hAnsi="宋体" w:eastAsia="宋体" w:cs="宋体"/>
                <w:color w:val="auto"/>
                <w:sz w:val="20"/>
                <w:highlight w:val="none"/>
              </w:rPr>
            </w:r>
            <w:r>
              <w:rPr>
                <w:color w:val="auto"/>
              </w:rPr>
            </w:r>
          </w:p>
        </w:tc>
        <w:tc>
          <w:tcPr>
            <w:tcBorders>
              <w:top w:val="none" w:color="000000" w:sz="4" w:space="0"/>
              <w:left w:val="none" w:color="000000" w:sz="4" w:space="0"/>
              <w:bottom w:val="single" w:color="000000" w:sz="4" w:space="0"/>
              <w:right w:val="single" w:color="000000" w:sz="8" w:space="0"/>
            </w:tcBorders>
            <w:tcW w:w="1890" w:type="dxa"/>
            <w:vAlign w:val="center"/>
            <w:textDirection w:val="lrTb"/>
            <w:noWrap w:val="false"/>
          </w:tcPr>
          <w:p>
            <w:pPr>
              <w:pStyle w:val="702"/>
              <w:jc w:val="center"/>
              <w:keepLines w:val="0"/>
              <w:keepNext w:val="0"/>
              <w:widowControl/>
              <w:rPr>
                <w:rFonts w:eastAsia="宋体"/>
                <w:color w:val="auto"/>
                <w:sz w:val="20"/>
                <w:highlight w:val="none"/>
              </w:rPr>
              <w:suppressLineNumbers w:val="0"/>
            </w:pPr>
            <w:r>
              <w:rPr>
                <w:rFonts w:ascii="Times New Roman" w:hAnsi="Times New Roman" w:eastAsia="宋体" w:cs="Times New Roman"/>
                <w:i w:val="0"/>
                <w:iCs w:val="0"/>
                <w:color w:val="auto"/>
                <w:sz w:val="20"/>
                <w:szCs w:val="20"/>
                <w:highlight w:val="none"/>
                <w:u w:val="none"/>
                <w:lang w:val="en-US" w:eastAsia="zh-CN" w:bidi="ar"/>
              </w:rPr>
              <w:t xml:space="preserve">3</w:t>
            </w:r>
            <w:r>
              <w:rPr>
                <w:rFonts w:eastAsia="宋体"/>
                <w:color w:val="auto"/>
                <w:sz w:val="20"/>
                <w:highlight w:val="none"/>
              </w:rPr>
            </w:r>
            <w:r>
              <w:rPr>
                <w:color w:val="auto"/>
              </w:rPr>
            </w:r>
          </w:p>
        </w:tc>
      </w:tr>
      <w:tr>
        <w:trPr>
          <w:trHeight w:val="336"/>
        </w:trPr>
        <w:tc>
          <w:tcPr>
            <w:tcBorders>
              <w:top w:val="none" w:color="000000" w:sz="4" w:space="0"/>
              <w:left w:val="single" w:color="000000" w:sz="8" w:space="0"/>
              <w:bottom w:val="single" w:color="000000" w:sz="4" w:space="0"/>
              <w:right w:val="single" w:color="000000" w:sz="4" w:space="0"/>
            </w:tcBorders>
            <w:tcW w:w="975" w:type="dxa"/>
            <w:vAlign w:val="center"/>
            <w:textDirection w:val="lrTb"/>
            <w:noWrap w:val="false"/>
          </w:tcPr>
          <w:p>
            <w:pPr>
              <w:pStyle w:val="702"/>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5</w:t>
            </w:r>
            <w:r>
              <w:rPr>
                <w:rFonts w:ascii="宋体" w:hAnsi="宋体" w:eastAsia="宋体" w:cs="宋体"/>
                <w:color w:val="auto"/>
                <w:sz w:val="20"/>
                <w:highlight w:val="none"/>
              </w:rPr>
            </w:r>
            <w:r>
              <w:rPr>
                <w:color w:val="auto"/>
              </w:rPr>
            </w:r>
          </w:p>
        </w:tc>
        <w:tc>
          <w:tcPr>
            <w:tcBorders>
              <w:top w:val="none" w:color="000000" w:sz="4" w:space="0"/>
              <w:left w:val="none" w:color="000000" w:sz="4" w:space="0"/>
              <w:bottom w:val="single" w:color="000000" w:sz="4" w:space="0"/>
              <w:right w:val="single" w:color="000000" w:sz="4" w:space="0"/>
            </w:tcBorders>
            <w:tcW w:w="2118" w:type="dxa"/>
            <w:vAlign w:val="center"/>
            <w:textDirection w:val="lrTb"/>
            <w:noWrap w:val="false"/>
          </w:tcPr>
          <w:p>
            <w:pPr>
              <w:pStyle w:val="702"/>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电极数</w:t>
            </w:r>
            <w:r>
              <w:rPr>
                <w:rFonts w:ascii="宋体" w:hAnsi="宋体" w:eastAsia="宋体" w:cs="宋体"/>
                <w:color w:val="auto"/>
                <w:sz w:val="20"/>
                <w:highlight w:val="none"/>
              </w:rPr>
            </w:r>
            <w:r>
              <w:rPr>
                <w:color w:val="auto"/>
              </w:rP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702"/>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点</w:t>
            </w:r>
            <w:r>
              <w:rPr>
                <w:rFonts w:ascii="宋体" w:hAnsi="宋体" w:eastAsia="宋体" w:cs="宋体"/>
                <w:color w:val="auto"/>
                <w:sz w:val="20"/>
                <w:highlight w:val="none"/>
              </w:rPr>
            </w:r>
            <w:r>
              <w:rPr>
                <w:color w:val="auto"/>
              </w:rPr>
            </w:r>
          </w:p>
        </w:tc>
        <w:tc>
          <w:tcPr>
            <w:tcBorders>
              <w:top w:val="none" w:color="000000" w:sz="4" w:space="0"/>
              <w:left w:val="none" w:color="000000" w:sz="4" w:space="0"/>
              <w:bottom w:val="single" w:color="000000" w:sz="4" w:space="0"/>
              <w:right w:val="single" w:color="000000" w:sz="8" w:space="0"/>
            </w:tcBorders>
            <w:tcW w:w="1890" w:type="dxa"/>
            <w:vAlign w:val="center"/>
            <w:textDirection w:val="lrTb"/>
            <w:noWrap w:val="false"/>
          </w:tcPr>
          <w:p>
            <w:pPr>
              <w:pStyle w:val="702"/>
              <w:jc w:val="center"/>
              <w:keepLines w:val="0"/>
              <w:keepNext w:val="0"/>
              <w:widowControl/>
              <w:rPr>
                <w:rFonts w:eastAsia="宋体"/>
                <w:color w:val="auto"/>
                <w:sz w:val="20"/>
                <w:highlight w:val="none"/>
              </w:rPr>
              <w:suppressLineNumbers w:val="0"/>
            </w:pPr>
            <w:r>
              <w:rPr>
                <w:rFonts w:ascii="Times New Roman" w:hAnsi="Times New Roman" w:eastAsia="宋体" w:cs="Times New Roman"/>
                <w:i w:val="0"/>
                <w:iCs w:val="0"/>
                <w:color w:val="auto"/>
                <w:sz w:val="20"/>
                <w:szCs w:val="20"/>
                <w:highlight w:val="none"/>
                <w:u w:val="none"/>
                <w:lang w:val="en-US" w:eastAsia="zh-CN" w:bidi="ar"/>
              </w:rPr>
              <w:t xml:space="preserve">426</w:t>
            </w:r>
            <w:r>
              <w:rPr>
                <w:rFonts w:eastAsia="宋体"/>
                <w:color w:val="auto"/>
                <w:sz w:val="20"/>
                <w:highlight w:val="none"/>
              </w:rPr>
            </w:r>
            <w:r>
              <w:rPr>
                <w:color w:val="auto"/>
              </w:rPr>
            </w:r>
          </w:p>
        </w:tc>
      </w:tr>
    </w:tbl>
    <w:p>
      <w:pPr>
        <w:pStyle w:val="702"/>
        <w:ind w:firstLine="422"/>
        <w:jc w:val="left"/>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rPr>
          <w:color w:val="auto"/>
        </w:rPr>
      </w:r>
    </w:p>
    <w:p>
      <w:pPr>
        <w:pStyle w:val="702"/>
        <w:ind w:firstLine="1054"/>
        <w:jc w:val="left"/>
        <w:spacing w:line="360" w:lineRule="auto"/>
        <w:rPr>
          <w:rFonts w:ascii="宋体" w:hAnsi="宋体" w:eastAsia="宋体" w:cs="宋体"/>
          <w:color w:val="auto"/>
          <w:sz w:val="20"/>
          <w:highlight w:val="none"/>
        </w:rPr>
      </w:pPr>
      <w:r>
        <w:rPr>
          <w:rFonts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0"/>
          <w:highlight w:val="none"/>
          <w:lang w:bidi="ar"/>
        </w:rPr>
        <w:t xml:space="preserve">物探及地下管线探测</w:t>
      </w:r>
      <w:r>
        <w:rPr>
          <w:rFonts w:ascii="宋体" w:hAnsi="宋体" w:eastAsia="宋体" w:cs="宋体"/>
          <w:color w:val="auto"/>
          <w:sz w:val="20"/>
          <w:highlight w:val="none"/>
          <w:lang w:bidi="ar"/>
        </w:rPr>
      </w:r>
      <w:r>
        <w:rPr>
          <w:color w:val="auto"/>
        </w:rPr>
      </w:r>
    </w:p>
    <w:tbl>
      <w:tblPr>
        <w:tblW w:w="6857" w:type="dxa"/>
        <w:tblInd w:w="595" w:type="dxa"/>
        <w:tblLayout w:type="fixed"/>
        <w:tblCellMar>
          <w:left w:w="108" w:type="dxa"/>
          <w:top w:w="0" w:type="dxa"/>
          <w:right w:w="108" w:type="dxa"/>
          <w:bottom w:w="0" w:type="dxa"/>
        </w:tblCellMar>
        <w:tblLook w:val="04A0" w:firstRow="1" w:lastRow="0" w:firstColumn="1" w:lastColumn="0" w:noHBand="0" w:noVBand="1"/>
      </w:tblPr>
      <w:tblGrid>
        <w:gridCol w:w="954"/>
        <w:gridCol w:w="2175"/>
        <w:gridCol w:w="1832"/>
        <w:gridCol w:w="900"/>
        <w:gridCol w:w="996"/>
      </w:tblGrid>
      <w:tr>
        <w:trPr>
          <w:trHeight w:val="450"/>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rPr>
                <w:rFonts w:ascii="宋体" w:hAnsi="宋体" w:eastAsia="宋体" w:cs="宋体"/>
                <w:color w:val="auto"/>
                <w:sz w:val="21"/>
                <w:szCs w:val="21"/>
                <w:highlight w:val="none"/>
              </w:rPr>
            </w:r>
            <w:r>
              <w:rPr>
                <w:color w:val="auto"/>
              </w:rPr>
            </w:r>
          </w:p>
        </w:tc>
        <w:tc>
          <w:tcPr>
            <w:gridSpan w:val="2"/>
            <w:tcBorders>
              <w:top w:val="single" w:color="000000" w:sz="4" w:space="0"/>
              <w:left w:val="none" w:color="000000" w:sz="4" w:space="0"/>
              <w:bottom w:val="single" w:color="000000" w:sz="4" w:space="0"/>
              <w:right w:val="single" w:color="000000" w:sz="4" w:space="0"/>
            </w:tcBorders>
            <w:tcW w:w="4007" w:type="dxa"/>
            <w:vAlign w:val="center"/>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工作内容</w:t>
            </w:r>
            <w:r>
              <w:rPr>
                <w:rFonts w:ascii="宋体" w:hAnsi="宋体" w:eastAsia="宋体" w:cs="宋体"/>
                <w:color w:val="auto"/>
                <w:sz w:val="21"/>
                <w:szCs w:val="21"/>
                <w:highlight w:val="none"/>
              </w:rPr>
            </w:r>
            <w:r>
              <w:rPr>
                <w:color w:val="auto"/>
              </w:rPr>
            </w:r>
          </w:p>
        </w:tc>
        <w:tc>
          <w:tcPr>
            <w:gridSpan w:val="2"/>
            <w:tcBorders>
              <w:top w:val="single" w:color="000000" w:sz="4" w:space="0"/>
              <w:left w:val="none" w:color="000000" w:sz="4" w:space="0"/>
              <w:bottom w:val="single" w:color="000000" w:sz="4" w:space="0"/>
              <w:right w:val="single" w:color="000000" w:sz="4" w:space="0"/>
            </w:tcBorders>
            <w:tcW w:w="1896" w:type="dxa"/>
            <w:vAlign w:val="center"/>
            <w:textDirection w:val="lrTb"/>
            <w:noWrap w:val="false"/>
          </w:tcPr>
          <w:p>
            <w:pPr>
              <w:pStyle w:val="702"/>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工作量</w:t>
            </w:r>
            <w:r>
              <w:rPr>
                <w:rFonts w:ascii="宋体" w:hAnsi="宋体" w:eastAsia="宋体" w:cs="宋体"/>
                <w:color w:val="auto"/>
                <w:sz w:val="21"/>
                <w:szCs w:val="21"/>
                <w:highlight w:val="none"/>
              </w:rPr>
            </w:r>
            <w:r>
              <w:rPr>
                <w:color w:val="auto"/>
              </w:rPr>
            </w:r>
          </w:p>
        </w:tc>
      </w:tr>
      <w:tr>
        <w:trPr>
          <w:trHeight w:val="450"/>
        </w:trPr>
        <w:tc>
          <w:tcPr>
            <w:tcBorders>
              <w:top w:val="none" w:color="000000" w:sz="4" w:space="0"/>
              <w:left w:val="single" w:color="000000" w:sz="4" w:space="0"/>
              <w:bottom w:val="single" w:color="000000" w:sz="4" w:space="0"/>
              <w:right w:val="single" w:color="000000" w:sz="4" w:space="0"/>
            </w:tcBorders>
            <w:tcW w:w="954" w:type="dxa"/>
            <w:vAlign w:val="center"/>
            <w:textDirection w:val="lrTb"/>
            <w:noWrap w:val="false"/>
          </w:tcPr>
          <w:p>
            <w:pPr>
              <w:pStyle w:val="702"/>
              <w:jc w:val="center"/>
              <w:widowControl/>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ascii="宋体" w:hAnsi="宋体" w:eastAsia="宋体"/>
                <w:color w:val="auto"/>
                <w:sz w:val="21"/>
                <w:szCs w:val="21"/>
                <w:highlight w:val="none"/>
              </w:rPr>
            </w:r>
            <w:r>
              <w:rPr>
                <w:color w:val="auto"/>
              </w:rPr>
            </w:r>
          </w:p>
        </w:tc>
        <w:tc>
          <w:tcPr>
            <w:tcBorders>
              <w:top w:val="none" w:color="000000" w:sz="4" w:space="0"/>
              <w:left w:val="none" w:color="000000" w:sz="4" w:space="0"/>
              <w:bottom w:val="single" w:color="000000" w:sz="4" w:space="0"/>
              <w:right w:val="single" w:color="000000" w:sz="4" w:space="0"/>
            </w:tcBorders>
            <w:tcW w:w="2175" w:type="dxa"/>
            <w:vAlign w:val="center"/>
            <w:textDirection w:val="lrTb"/>
            <w:noWrap w:val="false"/>
          </w:tcPr>
          <w:p>
            <w:pPr>
              <w:pStyle w:val="702"/>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平面控制测量</w:t>
            </w:r>
            <w:r>
              <w:rPr>
                <w:rFonts w:ascii="宋体" w:hAnsi="宋体" w:eastAsia="宋体"/>
                <w:color w:val="auto"/>
                <w:sz w:val="21"/>
                <w:szCs w:val="21"/>
                <w:highlight w:val="none"/>
              </w:rPr>
            </w:r>
            <w:r>
              <w:rPr>
                <w:color w:val="auto"/>
              </w:rPr>
            </w:r>
          </w:p>
        </w:tc>
        <w:tc>
          <w:tcPr>
            <w:tcBorders>
              <w:top w:val="none" w:color="000000" w:sz="4" w:space="0"/>
              <w:left w:val="none" w:color="000000" w:sz="4" w:space="0"/>
              <w:bottom w:val="single" w:color="000000" w:sz="4" w:space="0"/>
              <w:right w:val="single" w:color="000000" w:sz="4" w:space="0"/>
            </w:tcBorders>
            <w:tcW w:w="1832" w:type="dxa"/>
            <w:vAlign w:val="center"/>
            <w:textDirection w:val="lrTb"/>
            <w:noWrap w:val="false"/>
          </w:tcPr>
          <w:p>
            <w:pPr>
              <w:pStyle w:val="702"/>
              <w:jc w:val="center"/>
              <w:widowControl/>
              <w:rPr>
                <w:rFonts w:ascii="宋体" w:hAnsi="宋体" w:eastAsia="宋体"/>
                <w:color w:val="auto"/>
                <w:sz w:val="21"/>
                <w:szCs w:val="21"/>
                <w:highlight w:val="none"/>
              </w:rPr>
            </w:pPr>
            <w:r>
              <w:rPr>
                <w:rFonts w:ascii="宋体" w:hAnsi="宋体" w:eastAsia="宋体"/>
                <w:color w:val="auto"/>
                <w:sz w:val="21"/>
                <w:szCs w:val="21"/>
                <w:highlight w:val="none"/>
              </w:rPr>
              <w:t xml:space="preserve">GPS-E</w:t>
            </w:r>
            <w:r>
              <w:rPr>
                <w:rFonts w:hint="eastAsia" w:ascii="宋体" w:hAnsi="宋体" w:eastAsia="宋体"/>
                <w:color w:val="auto"/>
                <w:sz w:val="21"/>
                <w:szCs w:val="21"/>
                <w:highlight w:val="none"/>
              </w:rPr>
              <w:t xml:space="preserve">级</w:t>
            </w:r>
            <w:r>
              <w:rPr>
                <w:rFonts w:ascii="宋体" w:hAnsi="宋体" w:eastAsia="宋体"/>
                <w:color w:val="auto"/>
                <w:sz w:val="21"/>
                <w:szCs w:val="21"/>
                <w:highlight w:val="none"/>
              </w:rPr>
            </w:r>
            <w:r>
              <w:rPr>
                <w:color w:val="auto"/>
              </w:rP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702"/>
              <w:jc w:val="center"/>
              <w:widowControl/>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ascii="宋体" w:hAnsi="宋体" w:eastAsia="宋体"/>
                <w:color w:val="auto"/>
                <w:sz w:val="21"/>
                <w:szCs w:val="21"/>
                <w:highlight w:val="none"/>
              </w:rPr>
            </w:r>
            <w:r>
              <w:rPr>
                <w:color w:val="auto"/>
              </w:rPr>
            </w:r>
          </w:p>
        </w:tc>
        <w:tc>
          <w:tcPr>
            <w:tcBorders>
              <w:top w:val="none" w:color="000000" w:sz="4" w:space="0"/>
              <w:left w:val="none" w:color="000000" w:sz="4" w:space="0"/>
              <w:bottom w:val="single" w:color="000000" w:sz="4" w:space="0"/>
              <w:right w:val="single" w:color="000000" w:sz="4" w:space="0"/>
            </w:tcBorders>
            <w:tcW w:w="996" w:type="dxa"/>
            <w:vAlign w:val="center"/>
            <w:textDirection w:val="lrTb"/>
            <w:noWrap w:val="false"/>
          </w:tcPr>
          <w:p>
            <w:pPr>
              <w:pStyle w:val="702"/>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点</w:t>
            </w:r>
            <w:r>
              <w:rPr>
                <w:rFonts w:ascii="宋体" w:hAnsi="宋体" w:eastAsia="宋体"/>
                <w:color w:val="auto"/>
                <w:sz w:val="21"/>
                <w:szCs w:val="21"/>
                <w:highlight w:val="none"/>
              </w:rPr>
            </w:r>
            <w:r>
              <w:rPr>
                <w:color w:val="auto"/>
              </w:rPr>
            </w:r>
          </w:p>
        </w:tc>
      </w:tr>
      <w:tr>
        <w:trPr>
          <w:trHeight w:val="450"/>
        </w:trPr>
        <w:tc>
          <w:tcPr>
            <w:tcBorders>
              <w:top w:val="none" w:color="000000" w:sz="4" w:space="0"/>
              <w:left w:val="single" w:color="000000" w:sz="4" w:space="0"/>
              <w:bottom w:val="single" w:color="000000" w:sz="4" w:space="0"/>
              <w:right w:val="single" w:color="000000" w:sz="4" w:space="0"/>
            </w:tcBorders>
            <w:tcW w:w="954" w:type="dxa"/>
            <w:vAlign w:val="center"/>
            <w:textDirection w:val="lrTb"/>
            <w:noWrap w:val="false"/>
          </w:tcPr>
          <w:p>
            <w:pPr>
              <w:pStyle w:val="702"/>
              <w:jc w:val="center"/>
              <w:widowControl/>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ascii="宋体" w:hAnsi="宋体" w:eastAsia="宋体"/>
                <w:color w:val="auto"/>
                <w:sz w:val="21"/>
                <w:szCs w:val="21"/>
                <w:highlight w:val="none"/>
              </w:rPr>
            </w:r>
            <w:r>
              <w:rPr>
                <w:color w:val="auto"/>
              </w:rPr>
            </w:r>
          </w:p>
        </w:tc>
        <w:tc>
          <w:tcPr>
            <w:tcBorders>
              <w:top w:val="none" w:color="000000" w:sz="4" w:space="0"/>
              <w:left w:val="none" w:color="000000" w:sz="4" w:space="0"/>
              <w:bottom w:val="single" w:color="000000" w:sz="4" w:space="0"/>
              <w:right w:val="single" w:color="000000" w:sz="4" w:space="0"/>
            </w:tcBorders>
            <w:tcW w:w="2175" w:type="dxa"/>
            <w:vAlign w:val="center"/>
            <w:textDirection w:val="lrTb"/>
            <w:noWrap w:val="false"/>
          </w:tcPr>
          <w:p>
            <w:pPr>
              <w:pStyle w:val="702"/>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高程控制测量</w:t>
            </w:r>
            <w:r>
              <w:rPr>
                <w:rFonts w:ascii="宋体" w:hAnsi="宋体" w:eastAsia="宋体"/>
                <w:color w:val="auto"/>
                <w:sz w:val="21"/>
                <w:szCs w:val="21"/>
                <w:highlight w:val="none"/>
              </w:rPr>
            </w:r>
            <w:r>
              <w:rPr>
                <w:color w:val="auto"/>
              </w:rPr>
            </w:r>
          </w:p>
        </w:tc>
        <w:tc>
          <w:tcPr>
            <w:tcBorders>
              <w:top w:val="none" w:color="000000" w:sz="4" w:space="0"/>
              <w:left w:val="none" w:color="000000" w:sz="4" w:space="0"/>
              <w:bottom w:val="single" w:color="000000" w:sz="4" w:space="0"/>
              <w:right w:val="single" w:color="000000" w:sz="4" w:space="0"/>
            </w:tcBorders>
            <w:tcW w:w="1832" w:type="dxa"/>
            <w:vAlign w:val="center"/>
            <w:textDirection w:val="lrTb"/>
            <w:noWrap w:val="false"/>
          </w:tcPr>
          <w:p>
            <w:pPr>
              <w:pStyle w:val="702"/>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四等水准</w:t>
            </w:r>
            <w:r>
              <w:rPr>
                <w:rFonts w:ascii="宋体" w:hAnsi="宋体" w:eastAsia="宋体"/>
                <w:color w:val="auto"/>
                <w:sz w:val="21"/>
                <w:szCs w:val="21"/>
                <w:highlight w:val="none"/>
              </w:rPr>
            </w:r>
            <w:r>
              <w:rPr>
                <w:color w:val="auto"/>
              </w:rP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702"/>
              <w:jc w:val="center"/>
              <w:widowControl/>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ascii="宋体" w:hAnsi="宋体" w:eastAsia="宋体"/>
                <w:color w:val="auto"/>
                <w:sz w:val="21"/>
                <w:szCs w:val="21"/>
                <w:highlight w:val="none"/>
              </w:rPr>
            </w:r>
            <w:r>
              <w:rPr>
                <w:color w:val="auto"/>
              </w:rPr>
            </w:r>
          </w:p>
        </w:tc>
        <w:tc>
          <w:tcPr>
            <w:tcBorders>
              <w:top w:val="none" w:color="000000" w:sz="4" w:space="0"/>
              <w:left w:val="none" w:color="000000" w:sz="4" w:space="0"/>
              <w:bottom w:val="single" w:color="000000" w:sz="4" w:space="0"/>
              <w:right w:val="single" w:color="000000" w:sz="4" w:space="0"/>
            </w:tcBorders>
            <w:tcW w:w="996" w:type="dxa"/>
            <w:vAlign w:val="center"/>
            <w:textDirection w:val="lrTb"/>
            <w:noWrap w:val="false"/>
          </w:tcPr>
          <w:p>
            <w:pPr>
              <w:pStyle w:val="702"/>
              <w:jc w:val="center"/>
              <w:widowControl/>
              <w:rPr>
                <w:rFonts w:ascii="宋体" w:hAnsi="宋体" w:eastAsia="宋体"/>
                <w:color w:val="auto"/>
                <w:sz w:val="21"/>
                <w:szCs w:val="21"/>
                <w:highlight w:val="none"/>
              </w:rPr>
            </w:pPr>
            <w:r>
              <w:rPr>
                <w:rFonts w:ascii="宋体" w:hAnsi="宋体" w:eastAsia="宋体"/>
                <w:color w:val="auto"/>
                <w:sz w:val="21"/>
                <w:szCs w:val="21"/>
                <w:highlight w:val="none"/>
              </w:rPr>
              <w:t xml:space="preserve">KM</w:t>
            </w:r>
            <w:r>
              <w:rPr>
                <w:rFonts w:ascii="宋体" w:hAnsi="宋体" w:eastAsia="宋体"/>
                <w:color w:val="auto"/>
                <w:sz w:val="21"/>
                <w:szCs w:val="21"/>
                <w:highlight w:val="none"/>
              </w:rPr>
            </w:r>
            <w:r>
              <w:rPr>
                <w:color w:val="auto"/>
              </w:rPr>
            </w:r>
          </w:p>
        </w:tc>
      </w:tr>
      <w:tr>
        <w:trPr>
          <w:trHeight w:val="450"/>
        </w:trPr>
        <w:tc>
          <w:tcPr>
            <w:tcBorders>
              <w:top w:val="none" w:color="000000" w:sz="4" w:space="0"/>
              <w:left w:val="single" w:color="000000" w:sz="4" w:space="0"/>
              <w:bottom w:val="single" w:color="000000" w:sz="4" w:space="0"/>
              <w:right w:val="single" w:color="000000" w:sz="4" w:space="0"/>
            </w:tcBorders>
            <w:tcW w:w="954" w:type="dxa"/>
            <w:vAlign w:val="center"/>
            <w:textDirection w:val="lrTb"/>
            <w:noWrap w:val="false"/>
          </w:tcPr>
          <w:p>
            <w:pPr>
              <w:pStyle w:val="702"/>
              <w:jc w:val="center"/>
              <w:widowControl/>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ascii="宋体" w:hAnsi="宋体" w:eastAsia="宋体"/>
                <w:color w:val="auto"/>
                <w:sz w:val="21"/>
                <w:szCs w:val="21"/>
                <w:highlight w:val="none"/>
              </w:rPr>
            </w:r>
            <w:r>
              <w:rPr>
                <w:color w:val="auto"/>
              </w:rPr>
            </w:r>
          </w:p>
        </w:tc>
        <w:tc>
          <w:tcPr>
            <w:tcBorders>
              <w:top w:val="none" w:color="000000" w:sz="4" w:space="0"/>
              <w:left w:val="none" w:color="000000" w:sz="4" w:space="0"/>
              <w:bottom w:val="single" w:color="000000" w:sz="4" w:space="0"/>
              <w:right w:val="single" w:color="000000" w:sz="4" w:space="0"/>
            </w:tcBorders>
            <w:tcW w:w="2175" w:type="dxa"/>
            <w:vAlign w:val="center"/>
            <w:textDirection w:val="lrTb"/>
            <w:noWrap w:val="false"/>
          </w:tcPr>
          <w:p>
            <w:pPr>
              <w:pStyle w:val="702"/>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地下管线常规探查</w:t>
            </w:r>
            <w:r>
              <w:rPr>
                <w:rFonts w:ascii="宋体" w:hAnsi="宋体" w:eastAsia="宋体"/>
                <w:color w:val="auto"/>
                <w:sz w:val="21"/>
                <w:szCs w:val="21"/>
                <w:highlight w:val="none"/>
              </w:rPr>
            </w:r>
            <w:r>
              <w:rPr>
                <w:color w:val="auto"/>
              </w:rPr>
            </w:r>
          </w:p>
        </w:tc>
        <w:tc>
          <w:tcPr>
            <w:tcBorders>
              <w:top w:val="none" w:color="000000" w:sz="4" w:space="0"/>
              <w:left w:val="none" w:color="000000" w:sz="4" w:space="0"/>
              <w:bottom w:val="single" w:color="000000" w:sz="4" w:space="0"/>
              <w:right w:val="single" w:color="000000" w:sz="4" w:space="0"/>
            </w:tcBorders>
            <w:tcW w:w="1832" w:type="dxa"/>
            <w:vAlign w:val="center"/>
            <w:textDirection w:val="lrTb"/>
            <w:noWrap w:val="false"/>
          </w:tcPr>
          <w:p>
            <w:pPr>
              <w:pStyle w:val="702"/>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盲探面积</w:t>
            </w:r>
            <w:r>
              <w:rPr>
                <w:rFonts w:ascii="宋体" w:hAnsi="宋体" w:eastAsia="宋体"/>
                <w:color w:val="auto"/>
                <w:sz w:val="21"/>
                <w:szCs w:val="21"/>
                <w:highlight w:val="none"/>
              </w:rPr>
            </w:r>
            <w:r>
              <w:rPr>
                <w:color w:val="auto"/>
              </w:rP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702"/>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4985</w:t>
            </w:r>
            <w:r>
              <w:rPr>
                <w:rFonts w:ascii="宋体" w:hAnsi="宋体" w:eastAsia="宋体"/>
                <w:color w:val="auto"/>
                <w:sz w:val="21"/>
                <w:szCs w:val="21"/>
                <w:highlight w:val="none"/>
              </w:rPr>
              <w:t xml:space="preserve"> </w:t>
            </w:r>
            <w:r>
              <w:rPr>
                <w:rFonts w:ascii="宋体" w:hAnsi="宋体" w:eastAsia="宋体"/>
                <w:color w:val="auto"/>
                <w:sz w:val="21"/>
                <w:szCs w:val="21"/>
                <w:highlight w:val="none"/>
              </w:rPr>
            </w:r>
            <w:r>
              <w:rPr>
                <w:color w:val="auto"/>
              </w:rPr>
            </w:r>
          </w:p>
        </w:tc>
        <w:tc>
          <w:tcPr>
            <w:tcBorders>
              <w:top w:val="none" w:color="000000" w:sz="4" w:space="0"/>
              <w:left w:val="none" w:color="000000" w:sz="4" w:space="0"/>
              <w:bottom w:val="single" w:color="000000" w:sz="4" w:space="0"/>
              <w:right w:val="single" w:color="000000" w:sz="4" w:space="0"/>
            </w:tcBorders>
            <w:tcW w:w="996" w:type="dxa"/>
            <w:vAlign w:val="center"/>
            <w:textDirection w:val="lrTb"/>
            <w:noWrap w:val="false"/>
          </w:tcPr>
          <w:p>
            <w:pPr>
              <w:pStyle w:val="702"/>
              <w:jc w:val="center"/>
              <w:widowControl/>
              <w:rPr>
                <w:rFonts w:ascii="宋体" w:hAnsi="宋体" w:eastAsia="宋体"/>
                <w:color w:val="auto"/>
                <w:sz w:val="21"/>
                <w:szCs w:val="21"/>
                <w:highlight w:val="none"/>
              </w:rPr>
            </w:pPr>
            <w:r>
              <w:rPr>
                <w:rFonts w:ascii="宋体" w:hAnsi="宋体" w:eastAsia="宋体"/>
                <w:color w:val="auto"/>
                <w:sz w:val="21"/>
                <w:szCs w:val="21"/>
                <w:highlight w:val="none"/>
              </w:rPr>
              <w:t xml:space="preserve">M²</w:t>
            </w:r>
            <w:r>
              <w:rPr>
                <w:rFonts w:ascii="宋体" w:hAnsi="宋体" w:eastAsia="宋体"/>
                <w:color w:val="auto"/>
                <w:sz w:val="21"/>
                <w:szCs w:val="21"/>
                <w:highlight w:val="none"/>
              </w:rPr>
            </w:r>
            <w:r>
              <w:rPr>
                <w:color w:val="auto"/>
              </w:rPr>
            </w:r>
          </w:p>
        </w:tc>
      </w:tr>
    </w:tbl>
    <w:p>
      <w:pPr>
        <w:pStyle w:val="702"/>
        <w:ind w:firstLine="480"/>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TW"/>
        </w:rPr>
      </w:r>
      <w:r>
        <w:rPr>
          <w:color w:val="auto"/>
        </w:rPr>
      </w:r>
    </w:p>
    <w:p>
      <w:pPr>
        <w:pStyle w:val="702"/>
        <w:ind w:firstLine="480"/>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lang w:val="zh-TW"/>
        </w:rPr>
        <w:t xml:space="preserve">（</w:t>
      </w:r>
      <w:r>
        <w:rPr>
          <w:rFonts w:hint="eastAsia" w:ascii="宋体" w:hAnsi="宋体" w:cs="宋体"/>
          <w:b/>
          <w:bCs/>
          <w:color w:val="auto"/>
          <w:szCs w:val="21"/>
          <w:highlight w:val="none"/>
        </w:rPr>
        <w:t xml:space="preserve">全文完</w:t>
      </w:r>
      <w:r>
        <w:rPr>
          <w:rFonts w:hint="eastAsia" w:ascii="宋体" w:hAnsi="宋体" w:cs="宋体"/>
          <w:b/>
          <w:bCs/>
          <w:color w:val="auto"/>
          <w:szCs w:val="21"/>
          <w:highlight w:val="none"/>
          <w:lang w:val="zh-TW"/>
        </w:rPr>
        <w:t xml:space="preserve">）</w:t>
      </w:r>
      <w:bookmarkEnd w:id="94"/>
      <w:r>
        <w:rPr>
          <w:color w:val="auto"/>
        </w:rPr>
      </w:r>
      <w:bookmarkEnd w:id="98"/>
      <w:r>
        <w:rPr>
          <w:rFonts w:hint="eastAsia" w:ascii="宋体" w:hAnsi="宋体" w:cs="宋体"/>
          <w:color w:val="auto"/>
          <w:szCs w:val="21"/>
          <w:highlight w:val="none"/>
          <w:lang w:val="zh-TW" w:eastAsia="zh-TW"/>
        </w:rPr>
      </w:r>
      <w:r>
        <w:rPr>
          <w:color w:val="auto"/>
        </w:rP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Verdana">
    <w:panose1 w:val="020B0604030504040204"/>
  </w:font>
  <w:font w:name="仿宋_GB2312">
    <w:panose1 w:val="02010609060101010101"/>
  </w:font>
  <w:font w:name="黑体">
    <w:panose1 w:val="02010609060101010101"/>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747"/>
        <w:spacing w:before="0" w:after="0"/>
        <w:rPr>
          <w:rFonts w:ascii="宋体" w:hAnsi="宋体"/>
          <w:color w:val="000000"/>
        </w:rPr>
      </w:pPr>
      <w:r>
        <w:rPr>
          <w:rFonts w:hint="eastAsia" w:ascii="宋体" w:hAnsi="宋体"/>
          <w:b/>
          <w:color w:val="000000"/>
        </w:rPr>
        <w:footnoteRef/>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rPr>
          <w:rFonts w:ascii="宋体" w:hAnsi="宋体"/>
          <w:color w:val="000000"/>
        </w:rPr>
      </w:r>
      <w:r/>
    </w:p>
    <w:p>
      <w:pPr>
        <w:pStyle w:val="747"/>
        <w:spacing w:before="0" w:after="0"/>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rPr>
          <w:rFonts w:ascii="宋体" w:hAnsi="宋体"/>
          <w:color w:val="000000"/>
        </w:rPr>
      </w:r>
      <w:r/>
    </w:p>
    <w:p>
      <w:pPr>
        <w:pStyle w:val="747"/>
        <w:spacing w:before="0" w:after="0"/>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rPr>
          <w:rFonts w:ascii="宋体" w:hAnsi="宋体"/>
          <w:color w:val="000000"/>
        </w:rPr>
      </w:r>
      <w:r/>
    </w:p>
    <w:p>
      <w:pPr>
        <w:pStyle w:val="747"/>
        <w:spacing w:before="0" w:after="0"/>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rPr>
          <w:rFonts w:ascii="宋体" w:hAnsi="宋体"/>
          <w:color w:val="000000"/>
        </w:rPr>
      </w:r>
      <w:r/>
    </w:p>
    <w:p>
      <w:pPr>
        <w:pStyle w:val="747"/>
        <w:spacing w:before="0" w:after="0"/>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成交单位为中小企业的，《中小企业声明函》将随成交结果同时公告。</w:t>
      </w:r>
      <w:r>
        <w:rPr>
          <w:rFonts w:ascii="宋体" w:hAnsi="宋体"/>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rPr>
        <w:rFonts w:hint="eastAsia" w:ascii="宋体" w:hAnsi="宋体" w:eastAsia="宋体"/>
        <w:bCs/>
        <w:color w:val="548dd4"/>
        <w:sz w:val="18"/>
        <w:szCs w:val="18"/>
        <w:lang w:eastAsia="zh-CN"/>
      </w:rPr>
      <w:pBdr>
        <w:bottom w:val="single" w:color="000000" w:sz="4" w:space="1"/>
      </w:pBdr>
    </w:pPr>
    <w:r>
      <w:rPr>
        <w:rFonts w:hint="eastAsia" w:ascii="宋体" w:hAnsi="宋体"/>
        <w:bCs/>
        <w:sz w:val="18"/>
        <w:szCs w:val="18"/>
      </w:rPr>
      <w:footnoteRef/>
      <w:t xml:space="preserve">苏州捷信招投标咨询有限公司                            招标编号：</w:t>
    </w:r>
    <w:r>
      <w:rPr>
        <w:rFonts w:hint="eastAsia" w:ascii="宋体" w:hAnsi="宋体"/>
        <w:bCs/>
        <w:color w:val="auto"/>
        <w:sz w:val="18"/>
        <w:szCs w:val="18"/>
        <w:lang w:eastAsia="zh-CN"/>
      </w:rPr>
      <w:t xml:space="preserve">JSZC-320507-SZJX-G2024-0066</w:t>
    </w:r>
    <w:r>
      <w:rPr>
        <w:rFonts w:hint="eastAsia" w:ascii="宋体" w:hAnsi="宋体" w:eastAsia="宋体"/>
        <w:bCs/>
        <w:color w:val="auto"/>
        <w:sz w:val="18"/>
        <w:szCs w:val="18"/>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702"/>
        <w:ind w:left="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pStyle w:val="7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pStyle w:val="702"/>
        <w:ind w:left="0" w:firstLine="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第%1章"/>
      <w:lvlJc w:val="left"/>
      <w:pPr>
        <w:pStyle w:val="702"/>
        <w:ind w:left="2411" w:firstLine="0"/>
      </w:pPr>
      <w:rPr>
        <w:rFonts w:hint="eastAsia"/>
        <w:lang w:val="en-US"/>
      </w:rPr>
    </w:lvl>
    <w:lvl w:ilvl="1">
      <w:start w:val="1"/>
      <w:numFmt w:val="decimal"/>
      <w:isLgl w:val="false"/>
      <w:suff w:val="space"/>
      <w:lvlText w:val="%1.%2"/>
      <w:lvlJc w:val="left"/>
      <w:pPr>
        <w:pStyle w:val="702"/>
        <w:ind w:left="426" w:firstLine="0"/>
      </w:pPr>
      <w:rPr>
        <w:rFonts w:hint="eastAsia"/>
      </w:rPr>
    </w:lvl>
    <w:lvl w:ilvl="2">
      <w:start w:val="1"/>
      <w:numFmt w:val="decimal"/>
      <w:isLgl w:val="false"/>
      <w:suff w:val="space"/>
      <w:lvlText w:val="%1.%2.%3"/>
      <w:lvlJc w:val="left"/>
      <w:pPr>
        <w:pStyle w:val="702"/>
        <w:ind w:left="0" w:firstLine="0"/>
      </w:pPr>
      <w:rPr>
        <w:rFonts w:hint="eastAsia"/>
      </w:rPr>
    </w:lvl>
    <w:lvl w:ilvl="3">
      <w:start w:val="1"/>
      <w:numFmt w:val="decimal"/>
      <w:pStyle w:val="902"/>
      <w:isLgl w:val="false"/>
      <w:suff w:val="space"/>
      <w:lvlText w:val="%1.%2.%3.%4"/>
      <w:lvlJc w:val="left"/>
      <w:pPr>
        <w:pStyle w:val="702"/>
        <w:ind w:left="0" w:firstLine="0"/>
      </w:pPr>
      <w:rPr>
        <w:rFonts w:hint="eastAsia"/>
      </w:rPr>
    </w:lvl>
    <w:lvl w:ilvl="4">
      <w:start w:val="1"/>
      <w:numFmt w:val="decimal"/>
      <w:isLgl w:val="false"/>
      <w:suff w:val="space"/>
      <w:lvlText w:val="%1.%2.%3.%4.%5"/>
      <w:lvlJc w:val="left"/>
      <w:pPr>
        <w:pStyle w:val="702"/>
        <w:ind w:left="0" w:firstLine="0"/>
      </w:pPr>
      <w:rPr>
        <w:rFonts w:hint="eastAsia"/>
      </w:rPr>
    </w:lvl>
    <w:lvl w:ilvl="5">
      <w:start w:val="1"/>
      <w:numFmt w:val="decimal"/>
      <w:isLgl w:val="false"/>
      <w:suff w:val="space"/>
      <w:lvlText w:val="%1.%2.%3.%4.%5.%6"/>
      <w:lvlJc w:val="left"/>
      <w:pPr>
        <w:pStyle w:val="702"/>
        <w:ind w:left="0" w:firstLine="0"/>
      </w:pPr>
      <w:rPr>
        <w:rFonts w:hint="eastAsia"/>
      </w:rPr>
    </w:lvl>
    <w:lvl w:ilvl="6">
      <w:start w:val="1"/>
      <w:numFmt w:val="decimal"/>
      <w:isLgl w:val="false"/>
      <w:suff w:val="space"/>
      <w:lvlText w:val="%1.%2.%3.%4.%5.%6.%7"/>
      <w:lvlJc w:val="left"/>
      <w:pPr>
        <w:pStyle w:val="702"/>
        <w:ind w:left="0" w:firstLine="0"/>
      </w:pPr>
      <w:rPr>
        <w:rFonts w:hint="eastAsia"/>
      </w:rPr>
    </w:lvl>
    <w:lvl w:ilvl="7">
      <w:start w:val="1"/>
      <w:numFmt w:val="decimal"/>
      <w:isLgl w:val="false"/>
      <w:suff w:val="space"/>
      <w:lvlText w:val=""/>
      <w:lvlJc w:val="left"/>
      <w:pPr>
        <w:pStyle w:val="702"/>
        <w:ind w:left="0" w:firstLine="0"/>
      </w:pPr>
      <w:rPr>
        <w:rFonts w:hint="eastAsia"/>
      </w:rPr>
    </w:lvl>
    <w:lvl w:ilvl="8">
      <w:start w:val="1"/>
      <w:numFmt w:val="decimal"/>
      <w:isLgl w:val="false"/>
      <w:suff w:val="space"/>
      <w:lvlText w:val=""/>
      <w:lvlJc w:val="left"/>
      <w:pPr>
        <w:pStyle w:val="702"/>
        <w:ind w:left="0" w:firstLine="0"/>
      </w:pPr>
      <w:rPr>
        <w:color w:val="000000"/>
      </w:rPr>
    </w:lvl>
  </w:abstractNum>
  <w:num w:numId="1">
    <w:abstractNumId w:val="5"/>
  </w:num>
  <w:num w:numId="2">
    <w:abstractNumId w:val="3"/>
  </w:num>
  <w:num w:numId="3">
    <w:abstractNumId w:val="0"/>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2"/>
    <w:next w:val="70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2"/>
    <w:next w:val="70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2"/>
    <w:next w:val="70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2"/>
    <w:next w:val="70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2"/>
    <w:next w:val="70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2"/>
    <w:next w:val="70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2"/>
    <w:next w:val="7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2"/>
    <w:next w:val="70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2"/>
    <w:next w:val="7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02"/>
    <w:next w:val="70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2"/>
    <w:next w:val="70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character" w:styleId="38">
    <w:name w:val="Quote Char"/>
    <w:link w:val="765"/>
    <w:uiPriority w:val="29"/>
    <w:rPr>
      <w:i/>
    </w:rPr>
  </w:style>
  <w:style w:type="character" w:styleId="40">
    <w:name w:val="Intense Quote Char"/>
    <w:link w:val="767"/>
    <w:uiPriority w:val="30"/>
    <w:rPr>
      <w:i/>
    </w:rPr>
  </w:style>
  <w:style w:type="paragraph" w:styleId="41">
    <w:name w:val="Header"/>
    <w:basedOn w:val="70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2"/>
    <w:link w:val="46"/>
    <w:uiPriority w:val="99"/>
    <w:unhideWhenUsed/>
    <w:pPr>
      <w:spacing w:after="0" w:line="240" w:lineRule="auto"/>
      <w:tabs>
        <w:tab w:val="center" w:pos="7143" w:leader="none"/>
        <w:tab w:val="right" w:pos="14287" w:leader="none"/>
      </w:tabs>
    </w:pPr>
  </w:style>
  <w:style w:type="paragraph" w:styleId="45">
    <w:name w:val="Caption"/>
    <w:basedOn w:val="702"/>
    <w:next w:val="70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2"/>
    <w:next w:val="702"/>
    <w:uiPriority w:val="39"/>
    <w:unhideWhenUsed/>
    <w:pPr>
      <w:ind w:left="0" w:right="0" w:firstLine="0"/>
      <w:spacing w:after="57"/>
    </w:pPr>
  </w:style>
  <w:style w:type="paragraph" w:styleId="181">
    <w:name w:val="toc 2"/>
    <w:basedOn w:val="702"/>
    <w:next w:val="702"/>
    <w:uiPriority w:val="39"/>
    <w:unhideWhenUsed/>
    <w:pPr>
      <w:ind w:left="283" w:right="0" w:firstLine="0"/>
      <w:spacing w:after="57"/>
    </w:pPr>
  </w:style>
  <w:style w:type="paragraph" w:styleId="182">
    <w:name w:val="toc 3"/>
    <w:basedOn w:val="702"/>
    <w:next w:val="702"/>
    <w:uiPriority w:val="39"/>
    <w:unhideWhenUsed/>
    <w:pPr>
      <w:ind w:left="567" w:right="0" w:firstLine="0"/>
      <w:spacing w:after="57"/>
    </w:pPr>
  </w:style>
  <w:style w:type="paragraph" w:styleId="183">
    <w:name w:val="toc 4"/>
    <w:basedOn w:val="702"/>
    <w:next w:val="702"/>
    <w:uiPriority w:val="39"/>
    <w:unhideWhenUsed/>
    <w:pPr>
      <w:ind w:left="850" w:right="0" w:firstLine="0"/>
      <w:spacing w:after="57"/>
    </w:pPr>
  </w:style>
  <w:style w:type="paragraph" w:styleId="184">
    <w:name w:val="toc 5"/>
    <w:basedOn w:val="702"/>
    <w:next w:val="702"/>
    <w:uiPriority w:val="39"/>
    <w:unhideWhenUsed/>
    <w:pPr>
      <w:ind w:left="1134" w:right="0" w:firstLine="0"/>
      <w:spacing w:after="57"/>
    </w:pPr>
  </w:style>
  <w:style w:type="paragraph" w:styleId="185">
    <w:name w:val="toc 6"/>
    <w:basedOn w:val="702"/>
    <w:next w:val="702"/>
    <w:uiPriority w:val="39"/>
    <w:unhideWhenUsed/>
    <w:pPr>
      <w:ind w:left="1417" w:right="0" w:firstLine="0"/>
      <w:spacing w:after="57"/>
    </w:pPr>
  </w:style>
  <w:style w:type="paragraph" w:styleId="186">
    <w:name w:val="toc 7"/>
    <w:basedOn w:val="702"/>
    <w:next w:val="702"/>
    <w:uiPriority w:val="39"/>
    <w:unhideWhenUsed/>
    <w:pPr>
      <w:ind w:left="1701" w:right="0" w:firstLine="0"/>
      <w:spacing w:after="57"/>
    </w:pPr>
  </w:style>
  <w:style w:type="paragraph" w:styleId="187">
    <w:name w:val="toc 8"/>
    <w:basedOn w:val="702"/>
    <w:next w:val="702"/>
    <w:uiPriority w:val="39"/>
    <w:unhideWhenUsed/>
    <w:pPr>
      <w:ind w:left="1984" w:right="0" w:firstLine="0"/>
      <w:spacing w:after="57"/>
    </w:pPr>
  </w:style>
  <w:style w:type="paragraph" w:styleId="188">
    <w:name w:val="toc 9"/>
    <w:basedOn w:val="702"/>
    <w:next w:val="70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2"/>
    <w:next w:val="702"/>
    <w:uiPriority w:val="99"/>
    <w:unhideWhenUsed/>
    <w:pPr>
      <w:spacing w:after="0" w:afterAutospacing="0"/>
    </w:pPr>
  </w:style>
  <w:style w:type="paragraph" w:styleId="702" w:default="1">
    <w:name w:val="Normal"/>
    <w:next w:val="714"/>
    <w:link w:val="702"/>
    <w:qFormat/>
    <w:pPr>
      <w:jc w:val="both"/>
      <w:widowControl w:val="off"/>
    </w:pPr>
    <w:rPr>
      <w:rFonts w:ascii="Times New Roman" w:hAnsi="Times New Roman" w:eastAsia="宋体" w:cs="Times New Roman"/>
      <w:sz w:val="21"/>
      <w:szCs w:val="24"/>
      <w:lang w:val="en-US" w:eastAsia="zh-CN" w:bidi="ar-SA"/>
    </w:rPr>
  </w:style>
  <w:style w:type="paragraph" w:styleId="703">
    <w:name w:val="标题 1"/>
    <w:basedOn w:val="702"/>
    <w:next w:val="702"/>
    <w:link w:val="716"/>
    <w:uiPriority w:val="9"/>
    <w:qFormat/>
    <w:pPr>
      <w:keepLines/>
      <w:keepNext/>
      <w:spacing w:before="480" w:after="200"/>
      <w:outlineLvl w:val="0"/>
    </w:pPr>
    <w:rPr>
      <w:rFonts w:ascii="Arial" w:hAnsi="Arial" w:eastAsia="Arial" w:cs="Arial"/>
      <w:sz w:val="40"/>
      <w:szCs w:val="40"/>
    </w:rPr>
  </w:style>
  <w:style w:type="paragraph" w:styleId="704">
    <w:name w:val="标题 2"/>
    <w:basedOn w:val="702"/>
    <w:next w:val="702"/>
    <w:link w:val="717"/>
    <w:uiPriority w:val="9"/>
    <w:unhideWhenUsed/>
    <w:qFormat/>
    <w:pPr>
      <w:keepLines/>
      <w:keepNext/>
      <w:spacing w:before="360" w:after="200"/>
      <w:outlineLvl w:val="1"/>
    </w:pPr>
    <w:rPr>
      <w:rFonts w:ascii="Arial" w:hAnsi="Arial" w:eastAsia="Arial" w:cs="Arial"/>
      <w:sz w:val="34"/>
    </w:rPr>
  </w:style>
  <w:style w:type="paragraph" w:styleId="705">
    <w:name w:val="标题 3"/>
    <w:basedOn w:val="702"/>
    <w:next w:val="702"/>
    <w:link w:val="718"/>
    <w:uiPriority w:val="9"/>
    <w:unhideWhenUsed/>
    <w:qFormat/>
    <w:pPr>
      <w:keepLines/>
      <w:keepNext/>
      <w:spacing w:before="320" w:after="200"/>
      <w:outlineLvl w:val="2"/>
    </w:pPr>
    <w:rPr>
      <w:rFonts w:ascii="Arial" w:hAnsi="Arial" w:eastAsia="Arial" w:cs="Arial"/>
      <w:sz w:val="30"/>
      <w:szCs w:val="30"/>
    </w:rPr>
  </w:style>
  <w:style w:type="paragraph" w:styleId="706">
    <w:name w:val="标题 4"/>
    <w:basedOn w:val="702"/>
    <w:next w:val="702"/>
    <w:link w:val="719"/>
    <w:uiPriority w:val="9"/>
    <w:unhideWhenUsed/>
    <w:qFormat/>
    <w:pPr>
      <w:keepLines/>
      <w:keepNext/>
      <w:spacing w:before="320" w:after="200"/>
      <w:outlineLvl w:val="3"/>
    </w:pPr>
    <w:rPr>
      <w:rFonts w:ascii="Arial" w:hAnsi="Arial" w:eastAsia="Arial" w:cs="Arial"/>
      <w:b/>
      <w:bCs/>
      <w:sz w:val="26"/>
      <w:szCs w:val="26"/>
    </w:rPr>
  </w:style>
  <w:style w:type="paragraph" w:styleId="707">
    <w:name w:val="标题 5"/>
    <w:basedOn w:val="702"/>
    <w:next w:val="702"/>
    <w:link w:val="720"/>
    <w:uiPriority w:val="9"/>
    <w:unhideWhenUsed/>
    <w:qFormat/>
    <w:pPr>
      <w:keepLines/>
      <w:keepNext/>
      <w:spacing w:before="320" w:after="200"/>
      <w:outlineLvl w:val="4"/>
    </w:pPr>
    <w:rPr>
      <w:rFonts w:ascii="Arial" w:hAnsi="Arial" w:eastAsia="Arial" w:cs="Arial"/>
      <w:b/>
      <w:bCs/>
      <w:sz w:val="24"/>
    </w:rPr>
  </w:style>
  <w:style w:type="paragraph" w:styleId="708">
    <w:name w:val="标题 6"/>
    <w:basedOn w:val="702"/>
    <w:next w:val="702"/>
    <w:link w:val="721"/>
    <w:uiPriority w:val="9"/>
    <w:unhideWhenUsed/>
    <w:qFormat/>
    <w:pPr>
      <w:keepLines/>
      <w:keepNext/>
      <w:spacing w:before="320" w:after="200"/>
      <w:outlineLvl w:val="5"/>
    </w:pPr>
    <w:rPr>
      <w:rFonts w:ascii="Arial" w:hAnsi="Arial" w:eastAsia="Arial" w:cs="Arial"/>
      <w:b/>
      <w:bCs/>
      <w:sz w:val="22"/>
      <w:szCs w:val="22"/>
    </w:rPr>
  </w:style>
  <w:style w:type="paragraph" w:styleId="709">
    <w:name w:val="标题 7"/>
    <w:basedOn w:val="702"/>
    <w:next w:val="702"/>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标题 8"/>
    <w:basedOn w:val="702"/>
    <w:next w:val="702"/>
    <w:link w:val="723"/>
    <w:uiPriority w:val="9"/>
    <w:unhideWhenUsed/>
    <w:qFormat/>
    <w:pPr>
      <w:keepLines/>
      <w:keepNext/>
      <w:spacing w:before="320" w:after="200"/>
      <w:outlineLvl w:val="7"/>
    </w:pPr>
    <w:rPr>
      <w:rFonts w:ascii="Arial" w:hAnsi="Arial" w:eastAsia="Arial" w:cs="Arial"/>
      <w:i/>
      <w:iCs/>
      <w:sz w:val="22"/>
      <w:szCs w:val="22"/>
    </w:rPr>
  </w:style>
  <w:style w:type="paragraph" w:styleId="711">
    <w:name w:val="标题 9"/>
    <w:basedOn w:val="702"/>
    <w:next w:val="702"/>
    <w:link w:val="724"/>
    <w:uiPriority w:val="9"/>
    <w:unhideWhenUsed/>
    <w:qFormat/>
    <w:pPr>
      <w:keepLines/>
      <w:keepNext/>
      <w:spacing w:before="320" w:after="200"/>
      <w:outlineLvl w:val="8"/>
    </w:pPr>
    <w:rPr>
      <w:rFonts w:ascii="Arial" w:hAnsi="Arial" w:eastAsia="Arial" w:cs="Arial"/>
      <w:i/>
      <w:iCs/>
      <w:szCs w:val="21"/>
    </w:rPr>
  </w:style>
  <w:style w:type="character" w:styleId="712">
    <w:name w:val="默认段落字体"/>
    <w:next w:val="712"/>
    <w:link w:val="702"/>
    <w:uiPriority w:val="1"/>
    <w:unhideWhenUsed/>
    <w:qFormat/>
  </w:style>
  <w:style w:type="table" w:styleId="713">
    <w:name w:val="普通表格"/>
    <w:next w:val="713"/>
    <w:link w:val="702"/>
    <w:uiPriority w:val="99"/>
    <w:unhideWhenUsed/>
    <w:qFormat/>
    <w:tblPr/>
  </w:style>
  <w:style w:type="paragraph" w:styleId="714">
    <w:name w:val="正文首行缩进 2"/>
    <w:basedOn w:val="715"/>
    <w:next w:val="714"/>
    <w:link w:val="702"/>
    <w:uiPriority w:val="99"/>
    <w:unhideWhenUsed/>
    <w:qFormat/>
    <w:pPr>
      <w:ind w:left="420" w:firstLine="420"/>
      <w:jc w:val="both"/>
      <w:spacing w:after="120"/>
    </w:pPr>
    <w:rPr>
      <w:rFonts w:ascii="Calibri" w:hAnsi="Calibri" w:eastAsia="宋体"/>
      <w:sz w:val="21"/>
    </w:rPr>
  </w:style>
  <w:style w:type="paragraph" w:styleId="715">
    <w:name w:val="正文文本缩进"/>
    <w:basedOn w:val="702"/>
    <w:next w:val="702"/>
    <w:link w:val="702"/>
    <w:qFormat/>
    <w:pPr>
      <w:ind w:firstLine="560"/>
      <w:jc w:val="left"/>
      <w:spacing w:line="300" w:lineRule="auto"/>
    </w:pPr>
    <w:rPr>
      <w:rFonts w:eastAsia="Times New Roman"/>
      <w:sz w:val="28"/>
    </w:rPr>
  </w:style>
  <w:style w:type="character" w:styleId="716">
    <w:name w:val="标题 1 字符1"/>
    <w:next w:val="716"/>
    <w:link w:val="703"/>
    <w:uiPriority w:val="9"/>
    <w:qFormat/>
    <w:rPr>
      <w:rFonts w:ascii="Arial" w:hAnsi="Arial" w:eastAsia="Arial" w:cs="Arial"/>
      <w:sz w:val="40"/>
      <w:szCs w:val="40"/>
    </w:rPr>
  </w:style>
  <w:style w:type="character" w:styleId="717">
    <w:name w:val="标题 2 字符1"/>
    <w:next w:val="717"/>
    <w:link w:val="704"/>
    <w:uiPriority w:val="9"/>
    <w:qFormat/>
    <w:rPr>
      <w:rFonts w:ascii="Arial" w:hAnsi="Arial" w:eastAsia="Arial" w:cs="Arial"/>
      <w:sz w:val="34"/>
    </w:rPr>
  </w:style>
  <w:style w:type="character" w:styleId="718">
    <w:name w:val="标题 3 字符1"/>
    <w:next w:val="718"/>
    <w:link w:val="705"/>
    <w:uiPriority w:val="9"/>
    <w:qFormat/>
    <w:rPr>
      <w:rFonts w:ascii="Arial" w:hAnsi="Arial" w:eastAsia="Arial" w:cs="Arial"/>
      <w:sz w:val="30"/>
      <w:szCs w:val="30"/>
    </w:rPr>
  </w:style>
  <w:style w:type="character" w:styleId="719">
    <w:name w:val="标题 4 字符"/>
    <w:next w:val="719"/>
    <w:link w:val="706"/>
    <w:uiPriority w:val="9"/>
    <w:qFormat/>
    <w:rPr>
      <w:rFonts w:ascii="Arial" w:hAnsi="Arial" w:eastAsia="Arial" w:cs="Arial"/>
      <w:b/>
      <w:bCs/>
      <w:sz w:val="26"/>
      <w:szCs w:val="26"/>
    </w:rPr>
  </w:style>
  <w:style w:type="character" w:styleId="720">
    <w:name w:val="标题 5 字符1"/>
    <w:next w:val="720"/>
    <w:link w:val="707"/>
    <w:uiPriority w:val="9"/>
    <w:qFormat/>
    <w:rPr>
      <w:rFonts w:ascii="Arial" w:hAnsi="Arial" w:eastAsia="Arial" w:cs="Arial"/>
      <w:b/>
      <w:bCs/>
      <w:sz w:val="24"/>
      <w:szCs w:val="24"/>
    </w:rPr>
  </w:style>
  <w:style w:type="character" w:styleId="721">
    <w:name w:val="标题 6 字符"/>
    <w:next w:val="721"/>
    <w:link w:val="708"/>
    <w:uiPriority w:val="9"/>
    <w:qFormat/>
    <w:rPr>
      <w:rFonts w:ascii="Arial" w:hAnsi="Arial" w:eastAsia="Arial" w:cs="Arial"/>
      <w:b/>
      <w:bCs/>
      <w:sz w:val="22"/>
      <w:szCs w:val="22"/>
    </w:rPr>
  </w:style>
  <w:style w:type="character" w:styleId="722">
    <w:name w:val="标题 7 字符"/>
    <w:next w:val="722"/>
    <w:link w:val="709"/>
    <w:uiPriority w:val="9"/>
    <w:qFormat/>
    <w:rPr>
      <w:rFonts w:ascii="Arial" w:hAnsi="Arial" w:eastAsia="Arial" w:cs="Arial"/>
      <w:b/>
      <w:bCs/>
      <w:i/>
      <w:iCs/>
      <w:sz w:val="22"/>
      <w:szCs w:val="22"/>
    </w:rPr>
  </w:style>
  <w:style w:type="character" w:styleId="723">
    <w:name w:val="标题 8 字符"/>
    <w:next w:val="723"/>
    <w:link w:val="710"/>
    <w:uiPriority w:val="9"/>
    <w:qFormat/>
    <w:rPr>
      <w:rFonts w:ascii="Arial" w:hAnsi="Arial" w:eastAsia="Arial" w:cs="Arial"/>
      <w:i/>
      <w:iCs/>
      <w:sz w:val="22"/>
      <w:szCs w:val="22"/>
    </w:rPr>
  </w:style>
  <w:style w:type="character" w:styleId="724">
    <w:name w:val="标题 9 字符"/>
    <w:next w:val="724"/>
    <w:link w:val="711"/>
    <w:uiPriority w:val="9"/>
    <w:qFormat/>
    <w:rPr>
      <w:rFonts w:ascii="Arial" w:hAnsi="Arial" w:eastAsia="Arial" w:cs="Arial"/>
      <w:i/>
      <w:iCs/>
      <w:sz w:val="21"/>
      <w:szCs w:val="21"/>
    </w:rPr>
  </w:style>
  <w:style w:type="paragraph" w:styleId="725">
    <w:name w:val="目录 7"/>
    <w:basedOn w:val="702"/>
    <w:next w:val="702"/>
    <w:link w:val="702"/>
    <w:uiPriority w:val="39"/>
    <w:unhideWhenUsed/>
    <w:qFormat/>
    <w:pPr>
      <w:ind w:left="1701"/>
      <w:spacing w:after="57"/>
    </w:pPr>
  </w:style>
  <w:style w:type="paragraph" w:styleId="726">
    <w:name w:val="正文缩进"/>
    <w:basedOn w:val="702"/>
    <w:next w:val="702"/>
    <w:link w:val="702"/>
    <w:qFormat/>
    <w:pPr>
      <w:ind w:left="420" w:firstLine="4772"/>
    </w:pPr>
    <w:rPr>
      <w:lang w:val="zh-CN"/>
    </w:rPr>
  </w:style>
  <w:style w:type="paragraph" w:styleId="727">
    <w:name w:val="题注"/>
    <w:basedOn w:val="702"/>
    <w:next w:val="702"/>
    <w:link w:val="702"/>
    <w:uiPriority w:val="35"/>
    <w:unhideWhenUsed/>
    <w:qFormat/>
    <w:pPr>
      <w:spacing w:line="276" w:lineRule="auto"/>
    </w:pPr>
    <w:rPr>
      <w:b/>
      <w:bCs/>
      <w:color w:val="4f81bd"/>
      <w:sz w:val="18"/>
      <w:szCs w:val="18"/>
    </w:rPr>
  </w:style>
  <w:style w:type="paragraph" w:styleId="728">
    <w:name w:val="批注文字"/>
    <w:basedOn w:val="702"/>
    <w:next w:val="728"/>
    <w:link w:val="729"/>
    <w:qFormat/>
    <w:pPr>
      <w:jc w:val="left"/>
    </w:pPr>
  </w:style>
  <w:style w:type="character" w:styleId="729">
    <w:name w:val="批注文字 字符1"/>
    <w:basedOn w:val="712"/>
    <w:next w:val="729"/>
    <w:link w:val="728"/>
    <w:qFormat/>
    <w:rPr>
      <w:sz w:val="21"/>
      <w:szCs w:val="24"/>
    </w:rPr>
  </w:style>
  <w:style w:type="paragraph" w:styleId="730">
    <w:name w:val="正文文本"/>
    <w:basedOn w:val="702"/>
    <w:next w:val="730"/>
    <w:link w:val="702"/>
    <w:qFormat/>
    <w:pPr>
      <w:ind w:firstLine="2560"/>
    </w:pPr>
  </w:style>
  <w:style w:type="paragraph" w:styleId="731">
    <w:name w:val="文本块"/>
    <w:basedOn w:val="703"/>
    <w:next w:val="702"/>
    <w:link w:val="702"/>
    <w:qFormat/>
    <w:pPr>
      <w:ind w:left="420" w:right="33" w:firstLine="2560"/>
      <w:spacing w:before="0" w:after="0"/>
    </w:pPr>
  </w:style>
  <w:style w:type="paragraph" w:styleId="732">
    <w:name w:val="目录 5"/>
    <w:basedOn w:val="702"/>
    <w:next w:val="702"/>
    <w:link w:val="702"/>
    <w:uiPriority w:val="39"/>
    <w:unhideWhenUsed/>
    <w:qFormat/>
    <w:pPr>
      <w:ind w:left="1134"/>
      <w:spacing w:after="57"/>
    </w:pPr>
  </w:style>
  <w:style w:type="paragraph" w:styleId="733">
    <w:name w:val="目录 3"/>
    <w:basedOn w:val="702"/>
    <w:next w:val="702"/>
    <w:link w:val="702"/>
    <w:uiPriority w:val="39"/>
    <w:unhideWhenUsed/>
    <w:qFormat/>
    <w:pPr>
      <w:ind w:left="567"/>
      <w:spacing w:after="57"/>
    </w:pPr>
  </w:style>
  <w:style w:type="paragraph" w:styleId="734">
    <w:name w:val="纯文本"/>
    <w:basedOn w:val="702"/>
    <w:next w:val="734"/>
    <w:link w:val="702"/>
    <w:qFormat/>
    <w:rPr>
      <w:rFonts w:ascii="宋体" w:hAnsi="Courier New" w:eastAsia="楷体_GB2312"/>
      <w:sz w:val="26"/>
      <w:szCs w:val="20"/>
    </w:rPr>
  </w:style>
  <w:style w:type="paragraph" w:styleId="735">
    <w:name w:val="目录 8"/>
    <w:basedOn w:val="702"/>
    <w:next w:val="702"/>
    <w:link w:val="702"/>
    <w:uiPriority w:val="39"/>
    <w:unhideWhenUsed/>
    <w:qFormat/>
    <w:pPr>
      <w:ind w:left="1984"/>
      <w:spacing w:after="57"/>
    </w:pPr>
  </w:style>
  <w:style w:type="paragraph" w:styleId="736">
    <w:name w:val="尾注文本"/>
    <w:basedOn w:val="702"/>
    <w:next w:val="736"/>
    <w:link w:val="737"/>
    <w:uiPriority w:val="99"/>
    <w:unhideWhenUsed/>
    <w:qFormat/>
    <w:rPr>
      <w:sz w:val="20"/>
    </w:rPr>
  </w:style>
  <w:style w:type="character" w:styleId="737">
    <w:name w:val="尾注文本 字符"/>
    <w:next w:val="737"/>
    <w:link w:val="736"/>
    <w:uiPriority w:val="99"/>
    <w:qFormat/>
    <w:rPr>
      <w:sz w:val="20"/>
    </w:rPr>
  </w:style>
  <w:style w:type="paragraph" w:styleId="738">
    <w:name w:val="页脚"/>
    <w:basedOn w:val="702"/>
    <w:next w:val="738"/>
    <w:link w:val="739"/>
    <w:uiPriority w:val="99"/>
    <w:unhideWhenUsed/>
    <w:qFormat/>
    <w:pPr>
      <w:tabs>
        <w:tab w:val="center" w:pos="7143" w:leader="none"/>
        <w:tab w:val="right" w:pos="14287" w:leader="none"/>
      </w:tabs>
    </w:pPr>
  </w:style>
  <w:style w:type="character" w:styleId="739">
    <w:name w:val="页脚 字符1"/>
    <w:next w:val="739"/>
    <w:link w:val="738"/>
    <w:uiPriority w:val="99"/>
    <w:qFormat/>
  </w:style>
  <w:style w:type="paragraph" w:styleId="740">
    <w:name w:val="寄信人地址"/>
    <w:basedOn w:val="702"/>
    <w:next w:val="740"/>
    <w:link w:val="702"/>
    <w:qFormat/>
    <w:rPr>
      <w:rFonts w:ascii="Arial" w:hAnsi="Arial"/>
    </w:rPr>
  </w:style>
  <w:style w:type="paragraph" w:styleId="741">
    <w:name w:val="页眉"/>
    <w:basedOn w:val="702"/>
    <w:next w:val="741"/>
    <w:link w:val="742"/>
    <w:uiPriority w:val="99"/>
    <w:unhideWhenUsed/>
    <w:qFormat/>
    <w:pPr>
      <w:tabs>
        <w:tab w:val="center" w:pos="7143" w:leader="none"/>
        <w:tab w:val="right" w:pos="14287" w:leader="none"/>
      </w:tabs>
    </w:pPr>
  </w:style>
  <w:style w:type="character" w:styleId="742">
    <w:name w:val="页眉 字符1"/>
    <w:next w:val="742"/>
    <w:link w:val="741"/>
    <w:uiPriority w:val="99"/>
    <w:qFormat/>
  </w:style>
  <w:style w:type="paragraph" w:styleId="743">
    <w:name w:val="目录 1"/>
    <w:basedOn w:val="702"/>
    <w:next w:val="702"/>
    <w:link w:val="702"/>
    <w:uiPriority w:val="39"/>
    <w:unhideWhenUsed/>
    <w:qFormat/>
    <w:pPr>
      <w:spacing w:after="57"/>
    </w:pPr>
  </w:style>
  <w:style w:type="paragraph" w:styleId="744">
    <w:name w:val="目录 4"/>
    <w:basedOn w:val="702"/>
    <w:next w:val="702"/>
    <w:link w:val="702"/>
    <w:uiPriority w:val="39"/>
    <w:unhideWhenUsed/>
    <w:qFormat/>
    <w:pPr>
      <w:ind w:left="850"/>
      <w:spacing w:after="57"/>
    </w:pPr>
  </w:style>
  <w:style w:type="paragraph" w:styleId="745">
    <w:name w:val="副标题"/>
    <w:basedOn w:val="702"/>
    <w:next w:val="702"/>
    <w:link w:val="746"/>
    <w:uiPriority w:val="11"/>
    <w:qFormat/>
    <w:pPr>
      <w:spacing w:before="200" w:after="200"/>
    </w:pPr>
    <w:rPr>
      <w:sz w:val="24"/>
    </w:rPr>
  </w:style>
  <w:style w:type="character" w:styleId="746">
    <w:name w:val="副标题 字符"/>
    <w:next w:val="746"/>
    <w:link w:val="745"/>
    <w:uiPriority w:val="11"/>
    <w:qFormat/>
    <w:rPr>
      <w:sz w:val="24"/>
      <w:szCs w:val="24"/>
    </w:rPr>
  </w:style>
  <w:style w:type="paragraph" w:styleId="747">
    <w:name w:val="脚注文本"/>
    <w:basedOn w:val="703"/>
    <w:next w:val="731"/>
    <w:link w:val="748"/>
    <w:uiPriority w:val="99"/>
    <w:unhideWhenUsed/>
    <w:qFormat/>
    <w:pPr>
      <w:spacing w:after="40"/>
    </w:pPr>
    <w:rPr>
      <w:sz w:val="18"/>
    </w:rPr>
  </w:style>
  <w:style w:type="character" w:styleId="748">
    <w:name w:val="脚注文本 字符"/>
    <w:next w:val="748"/>
    <w:link w:val="747"/>
    <w:uiPriority w:val="99"/>
    <w:qFormat/>
    <w:rPr>
      <w:sz w:val="18"/>
    </w:rPr>
  </w:style>
  <w:style w:type="paragraph" w:styleId="749">
    <w:name w:val="目录 6"/>
    <w:basedOn w:val="702"/>
    <w:next w:val="702"/>
    <w:link w:val="702"/>
    <w:uiPriority w:val="39"/>
    <w:unhideWhenUsed/>
    <w:qFormat/>
    <w:pPr>
      <w:ind w:left="1417"/>
      <w:spacing w:after="57"/>
    </w:pPr>
  </w:style>
  <w:style w:type="paragraph" w:styleId="750">
    <w:name w:val="正文文本缩进 3"/>
    <w:basedOn w:val="702"/>
    <w:next w:val="702"/>
    <w:link w:val="702"/>
    <w:qFormat/>
    <w:pPr>
      <w:ind w:left="200"/>
      <w:spacing w:after="120"/>
    </w:pPr>
    <w:rPr>
      <w:sz w:val="16"/>
      <w:szCs w:val="16"/>
    </w:rPr>
  </w:style>
  <w:style w:type="paragraph" w:styleId="751">
    <w:name w:val="图表目录"/>
    <w:basedOn w:val="702"/>
    <w:next w:val="702"/>
    <w:link w:val="702"/>
    <w:uiPriority w:val="99"/>
    <w:unhideWhenUsed/>
    <w:qFormat/>
  </w:style>
  <w:style w:type="paragraph" w:styleId="752">
    <w:name w:val="目录 2"/>
    <w:basedOn w:val="702"/>
    <w:next w:val="702"/>
    <w:link w:val="702"/>
    <w:uiPriority w:val="39"/>
    <w:unhideWhenUsed/>
    <w:qFormat/>
    <w:pPr>
      <w:ind w:left="283"/>
      <w:spacing w:after="57"/>
    </w:pPr>
  </w:style>
  <w:style w:type="paragraph" w:styleId="753">
    <w:name w:val="目录 9"/>
    <w:basedOn w:val="702"/>
    <w:next w:val="702"/>
    <w:link w:val="702"/>
    <w:uiPriority w:val="39"/>
    <w:unhideWhenUsed/>
    <w:qFormat/>
    <w:pPr>
      <w:ind w:left="2268"/>
      <w:spacing w:after="57"/>
    </w:pPr>
  </w:style>
  <w:style w:type="paragraph" w:styleId="754">
    <w:name w:val="普通(网站)"/>
    <w:basedOn w:val="702"/>
    <w:next w:val="754"/>
    <w:link w:val="702"/>
    <w:uiPriority w:val="99"/>
    <w:qFormat/>
    <w:pPr>
      <w:jc w:val="left"/>
      <w:spacing w:beforeAutospacing="1" w:afterAutospacing="1"/>
    </w:pPr>
    <w:rPr>
      <w:sz w:val="24"/>
    </w:rPr>
  </w:style>
  <w:style w:type="paragraph" w:styleId="755">
    <w:name w:val="标题"/>
    <w:basedOn w:val="702"/>
    <w:next w:val="702"/>
    <w:link w:val="756"/>
    <w:uiPriority w:val="10"/>
    <w:qFormat/>
    <w:pPr>
      <w:contextualSpacing/>
      <w:spacing w:before="300" w:after="200"/>
    </w:pPr>
    <w:rPr>
      <w:sz w:val="48"/>
      <w:szCs w:val="48"/>
    </w:rPr>
  </w:style>
  <w:style w:type="character" w:styleId="756">
    <w:name w:val="标题 字符"/>
    <w:next w:val="756"/>
    <w:link w:val="755"/>
    <w:uiPriority w:val="10"/>
    <w:qFormat/>
    <w:rPr>
      <w:sz w:val="48"/>
      <w:szCs w:val="48"/>
    </w:rPr>
  </w:style>
  <w:style w:type="paragraph" w:styleId="757">
    <w:name w:val="批注主题"/>
    <w:basedOn w:val="728"/>
    <w:next w:val="728"/>
    <w:link w:val="758"/>
    <w:uiPriority w:val="99"/>
    <w:unhideWhenUsed/>
    <w:qFormat/>
    <w:rPr>
      <w:b/>
      <w:bCs/>
    </w:rPr>
  </w:style>
  <w:style w:type="character" w:styleId="758">
    <w:name w:val="批注主题 字符1"/>
    <w:basedOn w:val="729"/>
    <w:next w:val="758"/>
    <w:link w:val="757"/>
    <w:uiPriority w:val="99"/>
    <w:semiHidden/>
    <w:qFormat/>
    <w:rPr>
      <w:b/>
      <w:bCs/>
      <w:sz w:val="21"/>
      <w:szCs w:val="24"/>
    </w:rPr>
  </w:style>
  <w:style w:type="table" w:styleId="759">
    <w:name w:val="网格型"/>
    <w:next w:val="759"/>
    <w:link w:val="702"/>
    <w:uiPriority w:val="59"/>
    <w:qFormat/>
    <w:tblPr/>
  </w:style>
  <w:style w:type="character" w:styleId="760">
    <w:name w:val="尾注引用"/>
    <w:next w:val="760"/>
    <w:link w:val="702"/>
    <w:uiPriority w:val="99"/>
    <w:unhideWhenUsed/>
    <w:qFormat/>
    <w:rPr>
      <w:vertAlign w:val="superscript"/>
    </w:rPr>
  </w:style>
  <w:style w:type="character" w:styleId="761">
    <w:name w:val="超链接"/>
    <w:next w:val="761"/>
    <w:link w:val="702"/>
    <w:uiPriority w:val="99"/>
    <w:unhideWhenUsed/>
    <w:qFormat/>
    <w:rPr>
      <w:color w:val="0000ff"/>
      <w:u w:val="single"/>
    </w:rPr>
  </w:style>
  <w:style w:type="character" w:styleId="762">
    <w:name w:val="批注引用"/>
    <w:next w:val="762"/>
    <w:link w:val="702"/>
    <w:qFormat/>
    <w:rPr>
      <w:sz w:val="21"/>
      <w:szCs w:val="21"/>
    </w:rPr>
  </w:style>
  <w:style w:type="character" w:styleId="763">
    <w:name w:val="脚注引用"/>
    <w:next w:val="763"/>
    <w:link w:val="702"/>
    <w:uiPriority w:val="99"/>
    <w:unhideWhenUsed/>
    <w:qFormat/>
    <w:rPr>
      <w:vertAlign w:val="superscript"/>
    </w:rPr>
  </w:style>
  <w:style w:type="paragraph" w:styleId="764">
    <w:name w:val="No Spacing"/>
    <w:next w:val="764"/>
    <w:link w:val="702"/>
    <w:uiPriority w:val="1"/>
    <w:qFormat/>
    <w:rPr>
      <w:rFonts w:ascii="Times New Roman" w:hAnsi="Times New Roman" w:eastAsia="宋体" w:cs="Times New Roman"/>
      <w:lang w:val="en-US" w:eastAsia="zh-CN" w:bidi="ar-SA"/>
    </w:rPr>
  </w:style>
  <w:style w:type="paragraph" w:styleId="765">
    <w:name w:val="Quote"/>
    <w:basedOn w:val="702"/>
    <w:next w:val="702"/>
    <w:link w:val="766"/>
    <w:uiPriority w:val="29"/>
    <w:qFormat/>
    <w:pPr>
      <w:ind w:left="720" w:right="720"/>
    </w:pPr>
    <w:rPr>
      <w:i/>
    </w:rPr>
  </w:style>
  <w:style w:type="character" w:styleId="766">
    <w:name w:val="引用 字符"/>
    <w:next w:val="766"/>
    <w:link w:val="765"/>
    <w:uiPriority w:val="29"/>
    <w:qFormat/>
    <w:rPr>
      <w:i/>
    </w:rPr>
  </w:style>
  <w:style w:type="paragraph" w:styleId="767">
    <w:name w:val="Intense Quote"/>
    <w:basedOn w:val="702"/>
    <w:next w:val="702"/>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明显引用 字符"/>
    <w:next w:val="768"/>
    <w:link w:val="767"/>
    <w:uiPriority w:val="30"/>
    <w:qFormat/>
    <w:rPr>
      <w:i/>
    </w:rPr>
  </w:style>
  <w:style w:type="character" w:styleId="769">
    <w:name w:val="Footer Char"/>
    <w:next w:val="769"/>
    <w:link w:val="702"/>
    <w:uiPriority w:val="99"/>
    <w:qFormat/>
  </w:style>
  <w:style w:type="table" w:styleId="770">
    <w:name w:val="Table Grid Light"/>
    <w:next w:val="770"/>
    <w:link w:val="702"/>
    <w:uiPriority w:val="59"/>
    <w:qFormat/>
    <w:tblPr/>
  </w:style>
  <w:style w:type="table" w:styleId="771">
    <w:name w:val="无格式表格 11"/>
    <w:next w:val="771"/>
    <w:link w:val="702"/>
    <w:uiPriority w:val="59"/>
    <w:qFormat/>
    <w:tblPr/>
  </w:style>
  <w:style w:type="table" w:styleId="772">
    <w:name w:val="无格式表格 21"/>
    <w:next w:val="772"/>
    <w:link w:val="702"/>
    <w:uiPriority w:val="59"/>
    <w:qFormat/>
    <w:tblPr/>
  </w:style>
  <w:style w:type="table" w:styleId="773">
    <w:name w:val="无格式表格 31"/>
    <w:next w:val="773"/>
    <w:link w:val="702"/>
    <w:uiPriority w:val="99"/>
    <w:qFormat/>
    <w:tblPr/>
  </w:style>
  <w:style w:type="table" w:styleId="774">
    <w:name w:val="无格式表格 41"/>
    <w:next w:val="774"/>
    <w:link w:val="702"/>
    <w:uiPriority w:val="99"/>
    <w:qFormat/>
    <w:tblPr/>
  </w:style>
  <w:style w:type="table" w:styleId="775">
    <w:name w:val="无格式表格 51"/>
    <w:next w:val="775"/>
    <w:link w:val="702"/>
    <w:uiPriority w:val="99"/>
    <w:qFormat/>
    <w:tblPr/>
  </w:style>
  <w:style w:type="table" w:styleId="776">
    <w:name w:val="网格表 1 浅色1"/>
    <w:next w:val="776"/>
    <w:link w:val="702"/>
    <w:uiPriority w:val="99"/>
    <w:qFormat/>
    <w:tblPr/>
  </w:style>
  <w:style w:type="table" w:styleId="777">
    <w:name w:val="Grid Table 1 Light - Accent 1"/>
    <w:next w:val="777"/>
    <w:link w:val="702"/>
    <w:uiPriority w:val="99"/>
    <w:qFormat/>
    <w:tblPr/>
  </w:style>
  <w:style w:type="table" w:styleId="778">
    <w:name w:val="Grid Table 1 Light - Accent 2"/>
    <w:next w:val="778"/>
    <w:link w:val="702"/>
    <w:uiPriority w:val="99"/>
    <w:qFormat/>
    <w:tblPr/>
  </w:style>
  <w:style w:type="table" w:styleId="779">
    <w:name w:val="Grid Table 1 Light - Accent 3"/>
    <w:next w:val="779"/>
    <w:link w:val="702"/>
    <w:uiPriority w:val="99"/>
    <w:qFormat/>
    <w:tblPr/>
  </w:style>
  <w:style w:type="table" w:styleId="780">
    <w:name w:val="Grid Table 1 Light - Accent 4"/>
    <w:next w:val="780"/>
    <w:link w:val="702"/>
    <w:uiPriority w:val="99"/>
    <w:qFormat/>
    <w:tblPr/>
  </w:style>
  <w:style w:type="table" w:styleId="781">
    <w:name w:val="Grid Table 1 Light - Accent 5"/>
    <w:next w:val="781"/>
    <w:link w:val="702"/>
    <w:uiPriority w:val="99"/>
    <w:qFormat/>
    <w:tblPr/>
  </w:style>
  <w:style w:type="table" w:styleId="782">
    <w:name w:val="Grid Table 1 Light - Accent 6"/>
    <w:next w:val="782"/>
    <w:link w:val="702"/>
    <w:uiPriority w:val="99"/>
    <w:qFormat/>
    <w:tblPr/>
  </w:style>
  <w:style w:type="table" w:styleId="783">
    <w:name w:val="网格表 21"/>
    <w:next w:val="783"/>
    <w:link w:val="702"/>
    <w:uiPriority w:val="99"/>
    <w:qFormat/>
    <w:tblPr/>
  </w:style>
  <w:style w:type="table" w:styleId="784">
    <w:name w:val="Grid Table 2 - Accent 1"/>
    <w:next w:val="784"/>
    <w:link w:val="702"/>
    <w:uiPriority w:val="99"/>
    <w:qFormat/>
    <w:tblPr/>
  </w:style>
  <w:style w:type="table" w:styleId="785">
    <w:name w:val="Grid Table 2 - Accent 2"/>
    <w:next w:val="785"/>
    <w:link w:val="702"/>
    <w:uiPriority w:val="99"/>
    <w:qFormat/>
    <w:tblPr/>
  </w:style>
  <w:style w:type="table" w:styleId="786">
    <w:name w:val="Grid Table 2 - Accent 3"/>
    <w:next w:val="786"/>
    <w:link w:val="702"/>
    <w:uiPriority w:val="99"/>
    <w:qFormat/>
    <w:tblPr/>
  </w:style>
  <w:style w:type="table" w:styleId="787">
    <w:name w:val="Grid Table 2 - Accent 4"/>
    <w:next w:val="787"/>
    <w:link w:val="702"/>
    <w:uiPriority w:val="99"/>
    <w:qFormat/>
    <w:tblPr/>
  </w:style>
  <w:style w:type="table" w:styleId="788">
    <w:name w:val="Grid Table 2 - Accent 5"/>
    <w:next w:val="788"/>
    <w:link w:val="702"/>
    <w:uiPriority w:val="99"/>
    <w:qFormat/>
    <w:tblPr/>
  </w:style>
  <w:style w:type="table" w:styleId="789">
    <w:name w:val="Grid Table 2 - Accent 6"/>
    <w:next w:val="789"/>
    <w:link w:val="702"/>
    <w:uiPriority w:val="99"/>
    <w:qFormat/>
    <w:tblPr/>
  </w:style>
  <w:style w:type="table" w:styleId="790">
    <w:name w:val="网格表 31"/>
    <w:next w:val="790"/>
    <w:link w:val="702"/>
    <w:uiPriority w:val="99"/>
    <w:qFormat/>
    <w:tblPr/>
  </w:style>
  <w:style w:type="table" w:styleId="791">
    <w:name w:val="Grid Table 3 - Accent 1"/>
    <w:next w:val="791"/>
    <w:link w:val="702"/>
    <w:uiPriority w:val="99"/>
    <w:qFormat/>
    <w:tblPr/>
  </w:style>
  <w:style w:type="table" w:styleId="792">
    <w:name w:val="Grid Table 3 - Accent 2"/>
    <w:next w:val="792"/>
    <w:link w:val="702"/>
    <w:uiPriority w:val="99"/>
    <w:qFormat/>
    <w:tblPr/>
  </w:style>
  <w:style w:type="table" w:styleId="793">
    <w:name w:val="Grid Table 3 - Accent 3"/>
    <w:next w:val="793"/>
    <w:link w:val="702"/>
    <w:uiPriority w:val="99"/>
    <w:qFormat/>
    <w:tblPr/>
  </w:style>
  <w:style w:type="table" w:styleId="794">
    <w:name w:val="Grid Table 3 - Accent 4"/>
    <w:next w:val="794"/>
    <w:link w:val="702"/>
    <w:uiPriority w:val="99"/>
    <w:qFormat/>
    <w:tblPr/>
  </w:style>
  <w:style w:type="table" w:styleId="795">
    <w:name w:val="Grid Table 3 - Accent 5"/>
    <w:next w:val="795"/>
    <w:link w:val="702"/>
    <w:uiPriority w:val="99"/>
    <w:qFormat/>
    <w:tblPr/>
  </w:style>
  <w:style w:type="table" w:styleId="796">
    <w:name w:val="Grid Table 3 - Accent 6"/>
    <w:next w:val="796"/>
    <w:link w:val="702"/>
    <w:uiPriority w:val="99"/>
    <w:qFormat/>
    <w:tblPr/>
  </w:style>
  <w:style w:type="table" w:styleId="797">
    <w:name w:val="网格表 41"/>
    <w:next w:val="797"/>
    <w:link w:val="702"/>
    <w:uiPriority w:val="59"/>
    <w:qFormat/>
    <w:tblPr/>
  </w:style>
  <w:style w:type="table" w:styleId="798">
    <w:name w:val="Grid Table 4 - Accent 1"/>
    <w:next w:val="798"/>
    <w:link w:val="702"/>
    <w:uiPriority w:val="59"/>
    <w:qFormat/>
    <w:tblPr/>
  </w:style>
  <w:style w:type="table" w:styleId="799">
    <w:name w:val="Grid Table 4 - Accent 2"/>
    <w:next w:val="799"/>
    <w:link w:val="702"/>
    <w:uiPriority w:val="59"/>
    <w:qFormat/>
    <w:tblPr/>
  </w:style>
  <w:style w:type="table" w:styleId="800">
    <w:name w:val="Grid Table 4 - Accent 3"/>
    <w:next w:val="800"/>
    <w:link w:val="702"/>
    <w:uiPriority w:val="59"/>
    <w:qFormat/>
    <w:tblPr/>
  </w:style>
  <w:style w:type="table" w:styleId="801">
    <w:name w:val="Grid Table 4 - Accent 4"/>
    <w:next w:val="801"/>
    <w:link w:val="702"/>
    <w:uiPriority w:val="59"/>
    <w:qFormat/>
    <w:tblPr/>
  </w:style>
  <w:style w:type="table" w:styleId="802">
    <w:name w:val="Grid Table 4 - Accent 5"/>
    <w:next w:val="802"/>
    <w:link w:val="702"/>
    <w:uiPriority w:val="59"/>
    <w:qFormat/>
    <w:tblPr/>
  </w:style>
  <w:style w:type="table" w:styleId="803">
    <w:name w:val="Grid Table 4 - Accent 6"/>
    <w:next w:val="803"/>
    <w:link w:val="702"/>
    <w:uiPriority w:val="59"/>
    <w:qFormat/>
    <w:tblPr/>
  </w:style>
  <w:style w:type="table" w:styleId="804">
    <w:name w:val="网格表 5 深色1"/>
    <w:next w:val="804"/>
    <w:link w:val="702"/>
    <w:uiPriority w:val="99"/>
    <w:qFormat/>
    <w:tblPr/>
  </w:style>
  <w:style w:type="table" w:styleId="805">
    <w:name w:val="Grid Table 5 Dark- Accent 1"/>
    <w:next w:val="805"/>
    <w:link w:val="702"/>
    <w:uiPriority w:val="99"/>
    <w:qFormat/>
    <w:tblPr/>
  </w:style>
  <w:style w:type="table" w:styleId="806">
    <w:name w:val="Grid Table 5 Dark - Accent 2"/>
    <w:next w:val="806"/>
    <w:link w:val="702"/>
    <w:uiPriority w:val="99"/>
    <w:qFormat/>
    <w:tblPr/>
  </w:style>
  <w:style w:type="table" w:styleId="807">
    <w:name w:val="Grid Table 5 Dark - Accent 3"/>
    <w:next w:val="807"/>
    <w:link w:val="702"/>
    <w:uiPriority w:val="99"/>
    <w:qFormat/>
    <w:tblPr/>
  </w:style>
  <w:style w:type="table" w:styleId="808">
    <w:name w:val="Grid Table 5 Dark- Accent 4"/>
    <w:next w:val="808"/>
    <w:link w:val="702"/>
    <w:uiPriority w:val="99"/>
    <w:qFormat/>
    <w:tblPr/>
  </w:style>
  <w:style w:type="table" w:styleId="809">
    <w:name w:val="Grid Table 5 Dark - Accent 5"/>
    <w:next w:val="809"/>
    <w:link w:val="702"/>
    <w:uiPriority w:val="99"/>
    <w:qFormat/>
    <w:tblPr/>
  </w:style>
  <w:style w:type="table" w:styleId="810">
    <w:name w:val="Grid Table 5 Dark - Accent 6"/>
    <w:next w:val="810"/>
    <w:link w:val="702"/>
    <w:uiPriority w:val="99"/>
    <w:qFormat/>
    <w:tblPr/>
  </w:style>
  <w:style w:type="table" w:styleId="811">
    <w:name w:val="网格表 6 彩色1"/>
    <w:next w:val="811"/>
    <w:link w:val="702"/>
    <w:uiPriority w:val="99"/>
    <w:qFormat/>
    <w:tblPr/>
  </w:style>
  <w:style w:type="table" w:styleId="812">
    <w:name w:val="Grid Table 6 Colorful - Accent 1"/>
    <w:next w:val="812"/>
    <w:link w:val="702"/>
    <w:uiPriority w:val="99"/>
    <w:qFormat/>
    <w:tblPr/>
  </w:style>
  <w:style w:type="table" w:styleId="813">
    <w:name w:val="Grid Table 6 Colorful - Accent 2"/>
    <w:next w:val="813"/>
    <w:link w:val="702"/>
    <w:uiPriority w:val="99"/>
    <w:qFormat/>
    <w:tblPr/>
  </w:style>
  <w:style w:type="table" w:styleId="814">
    <w:name w:val="Grid Table 6 Colorful - Accent 3"/>
    <w:next w:val="814"/>
    <w:link w:val="702"/>
    <w:uiPriority w:val="99"/>
    <w:qFormat/>
    <w:tblPr/>
  </w:style>
  <w:style w:type="table" w:styleId="815">
    <w:name w:val="Grid Table 6 Colorful - Accent 4"/>
    <w:next w:val="815"/>
    <w:link w:val="702"/>
    <w:uiPriority w:val="99"/>
    <w:qFormat/>
    <w:tblPr/>
  </w:style>
  <w:style w:type="table" w:styleId="816">
    <w:name w:val="Grid Table 6 Colorful - Accent 5"/>
    <w:next w:val="816"/>
    <w:link w:val="702"/>
    <w:uiPriority w:val="99"/>
    <w:qFormat/>
    <w:tblPr/>
  </w:style>
  <w:style w:type="table" w:styleId="817">
    <w:name w:val="Grid Table 6 Colorful - Accent 6"/>
    <w:next w:val="817"/>
    <w:link w:val="702"/>
    <w:uiPriority w:val="99"/>
    <w:qFormat/>
    <w:tblPr/>
  </w:style>
  <w:style w:type="table" w:styleId="818">
    <w:name w:val="网格表 7 彩色1"/>
    <w:next w:val="818"/>
    <w:link w:val="702"/>
    <w:uiPriority w:val="99"/>
    <w:qFormat/>
    <w:tblPr/>
  </w:style>
  <w:style w:type="table" w:styleId="819">
    <w:name w:val="Grid Table 7 Colorful - Accent 1"/>
    <w:next w:val="819"/>
    <w:link w:val="702"/>
    <w:uiPriority w:val="99"/>
    <w:qFormat/>
    <w:tblPr/>
  </w:style>
  <w:style w:type="table" w:styleId="820">
    <w:name w:val="Grid Table 7 Colorful - Accent 2"/>
    <w:next w:val="820"/>
    <w:link w:val="702"/>
    <w:uiPriority w:val="99"/>
    <w:qFormat/>
    <w:tblPr/>
  </w:style>
  <w:style w:type="table" w:styleId="821">
    <w:name w:val="Grid Table 7 Colorful - Accent 3"/>
    <w:next w:val="821"/>
    <w:link w:val="702"/>
    <w:uiPriority w:val="99"/>
    <w:qFormat/>
    <w:tblPr/>
  </w:style>
  <w:style w:type="table" w:styleId="822">
    <w:name w:val="Grid Table 7 Colorful - Accent 4"/>
    <w:next w:val="822"/>
    <w:link w:val="702"/>
    <w:uiPriority w:val="99"/>
    <w:qFormat/>
    <w:tblPr/>
  </w:style>
  <w:style w:type="table" w:styleId="823">
    <w:name w:val="Grid Table 7 Colorful - Accent 5"/>
    <w:next w:val="823"/>
    <w:link w:val="702"/>
    <w:uiPriority w:val="99"/>
    <w:qFormat/>
    <w:tblPr/>
  </w:style>
  <w:style w:type="table" w:styleId="824">
    <w:name w:val="Grid Table 7 Colorful - Accent 6"/>
    <w:next w:val="824"/>
    <w:link w:val="702"/>
    <w:uiPriority w:val="99"/>
    <w:qFormat/>
    <w:tblPr/>
  </w:style>
  <w:style w:type="table" w:styleId="825">
    <w:name w:val="清单表 1 浅色1"/>
    <w:next w:val="825"/>
    <w:link w:val="702"/>
    <w:uiPriority w:val="99"/>
    <w:qFormat/>
    <w:tblPr/>
  </w:style>
  <w:style w:type="table" w:styleId="826">
    <w:name w:val="List Table 1 Light - Accent 1"/>
    <w:next w:val="826"/>
    <w:link w:val="702"/>
    <w:uiPriority w:val="99"/>
    <w:qFormat/>
    <w:tblPr/>
  </w:style>
  <w:style w:type="table" w:styleId="827">
    <w:name w:val="List Table 1 Light - Accent 2"/>
    <w:next w:val="827"/>
    <w:link w:val="702"/>
    <w:uiPriority w:val="99"/>
    <w:qFormat/>
    <w:tblPr/>
  </w:style>
  <w:style w:type="table" w:styleId="828">
    <w:name w:val="List Table 1 Light - Accent 3"/>
    <w:next w:val="828"/>
    <w:link w:val="702"/>
    <w:uiPriority w:val="99"/>
    <w:qFormat/>
    <w:tblPr/>
  </w:style>
  <w:style w:type="table" w:styleId="829">
    <w:name w:val="List Table 1 Light - Accent 4"/>
    <w:next w:val="829"/>
    <w:link w:val="702"/>
    <w:uiPriority w:val="99"/>
    <w:qFormat/>
    <w:tblPr/>
  </w:style>
  <w:style w:type="table" w:styleId="830">
    <w:name w:val="List Table 1 Light - Accent 5"/>
    <w:next w:val="830"/>
    <w:link w:val="702"/>
    <w:uiPriority w:val="99"/>
    <w:qFormat/>
    <w:tblPr/>
  </w:style>
  <w:style w:type="table" w:styleId="831">
    <w:name w:val="List Table 1 Light - Accent 6"/>
    <w:next w:val="831"/>
    <w:link w:val="702"/>
    <w:uiPriority w:val="99"/>
    <w:qFormat/>
    <w:tblPr/>
  </w:style>
  <w:style w:type="table" w:styleId="832">
    <w:name w:val="清单表 21"/>
    <w:next w:val="832"/>
    <w:link w:val="702"/>
    <w:uiPriority w:val="99"/>
    <w:qFormat/>
    <w:tblPr/>
  </w:style>
  <w:style w:type="table" w:styleId="833">
    <w:name w:val="List Table 2 - Accent 1"/>
    <w:next w:val="833"/>
    <w:link w:val="702"/>
    <w:uiPriority w:val="99"/>
    <w:qFormat/>
    <w:tblPr/>
  </w:style>
  <w:style w:type="table" w:styleId="834">
    <w:name w:val="List Table 2 - Accent 2"/>
    <w:next w:val="834"/>
    <w:link w:val="702"/>
    <w:uiPriority w:val="99"/>
    <w:qFormat/>
    <w:tblPr/>
  </w:style>
  <w:style w:type="table" w:styleId="835">
    <w:name w:val="List Table 2 - Accent 3"/>
    <w:next w:val="835"/>
    <w:link w:val="702"/>
    <w:uiPriority w:val="99"/>
    <w:qFormat/>
    <w:tblPr/>
  </w:style>
  <w:style w:type="table" w:styleId="836">
    <w:name w:val="List Table 2 - Accent 4"/>
    <w:next w:val="836"/>
    <w:link w:val="702"/>
    <w:uiPriority w:val="99"/>
    <w:qFormat/>
    <w:tblPr/>
  </w:style>
  <w:style w:type="table" w:styleId="837">
    <w:name w:val="List Table 2 - Accent 5"/>
    <w:next w:val="837"/>
    <w:link w:val="702"/>
    <w:uiPriority w:val="99"/>
    <w:qFormat/>
    <w:tblPr/>
  </w:style>
  <w:style w:type="table" w:styleId="838">
    <w:name w:val="List Table 2 - Accent 6"/>
    <w:next w:val="838"/>
    <w:link w:val="702"/>
    <w:uiPriority w:val="99"/>
    <w:qFormat/>
    <w:tblPr/>
  </w:style>
  <w:style w:type="table" w:styleId="839">
    <w:name w:val="清单表 31"/>
    <w:next w:val="839"/>
    <w:link w:val="702"/>
    <w:uiPriority w:val="99"/>
    <w:qFormat/>
    <w:tblPr/>
  </w:style>
  <w:style w:type="table" w:styleId="840">
    <w:name w:val="List Table 3 - Accent 1"/>
    <w:next w:val="840"/>
    <w:link w:val="702"/>
    <w:uiPriority w:val="99"/>
    <w:qFormat/>
    <w:tblPr/>
  </w:style>
  <w:style w:type="table" w:styleId="841">
    <w:name w:val="List Table 3 - Accent 2"/>
    <w:next w:val="841"/>
    <w:link w:val="702"/>
    <w:uiPriority w:val="99"/>
    <w:qFormat/>
    <w:tblPr/>
  </w:style>
  <w:style w:type="table" w:styleId="842">
    <w:name w:val="List Table 3 - Accent 3"/>
    <w:next w:val="842"/>
    <w:link w:val="702"/>
    <w:uiPriority w:val="99"/>
    <w:qFormat/>
    <w:tblPr/>
  </w:style>
  <w:style w:type="table" w:styleId="843">
    <w:name w:val="List Table 3 - Accent 4"/>
    <w:next w:val="843"/>
    <w:link w:val="702"/>
    <w:uiPriority w:val="99"/>
    <w:qFormat/>
    <w:tblPr/>
  </w:style>
  <w:style w:type="table" w:styleId="844">
    <w:name w:val="List Table 3 - Accent 5"/>
    <w:next w:val="844"/>
    <w:link w:val="702"/>
    <w:uiPriority w:val="99"/>
    <w:qFormat/>
    <w:tblPr/>
  </w:style>
  <w:style w:type="table" w:styleId="845">
    <w:name w:val="List Table 3 - Accent 6"/>
    <w:next w:val="845"/>
    <w:link w:val="702"/>
    <w:uiPriority w:val="99"/>
    <w:qFormat/>
    <w:tblPr/>
  </w:style>
  <w:style w:type="table" w:styleId="846">
    <w:name w:val="清单表 41"/>
    <w:next w:val="846"/>
    <w:link w:val="702"/>
    <w:uiPriority w:val="99"/>
    <w:qFormat/>
    <w:tblPr/>
  </w:style>
  <w:style w:type="table" w:styleId="847">
    <w:name w:val="List Table 4 - Accent 1"/>
    <w:next w:val="847"/>
    <w:link w:val="702"/>
    <w:uiPriority w:val="99"/>
    <w:qFormat/>
    <w:tblPr/>
  </w:style>
  <w:style w:type="table" w:styleId="848">
    <w:name w:val="List Table 4 - Accent 2"/>
    <w:next w:val="848"/>
    <w:link w:val="702"/>
    <w:uiPriority w:val="99"/>
    <w:qFormat/>
    <w:tblPr/>
  </w:style>
  <w:style w:type="table" w:styleId="849">
    <w:name w:val="List Table 4 - Accent 3"/>
    <w:next w:val="849"/>
    <w:link w:val="702"/>
    <w:uiPriority w:val="99"/>
    <w:qFormat/>
    <w:tblPr/>
  </w:style>
  <w:style w:type="table" w:styleId="850">
    <w:name w:val="List Table 4 - Accent 4"/>
    <w:next w:val="850"/>
    <w:link w:val="702"/>
    <w:uiPriority w:val="99"/>
    <w:qFormat/>
    <w:tblPr/>
  </w:style>
  <w:style w:type="table" w:styleId="851">
    <w:name w:val="List Table 4 - Accent 5"/>
    <w:next w:val="851"/>
    <w:link w:val="702"/>
    <w:uiPriority w:val="99"/>
    <w:qFormat/>
    <w:tblPr/>
  </w:style>
  <w:style w:type="table" w:styleId="852">
    <w:name w:val="List Table 4 - Accent 6"/>
    <w:next w:val="852"/>
    <w:link w:val="702"/>
    <w:uiPriority w:val="99"/>
    <w:qFormat/>
    <w:tblPr/>
  </w:style>
  <w:style w:type="table" w:styleId="853">
    <w:name w:val="清单表 5 深色1"/>
    <w:next w:val="853"/>
    <w:link w:val="702"/>
    <w:uiPriority w:val="99"/>
    <w:qFormat/>
    <w:tblPr/>
  </w:style>
  <w:style w:type="table" w:styleId="854">
    <w:name w:val="List Table 5 Dark - Accent 1"/>
    <w:next w:val="854"/>
    <w:link w:val="702"/>
    <w:uiPriority w:val="99"/>
    <w:qFormat/>
    <w:tblPr/>
  </w:style>
  <w:style w:type="table" w:styleId="855">
    <w:name w:val="List Table 5 Dark - Accent 2"/>
    <w:next w:val="855"/>
    <w:link w:val="702"/>
    <w:uiPriority w:val="99"/>
    <w:qFormat/>
    <w:tblPr/>
  </w:style>
  <w:style w:type="table" w:styleId="856">
    <w:name w:val="List Table 5 Dark - Accent 3"/>
    <w:next w:val="856"/>
    <w:link w:val="702"/>
    <w:uiPriority w:val="99"/>
    <w:qFormat/>
    <w:tblPr/>
  </w:style>
  <w:style w:type="table" w:styleId="857">
    <w:name w:val="List Table 5 Dark - Accent 4"/>
    <w:next w:val="857"/>
    <w:link w:val="702"/>
    <w:uiPriority w:val="99"/>
    <w:qFormat/>
    <w:tblPr/>
  </w:style>
  <w:style w:type="table" w:styleId="858">
    <w:name w:val="List Table 5 Dark - Accent 5"/>
    <w:next w:val="858"/>
    <w:link w:val="702"/>
    <w:uiPriority w:val="99"/>
    <w:qFormat/>
    <w:tblPr/>
  </w:style>
  <w:style w:type="table" w:styleId="859">
    <w:name w:val="List Table 5 Dark - Accent 6"/>
    <w:next w:val="859"/>
    <w:link w:val="702"/>
    <w:uiPriority w:val="99"/>
    <w:qFormat/>
    <w:tblPr/>
  </w:style>
  <w:style w:type="table" w:styleId="860">
    <w:name w:val="清单表 6 彩色1"/>
    <w:next w:val="860"/>
    <w:link w:val="702"/>
    <w:uiPriority w:val="99"/>
    <w:qFormat/>
    <w:tblPr/>
  </w:style>
  <w:style w:type="table" w:styleId="861">
    <w:name w:val="List Table 6 Colorful - Accent 1"/>
    <w:next w:val="861"/>
    <w:link w:val="702"/>
    <w:uiPriority w:val="99"/>
    <w:qFormat/>
    <w:tblPr/>
  </w:style>
  <w:style w:type="table" w:styleId="862">
    <w:name w:val="List Table 6 Colorful - Accent 2"/>
    <w:next w:val="862"/>
    <w:link w:val="702"/>
    <w:uiPriority w:val="99"/>
    <w:qFormat/>
    <w:tblPr/>
  </w:style>
  <w:style w:type="table" w:styleId="863">
    <w:name w:val="List Table 6 Colorful - Accent 3"/>
    <w:next w:val="863"/>
    <w:link w:val="702"/>
    <w:uiPriority w:val="99"/>
    <w:qFormat/>
    <w:tblPr/>
  </w:style>
  <w:style w:type="table" w:styleId="864">
    <w:name w:val="List Table 6 Colorful - Accent 4"/>
    <w:next w:val="864"/>
    <w:link w:val="702"/>
    <w:uiPriority w:val="99"/>
    <w:qFormat/>
    <w:tblPr/>
  </w:style>
  <w:style w:type="table" w:styleId="865">
    <w:name w:val="List Table 6 Colorful - Accent 5"/>
    <w:next w:val="865"/>
    <w:link w:val="702"/>
    <w:uiPriority w:val="99"/>
    <w:qFormat/>
    <w:tblPr/>
  </w:style>
  <w:style w:type="table" w:styleId="866">
    <w:name w:val="List Table 6 Colorful - Accent 6"/>
    <w:next w:val="866"/>
    <w:link w:val="702"/>
    <w:uiPriority w:val="99"/>
    <w:qFormat/>
    <w:tblPr/>
  </w:style>
  <w:style w:type="table" w:styleId="867">
    <w:name w:val="清单表 7 彩色1"/>
    <w:next w:val="867"/>
    <w:link w:val="702"/>
    <w:uiPriority w:val="99"/>
    <w:qFormat/>
    <w:tblPr/>
  </w:style>
  <w:style w:type="table" w:styleId="868">
    <w:name w:val="List Table 7 Colorful - Accent 1"/>
    <w:next w:val="868"/>
    <w:link w:val="702"/>
    <w:uiPriority w:val="99"/>
    <w:qFormat/>
    <w:tblPr/>
  </w:style>
  <w:style w:type="table" w:styleId="869">
    <w:name w:val="List Table 7 Colorful - Accent 2"/>
    <w:next w:val="869"/>
    <w:link w:val="702"/>
    <w:uiPriority w:val="99"/>
    <w:qFormat/>
    <w:tblPr/>
  </w:style>
  <w:style w:type="table" w:styleId="870">
    <w:name w:val="List Table 7 Colorful - Accent 3"/>
    <w:next w:val="870"/>
    <w:link w:val="702"/>
    <w:uiPriority w:val="99"/>
    <w:qFormat/>
    <w:tblPr/>
  </w:style>
  <w:style w:type="table" w:styleId="871">
    <w:name w:val="List Table 7 Colorful - Accent 4"/>
    <w:next w:val="871"/>
    <w:link w:val="702"/>
    <w:uiPriority w:val="99"/>
    <w:qFormat/>
    <w:tblPr/>
  </w:style>
  <w:style w:type="table" w:styleId="872">
    <w:name w:val="List Table 7 Colorful - Accent 5"/>
    <w:next w:val="872"/>
    <w:link w:val="702"/>
    <w:uiPriority w:val="99"/>
    <w:qFormat/>
    <w:tblPr/>
  </w:style>
  <w:style w:type="table" w:styleId="873">
    <w:name w:val="List Table 7 Colorful - Accent 6"/>
    <w:next w:val="873"/>
    <w:link w:val="702"/>
    <w:uiPriority w:val="99"/>
    <w:qFormat/>
    <w:tblPr/>
  </w:style>
  <w:style w:type="table" w:styleId="874">
    <w:name w:val="Lined - Accent"/>
    <w:next w:val="874"/>
    <w:link w:val="702"/>
    <w:uiPriority w:val="99"/>
    <w:qFormat/>
    <w:rPr>
      <w:color w:val="404040"/>
    </w:rPr>
    <w:tblPr/>
  </w:style>
  <w:style w:type="table" w:styleId="875">
    <w:name w:val="Lined - Accent 1"/>
    <w:next w:val="875"/>
    <w:link w:val="702"/>
    <w:uiPriority w:val="99"/>
    <w:qFormat/>
    <w:rPr>
      <w:color w:val="404040"/>
    </w:rPr>
    <w:tblPr/>
  </w:style>
  <w:style w:type="table" w:styleId="876">
    <w:name w:val="Lined - Accent 2"/>
    <w:next w:val="876"/>
    <w:link w:val="702"/>
    <w:uiPriority w:val="99"/>
    <w:qFormat/>
    <w:rPr>
      <w:color w:val="404040"/>
    </w:rPr>
    <w:tblPr/>
  </w:style>
  <w:style w:type="table" w:styleId="877">
    <w:name w:val="Lined - Accent 3"/>
    <w:next w:val="877"/>
    <w:link w:val="702"/>
    <w:uiPriority w:val="99"/>
    <w:qFormat/>
    <w:rPr>
      <w:color w:val="404040"/>
    </w:rPr>
    <w:tblPr/>
  </w:style>
  <w:style w:type="table" w:styleId="878">
    <w:name w:val="Lined - Accent 4"/>
    <w:next w:val="878"/>
    <w:link w:val="702"/>
    <w:uiPriority w:val="99"/>
    <w:qFormat/>
    <w:rPr>
      <w:color w:val="404040"/>
    </w:rPr>
    <w:tblPr/>
  </w:style>
  <w:style w:type="table" w:styleId="879">
    <w:name w:val="Lined - Accent 5"/>
    <w:next w:val="879"/>
    <w:link w:val="702"/>
    <w:uiPriority w:val="99"/>
    <w:qFormat/>
    <w:rPr>
      <w:color w:val="404040"/>
    </w:rPr>
    <w:tblPr/>
  </w:style>
  <w:style w:type="table" w:styleId="880">
    <w:name w:val="Lined - Accent 6"/>
    <w:next w:val="880"/>
    <w:link w:val="702"/>
    <w:uiPriority w:val="99"/>
    <w:qFormat/>
    <w:rPr>
      <w:color w:val="404040"/>
    </w:rPr>
    <w:tblPr/>
  </w:style>
  <w:style w:type="table" w:styleId="881">
    <w:name w:val="Bordered &amp; Lined - Accent"/>
    <w:next w:val="881"/>
    <w:link w:val="702"/>
    <w:uiPriority w:val="99"/>
    <w:qFormat/>
    <w:rPr>
      <w:color w:val="404040"/>
    </w:rPr>
    <w:tblPr/>
  </w:style>
  <w:style w:type="table" w:styleId="882">
    <w:name w:val="Bordered &amp; Lined - Accent 1"/>
    <w:next w:val="882"/>
    <w:link w:val="702"/>
    <w:uiPriority w:val="99"/>
    <w:qFormat/>
    <w:rPr>
      <w:color w:val="404040"/>
    </w:rPr>
    <w:tblPr/>
  </w:style>
  <w:style w:type="table" w:styleId="883">
    <w:name w:val="Bordered &amp; Lined - Accent 2"/>
    <w:next w:val="883"/>
    <w:link w:val="702"/>
    <w:uiPriority w:val="99"/>
    <w:qFormat/>
    <w:rPr>
      <w:color w:val="404040"/>
    </w:rPr>
    <w:tblPr/>
  </w:style>
  <w:style w:type="table" w:styleId="884">
    <w:name w:val="Bordered &amp; Lined - Accent 3"/>
    <w:next w:val="884"/>
    <w:link w:val="702"/>
    <w:uiPriority w:val="99"/>
    <w:qFormat/>
    <w:rPr>
      <w:color w:val="404040"/>
    </w:rPr>
    <w:tblPr/>
  </w:style>
  <w:style w:type="table" w:styleId="885">
    <w:name w:val="Bordered &amp; Lined - Accent 4"/>
    <w:next w:val="885"/>
    <w:link w:val="702"/>
    <w:uiPriority w:val="99"/>
    <w:qFormat/>
    <w:rPr>
      <w:color w:val="404040"/>
    </w:rPr>
    <w:tblPr/>
  </w:style>
  <w:style w:type="table" w:styleId="886">
    <w:name w:val="Bordered &amp; Lined - Accent 5"/>
    <w:next w:val="886"/>
    <w:link w:val="702"/>
    <w:uiPriority w:val="99"/>
    <w:qFormat/>
    <w:rPr>
      <w:color w:val="404040"/>
    </w:rPr>
    <w:tblPr/>
  </w:style>
  <w:style w:type="table" w:styleId="887">
    <w:name w:val="Bordered &amp; Lined - Accent 6"/>
    <w:next w:val="887"/>
    <w:link w:val="702"/>
    <w:uiPriority w:val="99"/>
    <w:qFormat/>
    <w:rPr>
      <w:color w:val="404040"/>
    </w:rPr>
    <w:tblPr/>
  </w:style>
  <w:style w:type="table" w:styleId="888">
    <w:name w:val="Bordered"/>
    <w:next w:val="888"/>
    <w:link w:val="702"/>
    <w:uiPriority w:val="99"/>
    <w:qFormat/>
    <w:tblPr/>
  </w:style>
  <w:style w:type="table" w:styleId="889">
    <w:name w:val="Bordered - Accent 1"/>
    <w:next w:val="889"/>
    <w:link w:val="702"/>
    <w:uiPriority w:val="99"/>
    <w:qFormat/>
    <w:tblPr/>
  </w:style>
  <w:style w:type="table" w:styleId="890">
    <w:name w:val="Bordered - Accent 2"/>
    <w:next w:val="890"/>
    <w:link w:val="702"/>
    <w:uiPriority w:val="99"/>
    <w:qFormat/>
    <w:tblPr/>
  </w:style>
  <w:style w:type="table" w:styleId="891">
    <w:name w:val="Bordered - Accent 3"/>
    <w:next w:val="891"/>
    <w:link w:val="702"/>
    <w:uiPriority w:val="99"/>
    <w:qFormat/>
    <w:tblPr/>
  </w:style>
  <w:style w:type="table" w:styleId="892">
    <w:name w:val="Bordered - Accent 4"/>
    <w:next w:val="892"/>
    <w:link w:val="702"/>
    <w:uiPriority w:val="99"/>
    <w:qFormat/>
    <w:tblPr/>
  </w:style>
  <w:style w:type="table" w:styleId="893">
    <w:name w:val="Bordered - Accent 5"/>
    <w:next w:val="893"/>
    <w:link w:val="702"/>
    <w:uiPriority w:val="99"/>
    <w:qFormat/>
    <w:tblPr/>
  </w:style>
  <w:style w:type="table" w:styleId="894">
    <w:name w:val="Bordered - Accent 6"/>
    <w:next w:val="894"/>
    <w:link w:val="702"/>
    <w:uiPriority w:val="99"/>
    <w:qFormat/>
    <w:tblPr/>
  </w:style>
  <w:style w:type="paragraph" w:styleId="895">
    <w:name w:val="TOC 标题1"/>
    <w:next w:val="895"/>
    <w:link w:val="702"/>
    <w:uiPriority w:val="39"/>
    <w:unhideWhenUsed/>
    <w:qFormat/>
    <w:rPr>
      <w:rFonts w:ascii="Times New Roman" w:hAnsi="Times New Roman" w:eastAsia="宋体" w:cs="Times New Roman"/>
      <w:lang w:val="en-US" w:eastAsia="zh-CN" w:bidi="ar-SA"/>
    </w:rPr>
  </w:style>
  <w:style w:type="paragraph" w:styleId="896">
    <w:name w:val="标题 11"/>
    <w:basedOn w:val="702"/>
    <w:next w:val="702"/>
    <w:link w:val="897"/>
    <w:uiPriority w:val="9"/>
    <w:qFormat/>
    <w:pPr>
      <w:keepLines/>
      <w:keepNext/>
      <w:spacing w:before="340" w:after="330" w:line="576" w:lineRule="auto"/>
      <w:outlineLvl w:val="0"/>
    </w:pPr>
    <w:rPr>
      <w:rFonts w:eastAsia="楷体_GB2312"/>
      <w:b/>
      <w:sz w:val="44"/>
      <w:szCs w:val="20"/>
    </w:rPr>
  </w:style>
  <w:style w:type="character" w:styleId="897">
    <w:name w:val="标题 1 字符"/>
    <w:next w:val="897"/>
    <w:link w:val="896"/>
    <w:qFormat/>
    <w:rPr>
      <w:rFonts w:ascii="Calibri" w:hAnsi="Calibri" w:eastAsia="宋体" w:cs="Times New Roman"/>
      <w:b/>
      <w:bCs/>
      <w:sz w:val="44"/>
      <w:szCs w:val="44"/>
    </w:rPr>
  </w:style>
  <w:style w:type="paragraph" w:styleId="898">
    <w:name w:val="标题 21"/>
    <w:basedOn w:val="702"/>
    <w:next w:val="702"/>
    <w:link w:val="899"/>
    <w:qFormat/>
    <w:pPr>
      <w:keepLines/>
      <w:keepNext/>
      <w:spacing w:before="260" w:after="260" w:line="416" w:lineRule="auto"/>
      <w:outlineLvl w:val="1"/>
    </w:pPr>
    <w:rPr>
      <w:rFonts w:ascii="Cambria" w:hAnsi="Cambria"/>
      <w:b/>
      <w:bCs/>
      <w:sz w:val="32"/>
      <w:szCs w:val="32"/>
    </w:rPr>
  </w:style>
  <w:style w:type="character" w:styleId="899">
    <w:name w:val="标题 2 字符"/>
    <w:next w:val="899"/>
    <w:link w:val="898"/>
    <w:qFormat/>
    <w:rPr>
      <w:rFonts w:ascii="Cambria" w:hAnsi="Cambria" w:eastAsia="宋体" w:cs="Times New Roman"/>
      <w:b/>
      <w:bCs/>
      <w:sz w:val="32"/>
      <w:szCs w:val="32"/>
    </w:rPr>
  </w:style>
  <w:style w:type="paragraph" w:styleId="900">
    <w:name w:val="标题 31"/>
    <w:basedOn w:val="702"/>
    <w:next w:val="702"/>
    <w:link w:val="901"/>
    <w:qFormat/>
    <w:pPr>
      <w:keepLines/>
      <w:keepNext/>
      <w:spacing w:before="260" w:after="260" w:line="416" w:lineRule="auto"/>
      <w:outlineLvl w:val="2"/>
    </w:pPr>
    <w:rPr>
      <w:b/>
      <w:sz w:val="32"/>
      <w:szCs w:val="20"/>
    </w:rPr>
  </w:style>
  <w:style w:type="character" w:styleId="901">
    <w:name w:val="标题 3 字符"/>
    <w:next w:val="901"/>
    <w:link w:val="900"/>
    <w:qFormat/>
    <w:rPr>
      <w:rFonts w:ascii="Times New Roman" w:hAnsi="Times New Roman" w:eastAsia="宋体" w:cs="Times New Roman"/>
      <w:b/>
      <w:sz w:val="32"/>
      <w:szCs w:val="20"/>
    </w:rPr>
  </w:style>
  <w:style w:type="paragraph" w:styleId="902">
    <w:name w:val="标题 41"/>
    <w:next w:val="702"/>
    <w:link w:val="702"/>
    <w:uiPriority w:val="4"/>
    <w:qFormat/>
    <w:pPr>
      <w:numPr>
        <w:ilvl w:val="3"/>
        <w:numId w:val="1"/>
      </w:numPr>
      <w:keepLines/>
      <w:keepNext/>
      <w:spacing w:before="120" w:after="120" w:line="360" w:lineRule="auto"/>
      <w:outlineLvl w:val="3"/>
    </w:pPr>
    <w:rPr>
      <w:rFonts w:ascii="Times New Roman" w:hAnsi="Times New Roman" w:eastAsia="黑体" w:cs="Times New Roman"/>
      <w:bCs/>
      <w:sz w:val="28"/>
      <w:szCs w:val="28"/>
      <w:lang w:val="en-US" w:eastAsia="zh-CN" w:bidi="ar-SA"/>
    </w:rPr>
  </w:style>
  <w:style w:type="paragraph" w:styleId="903">
    <w:name w:val="标题 51"/>
    <w:basedOn w:val="702"/>
    <w:next w:val="702"/>
    <w:link w:val="904"/>
    <w:qFormat/>
    <w:pPr>
      <w:jc w:val="left"/>
      <w:keepLines/>
      <w:keepNext/>
      <w:spacing w:before="280" w:after="290" w:line="376" w:lineRule="auto"/>
      <w:widowControl/>
      <w:outlineLvl w:val="4"/>
    </w:pPr>
    <w:rPr>
      <w:b/>
      <w:bCs/>
      <w:sz w:val="28"/>
      <w:szCs w:val="28"/>
    </w:rPr>
  </w:style>
  <w:style w:type="character" w:styleId="904">
    <w:name w:val="标题 5 字符"/>
    <w:next w:val="904"/>
    <w:link w:val="903"/>
    <w:qFormat/>
    <w:rPr>
      <w:rFonts w:ascii="Times New Roman" w:hAnsi="Times New Roman" w:eastAsia="宋体" w:cs="Times New Roman"/>
      <w:b/>
      <w:bCs/>
      <w:sz w:val="28"/>
      <w:szCs w:val="28"/>
    </w:rPr>
  </w:style>
  <w:style w:type="paragraph" w:styleId="905">
    <w:name w:val="标题 61"/>
    <w:basedOn w:val="702"/>
    <w:next w:val="702"/>
    <w:link w:val="702"/>
    <w:uiPriority w:val="9"/>
    <w:qFormat/>
    <w:pPr>
      <w:jc w:val="left"/>
      <w:keepLines/>
      <w:keepNext/>
      <w:spacing w:before="240" w:after="64" w:line="317" w:lineRule="auto"/>
      <w:widowControl/>
      <w:outlineLvl w:val="5"/>
    </w:pPr>
    <w:rPr>
      <w:rFonts w:ascii="Arial" w:hAnsi="Arial" w:eastAsia="黑体"/>
      <w:b/>
      <w:bCs/>
      <w:sz w:val="24"/>
    </w:rPr>
  </w:style>
  <w:style w:type="character" w:styleId="906">
    <w:name w:val="默认段落字体1"/>
    <w:next w:val="906"/>
    <w:link w:val="702"/>
    <w:semiHidden/>
    <w:qFormat/>
  </w:style>
  <w:style w:type="table" w:styleId="907">
    <w:name w:val="普通表格1"/>
    <w:next w:val="907"/>
    <w:link w:val="702"/>
    <w:semiHidden/>
    <w:qFormat/>
    <w:tblPr/>
  </w:style>
  <w:style w:type="paragraph" w:styleId="908">
    <w:name w:val="正文缩进1"/>
    <w:basedOn w:val="702"/>
    <w:next w:val="702"/>
    <w:link w:val="909"/>
    <w:qFormat/>
    <w:pPr>
      <w:ind w:firstLine="420"/>
      <w:jc w:val="left"/>
    </w:pPr>
    <w:rPr>
      <w:rFonts w:eastAsia="楷体_GB2312"/>
      <w:sz w:val="24"/>
      <w:szCs w:val="20"/>
    </w:rPr>
  </w:style>
  <w:style w:type="character" w:styleId="909">
    <w:name w:val="正文缩进 字符"/>
    <w:next w:val="909"/>
    <w:link w:val="908"/>
    <w:qFormat/>
    <w:rPr>
      <w:rFonts w:ascii="Times New Roman" w:hAnsi="Times New Roman" w:eastAsia="楷体_GB2312" w:cs="Times New Roman"/>
      <w:sz w:val="24"/>
      <w:szCs w:val="20"/>
    </w:rPr>
  </w:style>
  <w:style w:type="paragraph" w:styleId="910">
    <w:name w:val="批注文字1"/>
    <w:basedOn w:val="702"/>
    <w:next w:val="910"/>
    <w:link w:val="911"/>
    <w:qFormat/>
    <w:pPr>
      <w:jc w:val="left"/>
    </w:pPr>
  </w:style>
  <w:style w:type="character" w:styleId="911">
    <w:name w:val="批注文字 字符"/>
    <w:next w:val="911"/>
    <w:link w:val="910"/>
    <w:qFormat/>
    <w:rPr>
      <w:rFonts w:ascii="Calibri" w:hAnsi="Calibri"/>
      <w:sz w:val="21"/>
      <w:szCs w:val="24"/>
    </w:rPr>
  </w:style>
  <w:style w:type="paragraph" w:styleId="912">
    <w:name w:val="正文文本1"/>
    <w:basedOn w:val="702"/>
    <w:next w:val="908"/>
    <w:link w:val="913"/>
    <w:uiPriority w:val="99"/>
    <w:unhideWhenUsed/>
    <w:qFormat/>
    <w:pPr>
      <w:spacing w:after="120"/>
    </w:pPr>
  </w:style>
  <w:style w:type="character" w:styleId="913">
    <w:name w:val="正文文本 字符"/>
    <w:next w:val="913"/>
    <w:link w:val="912"/>
    <w:uiPriority w:val="99"/>
    <w:qFormat/>
    <w:rPr>
      <w:rFonts w:ascii="Times New Roman" w:hAnsi="Times New Roman" w:eastAsia="宋体" w:cs="Times New Roman"/>
      <w:szCs w:val="24"/>
    </w:rPr>
  </w:style>
  <w:style w:type="paragraph" w:styleId="914">
    <w:name w:val="正文文本缩进1"/>
    <w:basedOn w:val="702"/>
    <w:next w:val="914"/>
    <w:link w:val="702"/>
    <w:qFormat/>
    <w:pPr>
      <w:ind w:right="-159" w:firstLine="246"/>
      <w:spacing w:line="240" w:lineRule="atLeast"/>
    </w:pPr>
    <w:rPr>
      <w:spacing w:val="20"/>
      <w:sz w:val="20"/>
    </w:rPr>
  </w:style>
  <w:style w:type="paragraph" w:styleId="915">
    <w:name w:val="文本块1"/>
    <w:basedOn w:val="702"/>
    <w:next w:val="915"/>
    <w:link w:val="702"/>
    <w:qFormat/>
    <w:pPr>
      <w:ind w:left="630" w:right="-609" w:firstLine="420"/>
      <w:spacing w:line="360" w:lineRule="auto"/>
    </w:pPr>
    <w:rPr>
      <w:rFonts w:hint="eastAsia" w:ascii="仿宋_GB2312" w:eastAsia="仿宋_GB2312"/>
      <w:szCs w:val="20"/>
    </w:rPr>
  </w:style>
  <w:style w:type="paragraph" w:styleId="916">
    <w:name w:val="纯文本11"/>
    <w:basedOn w:val="702"/>
    <w:next w:val="916"/>
    <w:link w:val="917"/>
    <w:qFormat/>
    <w:pPr>
      <w:jc w:val="left"/>
      <w:widowControl/>
    </w:pPr>
    <w:rPr>
      <w:rFonts w:ascii="宋体" w:hAnsi="Courier New" w:eastAsia="楷体_GB2312"/>
      <w:sz w:val="26"/>
    </w:rPr>
  </w:style>
  <w:style w:type="character" w:styleId="917">
    <w:name w:val="纯文本 字符"/>
    <w:next w:val="917"/>
    <w:link w:val="916"/>
    <w:qFormat/>
    <w:rPr>
      <w:rFonts w:ascii="宋体" w:hAnsi="Courier New" w:eastAsia="楷体_GB2312" w:cs="Times New Roman"/>
      <w:sz w:val="26"/>
      <w:szCs w:val="24"/>
    </w:rPr>
  </w:style>
  <w:style w:type="paragraph" w:styleId="918">
    <w:name w:val="日期1"/>
    <w:basedOn w:val="702"/>
    <w:next w:val="702"/>
    <w:link w:val="919"/>
    <w:qFormat/>
    <w:pPr>
      <w:ind w:left="100"/>
    </w:pPr>
    <w:rPr>
      <w:b/>
      <w:bCs/>
      <w:spacing w:val="20"/>
    </w:rPr>
  </w:style>
  <w:style w:type="character" w:styleId="919">
    <w:name w:val="日期 字符"/>
    <w:next w:val="919"/>
    <w:link w:val="918"/>
    <w:qFormat/>
    <w:rPr>
      <w:rFonts w:ascii="Calibri" w:hAnsi="Calibri" w:eastAsia="宋体" w:cs="Times New Roman"/>
      <w:b/>
      <w:bCs/>
      <w:spacing w:val="20"/>
      <w:szCs w:val="24"/>
    </w:rPr>
  </w:style>
  <w:style w:type="paragraph" w:styleId="920">
    <w:name w:val="批注框文本1"/>
    <w:basedOn w:val="702"/>
    <w:next w:val="920"/>
    <w:link w:val="921"/>
    <w:qFormat/>
    <w:rPr>
      <w:sz w:val="18"/>
      <w:szCs w:val="18"/>
    </w:rPr>
  </w:style>
  <w:style w:type="character" w:styleId="921">
    <w:name w:val="批注框文本 字符"/>
    <w:next w:val="921"/>
    <w:link w:val="920"/>
    <w:qFormat/>
    <w:rPr>
      <w:rFonts w:ascii="Calibri" w:hAnsi="Calibri" w:eastAsia="宋体" w:cs="Times New Roman"/>
      <w:sz w:val="18"/>
      <w:szCs w:val="18"/>
    </w:rPr>
  </w:style>
  <w:style w:type="paragraph" w:styleId="922">
    <w:name w:val="页脚1"/>
    <w:basedOn w:val="702"/>
    <w:next w:val="922"/>
    <w:link w:val="923"/>
    <w:uiPriority w:val="99"/>
    <w:qFormat/>
    <w:pPr>
      <w:jc w:val="left"/>
      <w:tabs>
        <w:tab w:val="center" w:pos="4153" w:leader="none"/>
        <w:tab w:val="right" w:pos="8306" w:leader="none"/>
      </w:tabs>
    </w:pPr>
    <w:rPr>
      <w:sz w:val="18"/>
      <w:szCs w:val="18"/>
    </w:rPr>
  </w:style>
  <w:style w:type="character" w:styleId="923">
    <w:name w:val="页脚 字符"/>
    <w:next w:val="923"/>
    <w:link w:val="922"/>
    <w:qFormat/>
    <w:rPr>
      <w:rFonts w:ascii="Calibri" w:hAnsi="Calibri" w:eastAsia="宋体" w:cs="Times New Roman"/>
      <w:sz w:val="18"/>
      <w:szCs w:val="18"/>
    </w:rPr>
  </w:style>
  <w:style w:type="paragraph" w:styleId="924">
    <w:name w:val="页眉1"/>
    <w:basedOn w:val="702"/>
    <w:next w:val="924"/>
    <w:link w:val="925"/>
    <w:qFormat/>
    <w:pPr>
      <w:jc w:val="center"/>
      <w:tabs>
        <w:tab w:val="center" w:pos="4153" w:leader="none"/>
        <w:tab w:val="right" w:pos="8306" w:leader="none"/>
      </w:tabs>
      <w:pBdr>
        <w:bottom w:val="single" w:color="000000" w:sz="6" w:space="1"/>
      </w:pBdr>
    </w:pPr>
    <w:rPr>
      <w:sz w:val="18"/>
      <w:szCs w:val="18"/>
    </w:rPr>
  </w:style>
  <w:style w:type="character" w:styleId="925">
    <w:name w:val="页眉 字符"/>
    <w:next w:val="925"/>
    <w:link w:val="924"/>
    <w:qFormat/>
    <w:rPr>
      <w:rFonts w:ascii="Calibri" w:hAnsi="Calibri" w:eastAsia="宋体" w:cs="Times New Roman"/>
      <w:sz w:val="18"/>
      <w:szCs w:val="18"/>
    </w:rPr>
  </w:style>
  <w:style w:type="paragraph" w:styleId="926">
    <w:name w:val="目录 11"/>
    <w:basedOn w:val="702"/>
    <w:next w:val="702"/>
    <w:link w:val="702"/>
    <w:qFormat/>
    <w:pPr>
      <w:jc w:val="left"/>
    </w:pPr>
    <w:rPr>
      <w:rFonts w:eastAsia="楷体_GB2312"/>
      <w:sz w:val="24"/>
      <w:szCs w:val="20"/>
    </w:rPr>
  </w:style>
  <w:style w:type="paragraph" w:styleId="927">
    <w:name w:val="正文文本缩进 31"/>
    <w:basedOn w:val="702"/>
    <w:next w:val="927"/>
    <w:link w:val="928"/>
    <w:qFormat/>
    <w:pPr>
      <w:ind w:firstLine="480"/>
      <w:jc w:val="left"/>
      <w:spacing w:line="440" w:lineRule="atLeast"/>
    </w:pPr>
    <w:rPr>
      <w:sz w:val="24"/>
    </w:rPr>
  </w:style>
  <w:style w:type="character" w:styleId="928">
    <w:name w:val="正文文本缩进 3 字符"/>
    <w:next w:val="928"/>
    <w:link w:val="927"/>
    <w:qFormat/>
    <w:rPr>
      <w:rFonts w:ascii="Times New Roman" w:hAnsi="Times New Roman" w:eastAsia="宋体" w:cs="Times New Roman"/>
      <w:sz w:val="24"/>
      <w:szCs w:val="24"/>
    </w:rPr>
  </w:style>
  <w:style w:type="paragraph" w:styleId="929">
    <w:name w:val="普通(网站)1"/>
    <w:basedOn w:val="702"/>
    <w:next w:val="929"/>
    <w:link w:val="702"/>
    <w:uiPriority w:val="99"/>
    <w:qFormat/>
    <w:pPr>
      <w:jc w:val="left"/>
      <w:spacing w:beforeAutospacing="1" w:afterAutospacing="1"/>
    </w:pPr>
    <w:rPr>
      <w:sz w:val="24"/>
    </w:rPr>
  </w:style>
  <w:style w:type="paragraph" w:styleId="930">
    <w:name w:val="批注主题1"/>
    <w:basedOn w:val="910"/>
    <w:next w:val="910"/>
    <w:link w:val="931"/>
    <w:qFormat/>
    <w:rPr>
      <w:b/>
      <w:bCs/>
    </w:rPr>
  </w:style>
  <w:style w:type="character" w:styleId="931">
    <w:name w:val="批注主题 字符"/>
    <w:next w:val="931"/>
    <w:link w:val="930"/>
    <w:qFormat/>
    <w:rPr>
      <w:rFonts w:ascii="Calibri" w:hAnsi="Calibri"/>
      <w:b/>
      <w:bCs/>
      <w:sz w:val="21"/>
      <w:szCs w:val="24"/>
    </w:rPr>
  </w:style>
  <w:style w:type="paragraph" w:styleId="932">
    <w:name w:val="正文首行缩进 21"/>
    <w:basedOn w:val="914"/>
    <w:next w:val="932"/>
    <w:link w:val="702"/>
    <w:qFormat/>
    <w:pPr>
      <w:ind w:firstLine="420"/>
    </w:pPr>
  </w:style>
  <w:style w:type="table" w:styleId="933">
    <w:name w:val="网格型1"/>
    <w:basedOn w:val="907"/>
    <w:next w:val="933"/>
    <w:link w:val="702"/>
    <w:qFormat/>
    <w:pPr>
      <w:jc w:val="both"/>
      <w:widowControl w:val="off"/>
    </w:pPr>
    <w:tblPr/>
  </w:style>
  <w:style w:type="character" w:styleId="934">
    <w:name w:val="要点1"/>
    <w:next w:val="934"/>
    <w:link w:val="702"/>
    <w:qFormat/>
    <w:rPr>
      <w:rFonts w:ascii="Calibri" w:hAnsi="Calibri" w:eastAsia="宋体" w:cs="Times New Roman"/>
      <w:b/>
    </w:rPr>
  </w:style>
  <w:style w:type="character" w:styleId="935">
    <w:name w:val="页码1"/>
    <w:next w:val="935"/>
    <w:link w:val="702"/>
    <w:uiPriority w:val="99"/>
    <w:unhideWhenUsed/>
    <w:qFormat/>
  </w:style>
  <w:style w:type="character" w:styleId="936">
    <w:name w:val="已访问的超链接1"/>
    <w:basedOn w:val="906"/>
    <w:next w:val="936"/>
    <w:link w:val="702"/>
    <w:qFormat/>
    <w:rPr>
      <w:color w:val="333333"/>
      <w:u w:val="none"/>
    </w:rPr>
  </w:style>
  <w:style w:type="character" w:styleId="937">
    <w:name w:val="强调1"/>
    <w:basedOn w:val="906"/>
    <w:next w:val="937"/>
    <w:link w:val="702"/>
    <w:qFormat/>
  </w:style>
  <w:style w:type="character" w:styleId="938">
    <w:name w:val="超链接11"/>
    <w:basedOn w:val="906"/>
    <w:next w:val="938"/>
    <w:link w:val="702"/>
    <w:qFormat/>
    <w:rPr>
      <w:color w:val="333333"/>
      <w:u w:val="none"/>
    </w:rPr>
  </w:style>
  <w:style w:type="character" w:styleId="939">
    <w:name w:val="批注引用1"/>
    <w:next w:val="939"/>
    <w:link w:val="702"/>
    <w:qFormat/>
    <w:rPr>
      <w:rFonts w:ascii="Calibri" w:hAnsi="Calibri" w:eastAsia="宋体" w:cs="Times New Roman"/>
      <w:sz w:val="21"/>
      <w:szCs w:val="21"/>
    </w:rPr>
  </w:style>
  <w:style w:type="paragraph" w:styleId="940">
    <w:name w:val="段"/>
    <w:next w:val="702"/>
    <w:link w:val="702"/>
    <w:qFormat/>
    <w:pPr>
      <w:ind w:firstLine="200"/>
      <w:jc w:val="both"/>
      <w:spacing w:line="360" w:lineRule="auto"/>
    </w:pPr>
    <w:rPr>
      <w:rFonts w:ascii="Times New Roman" w:hAnsi="Times New Roman" w:eastAsia="宋体" w:cs="Times New Roman"/>
      <w:sz w:val="24"/>
      <w:szCs w:val="22"/>
      <w:lang w:val="en-US" w:eastAsia="zh-CN" w:bidi="ar-SA"/>
    </w:rPr>
  </w:style>
  <w:style w:type="character" w:styleId="941">
    <w:name w:val="Plain Text Char"/>
    <w:next w:val="941"/>
    <w:link w:val="942"/>
    <w:qFormat/>
    <w:rPr>
      <w:rFonts w:ascii="宋体" w:hAnsi="Courier New" w:eastAsia="楷体_GB2312" w:cs="Times New Roman"/>
      <w:sz w:val="26"/>
    </w:rPr>
  </w:style>
  <w:style w:type="paragraph" w:styleId="942">
    <w:name w:val="纯文本3"/>
    <w:basedOn w:val="702"/>
    <w:next w:val="942"/>
    <w:link w:val="941"/>
    <w:qFormat/>
    <w:rPr>
      <w:rFonts w:ascii="宋体" w:hAnsi="Courier New" w:eastAsia="楷体_GB2312"/>
      <w:sz w:val="26"/>
      <w:szCs w:val="22"/>
    </w:rPr>
  </w:style>
  <w:style w:type="character" w:styleId="943">
    <w:name w:val="日期 Char1"/>
    <w:next w:val="943"/>
    <w:link w:val="702"/>
    <w:qFormat/>
    <w:rPr>
      <w:rFonts w:ascii="Calibri" w:hAnsi="Calibri" w:eastAsia="宋体" w:cs="Times New Roman"/>
      <w:szCs w:val="24"/>
    </w:rPr>
  </w:style>
  <w:style w:type="character" w:styleId="944">
    <w:name w:val="正文文本缩进 3 Char"/>
    <w:next w:val="944"/>
    <w:link w:val="702"/>
    <w:uiPriority w:val="99"/>
    <w:semiHidden/>
    <w:qFormat/>
    <w:rPr>
      <w:rFonts w:ascii="Calibri" w:hAnsi="Calibri" w:eastAsia="宋体" w:cs="Times New Roman"/>
      <w:sz w:val="16"/>
      <w:szCs w:val="16"/>
    </w:rPr>
  </w:style>
  <w:style w:type="character" w:styleId="945">
    <w:name w:val="15"/>
    <w:next w:val="945"/>
    <w:link w:val="702"/>
    <w:qFormat/>
    <w:rPr>
      <w:rFonts w:ascii="Verdana" w:hAnsi="Verdana" w:eastAsia="宋体" w:cs="Times New Roman"/>
      <w:color w:val="c90000"/>
      <w:sz w:val="18"/>
    </w:rPr>
  </w:style>
  <w:style w:type="character" w:styleId="946">
    <w:name w:val="正文文本 Char"/>
    <w:next w:val="946"/>
    <w:link w:val="702"/>
    <w:uiPriority w:val="99"/>
    <w:qFormat/>
    <w:rPr>
      <w:rFonts w:ascii="Calibri" w:hAnsi="Calibri" w:eastAsia="宋体" w:cs="Times New Roman"/>
      <w:szCs w:val="24"/>
    </w:rPr>
  </w:style>
  <w:style w:type="character" w:styleId="947">
    <w:name w:val="s1"/>
    <w:next w:val="947"/>
    <w:link w:val="702"/>
    <w:qFormat/>
    <w:rPr>
      <w:rFonts w:ascii="Calibri" w:hAnsi="Calibri" w:eastAsia="宋体" w:cs="Times New Roman"/>
    </w:rPr>
  </w:style>
  <w:style w:type="character" w:styleId="948">
    <w:name w:val="纯文本 Char"/>
    <w:next w:val="948"/>
    <w:link w:val="702"/>
    <w:qFormat/>
    <w:rPr>
      <w:rFonts w:ascii="宋体" w:hAnsi="Courier New" w:eastAsia="宋体" w:cs="Courier New"/>
      <w:szCs w:val="21"/>
    </w:rPr>
  </w:style>
  <w:style w:type="character" w:styleId="949">
    <w:name w:val="超链接1"/>
    <w:next w:val="949"/>
    <w:link w:val="702"/>
    <w:uiPriority w:val="99"/>
    <w:qFormat/>
    <w:rPr>
      <w:rFonts w:ascii="Calibri" w:hAnsi="Calibri" w:eastAsia="宋体" w:cs="Times New Roman"/>
      <w:sz w:val="21"/>
      <w:szCs w:val="24"/>
      <w:lang w:val="en-US" w:eastAsia="zh-CN" w:bidi="ar-SA"/>
    </w:rPr>
  </w:style>
  <w:style w:type="paragraph" w:styleId="950">
    <w:name w:val="List Paragraph"/>
    <w:basedOn w:val="702"/>
    <w:next w:val="950"/>
    <w:link w:val="702"/>
    <w:qFormat/>
    <w:pPr>
      <w:ind w:firstLine="420"/>
    </w:pPr>
    <w:rPr>
      <w:rFonts w:ascii="Calibri" w:hAnsi="Calibri"/>
      <w:szCs w:val="22"/>
    </w:rPr>
  </w:style>
  <w:style w:type="paragraph" w:styleId="951">
    <w:name w:val="Plain Text1"/>
    <w:basedOn w:val="702"/>
    <w:next w:val="951"/>
    <w:link w:val="702"/>
    <w:qFormat/>
    <w:pPr>
      <w:jc w:val="left"/>
      <w:widowControl/>
    </w:pPr>
    <w:rPr>
      <w:rFonts w:ascii="宋体" w:hAnsi="Courier New" w:eastAsia="楷体_GB2312"/>
      <w:sz w:val="26"/>
      <w:szCs w:val="20"/>
    </w:rPr>
  </w:style>
  <w:style w:type="paragraph" w:styleId="952">
    <w:name w:val="纯文本1"/>
    <w:basedOn w:val="702"/>
    <w:next w:val="952"/>
    <w:link w:val="702"/>
    <w:qFormat/>
    <w:rPr>
      <w:rFonts w:ascii="宋体" w:hAnsi="Courier New" w:eastAsia="楷体_GB2312"/>
      <w:sz w:val="28"/>
      <w:szCs w:val="20"/>
    </w:rPr>
  </w:style>
  <w:style w:type="paragraph" w:styleId="953">
    <w:name w:val="WPSOffice手动目录 1"/>
    <w:next w:val="953"/>
    <w:link w:val="702"/>
    <w:qFormat/>
    <w:rPr>
      <w:rFonts w:ascii="Times New Roman" w:hAnsi="Times New Roman" w:eastAsia="宋体" w:cs="Times New Roman"/>
      <w:lang w:val="en-US" w:eastAsia="zh-CN" w:bidi="ar-SA"/>
    </w:rPr>
  </w:style>
  <w:style w:type="paragraph" w:styleId="954">
    <w:name w:val="纯文本2"/>
    <w:basedOn w:val="702"/>
    <w:next w:val="954"/>
    <w:link w:val="702"/>
    <w:qFormat/>
    <w:rPr>
      <w:rFonts w:ascii="宋体" w:hAnsi="Courier New"/>
    </w:rPr>
  </w:style>
  <w:style w:type="paragraph" w:styleId="955">
    <w:name w:val="列表段落1"/>
    <w:basedOn w:val="702"/>
    <w:next w:val="955"/>
    <w:link w:val="702"/>
    <w:uiPriority w:val="99"/>
    <w:qFormat/>
    <w:pPr>
      <w:ind w:firstLine="420"/>
    </w:pPr>
  </w:style>
  <w:style w:type="paragraph" w:styleId="956">
    <w:name w:val="_正文段落"/>
    <w:basedOn w:val="702"/>
    <w:next w:val="956"/>
    <w:link w:val="702"/>
    <w:qFormat/>
    <w:pPr>
      <w:ind w:firstLine="480"/>
      <w:spacing w:line="360" w:lineRule="auto"/>
    </w:pPr>
    <w:rPr>
      <w:rFonts w:ascii="宋体" w:hAnsi="宋体" w:eastAsia="楷体_GB2312"/>
      <w:sz w:val="26"/>
      <w:szCs w:val="20"/>
    </w:rPr>
  </w:style>
  <w:style w:type="paragraph" w:styleId="957">
    <w:name w:val="修订1"/>
    <w:next w:val="957"/>
    <w:link w:val="702"/>
    <w:uiPriority w:val="99"/>
    <w:unhideWhenUsed/>
    <w:qFormat/>
    <w:rPr>
      <w:rFonts w:ascii="Times New Roman" w:hAnsi="Times New Roman" w:eastAsia="宋体" w:cs="Times New Roman"/>
      <w:sz w:val="21"/>
      <w:szCs w:val="24"/>
      <w:lang w:val="en-US" w:eastAsia="zh-CN" w:bidi="ar-SA"/>
    </w:rPr>
  </w:style>
  <w:style w:type="paragraph" w:styleId="958">
    <w:name w:val="首行缩进"/>
    <w:basedOn w:val="702"/>
    <w:next w:val="958"/>
    <w:link w:val="702"/>
    <w:uiPriority w:val="99"/>
    <w:qFormat/>
    <w:pPr>
      <w:ind w:firstLine="480"/>
    </w:pPr>
    <w:rPr>
      <w:szCs w:val="20"/>
      <w:lang w:val="zh-CN"/>
    </w:rPr>
  </w:style>
  <w:style w:type="paragraph" w:styleId="959">
    <w:name w:val="Default"/>
    <w:next w:val="959"/>
    <w:link w:val="702"/>
    <w:uiPriority w:val="99"/>
    <w:unhideWhenUsed/>
    <w:qFormat/>
    <w:pPr>
      <w:widowControl w:val="off"/>
    </w:pPr>
    <w:rPr>
      <w:rFonts w:hint="eastAsia" w:ascii="宋体" w:hAnsi="宋体" w:eastAsia="宋体" w:cs="Times New Roman"/>
      <w:color w:val="000000"/>
      <w:sz w:val="24"/>
      <w:lang w:val="en-US" w:eastAsia="zh-CN" w:bidi="ar-SA"/>
    </w:rPr>
  </w:style>
  <w:style w:type="paragraph" w:styleId="960">
    <w:name w:val="纯文本5"/>
    <w:basedOn w:val="702"/>
    <w:next w:val="960"/>
    <w:link w:val="702"/>
    <w:qFormat/>
    <w:rPr>
      <w:rFonts w:ascii="宋体" w:hAnsi="Courier New" w:eastAsia="楷体_GB2312"/>
      <w:sz w:val="26"/>
      <w:szCs w:val="20"/>
    </w:rPr>
  </w:style>
  <w:style w:type="paragraph" w:styleId="961">
    <w:name w:val="纯文本4"/>
    <w:basedOn w:val="702"/>
    <w:next w:val="961"/>
    <w:link w:val="702"/>
    <w:qFormat/>
    <w:rPr>
      <w:rFonts w:ascii="宋体" w:hAnsi="Courier New" w:eastAsia="楷体_GB2312"/>
      <w:sz w:val="28"/>
      <w:szCs w:val="20"/>
    </w:rPr>
  </w:style>
  <w:style w:type="character" w:styleId="962">
    <w:name w:val="font01"/>
    <w:basedOn w:val="712"/>
    <w:next w:val="962"/>
    <w:link w:val="702"/>
    <w:qFormat/>
    <w:rPr>
      <w:rFonts w:hint="eastAsia" w:ascii="宋体" w:hAnsi="宋体" w:eastAsia="宋体" w:cs="宋体"/>
      <w:color w:val="ff0000"/>
      <w:sz w:val="22"/>
      <w:szCs w:val="22"/>
      <w:u w:val="none"/>
    </w:rPr>
  </w:style>
  <w:style w:type="paragraph" w:styleId="963">
    <w:name w:val="Revision"/>
    <w:next w:val="963"/>
    <w:link w:val="702"/>
    <w:uiPriority w:val="99"/>
    <w:unhideWhenUsed/>
    <w:qFormat/>
    <w:rPr>
      <w:rFonts w:ascii="Times New Roman" w:hAnsi="Times New Roman" w:eastAsia="宋体" w:cs="Times New Roman"/>
      <w:sz w:val="21"/>
      <w:szCs w:val="24"/>
      <w:lang w:val="en-US" w:eastAsia="zh-CN" w:bidi="ar-SA"/>
    </w:rPr>
  </w:style>
  <w:style w:type="character" w:styleId="15892" w:default="1">
    <w:name w:val="Default Paragraph Font"/>
    <w:uiPriority w:val="1"/>
    <w:semiHidden/>
    <w:unhideWhenUsed/>
  </w:style>
  <w:style w:type="numbering" w:styleId="15893" w:default="1">
    <w:name w:val="No List"/>
    <w:uiPriority w:val="99"/>
    <w:semiHidden/>
    <w:unhideWhenUsed/>
  </w:style>
  <w:style w:type="table" w:styleId="158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苏州恒泰</dc:creator>
  <cp:lastModifiedBy>张瑾</cp:lastModifiedBy>
  <cp:revision>4</cp:revision>
  <dcterms:created xsi:type="dcterms:W3CDTF">2024-09-04T04:28:00Z</dcterms:created>
  <dcterms:modified xsi:type="dcterms:W3CDTF">2024-09-06T06:50:21Z</dcterms:modified>
</cp:coreProperties>
</file>