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ascii="Arial" w:hAnsi="Arial"/>
          <w:b/>
          <w:bCs/>
          <w:sz w:val="32"/>
          <w:szCs w:val="24"/>
        </w:rPr>
      </w:r>
      <w:r/>
    </w:p>
    <w:p>
      <w:pPr>
        <w:ind w:left="1606" w:hanging="1606"/>
        <w:jc w:val="center"/>
        <w:spacing w:before="120" w:after="120" w:line="360" w:lineRule="auto"/>
        <w:rPr>
          <w:rFonts w:ascii="Arial" w:hAnsi="Arial"/>
          <w:b/>
          <w:bCs/>
          <w:sz w:val="32"/>
          <w:szCs w:val="24"/>
        </w:rPr>
        <w:outlineLvl w:val="0"/>
      </w:pPr>
      <w:r/>
      <w:bookmarkStart w:id="0" w:name="_Toc22009"/>
      <w:r>
        <w:rPr>
          <w:rFonts w:hint="eastAsia" w:ascii="Arial" w:hAnsi="Arial"/>
          <w:b/>
          <w:bCs/>
          <w:sz w:val="32"/>
          <w:szCs w:val="24"/>
          <w:lang w:val="en-US" w:eastAsia="zh-CN"/>
        </w:rPr>
        <w:t xml:space="preserve">      </w:t>
      </w:r>
      <w:r>
        <w:rPr>
          <w:rFonts w:hint="eastAsia" w:ascii="Arial" w:hAnsi="Arial"/>
          <w:b/>
          <w:bCs/>
          <w:sz w:val="32"/>
          <w:szCs w:val="24"/>
        </w:rPr>
        <w:t xml:space="preserve">项目名称：</w:t>
      </w:r>
      <w:r>
        <w:rPr>
          <w:rFonts w:hint="eastAsia" w:ascii="Arial" w:hAnsi="Arial"/>
          <w:b/>
          <w:bCs/>
          <w:sz w:val="32"/>
          <w:szCs w:val="24"/>
          <w:u w:val="single"/>
        </w:rPr>
        <w:t xml:space="preserve">高邮市卫生健康委员会关于扬州市职业健康智慧管理系统项目</w:t>
      </w:r>
      <w:bookmarkEnd w:id="0"/>
      <w:r/>
      <w:r/>
    </w:p>
    <w:p>
      <w:pPr>
        <w:ind w:left="1891" w:hanging="845"/>
        <w:jc w:val="both"/>
        <w:spacing w:before="120" w:after="120" w:line="360" w:lineRule="auto"/>
        <w:rPr>
          <w:rFonts w:hint="eastAsia" w:ascii="Arial" w:hAnsi="Arial"/>
          <w:b/>
          <w:bCs/>
          <w:sz w:val="32"/>
          <w:szCs w:val="24"/>
          <w:lang w:val="en-US" w:eastAsia="zh-CN"/>
        </w:rPr>
        <w:outlineLvl w:val="0"/>
      </w:pPr>
      <w:r>
        <w:rPr>
          <w:rFonts w:hint="eastAsia" w:ascii="Arial" w:hAnsi="Arial"/>
          <w:b/>
          <w:bCs/>
          <w:sz w:val="32"/>
          <w:szCs w:val="24"/>
          <w:lang w:val="en-US" w:eastAsia="zh-CN"/>
        </w:rPr>
        <w:t xml:space="preserve">项目编号：JSZC-321084-JZCG-G2024-0013</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宋体" w:hAnsi="宋体" w:cs="宋体"/>
          <w:b/>
          <w:bCs/>
          <w:color w:val="000000"/>
          <w:sz w:val="32"/>
          <w:szCs w:val="24"/>
        </w:rPr>
        <w:outlineLvl w:val="0"/>
      </w:pPr>
      <w:r/>
      <w:bookmarkStart w:id="1" w:name="_Toc30424"/>
      <w:r>
        <w:rPr>
          <w:rFonts w:hint="eastAsia" w:ascii="宋体" w:hAnsi="宋体" w:cs="宋体"/>
          <w:b/>
          <w:bCs/>
          <w:color w:val="000000"/>
          <w:sz w:val="32"/>
          <w:szCs w:val="24"/>
        </w:rPr>
        <w:t xml:space="preserve">扬州市公共资源交易中心高邮分中心</w:t>
      </w:r>
      <w:bookmarkEnd w:id="1"/>
      <w:r/>
      <w:r/>
    </w:p>
    <w:p>
      <w:pPr>
        <w:jc w:val="center"/>
        <w:spacing w:before="120" w:after="120" w:line="360" w:lineRule="auto"/>
        <w:rPr>
          <w:rFonts w:ascii="黑体" w:hAnsi="Arial" w:eastAsia="黑体"/>
          <w:b/>
          <w:sz w:val="44"/>
          <w:szCs w:val="21"/>
        </w:rPr>
        <w:sectPr>
          <w:headerReference w:type="default" r:id="rId9"/>
          <w:headerReference w:type="even" r:id="rId10"/>
          <w:footerReference w:type="default" r:id="rId16"/>
          <w:footerReference w:type="even" r:id="rId17"/>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Arial" w:hAnsi="Arial"/>
          <w:b/>
          <w:bCs/>
          <w:sz w:val="32"/>
          <w:szCs w:val="24"/>
        </w:rPr>
        <w:t xml:space="preserve">2024年</w:t>
      </w:r>
      <w:r>
        <w:rPr>
          <w:rFonts w:hint="eastAsia" w:ascii="Arial" w:hAnsi="Arial"/>
          <w:b/>
          <w:bCs/>
          <w:sz w:val="32"/>
          <w:szCs w:val="24"/>
          <w:lang w:val="en-US" w:eastAsia="zh-CN"/>
        </w:rPr>
        <w:t xml:space="preserve">6</w:t>
      </w:r>
      <w:r>
        <w:rPr>
          <w:rFonts w:hint="eastAsia" w:ascii="Arial" w:hAnsi="Arial"/>
          <w:b/>
          <w:bCs/>
          <w:sz w:val="32"/>
          <w:szCs w:val="24"/>
        </w:rPr>
        <w:t xml:space="preserve">月</w:t>
      </w:r>
      <w:bookmarkStart w:id="2" w:name="_Toc120614210"/>
      <w:r/>
      <w:bookmarkStart w:id="3" w:name="_Toc513029200"/>
      <w:r/>
      <w:bookmarkStart w:id="4" w:name="_Toc523127445"/>
      <w:r/>
      <w:bookmarkStart w:id="5" w:name="_Toc16938516"/>
      <w:r/>
      <w:bookmarkStart w:id="6" w:name="_Toc20823272"/>
      <w:r/>
      <w:bookmarkStart w:id="7" w:name="_Toc479757206"/>
      <w:r/>
      <w:r/>
    </w:p>
    <w:p>
      <w:pPr>
        <w:rPr>
          <w:szCs w:val="21"/>
        </w:rPr>
      </w:pPr>
      <w:r>
        <w:rPr>
          <w:szCs w:val="21"/>
        </w:rPr>
      </w:r>
      <w:r/>
    </w:p>
    <w:sdt>
      <w:sdtPr>
        <w15:appearance w15:val="boundingBox"/>
        <w15:color w:val="dbdbdb"/>
        <w:id w:val="147457667"/>
        <w:docPartObj>
          <w:docPartGallery w:val="Table of Contents"/>
          <w:docPartUnique w:val="true"/>
        </w:docPartObj>
        <w:rPr>
          <w:rFonts w:ascii="宋体" w:hAnsi="宋体"/>
        </w:rPr>
      </w:sdtPr>
      <w:sdtContent>
        <w:p>
          <w:pPr>
            <w:jc w:val="center"/>
            <w:rPr>
              <w:rFonts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1087"/>
            <w:spacing w:line="360" w:lineRule="auto"/>
            <w:tabs>
              <w:tab w:val="right" w:pos="8306" w:leader="dot"/>
            </w:tabs>
            <w:rPr>
              <w:rFonts w:ascii="宋体" w:hAnsi="宋体" w:cs="宋体"/>
              <w:sz w:val="32"/>
              <w:szCs w:val="32"/>
            </w:rPr>
          </w:pPr>
          <w:r>
            <w:fldChar w:fldCharType="begin"/>
          </w:r>
          <w:r>
            <w:instrText xml:space="preserve"> HYPERLINK \l "_Toc10444" </w:instrText>
          </w:r>
          <w:r>
            <w:fldChar w:fldCharType="separate"/>
          </w:r>
          <w:r>
            <w:rPr>
              <w:rFonts w:hint="eastAsia" w:ascii="宋体" w:hAnsi="宋体" w:cs="宋体"/>
              <w:sz w:val="32"/>
              <w:szCs w:val="32"/>
            </w:rPr>
            <w:t xml:space="preserve">第一章  投标邀请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_Toc10444 \h </w:instrText>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87"/>
            <w:spacing w:line="360" w:lineRule="auto"/>
            <w:tabs>
              <w:tab w:val="right" w:pos="8306" w:leader="dot"/>
            </w:tabs>
            <w:rPr>
              <w:rFonts w:hint="eastAsia" w:ascii="宋体" w:hAnsi="宋体" w:cs="宋体"/>
              <w:sz w:val="32"/>
              <w:szCs w:val="32"/>
              <w:highlight w:val="none"/>
            </w:rPr>
          </w:pPr>
          <w:r>
            <w:fldChar w:fldCharType="begin"/>
          </w:r>
          <w:r>
            <w:instrText xml:space="preserve"> HYPERLINK \l "_Toc7468" </w:instrText>
          </w:r>
          <w:r>
            <w:fldChar w:fldCharType="separate"/>
          </w:r>
          <w:r>
            <w:rPr>
              <w:rFonts w:hint="eastAsia" w:ascii="宋体" w:hAnsi="宋体" w:cs="宋体"/>
              <w:bCs/>
              <w:sz w:val="32"/>
              <w:szCs w:val="32"/>
            </w:rPr>
            <w:t xml:space="preserve">第二章  投标人须知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_Toc7468 \h </w:instrText>
          </w:r>
          <w:r>
            <w:rPr>
              <w:rFonts w:hint="eastAsia" w:ascii="宋体" w:hAnsi="宋体" w:cs="宋体"/>
              <w:sz w:val="32"/>
              <w:szCs w:val="32"/>
            </w:rPr>
            <w:fldChar w:fldCharType="separate"/>
          </w:r>
          <w:r>
            <w:rPr>
              <w:rFonts w:hint="eastAsia" w:ascii="宋体" w:hAnsi="宋体" w:cs="宋体"/>
              <w:sz w:val="32"/>
              <w:szCs w:val="32"/>
            </w:rPr>
            <w:t xml:space="preserve">7</w:t>
          </w:r>
          <w:r>
            <w:rPr>
              <w:rFonts w:hint="eastAsia" w:ascii="宋体" w:hAnsi="宋体" w:cs="宋体"/>
              <w:sz w:val="32"/>
              <w:szCs w:val="32"/>
            </w:rPr>
            <w:fldChar w:fldCharType="end"/>
          </w:r>
          <w:r>
            <w:rPr>
              <w:rFonts w:hint="eastAsia" w:ascii="宋体" w:hAnsi="宋体" w:cs="宋体"/>
              <w:sz w:val="32"/>
              <w:szCs w:val="32"/>
            </w:rPr>
            <w:fldChar w:fldCharType="end"/>
          </w:r>
          <w:r>
            <w:rPr>
              <w:rFonts w:ascii="宋体" w:hAnsi="宋体" w:cs="宋体"/>
              <w:sz w:val="32"/>
              <w:szCs w:val="32"/>
            </w:rPr>
          </w:r>
          <w:r/>
        </w:p>
        <w:p>
          <w:pPr>
            <w:pStyle w:val="1087"/>
            <w:spacing w:line="360" w:lineRule="auto"/>
            <w:tabs>
              <w:tab w:val="right" w:pos="8306" w:leader="dot"/>
            </w:tabs>
            <w:rPr>
              <w:rFonts w:hint="eastAsia" w:ascii="宋体" w:hAnsi="宋体" w:cs="宋体"/>
              <w:sz w:val="32"/>
              <w:szCs w:val="32"/>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32"/>
              <w:szCs w:val="32"/>
            </w:rPr>
            <w:t xml:space="preserve">第三章  合同文本.................................</w:t>
          </w:r>
          <w:r>
            <w:rPr>
              <w:rFonts w:hint="eastAsia" w:ascii="宋体" w:hAnsi="宋体" w:cs="宋体"/>
              <w:sz w:val="32"/>
              <w:szCs w:val="32"/>
            </w:rPr>
            <w:t xml:space="preserve">17</w:t>
          </w:r>
          <w:r>
            <w:rPr>
              <w:rFonts w:hint="eastAsia" w:ascii="宋体" w:hAnsi="宋体" w:cs="宋体"/>
              <w:sz w:val="32"/>
              <w:szCs w:val="32"/>
            </w:rPr>
          </w:r>
          <w:r/>
        </w:p>
        <w:p>
          <w:pPr>
            <w:pStyle w:val="1087"/>
            <w:spacing w:line="360" w:lineRule="auto"/>
            <w:tabs>
              <w:tab w:val="right" w:pos="8306" w:leader="dot"/>
            </w:tabs>
            <w:rPr>
              <w:rFonts w:hint="eastAsia" w:ascii="宋体" w:hAnsi="宋体" w:eastAsia="宋体" w:cs="宋体"/>
              <w:sz w:val="32"/>
              <w:szCs w:val="32"/>
              <w:lang w:val="en-US" w:eastAsia="zh-CN"/>
            </w:rPr>
          </w:pPr>
          <w:r>
            <w:fldChar w:fldCharType="begin"/>
          </w:r>
          <w:r>
            <w:instrText xml:space="preserve"> HYPERLINK \l "_Toc26197" </w:instrText>
          </w:r>
          <w:r>
            <w:fldChar w:fldCharType="separate"/>
          </w:r>
          <w:r>
            <w:rPr>
              <w:rFonts w:hint="eastAsia" w:ascii="宋体" w:hAnsi="宋体" w:cs="宋体"/>
              <w:bCs/>
              <w:sz w:val="32"/>
              <w:szCs w:val="32"/>
            </w:rPr>
            <w:t xml:space="preserve">第四章 采购需求</w:t>
          </w:r>
          <w:r>
            <w:rPr>
              <w:rFonts w:hint="eastAsia" w:ascii="宋体" w:hAnsi="宋体" w:cs="宋体"/>
              <w:sz w:val="32"/>
              <w:szCs w:val="32"/>
            </w:rPr>
            <w:tab/>
          </w:r>
          <w:r>
            <w:rPr>
              <w:rFonts w:hint="eastAsia" w:ascii="宋体" w:hAnsi="宋体" w:cs="宋体"/>
              <w:sz w:val="32"/>
              <w:szCs w:val="32"/>
              <w:lang w:val="en-US" w:eastAsia="zh-CN"/>
            </w:rPr>
            <w:t xml:space="preserve">2</w:t>
          </w:r>
          <w:r>
            <w:rPr>
              <w:rFonts w:hint="eastAsia" w:ascii="宋体" w:hAnsi="宋体" w:cs="宋体"/>
              <w:sz w:val="32"/>
              <w:szCs w:val="32"/>
            </w:rPr>
            <w:fldChar w:fldCharType="end"/>
          </w:r>
          <w:r>
            <w:rPr>
              <w:rFonts w:hint="eastAsia" w:ascii="宋体" w:hAnsi="宋体" w:cs="宋体"/>
              <w:sz w:val="32"/>
              <w:szCs w:val="32"/>
              <w:lang w:val="en-US" w:eastAsia="zh-CN"/>
            </w:rPr>
            <w:t xml:space="preserve">2</w:t>
          </w:r>
          <w:r/>
        </w:p>
        <w:p>
          <w:pPr>
            <w:pStyle w:val="1087"/>
            <w:spacing w:line="360" w:lineRule="auto"/>
            <w:tabs>
              <w:tab w:val="right" w:pos="8306" w:leader="dot"/>
            </w:tabs>
            <w:rPr>
              <w:rFonts w:hint="eastAsia" w:ascii="宋体" w:hAnsi="宋体" w:eastAsia="宋体" w:cs="宋体"/>
              <w:sz w:val="32"/>
              <w:szCs w:val="32"/>
              <w:lang w:val="en-US" w:eastAsia="zh-CN"/>
            </w:rPr>
          </w:pPr>
          <w:r>
            <w:fldChar w:fldCharType="begin"/>
          </w:r>
          <w:r>
            <w:instrText xml:space="preserve"> HYPERLINK \l "_Toc19090" </w:instrText>
          </w:r>
          <w:r>
            <w:fldChar w:fldCharType="separate"/>
          </w:r>
          <w:r>
            <w:rPr>
              <w:rFonts w:hint="eastAsia" w:ascii="宋体" w:hAnsi="宋体" w:cs="宋体"/>
              <w:bCs/>
              <w:sz w:val="32"/>
              <w:szCs w:val="32"/>
            </w:rPr>
            <w:t xml:space="preserve">第五章  评标方法与评标标准</w:t>
          </w:r>
          <w:r>
            <w:rPr>
              <w:rFonts w:hint="eastAsia" w:ascii="宋体" w:hAnsi="宋体" w:cs="宋体"/>
              <w:sz w:val="32"/>
              <w:szCs w:val="32"/>
            </w:rPr>
            <w:tab/>
          </w:r>
          <w:r>
            <w:rPr>
              <w:rFonts w:hint="eastAsia" w:ascii="宋体" w:hAnsi="宋体" w:cs="宋体"/>
              <w:sz w:val="32"/>
              <w:szCs w:val="32"/>
              <w:lang w:val="en-US" w:eastAsia="zh-CN"/>
            </w:rPr>
            <w:t xml:space="preserve">6</w:t>
          </w:r>
          <w:r>
            <w:rPr>
              <w:rFonts w:hint="eastAsia" w:ascii="宋体" w:hAnsi="宋体" w:cs="宋体"/>
              <w:sz w:val="32"/>
              <w:szCs w:val="32"/>
            </w:rPr>
            <w:fldChar w:fldCharType="end"/>
          </w:r>
          <w:r>
            <w:rPr>
              <w:rFonts w:hint="eastAsia" w:ascii="宋体" w:hAnsi="宋体" w:cs="宋体"/>
              <w:sz w:val="32"/>
              <w:szCs w:val="32"/>
              <w:lang w:val="en-US" w:eastAsia="zh-CN"/>
            </w:rPr>
            <w:t xml:space="preserve">6</w:t>
          </w:r>
          <w:r/>
        </w:p>
        <w:p>
          <w:pPr>
            <w:pStyle w:val="1087"/>
            <w:spacing w:line="360" w:lineRule="auto"/>
            <w:tabs>
              <w:tab w:val="right" w:pos="8306" w:leader="dot"/>
            </w:tabs>
            <w:rPr>
              <w:rFonts w:hint="eastAsia" w:ascii="宋体" w:hAnsi="宋体" w:eastAsia="宋体" w:cs="宋体"/>
              <w:sz w:val="32"/>
              <w:szCs w:val="32"/>
              <w:lang w:val="en-US" w:eastAsia="zh-CN"/>
            </w:rPr>
          </w:pPr>
          <w:r>
            <w:fldChar w:fldCharType="begin"/>
          </w:r>
          <w:r>
            <w:instrText xml:space="preserve"> HYPERLINK \l "_Toc14992" </w:instrText>
          </w:r>
          <w:r>
            <w:fldChar w:fldCharType="separate"/>
          </w:r>
          <w:r>
            <w:rPr>
              <w:rFonts w:hint="eastAsia" w:ascii="宋体" w:hAnsi="宋体" w:cs="宋体"/>
              <w:bCs/>
              <w:sz w:val="32"/>
              <w:szCs w:val="32"/>
            </w:rPr>
            <w:t xml:space="preserve">第六章  投标文件格式</w:t>
          </w:r>
          <w:r>
            <w:rPr>
              <w:rFonts w:hint="eastAsia" w:ascii="宋体" w:hAnsi="宋体" w:cs="宋体"/>
              <w:sz w:val="32"/>
              <w:szCs w:val="32"/>
            </w:rPr>
            <w:tab/>
          </w:r>
          <w:r>
            <w:rPr>
              <w:rFonts w:hint="eastAsia" w:ascii="宋体" w:hAnsi="宋体" w:cs="宋体"/>
              <w:sz w:val="32"/>
              <w:szCs w:val="32"/>
              <w:lang w:val="en-US" w:eastAsia="zh-CN"/>
            </w:rPr>
            <w:t xml:space="preserve">7</w:t>
          </w:r>
          <w:r>
            <w:rPr>
              <w:rFonts w:hint="eastAsia" w:ascii="宋体" w:hAnsi="宋体" w:cs="宋体"/>
              <w:sz w:val="32"/>
              <w:szCs w:val="32"/>
            </w:rPr>
            <w:fldChar w:fldCharType="end"/>
            <w:t xml:space="preserve">0</w:t>
          </w:r>
          <w:bookmarkStart w:id="218" w:name="_GoBack"/>
          <w:r/>
          <w:bookmarkEnd w:id="218"/>
          <w:r/>
          <w:r/>
        </w:p>
        <w:p>
          <w:pPr>
            <w:rPr>
              <w:szCs w:val="21"/>
            </w:rPr>
          </w:pPr>
          <w:r>
            <w:rPr>
              <w:rFonts w:hint="eastAsia" w:ascii="宋体" w:hAnsi="宋体" w:cs="宋体"/>
              <w:sz w:val="32"/>
              <w:szCs w:val="32"/>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keepNext/>
        <w:rPr>
          <w:rFonts w:ascii="黑体" w:eastAsia="黑体"/>
          <w:sz w:val="44"/>
          <w:szCs w:val="44"/>
        </w:rPr>
        <w:sectPr>
          <w:headerReference w:type="default" r:id="rId11"/>
          <w:headerReference w:type="even" r:id="rId12"/>
          <w:headerReference w:type="first" r:id="rId13"/>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425" w:equalWidth="1"/>
          <w:docGrid w:linePitch="360"/>
        </w:sectPr>
      </w:pPr>
      <w:r>
        <w:rPr>
          <w:rFonts w:ascii="黑体" w:eastAsia="黑体"/>
          <w:sz w:val="44"/>
          <w:szCs w:val="44"/>
        </w:rPr>
      </w:r>
      <w:r/>
    </w:p>
    <w:p>
      <w:pPr>
        <w:jc w:val="center"/>
        <w:keepNext/>
        <w:rPr>
          <w:rFonts w:ascii="黑体" w:eastAsia="黑体"/>
          <w:bCs/>
          <w:sz w:val="44"/>
          <w:szCs w:val="44"/>
        </w:rPr>
        <w:outlineLvl w:val="0"/>
      </w:pPr>
      <w:r/>
      <w:bookmarkStart w:id="8" w:name="_Toc10444"/>
      <w:r>
        <w:rPr>
          <w:rFonts w:hint="eastAsia" w:ascii="黑体" w:eastAsia="黑体"/>
          <w:sz w:val="44"/>
          <w:szCs w:val="44"/>
        </w:rPr>
        <w:t xml:space="preserve">第一章  </w:t>
      </w:r>
      <w:bookmarkEnd w:id="2"/>
      <w:r>
        <w:rPr>
          <w:rFonts w:hint="eastAsia" w:ascii="黑体" w:eastAsia="黑体"/>
          <w:sz w:val="44"/>
          <w:szCs w:val="44"/>
        </w:rPr>
        <w:t xml:space="preserve">投标邀请</w:t>
      </w:r>
      <w:bookmarkEnd w:id="8"/>
      <w:r/>
      <w:r/>
    </w:p>
    <w:p>
      <w:pPr>
        <w:ind w:firstLine="480"/>
        <w:spacing w:line="360" w:lineRule="auto"/>
        <w:rPr>
          <w:rFonts w:ascii="宋体" w:hAnsi="宋体"/>
          <w:sz w:val="24"/>
          <w:szCs w:val="24"/>
        </w:rPr>
      </w:pPr>
      <w:r>
        <w:rPr>
          <w:rFonts w:hint="eastAsia" w:ascii="宋体" w:hAnsi="宋体"/>
          <w:sz w:val="24"/>
          <w:szCs w:val="24"/>
        </w:rPr>
        <w:t xml:space="preserve">受高邮市卫生健康委员会的委托，扬州市公共资源交易中心高邮分中心就高邮市卫生健康委员会关于扬州市职业健康智慧管理系统项目(JSZC-321084-JZCG-G2024-0013)项目进行公开招标采购，欢迎符合条件的供应商投标。</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高邮市卫生健康委员会关于扬州市职业健康智慧管理系统</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7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10 </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45" w:after="145" w:line="360" w:lineRule="auto"/>
        <w:rPr>
          <w:b/>
          <w:bCs/>
          <w:sz w:val="32"/>
          <w:szCs w:val="32"/>
        </w:rPr>
        <w:outlineLvl w:val="2"/>
      </w:pPr>
      <w:r/>
      <w:bookmarkStart w:id="9" w:name="_Toc28359002"/>
      <w:r/>
      <w:bookmarkStart w:id="10" w:name="_Toc35393621"/>
      <w:r/>
      <w:bookmarkStart w:id="11" w:name="_Toc35393790"/>
      <w:r/>
      <w:bookmarkStart w:id="12" w:name="_Toc38985263"/>
      <w:r/>
      <w:bookmarkStart w:id="13" w:name="_Toc28359079"/>
      <w:r/>
      <w:bookmarkStart w:id="14" w:name="_Hlk24379207"/>
      <w:r>
        <w:rPr>
          <w:rFonts w:hint="eastAsia"/>
          <w:b/>
          <w:bCs/>
          <w:sz w:val="32"/>
          <w:szCs w:val="32"/>
        </w:rPr>
        <w:t xml:space="preserve">一、项目基本情况</w:t>
      </w:r>
      <w:bookmarkEnd w:id="9"/>
      <w:r/>
      <w:bookmarkEnd w:id="10"/>
      <w:r/>
      <w:bookmarkEnd w:id="11"/>
      <w:r/>
      <w:bookmarkEnd w:id="12"/>
      <w:r/>
      <w:bookmarkEnd w:id="13"/>
      <w:r/>
      <w:r/>
    </w:p>
    <w:p>
      <w:pPr>
        <w:ind w:firstLine="480"/>
        <w:spacing w:line="360" w:lineRule="auto"/>
        <w:rPr>
          <w:rFonts w:ascii="宋体" w:hAnsi="宋体"/>
          <w:sz w:val="24"/>
          <w:szCs w:val="24"/>
        </w:rPr>
      </w:pPr>
      <w:r>
        <w:rPr>
          <w:rFonts w:hint="eastAsia" w:ascii="宋体" w:hAnsi="宋体"/>
          <w:sz w:val="24"/>
          <w:szCs w:val="24"/>
        </w:rPr>
        <w:t xml:space="preserve">1.项目编号：JSZC-321084-JZCG-G2024-0013</w:t>
      </w:r>
      <w:r/>
    </w:p>
    <w:p>
      <w:pPr>
        <w:ind w:firstLine="480"/>
        <w:spacing w:line="360" w:lineRule="auto"/>
        <w:rPr>
          <w:rFonts w:ascii="宋体" w:hAnsi="宋体"/>
          <w:sz w:val="24"/>
          <w:szCs w:val="24"/>
        </w:rPr>
      </w:pPr>
      <w:r>
        <w:rPr>
          <w:rFonts w:hint="eastAsia" w:ascii="宋体" w:hAnsi="宋体"/>
          <w:sz w:val="24"/>
          <w:szCs w:val="24"/>
        </w:rPr>
        <w:t xml:space="preserve">2.项目名称：</w:t>
      </w:r>
      <w:bookmarkEnd w:id="14"/>
      <w:r>
        <w:rPr>
          <w:rFonts w:hint="eastAsia" w:ascii="宋体" w:hAnsi="宋体"/>
          <w:sz w:val="24"/>
          <w:szCs w:val="24"/>
        </w:rPr>
        <w:t xml:space="preserve">高邮市卫生健康委员会关于扬州市职业健康智慧管理系统</w:t>
      </w:r>
      <w:r/>
    </w:p>
    <w:p>
      <w:pPr>
        <w:ind w:firstLine="480"/>
        <w:spacing w:line="360" w:lineRule="auto"/>
        <w:rPr>
          <w:rFonts w:ascii="宋体" w:hAnsi="宋体"/>
          <w:sz w:val="24"/>
          <w:szCs w:val="24"/>
        </w:rPr>
      </w:pPr>
      <w:r>
        <w:rPr>
          <w:rFonts w:hint="eastAsia" w:ascii="宋体" w:hAnsi="宋体"/>
          <w:sz w:val="24"/>
          <w:szCs w:val="24"/>
        </w:rPr>
        <w:t xml:space="preserve">3.预算金额：600万元</w:t>
      </w:r>
      <w:r/>
    </w:p>
    <w:p>
      <w:pPr>
        <w:ind w:firstLine="480"/>
        <w:spacing w:line="36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最高限价，最高限价为600万元</w:t>
      </w:r>
      <w:r/>
    </w:p>
    <w:p>
      <w:pPr>
        <w:ind w:firstLine="480"/>
        <w:spacing w:line="360" w:lineRule="auto"/>
        <w:rPr>
          <w:rFonts w:ascii="宋体" w:hAnsi="宋体" w:cs="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建设“职业健康智慧管理系统”，通过门户网站集约构建卫生健康行政部门、监督执法机构、乡镇（园区）职业健康服务站、专业服务机构、用人单位、劳动者等六大应用体系端口，充分整合国家和省市现有信息化系统和数据资源，实现信息互联互通和共建共享，完善职业健康数据综合分析、预警与决策支持环境，掌握辖区内职业健康工作态势，开展精准监管，融合信息申报、待办提醒、风险预警、健康档案、培训等功能，帮助用人单位落实职业病防治主体责任，保障劳动者身体健康。（详细内容见本招标文件第四章）</w:t>
      </w:r>
      <w:r/>
    </w:p>
    <w:p>
      <w:pPr>
        <w:ind w:firstLine="480"/>
        <w:spacing w:line="360" w:lineRule="auto"/>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cs="宋体"/>
          <w:sz w:val="24"/>
          <w:szCs w:val="24"/>
          <w:lang w:val="zh-CN"/>
        </w:rPr>
        <w:t xml:space="preserve">。</w:t>
      </w:r>
      <w:r/>
    </w:p>
    <w:p>
      <w:pPr>
        <w:ind w:firstLine="498"/>
        <w:keepLines/>
        <w:keepNext/>
        <w:spacing w:before="145" w:after="145" w:line="360" w:lineRule="auto"/>
        <w:rPr>
          <w:b/>
          <w:bCs/>
          <w:sz w:val="32"/>
          <w:szCs w:val="32"/>
        </w:rPr>
        <w:outlineLvl w:val="2"/>
      </w:pPr>
      <w:r/>
      <w:bookmarkStart w:id="15" w:name="_Toc28359080"/>
      <w:r/>
      <w:bookmarkStart w:id="16" w:name="_Toc28359003"/>
      <w:r/>
      <w:bookmarkStart w:id="17" w:name="_Toc35393622"/>
      <w:r/>
      <w:bookmarkStart w:id="18" w:name="_Toc35393791"/>
      <w:r/>
      <w:bookmarkStart w:id="19" w:name="_Toc38985264"/>
      <w:r>
        <w:rPr>
          <w:rFonts w:hint="eastAsia"/>
          <w:b/>
          <w:bCs/>
          <w:sz w:val="32"/>
          <w:szCs w:val="32"/>
        </w:rPr>
        <w:t xml:space="preserve">二、申请人的资格要求：</w:t>
      </w:r>
      <w:bookmarkEnd w:id="15"/>
      <w:r/>
      <w:bookmarkEnd w:id="16"/>
      <w:r/>
      <w:bookmarkEnd w:id="17"/>
      <w:r/>
      <w:bookmarkEnd w:id="18"/>
      <w:r/>
      <w:bookmarkEnd w:id="19"/>
      <w:r/>
      <w:r/>
    </w:p>
    <w:p>
      <w:pPr>
        <w:ind w:firstLine="480"/>
        <w:spacing w:line="360" w:lineRule="auto"/>
        <w:rPr>
          <w:rFonts w:ascii="宋体" w:hAnsi="宋体"/>
          <w:sz w:val="24"/>
          <w:szCs w:val="24"/>
        </w:rPr>
      </w:pPr>
      <w:r/>
      <w:bookmarkStart w:id="20" w:name="_Toc35393792"/>
      <w:r/>
      <w:bookmarkStart w:id="21" w:name="_Toc35393623"/>
      <w:r/>
      <w:bookmarkStart w:id="22" w:name="_Toc28359004"/>
      <w:r/>
      <w:bookmarkStart w:id="23" w:name="_Toc38985265"/>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1.满足《中华人民共和国政府采购法》第二十二条规定，并提供下列材料：</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1.1 法人或者其他组织的营业执照等证明文件，自然人的身份证明；</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1.2上一年度的财务状况报告（成立不满一年无需提供）；</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1.3依法缴纳税收和社会保障资金的相关材料（提供提交投标文件截止时间前一年内</w:t>
      </w:r>
      <w:r>
        <w:rPr>
          <w:rFonts w:hint="eastAsia" w:ascii="宋体" w:hAnsi="宋体"/>
          <w:i w:val="0"/>
          <w:iCs w:val="0"/>
          <w:sz w:val="24"/>
          <w:szCs w:val="24"/>
          <w:u w:val="none"/>
        </w:rPr>
        <w:t xml:space="preserve">任意</w:t>
      </w:r>
      <w:r>
        <w:rPr>
          <w:rFonts w:hint="eastAsia" w:ascii="宋体" w:hAnsi="宋体"/>
          <w:i w:val="0"/>
          <w:iCs w:val="0"/>
          <w:sz w:val="24"/>
          <w:szCs w:val="24"/>
          <w:u w:val="none"/>
        </w:rPr>
        <w:t xml:space="preserve">一个月依法缴纳税收及缴纳社会保障资金的证明材料。投标人依法享受缓缴、免缴税收、社会保障资金的提供证明材料。）；</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1.4具备履行合同所必需的设备和专业技术能力的书面声明；</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1.5参加政府采购活动前3年内在经营活动中没有重大违法记录的书面声明；</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1.6供应商信用承诺函。</w:t>
      </w:r>
      <w:r>
        <w:rPr>
          <w:i w:val="0"/>
          <w:iCs w:val="0"/>
          <w:u w:val="none"/>
        </w:rPr>
      </w:r>
      <w:r/>
    </w:p>
    <w:p>
      <w:pPr>
        <w:ind w:firstLine="480"/>
        <w:spacing w:line="360" w:lineRule="auto"/>
        <w:tabs>
          <w:tab w:val="clear" w:pos="312" w:leader="none"/>
        </w:tabs>
        <w:rPr>
          <w:rFonts w:ascii="宋体" w:hAnsi="宋体"/>
          <w:bCs w:val="0"/>
          <w:i w:val="0"/>
          <w:iCs/>
          <w:sz w:val="24"/>
          <w:szCs w:val="24"/>
          <w:u w:val="none"/>
        </w:rPr>
      </w:pPr>
      <w:r>
        <w:rPr>
          <w:rFonts w:hint="eastAsia" w:ascii="宋体" w:hAnsi="宋体"/>
          <w:i w:val="0"/>
          <w:iCs w:val="0"/>
          <w:sz w:val="24"/>
          <w:szCs w:val="24"/>
          <w:u w:val="none"/>
        </w:rPr>
      </w:r>
      <w:r>
        <w:rPr>
          <w:rFonts w:hint="eastAsia" w:ascii="宋体" w:hAnsi="宋体"/>
          <w:i w:val="0"/>
          <w:iCs w:val="0"/>
          <w:sz w:val="24"/>
          <w:szCs w:val="24"/>
          <w:u w:val="non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i w:val="0"/>
          <w:iCs w:val="0"/>
          <w:sz w:val="24"/>
          <w:szCs w:val="24"/>
          <w:u w:val="none"/>
        </w:rPr>
        <w:t xml:space="preserve">。</w:t>
      </w:r>
      <w:r>
        <w:rPr>
          <w:i w:val="0"/>
          <w:iCs w:val="0"/>
          <w:u w:val="none"/>
        </w:rPr>
      </w:r>
      <w:r/>
    </w:p>
    <w:p>
      <w:pPr>
        <w:ind w:firstLine="480"/>
        <w:spacing w:line="360" w:lineRule="auto"/>
        <w:rPr>
          <w:rFonts w:ascii="宋体" w:hAnsi="宋体"/>
          <w:bCs w:val="0"/>
          <w:i w:val="0"/>
          <w:iCs/>
          <w:sz w:val="24"/>
          <w:szCs w:val="24"/>
          <w:u w:val="none"/>
        </w:rPr>
      </w:pPr>
      <w:r>
        <w:rPr>
          <w:rFonts w:hint="eastAsia" w:ascii="宋体" w:hAnsi="宋体"/>
          <w:i w:val="0"/>
          <w:iCs w:val="0"/>
          <w:sz w:val="24"/>
          <w:szCs w:val="24"/>
          <w:u w:val="none"/>
        </w:rPr>
        <w:t xml:space="preserve">3.落实政府采购政策需满足的资格要求：本项目专门面向中小企业采购。供应商须提供《中小企业声明函》。</w:t>
      </w:r>
      <w:r>
        <w:rPr>
          <w:i w:val="0"/>
          <w:iCs w:val="0"/>
          <w:u w:val="none"/>
        </w:rPr>
      </w:r>
      <w:r/>
    </w:p>
    <w:p>
      <w:pPr>
        <w:ind w:firstLine="480"/>
        <w:spacing w:line="360" w:lineRule="auto"/>
        <w:rPr>
          <w:rFonts w:ascii="宋体" w:hAnsi="宋体"/>
          <w:bCs/>
          <w:i/>
          <w:color w:val="00b050"/>
          <w:sz w:val="24"/>
          <w:szCs w:val="24"/>
          <w:u w:val="single"/>
        </w:rPr>
      </w:pPr>
      <w:r>
        <w:rPr>
          <w:rFonts w:hint="eastAsia" w:ascii="宋体" w:hAnsi="宋体"/>
          <w:sz w:val="24"/>
          <w:szCs w:val="24"/>
        </w:rPr>
        <w:t xml:space="preserve">（二）本项目的特定资格要求：无</w:t>
      </w:r>
      <w:r/>
    </w:p>
    <w:p>
      <w:pPr>
        <w:ind w:firstLine="480"/>
        <w:spacing w:line="360" w:lineRule="auto"/>
        <w:rPr>
          <w:rFonts w:ascii="宋体" w:hAnsi="宋体"/>
          <w:sz w:val="24"/>
          <w:szCs w:val="24"/>
        </w:rPr>
      </w:pPr>
      <w:r>
        <w:rPr>
          <w:rFonts w:hint="eastAsia" w:ascii="宋体" w:hAnsi="宋体"/>
          <w:sz w:val="24"/>
          <w:szCs w:val="24"/>
        </w:rPr>
        <w:t xml:space="preserve">4.本项目不接受联合体投标</w:t>
      </w:r>
      <w:r/>
    </w:p>
    <w:p>
      <w:pPr>
        <w:ind w:firstLine="480"/>
        <w:spacing w:line="360" w:lineRule="auto"/>
        <w:rPr>
          <w:rFonts w:ascii="宋体" w:hAnsi="宋体"/>
          <w:sz w:val="24"/>
          <w:szCs w:val="24"/>
        </w:rPr>
      </w:pPr>
      <w:r>
        <w:rPr>
          <w:rFonts w:hint="eastAsia" w:ascii="宋体" w:hAnsi="宋体"/>
          <w:sz w:val="24"/>
          <w:szCs w:val="24"/>
        </w:rPr>
        <w:t xml:space="preserve">5.本项目不接受进口产品投标</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bookmarkEnd w:id="20"/>
      <w:r/>
      <w:bookmarkEnd w:id="21"/>
      <w:r/>
      <w:bookmarkEnd w:id="22"/>
      <w:r/>
      <w:bookmarkEnd w:id="23"/>
      <w:r/>
      <w:bookmarkEnd w:id="24"/>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w:t>
      </w:r>
      <w:r>
        <w:rPr>
          <w:rFonts w:ascii="SimSun" w:hAnsi="SimSun" w:eastAsia="SimSun" w:cs="SimSun"/>
          <w:color w:val="000000"/>
          <w:sz w:val="24"/>
          <w:szCs w:val="24"/>
        </w:rPr>
        <w:t xml:space="preserve">时间：2024年6月18日至2024年7月10日</w:t>
      </w:r>
      <w:r>
        <w:rPr>
          <w:rFonts w:ascii="SimSun" w:hAnsi="SimSun" w:eastAsia="SimSun" w:cs="SimSun"/>
          <w:color w:val="000000"/>
          <w:sz w:val="24"/>
        </w:rPr>
        <w:t xml:space="preserve">，每日上午00:00-12:00，下午12:00-23:59（北京时间，法定节假日除外）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2.地点：扬州市政府采购网，江苏省政府采购网</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3:方式：网上获取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rPr>
          <w:sz w:val="22"/>
        </w:rPr>
      </w:r>
      <w:r/>
    </w:p>
    <w:p>
      <w:pPr>
        <w:ind w:firstLine="498"/>
        <w:keepLines/>
        <w:keepNext/>
        <w:spacing w:before="145" w:after="145" w:line="360" w:lineRule="auto"/>
        <w:rPr>
          <w:b/>
          <w:bCs/>
          <w:sz w:val="32"/>
          <w:szCs w:val="32"/>
        </w:rPr>
        <w:outlineLvl w:val="2"/>
      </w:pPr>
      <w:r>
        <w:rPr>
          <w:rFonts w:hint="eastAsia"/>
          <w:b/>
          <w:bCs/>
          <w:sz w:val="32"/>
          <w:szCs w:val="32"/>
        </w:rPr>
        <w:t xml:space="preserve">四、提交投标文件</w:t>
      </w:r>
      <w:r>
        <w:rPr>
          <w:rFonts w:hint="eastAsia"/>
          <w:b/>
          <w:bCs/>
          <w:sz w:val="32"/>
          <w:szCs w:val="32"/>
        </w:rPr>
        <w:t xml:space="preserve">截止时间、开标时间和地点</w:t>
      </w:r>
      <w:r/>
    </w:p>
    <w:p>
      <w:pPr>
        <w:ind w:firstLine="480"/>
        <w:spacing w:line="360" w:lineRule="auto"/>
        <w:rPr>
          <w:rFonts w:ascii="宋体" w:hAnsi="宋体"/>
          <w:bCs/>
          <w:sz w:val="24"/>
          <w:szCs w:val="24"/>
          <w:u w:val="single"/>
        </w:rPr>
      </w:pPr>
      <w:r>
        <w:rPr>
          <w:rFonts w:hint="eastAsia" w:ascii="宋体" w:hAnsi="宋体"/>
          <w:bCs/>
          <w:sz w:val="24"/>
          <w:szCs w:val="24"/>
        </w:rPr>
        <w:t xml:space="preserve">1.2024年</w:t>
      </w:r>
      <w:r>
        <w:rPr>
          <w:rFonts w:hint="eastAsia" w:ascii="宋体" w:hAnsi="宋体"/>
          <w:bCs/>
          <w:sz w:val="24"/>
          <w:szCs w:val="24"/>
          <w:lang w:val="en-US" w:eastAsia="zh-CN"/>
        </w:rPr>
        <w:t xml:space="preserve"> 7 </w:t>
      </w:r>
      <w:r>
        <w:rPr>
          <w:rFonts w:hint="eastAsia" w:ascii="宋体" w:hAnsi="宋体"/>
          <w:bCs/>
          <w:sz w:val="24"/>
          <w:szCs w:val="24"/>
        </w:rPr>
        <w:t xml:space="preserve">月</w:t>
      </w:r>
      <w:r>
        <w:rPr>
          <w:rFonts w:hint="eastAsia" w:ascii="宋体" w:hAnsi="宋体"/>
          <w:bCs/>
          <w:sz w:val="24"/>
          <w:szCs w:val="24"/>
          <w:lang w:val="en-US" w:eastAsia="zh-CN"/>
        </w:rPr>
        <w:t xml:space="preserve"> 10 </w:t>
      </w:r>
      <w:r>
        <w:rPr>
          <w:rFonts w:hint="eastAsia" w:ascii="宋体" w:hAnsi="宋体"/>
          <w:bCs/>
          <w:sz w:val="24"/>
          <w:szCs w:val="24"/>
        </w:rPr>
        <w:t xml:space="preserve">日09点30分（北京时间）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2.地点：</w:t>
      </w:r>
      <w:r>
        <w:rPr>
          <w:rFonts w:ascii="SimSun" w:hAnsi="SimSun" w:eastAsia="SimSun" w:cs="SimSun"/>
          <w:color w:val="000000"/>
          <w:sz w:val="24"/>
        </w:rPr>
        <w:t xml:space="preserve">“苏采云”平台</w:t>
      </w:r>
      <w:r>
        <w:rPr>
          <w:sz w:val="22"/>
        </w:rPr>
      </w:r>
      <w:r/>
    </w:p>
    <w:p>
      <w:pPr>
        <w:ind w:firstLine="498"/>
        <w:keepLines/>
        <w:keepNext/>
        <w:spacing w:before="145" w:after="145" w:line="360" w:lineRule="auto"/>
        <w:rPr>
          <w:b/>
          <w:bCs/>
          <w:sz w:val="32"/>
          <w:szCs w:val="32"/>
        </w:rPr>
        <w:outlineLvl w:val="2"/>
      </w:pPr>
      <w:r/>
      <w:bookmarkStart w:id="30" w:name="_Toc28359007"/>
      <w:r/>
      <w:bookmarkStart w:id="31" w:name="_Toc35393794"/>
      <w:r/>
      <w:bookmarkStart w:id="32" w:name="_Toc28359084"/>
      <w:r/>
      <w:bookmarkStart w:id="33" w:name="_Toc38985267"/>
      <w:r/>
      <w:bookmarkStart w:id="34" w:name="_Toc35393625"/>
      <w:r>
        <w:rPr>
          <w:rFonts w:hint="eastAsia"/>
          <w:b/>
          <w:bCs/>
          <w:sz w:val="32"/>
          <w:szCs w:val="32"/>
        </w:rPr>
        <w:t xml:space="preserve">五、公告期限</w:t>
      </w:r>
      <w:bookmarkEnd w:id="30"/>
      <w:r/>
      <w:bookmarkEnd w:id="31"/>
      <w:r/>
      <w:bookmarkEnd w:id="32"/>
      <w:r/>
      <w:bookmarkEnd w:id="33"/>
      <w:r/>
      <w:bookmarkEnd w:id="34"/>
      <w:r/>
      <w:r/>
    </w:p>
    <w:p>
      <w:pPr>
        <w:ind w:firstLine="480"/>
        <w:spacing w:line="360" w:lineRule="auto"/>
        <w:rPr>
          <w:rFonts w:ascii="宋体" w:hAnsi="宋体" w:cs="宋体"/>
          <w:sz w:val="24"/>
          <w:szCs w:val="24"/>
        </w:rPr>
      </w:pPr>
      <w:r/>
      <w:bookmarkStart w:id="35" w:name="_Toc38985268"/>
      <w:r/>
      <w:bookmarkStart w:id="36" w:name="_Toc35393795"/>
      <w:r/>
      <w:bookmarkStart w:id="37" w:name="_Toc35393626"/>
      <w:r>
        <w:rPr>
          <w:rFonts w:hint="eastAsia" w:ascii="宋体" w:hAnsi="宋体" w:cs="宋体"/>
          <w:sz w:val="24"/>
          <w:szCs w:val="24"/>
        </w:rPr>
        <w:t xml:space="preserve">自本公告发布之日起5个工作日。</w:t>
      </w:r>
      <w:r/>
    </w:p>
    <w:p>
      <w:pPr>
        <w:ind w:firstLine="498"/>
        <w:keepLines/>
        <w:keepNext/>
        <w:spacing w:before="145" w:after="145" w:line="360" w:lineRule="auto"/>
        <w:rPr>
          <w:b/>
          <w:bCs/>
          <w:sz w:val="32"/>
          <w:szCs w:val="32"/>
        </w:rPr>
        <w:outlineLvl w:val="2"/>
      </w:pPr>
      <w:r>
        <w:rPr>
          <w:rFonts w:hint="eastAsia"/>
          <w:b/>
          <w:bCs/>
          <w:sz w:val="32"/>
          <w:szCs w:val="32"/>
        </w:rPr>
        <w:t xml:space="preserve">六、其他补充事宜</w:t>
      </w:r>
      <w:bookmarkEnd w:id="35"/>
      <w:r/>
      <w:bookmarkEnd w:id="36"/>
      <w:r/>
      <w:bookmarkEnd w:id="37"/>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ind w:firstLine="498"/>
        <w:keepLines/>
        <w:keepNext/>
        <w:spacing w:before="145" w:after="145" w:line="360" w:lineRule="auto"/>
        <w:rPr>
          <w:b/>
          <w:bCs/>
          <w:sz w:val="32"/>
          <w:szCs w:val="32"/>
        </w:rPr>
        <w:outlineLvl w:val="2"/>
      </w:pPr>
      <w:r/>
      <w:bookmarkStart w:id="38" w:name="_Toc35393627"/>
      <w:r/>
      <w:bookmarkStart w:id="39" w:name="_Toc38985269"/>
      <w:r/>
      <w:bookmarkStart w:id="40" w:name="_Toc28359085"/>
      <w:r/>
      <w:bookmarkStart w:id="41" w:name="_Toc35393796"/>
      <w:r/>
      <w:bookmarkStart w:id="42" w:name="_Toc28359008"/>
      <w:r>
        <w:rPr>
          <w:rFonts w:hint="eastAsia"/>
          <w:b/>
          <w:bCs/>
          <w:sz w:val="32"/>
          <w:szCs w:val="32"/>
        </w:rPr>
        <w:t xml:space="preserve">七、本次招标联系方式</w:t>
      </w:r>
      <w:bookmarkEnd w:id="38"/>
      <w:r/>
      <w:bookmarkEnd w:id="39"/>
      <w:r/>
      <w:bookmarkEnd w:id="40"/>
      <w:r/>
      <w:bookmarkEnd w:id="41"/>
      <w:r/>
      <w:bookmarkEnd w:id="42"/>
      <w:r/>
      <w:r/>
    </w:p>
    <w:p>
      <w:pPr>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高邮市卫生健康委员会</w:t>
      </w:r>
      <w:r/>
    </w:p>
    <w:p>
      <w:pPr>
        <w:ind w:firstLine="48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u w:val="single"/>
        </w:rPr>
        <w:t xml:space="preserve">江苏省扬州市高邮市海潮东路106号</w:t>
      </w:r>
      <w:r/>
    </w:p>
    <w:p>
      <w:pPr>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s="宋体"/>
          <w:sz w:val="24"/>
          <w:szCs w:val="24"/>
          <w:u w:val="single"/>
        </w:rPr>
        <w:t xml:space="preserve">薛勇</w:t>
      </w:r>
      <w:r>
        <w:rPr>
          <w:rFonts w:hint="eastAsia" w:ascii="宋体" w:hAnsi="宋体"/>
          <w:sz w:val="24"/>
          <w:szCs w:val="24"/>
          <w:u w:val="single"/>
        </w:rPr>
      </w:r>
      <w:r/>
    </w:p>
    <w:p>
      <w:pPr>
        <w:ind w:firstLine="480"/>
        <w:spacing w:line="360" w:lineRule="auto"/>
        <w:rPr>
          <w:rFonts w:ascii="宋体" w:hAnsi="宋体"/>
          <w:sz w:val="24"/>
          <w:szCs w:val="24"/>
        </w:rPr>
      </w:pPr>
      <w:r>
        <w:rPr>
          <w:rFonts w:hint="eastAsia" w:ascii="宋体" w:hAnsi="宋体"/>
          <w:sz w:val="24"/>
          <w:szCs w:val="24"/>
        </w:rPr>
        <w:t xml:space="preserve">联系方式：</w:t>
      </w:r>
      <w:bookmarkStart w:id="43" w:name="_Toc28359009"/>
      <w:r/>
      <w:bookmarkStart w:id="44" w:name="_Toc28359086"/>
      <w:r>
        <w:rPr>
          <w:rFonts w:hint="eastAsia" w:ascii="宋体" w:hAnsi="宋体" w:cs="宋体"/>
          <w:sz w:val="24"/>
          <w:szCs w:val="24"/>
          <w:u w:val="single"/>
        </w:rPr>
        <w:t xml:space="preserve">13852171626</w:t>
      </w:r>
      <w:r>
        <w:rPr>
          <w:rFonts w:hint="eastAsia" w:ascii="宋体" w:hAnsi="宋体" w:cs="宋体"/>
          <w:sz w:val="24"/>
          <w:szCs w:val="24"/>
          <w:u w:val="single"/>
        </w:rPr>
      </w:r>
      <w:r/>
    </w:p>
    <w:p>
      <w:pPr>
        <w:ind w:firstLine="480"/>
        <w:jc w:val="left"/>
        <w:spacing w:line="360" w:lineRule="auto"/>
        <w:rPr>
          <w:rFonts w:ascii="宋体" w:hAnsi="宋体"/>
          <w:sz w:val="24"/>
          <w:szCs w:val="24"/>
        </w:rPr>
      </w:pPr>
      <w:r>
        <w:rPr>
          <w:rFonts w:hint="eastAsia" w:ascii="宋体" w:hAnsi="宋体" w:cs="宋体"/>
          <w:sz w:val="24"/>
          <w:szCs w:val="24"/>
        </w:rPr>
        <w:t xml:space="preserve">2.</w:t>
      </w:r>
      <w:bookmarkEnd w:id="43"/>
      <w:r/>
      <w:bookmarkEnd w:id="44"/>
      <w:r>
        <w:rPr>
          <w:rFonts w:hint="eastAsia" w:ascii="宋体" w:hAnsi="宋体" w:cs="宋体"/>
          <w:sz w:val="24"/>
          <w:szCs w:val="24"/>
        </w:rPr>
        <w:t xml:space="preserve"> 扬州市公共资源交易中心高邮分中心信息</w:t>
      </w:r>
      <w:r/>
    </w:p>
    <w:p>
      <w:pPr>
        <w:ind w:firstLine="48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高邮市海潮东路997号408室</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杨思磊  王琦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联系方式：</w:t>
      </w:r>
      <w:bookmarkStart w:id="45" w:name="XMJBRDH_1"/>
      <w:r>
        <w:rPr>
          <w:rFonts w:hint="eastAsia" w:ascii="宋体" w:hAnsi="宋体" w:cs="宋体"/>
          <w:sz w:val="24"/>
          <w:szCs w:val="24"/>
          <w:u w:val="single"/>
        </w:rPr>
        <w:t xml:space="preserve">0514-84651312</w:t>
      </w:r>
      <w:bookmarkEnd w:id="45"/>
      <w:r/>
      <w:r/>
    </w:p>
    <w:p>
      <w:pPr>
        <w:ind w:firstLine="498"/>
        <w:keepLines/>
        <w:keepNext/>
        <w:spacing w:before="145" w:after="145" w:line="360" w:lineRule="auto"/>
        <w:rPr>
          <w:b/>
          <w:bCs/>
          <w:sz w:val="32"/>
          <w:szCs w:val="32"/>
        </w:rPr>
        <w:outlineLvl w:val="2"/>
      </w:pPr>
      <w:r>
        <w:rPr>
          <w:rFonts w:hint="eastAsia"/>
          <w:b/>
          <w:bCs/>
          <w:sz w:val="32"/>
          <w:szCs w:val="32"/>
        </w:rPr>
        <w:t xml:space="preserve">八、其他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w:t>
      </w:r>
      <w:r>
        <w:rPr>
          <w:rFonts w:ascii="SimSun" w:hAnsi="SimSun" w:eastAsia="SimSun" w:cs="SimSun"/>
          <w:b/>
          <w:color w:val="000000"/>
          <w:sz w:val="24"/>
        </w:rPr>
        <w:t xml:space="preserve">4d8.shtml，请按《操作手册》要求制作、上传电子投标文件。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有关本次招标的事项若存在变动或修改，敬请及时关注扬州市公共资源交易中心</w:t>
      </w:r>
      <w:r>
        <w:rPr>
          <w:rFonts w:ascii="SimSun" w:hAnsi="SimSun" w:eastAsia="SimSun" w:cs="SimSun"/>
          <w:color w:val="000000"/>
          <w:sz w:val="24"/>
        </w:rPr>
        <w:t xml:space="preserve">高邮分中心</w:t>
      </w:r>
      <w:r>
        <w:rPr>
          <w:rFonts w:ascii="SimSun" w:hAnsi="SimSun" w:eastAsia="SimSun" w:cs="SimSun"/>
          <w:color w:val="000000"/>
          <w:sz w:val="24"/>
        </w:rPr>
        <w:t xml:space="preserve">在“江苏政府采购网”、“扬州市政府采购网”发布的更正公告。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r>
      <w:r/>
    </w:p>
    <w:p>
      <w:pPr>
        <w:ind w:firstLine="480"/>
        <w:spacing w:line="360" w:lineRule="auto"/>
        <w:rPr>
          <w:rFonts w:ascii="宋体" w:hAnsi="宋体"/>
          <w:sz w:val="24"/>
          <w:szCs w:val="21"/>
        </w:rPr>
      </w:pPr>
      <w:r>
        <w:rPr>
          <w:rFonts w:ascii="宋体" w:hAnsi="宋体"/>
          <w:sz w:val="24"/>
          <w:szCs w:val="21"/>
        </w:rPr>
      </w:r>
      <w:r/>
    </w:p>
    <w:p>
      <w:pPr>
        <w:ind w:right="840"/>
        <w:rPr>
          <w:rFonts w:ascii="宋体" w:hAnsi="宋体"/>
          <w:sz w:val="24"/>
          <w:szCs w:val="24"/>
        </w:rPr>
      </w:pPr>
      <w:r>
        <w:rPr>
          <w:rFonts w:ascii="宋体" w:hAnsi="宋体"/>
          <w:sz w:val="24"/>
          <w:szCs w:val="24"/>
        </w:rPr>
      </w:r>
      <w:r/>
    </w:p>
    <w:p>
      <w:pPr>
        <w:ind w:firstLine="2429"/>
        <w:keepLines/>
        <w:keepNext/>
        <w:spacing w:before="260" w:after="260" w:line="416" w:lineRule="auto"/>
        <w:rPr>
          <w:rFonts w:ascii="黑体" w:hAnsi="Arial" w:eastAsia="黑体" w:cs="Arial"/>
          <w:sz w:val="44"/>
          <w:szCs w:val="44"/>
        </w:rPr>
        <w:outlineLvl w:val="0"/>
      </w:pPr>
      <w:r/>
      <w:bookmarkStart w:id="46" w:name="_Toc120614211"/>
      <w:r>
        <w:rPr>
          <w:rFonts w:ascii="黑体" w:hAnsi="Arial" w:eastAsia="黑体" w:cs="Arial"/>
          <w:b/>
          <w:bCs/>
          <w:sz w:val="44"/>
          <w:szCs w:val="44"/>
        </w:rPr>
        <w:br w:type="page" w:clear="all"/>
      </w:r>
      <w:bookmarkStart w:id="47" w:name="_Toc7468"/>
      <w:r>
        <w:rPr>
          <w:rFonts w:hint="eastAsia" w:ascii="黑体" w:hAnsi="Arial" w:eastAsia="黑体" w:cs="Arial"/>
          <w:b/>
          <w:bCs/>
          <w:sz w:val="44"/>
          <w:szCs w:val="44"/>
        </w:rPr>
        <w:t xml:space="preserve">第二章  </w:t>
      </w:r>
      <w:bookmarkEnd w:id="3"/>
      <w:r/>
      <w:bookmarkEnd w:id="4"/>
      <w:r/>
      <w:bookmarkEnd w:id="5"/>
      <w:r/>
      <w:bookmarkEnd w:id="6"/>
      <w:r/>
      <w:bookmarkEnd w:id="7"/>
      <w:r/>
      <w:bookmarkEnd w:id="46"/>
      <w:r/>
      <w:bookmarkStart w:id="48" w:name="_Toc20823274"/>
      <w:r/>
      <w:bookmarkStart w:id="49" w:name="_Toc120614213"/>
      <w:r/>
      <w:bookmarkStart w:id="50" w:name="_Toc513029202"/>
      <w:r/>
      <w:bookmarkStart w:id="51" w:name="_Toc16938518"/>
      <w:r>
        <w:rPr>
          <w:rFonts w:hint="eastAsia" w:ascii="黑体" w:hAnsi="Arial" w:eastAsia="黑体" w:cs="Arial"/>
          <w:b/>
          <w:bCs/>
          <w:sz w:val="44"/>
          <w:szCs w:val="44"/>
        </w:rPr>
        <w:t xml:space="preserve">投标人须知</w:t>
      </w:r>
      <w:bookmarkEnd w:id="47"/>
      <w:r/>
      <w:bookmarkEnd w:id="48"/>
      <w:r/>
      <w:bookmarkEnd w:id="49"/>
      <w:r/>
      <w:bookmarkEnd w:id="50"/>
      <w:r/>
      <w:bookmarkEnd w:id="51"/>
      <w:r/>
      <w:r/>
    </w:p>
    <w:p>
      <w:pPr>
        <w:ind w:firstLine="498"/>
        <w:keepLines/>
        <w:keepNext/>
        <w:spacing w:before="145" w:after="145" w:line="360" w:lineRule="auto"/>
        <w:rPr>
          <w:b/>
          <w:bCs/>
          <w:sz w:val="32"/>
          <w:szCs w:val="32"/>
        </w:rPr>
        <w:outlineLvl w:val="2"/>
      </w:pPr>
      <w:r/>
      <w:bookmarkStart w:id="52" w:name="_Toc16938519"/>
      <w:r/>
      <w:bookmarkStart w:id="53" w:name="_Toc120614214"/>
      <w:r/>
      <w:bookmarkStart w:id="54" w:name="_Toc20823275"/>
      <w:r/>
      <w:bookmarkStart w:id="55" w:name="_Toc513029203"/>
      <w:r>
        <w:rPr>
          <w:rFonts w:hint="eastAsia"/>
          <w:b/>
          <w:bCs/>
          <w:sz w:val="32"/>
          <w:szCs w:val="32"/>
        </w:rPr>
        <w:t xml:space="preserve">一、总则</w:t>
      </w:r>
      <w:bookmarkEnd w:id="52"/>
      <w:r/>
      <w:bookmarkEnd w:id="53"/>
      <w:r/>
      <w:bookmarkEnd w:id="54"/>
      <w:r/>
      <w:bookmarkEnd w:id="55"/>
      <w:r/>
      <w:r/>
    </w:p>
    <w:p>
      <w:pPr>
        <w:ind w:firstLine="420"/>
        <w:keepLines/>
        <w:keepNext/>
        <w:spacing w:line="360" w:lineRule="auto"/>
        <w:rPr>
          <w:rFonts w:ascii="Arial" w:hAnsi="Arial" w:eastAsia="黑体" w:cs="Arial"/>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、招标方式</w:t>
      </w:r>
      <w:bookmarkEnd w:id="58"/>
      <w:r/>
      <w:bookmarkEnd w:id="59"/>
      <w:r/>
      <w:bookmarkEnd w:id="60"/>
      <w:r/>
      <w:r/>
    </w:p>
    <w:p>
      <w:pPr>
        <w:ind w:firstLine="480"/>
        <w:spacing w:line="360" w:lineRule="auto"/>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360" w:lineRule="auto"/>
        <w:rPr>
          <w:rFonts w:ascii="Arial" w:hAnsi="Arial" w:eastAsia="黑体" w:cs="Arial"/>
          <w:sz w:val="28"/>
          <w:szCs w:val="28"/>
        </w:rPr>
        <w:outlineLvl w:val="3"/>
      </w:pPr>
      <w:r/>
      <w:bookmarkStart w:id="61" w:name="_Toc513029205"/>
      <w:r/>
      <w:bookmarkStart w:id="62" w:name="_Toc16938521"/>
      <w:r/>
      <w:bookmarkStart w:id="63" w:name="_Toc20823277"/>
      <w:r>
        <w:rPr>
          <w:rFonts w:hint="eastAsia" w:ascii="Arial" w:hAnsi="Arial" w:eastAsia="黑体" w:cs="Arial"/>
          <w:sz w:val="28"/>
          <w:szCs w:val="28"/>
        </w:rPr>
        <w:t xml:space="preserve">2、合格的投标人</w:t>
      </w:r>
      <w:bookmarkEnd w:id="61"/>
      <w:r/>
      <w:bookmarkEnd w:id="62"/>
      <w:r/>
      <w:bookmarkEnd w:id="63"/>
      <w:r/>
      <w:r/>
    </w:p>
    <w:p>
      <w:pPr>
        <w:ind w:firstLine="480"/>
        <w:spacing w:line="360" w:lineRule="auto"/>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ascii="宋体" w:hAnsi="宋体"/>
          <w:sz w:val="24"/>
          <w:szCs w:val="24"/>
        </w:rPr>
      </w:pPr>
      <w:r>
        <w:rPr>
          <w:rFonts w:hint="eastAsia" w:ascii="宋体" w:hAnsi="宋体"/>
          <w:sz w:val="24"/>
          <w:szCs w:val="24"/>
        </w:rPr>
        <w:t xml:space="preserve">2.2 满足本文件实质性要求和条件的规定。</w:t>
      </w:r>
      <w:r/>
    </w:p>
    <w:p>
      <w:pPr>
        <w:ind w:firstLine="420"/>
        <w:keepLines/>
        <w:keepNext/>
        <w:spacing w:line="360" w:lineRule="auto"/>
        <w:rPr>
          <w:rFonts w:ascii="Arial" w:hAnsi="Arial" w:eastAsia="黑体" w:cs="Arial"/>
          <w:sz w:val="28"/>
          <w:szCs w:val="28"/>
        </w:rPr>
        <w:outlineLvl w:val="3"/>
      </w:pPr>
      <w:r/>
      <w:bookmarkStart w:id="64" w:name="_Toc513029206"/>
      <w:r/>
      <w:bookmarkStart w:id="65" w:name="_Toc16938522"/>
      <w:r/>
      <w:bookmarkStart w:id="66" w:name="_Toc20823278"/>
      <w:r>
        <w:rPr>
          <w:rFonts w:hint="eastAsia" w:ascii="Arial" w:hAnsi="Arial" w:eastAsia="黑体" w:cs="Arial"/>
          <w:sz w:val="28"/>
          <w:szCs w:val="28"/>
        </w:rPr>
        <w:t xml:space="preserve">3、适用法律</w:t>
      </w:r>
      <w:bookmarkEnd w:id="64"/>
      <w:r/>
      <w:bookmarkEnd w:id="65"/>
      <w:r/>
      <w:bookmarkEnd w:id="66"/>
      <w:r/>
      <w:r/>
    </w:p>
    <w:p>
      <w:pPr>
        <w:ind w:firstLine="420"/>
        <w:spacing w:line="360" w:lineRule="auto"/>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360" w:lineRule="auto"/>
        <w:rPr>
          <w:rFonts w:ascii="Arial" w:hAnsi="Arial" w:eastAsia="黑体" w:cs="Arial"/>
          <w:sz w:val="28"/>
          <w:szCs w:val="28"/>
        </w:rPr>
        <w:outlineLvl w:val="3"/>
      </w:pPr>
      <w:r/>
      <w:bookmarkStart w:id="67" w:name="_Toc16938523"/>
      <w:r/>
      <w:bookmarkStart w:id="68" w:name="_Toc20823279"/>
      <w:r/>
      <w:bookmarkStart w:id="69" w:name="_Toc462564067"/>
      <w:r/>
      <w:bookmarkStart w:id="70" w:name="_Toc513029207"/>
      <w:r>
        <w:rPr>
          <w:rFonts w:hint="eastAsia" w:ascii="Arial" w:hAnsi="Arial" w:eastAsia="黑体" w:cs="Arial"/>
          <w:sz w:val="28"/>
          <w:szCs w:val="28"/>
        </w:rPr>
        <w:t xml:space="preserve">4、投标费用</w:t>
      </w:r>
      <w:bookmarkEnd w:id="67"/>
      <w:r/>
      <w:bookmarkEnd w:id="68"/>
      <w:r/>
      <w:bookmarkEnd w:id="69"/>
      <w:r/>
      <w:bookmarkEnd w:id="70"/>
      <w:r/>
      <w:r/>
    </w:p>
    <w:p>
      <w:pPr>
        <w:ind w:firstLine="480"/>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投标人应自行承担所有与参加投标有关的费用，无论投标过程中的做法和结果如何，扬州市公共资源交易中心高邮分中心（以下简称交易中心）在任何情况下均无义务和责任承担这些费用。</w:t>
      </w:r>
      <w:r/>
    </w:p>
    <w:p>
      <w:pPr>
        <w:ind w:firstLine="480"/>
        <w:spacing w:line="360" w:lineRule="auto"/>
        <w:rPr>
          <w:rFonts w:ascii="宋体" w:hAnsi="宋体"/>
          <w:sz w:val="24"/>
          <w:szCs w:val="21"/>
        </w:rPr>
      </w:pPr>
      <w:r>
        <w:rPr>
          <w:rFonts w:hint="eastAsia" w:ascii="宋体" w:hAnsi="宋体"/>
          <w:sz w:val="24"/>
          <w:szCs w:val="21"/>
        </w:rPr>
        <w:t xml:space="preserve">4.2本次招标交易中心和采购人不收取标书工本费与中标服务费。</w:t>
      </w:r>
      <w:r/>
    </w:p>
    <w:p>
      <w:pPr>
        <w:ind w:firstLine="602"/>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1" w:name="_Toc16938525"/>
      <w:r/>
      <w:bookmarkStart w:id="72" w:name="_Toc120614215"/>
      <w:r/>
      <w:bookmarkStart w:id="73" w:name="_Toc20823281"/>
      <w:r/>
      <w:bookmarkStart w:id="74" w:name="_Toc513029209"/>
      <w:r>
        <w:rPr>
          <w:rFonts w:hint="eastAsia"/>
          <w:b/>
          <w:bCs/>
          <w:sz w:val="32"/>
          <w:szCs w:val="32"/>
        </w:rPr>
        <w:t xml:space="preserve">二、招标文件</w:t>
      </w:r>
      <w:bookmarkEnd w:id="71"/>
      <w:r/>
      <w:bookmarkEnd w:id="72"/>
      <w:r/>
      <w:bookmarkEnd w:id="73"/>
      <w:r/>
      <w:bookmarkEnd w:id="74"/>
      <w:r/>
      <w:r/>
    </w:p>
    <w:p>
      <w:pPr>
        <w:ind w:firstLine="420"/>
        <w:keepLines/>
        <w:keepNext/>
        <w:spacing w:line="360" w:lineRule="auto"/>
        <w:rPr>
          <w:rFonts w:ascii="Arial" w:hAnsi="Arial" w:eastAsia="黑体" w:cs="Arial"/>
          <w:sz w:val="28"/>
          <w:szCs w:val="28"/>
        </w:rPr>
        <w:outlineLvl w:val="3"/>
      </w:pPr>
      <w:r/>
      <w:bookmarkStart w:id="75" w:name="_Toc16938526"/>
      <w:r/>
      <w:bookmarkStart w:id="76" w:name="_Toc513029210"/>
      <w:r/>
      <w:bookmarkStart w:id="77" w:name="_Toc20823282"/>
      <w:r>
        <w:rPr>
          <w:rFonts w:hint="eastAsia" w:ascii="Arial" w:hAnsi="Arial" w:eastAsia="黑体" w:cs="Arial"/>
          <w:sz w:val="28"/>
          <w:szCs w:val="28"/>
        </w:rPr>
        <w:t xml:space="preserve">6、招标文件构成</w:t>
      </w:r>
      <w:bookmarkEnd w:id="75"/>
      <w:r/>
      <w:bookmarkEnd w:id="76"/>
      <w:r/>
      <w:bookmarkEnd w:id="77"/>
      <w:r/>
      <w:r/>
    </w:p>
    <w:p>
      <w:pPr>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360" w:lineRule="auto"/>
        <w:rPr>
          <w:rFonts w:ascii="宋体" w:hAnsi="宋体"/>
          <w:sz w:val="24"/>
          <w:szCs w:val="24"/>
        </w:rPr>
      </w:pPr>
      <w:r>
        <w:rPr>
          <w:rFonts w:hint="eastAsia" w:ascii="宋体" w:hAnsi="宋体"/>
          <w:sz w:val="24"/>
          <w:szCs w:val="24"/>
        </w:rPr>
        <w:t xml:space="preserve">（2）投标人须知</w:t>
      </w:r>
      <w:r/>
    </w:p>
    <w:p>
      <w:pPr>
        <w:ind w:firstLine="360"/>
        <w:spacing w:line="360" w:lineRule="auto"/>
        <w:rPr>
          <w:rFonts w:ascii="宋体" w:hAnsi="宋体"/>
          <w:sz w:val="24"/>
          <w:szCs w:val="24"/>
        </w:rPr>
      </w:pPr>
      <w:r>
        <w:rPr>
          <w:rFonts w:hint="eastAsia" w:ascii="宋体" w:hAnsi="宋体"/>
          <w:sz w:val="24"/>
          <w:szCs w:val="24"/>
        </w:rPr>
        <w:t xml:space="preserve">（3）合同文本</w:t>
      </w:r>
      <w:r/>
    </w:p>
    <w:p>
      <w:pPr>
        <w:ind w:firstLine="360"/>
        <w:spacing w:line="360" w:lineRule="auto"/>
        <w:rPr>
          <w:rFonts w:ascii="宋体" w:hAnsi="宋体"/>
          <w:sz w:val="24"/>
          <w:szCs w:val="24"/>
        </w:rPr>
      </w:pPr>
      <w:r>
        <w:rPr>
          <w:rFonts w:hint="eastAsia" w:ascii="宋体" w:hAnsi="宋体"/>
          <w:sz w:val="24"/>
          <w:szCs w:val="24"/>
        </w:rPr>
        <w:t xml:space="preserve">（4）采购需求</w:t>
      </w:r>
      <w:r/>
    </w:p>
    <w:p>
      <w:pPr>
        <w:ind w:firstLine="36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szCs w:val="21"/>
        </w:rPr>
      </w:pPr>
      <w:r>
        <w:rPr>
          <w:rFonts w:hint="eastAsia" w:ascii="宋体" w:hAnsi="宋体"/>
          <w:sz w:val="24"/>
          <w:szCs w:val="21"/>
        </w:rPr>
        <w:t xml:space="preserve">请仔细检查招标文件是否齐全，如有缺漏请立即与交易中心中心联系解决。</w:t>
      </w:r>
      <w:r/>
    </w:p>
    <w:p>
      <w:pPr>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Arial" w:hAnsi="Arial" w:eastAsia="黑体" w:cs="Arial"/>
          <w:sz w:val="28"/>
          <w:szCs w:val="28"/>
        </w:rPr>
        <w:outlineLvl w:val="3"/>
      </w:pPr>
      <w:r/>
      <w:bookmarkStart w:id="78" w:name="_Toc513029211"/>
      <w:r/>
      <w:bookmarkStart w:id="79" w:name="_Toc462564070"/>
      <w:r/>
      <w:bookmarkStart w:id="80" w:name="_Toc20823283"/>
      <w:r/>
      <w:bookmarkStart w:id="81" w:name="_Toc16938527"/>
      <w:r>
        <w:rPr>
          <w:rFonts w:hint="eastAsia" w:ascii="Arial" w:hAnsi="Arial" w:eastAsia="黑体" w:cs="Arial"/>
          <w:sz w:val="28"/>
          <w:szCs w:val="28"/>
        </w:rPr>
        <w:t xml:space="preserve">7、招标文件的澄清</w:t>
      </w:r>
      <w:bookmarkEnd w:id="78"/>
      <w:r/>
      <w:bookmarkEnd w:id="79"/>
      <w:r/>
      <w:bookmarkEnd w:id="80"/>
      <w:r/>
      <w:bookmarkEnd w:id="81"/>
      <w:r/>
      <w:r/>
    </w:p>
    <w:p>
      <w:pPr>
        <w:ind w:firstLine="480"/>
        <w:spacing w:line="360" w:lineRule="auto"/>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按招标公告中的通讯地址，以书面形式通知交易中心。</w:t>
      </w:r>
      <w:r/>
    </w:p>
    <w:p>
      <w:pPr>
        <w:ind w:firstLine="560"/>
        <w:keepLines/>
        <w:keepNext/>
        <w:spacing w:line="360" w:lineRule="auto"/>
        <w:rPr>
          <w:rFonts w:ascii="Arial" w:hAnsi="Arial" w:eastAsia="黑体" w:cs="Arial"/>
          <w:sz w:val="28"/>
          <w:szCs w:val="28"/>
        </w:rPr>
        <w:outlineLvl w:val="3"/>
      </w:pPr>
      <w:r/>
      <w:bookmarkStart w:id="82" w:name="_Toc462564071"/>
      <w:r/>
      <w:bookmarkStart w:id="83" w:name="_Toc20823284"/>
      <w:r/>
      <w:bookmarkStart w:id="84" w:name="_Toc513029212"/>
      <w:r/>
      <w:bookmarkStart w:id="85" w:name="_Toc16938528"/>
      <w:r>
        <w:rPr>
          <w:rFonts w:hint="eastAsia" w:ascii="Arial" w:hAnsi="Arial" w:eastAsia="黑体" w:cs="Arial"/>
          <w:sz w:val="28"/>
          <w:szCs w:val="28"/>
        </w:rPr>
        <w:t xml:space="preserve">8、招标文件的修改</w:t>
      </w:r>
      <w:bookmarkEnd w:id="82"/>
      <w:r/>
      <w:bookmarkEnd w:id="83"/>
      <w:r/>
      <w:bookmarkEnd w:id="84"/>
      <w:r/>
      <w:bookmarkEnd w:id="85"/>
      <w:r/>
      <w:r/>
    </w:p>
    <w:p>
      <w:pPr>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，交易中心可以对招标文件进行修改。</w:t>
      </w:r>
      <w:r/>
    </w:p>
    <w:p>
      <w:pPr>
        <w:ind w:firstLine="480"/>
        <w:spacing w:line="360" w:lineRule="auto"/>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交易中心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360" w:lineRule="auto"/>
        <w:rPr>
          <w:rFonts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招标文件的修改将在江苏政府采购网</w:t>
      </w:r>
      <w:r>
        <w:rPr>
          <w:rFonts w:hint="eastAsia" w:ascii="宋体" w:hAnsi="宋体"/>
          <w:sz w:val="24"/>
        </w:rPr>
        <w:t xml:space="preserve">、扬州市政府采购网</w:t>
      </w:r>
      <w:r>
        <w:rPr>
          <w:rFonts w:hint="eastAsia" w:ascii="宋体" w:hAnsi="宋体"/>
          <w:sz w:val="24"/>
          <w:szCs w:val="21"/>
        </w:rPr>
        <w:t xml:space="preserve">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45" w:after="145" w:line="360" w:lineRule="auto"/>
        <w:rPr>
          <w:b/>
          <w:bCs/>
          <w:sz w:val="32"/>
          <w:szCs w:val="32"/>
        </w:rPr>
        <w:outlineLvl w:val="2"/>
      </w:pPr>
      <w:r/>
      <w:bookmarkStart w:id="86" w:name="_Toc462564072"/>
      <w:r/>
      <w:bookmarkStart w:id="87" w:name="_Toc20823285"/>
      <w:r/>
      <w:bookmarkStart w:id="88" w:name="_Toc16938529"/>
      <w:r/>
      <w:bookmarkStart w:id="89" w:name="_Toc120614216"/>
      <w:r/>
      <w:bookmarkStart w:id="90" w:name="_Toc513029213"/>
      <w:r>
        <w:rPr>
          <w:rFonts w:hint="eastAsia"/>
          <w:b/>
          <w:bCs/>
          <w:sz w:val="32"/>
          <w:szCs w:val="32"/>
        </w:rPr>
        <w:t xml:space="preserve">三、投标文件的编制</w:t>
      </w:r>
      <w:bookmarkEnd w:id="86"/>
      <w:r/>
      <w:bookmarkEnd w:id="87"/>
      <w:r/>
      <w:bookmarkEnd w:id="88"/>
      <w:r/>
      <w:bookmarkEnd w:id="89"/>
      <w:r/>
      <w:bookmarkEnd w:id="90"/>
      <w:r/>
      <w:r/>
    </w:p>
    <w:p>
      <w:pPr>
        <w:ind w:firstLine="560"/>
        <w:keepLines/>
        <w:keepNext/>
        <w:spacing w:line="360" w:lineRule="auto"/>
        <w:rPr>
          <w:rFonts w:ascii="Arial" w:hAnsi="Arial" w:eastAsia="黑体" w:cs="Arial"/>
          <w:b/>
          <w:sz w:val="28"/>
          <w:szCs w:val="28"/>
        </w:rPr>
        <w:outlineLvl w:val="3"/>
      </w:pPr>
      <w:r/>
      <w:bookmarkStart w:id="91" w:name="_Toc16938530"/>
      <w:r/>
      <w:bookmarkStart w:id="92" w:name="_Toc20823286"/>
      <w:r/>
      <w:bookmarkStart w:id="93" w:name="_Toc462564073"/>
      <w:r/>
      <w:bookmarkStart w:id="94" w:name="_Toc513029214"/>
      <w:r>
        <w:rPr>
          <w:rFonts w:hint="eastAsia" w:ascii="Arial" w:hAnsi="Arial" w:eastAsia="黑体" w:cs="Arial"/>
          <w:sz w:val="28"/>
          <w:szCs w:val="28"/>
        </w:rPr>
        <w:t xml:space="preserve">9、投标文件的语言及度量衡单位</w:t>
      </w:r>
      <w:bookmarkEnd w:id="91"/>
      <w:r/>
      <w:bookmarkEnd w:id="92"/>
      <w:r/>
      <w:bookmarkEnd w:id="93"/>
      <w:r/>
      <w:bookmarkEnd w:id="94"/>
      <w:r/>
      <w:r/>
    </w:p>
    <w:p>
      <w:pPr>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投标人提交的投标文件以及投标人与交易中心就有关投标的所有来往通知、函件和文件均应使用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除技术性能另有规定外，投标文件所使用的度量衡单位，均须采用国家法定计量单位。</w:t>
      </w:r>
      <w:r/>
    </w:p>
    <w:p>
      <w:pPr>
        <w:ind w:firstLine="420"/>
        <w:keepLines/>
        <w:keepNext/>
        <w:spacing w:line="360" w:lineRule="auto"/>
        <w:rPr>
          <w:rFonts w:ascii="Arial" w:hAnsi="Arial" w:eastAsia="黑体" w:cs="Arial"/>
          <w:sz w:val="28"/>
          <w:szCs w:val="28"/>
        </w:rPr>
        <w:outlineLvl w:val="3"/>
      </w:pPr>
      <w:r/>
      <w:bookmarkStart w:id="95" w:name="_Toc20823287"/>
      <w:r/>
      <w:bookmarkStart w:id="96" w:name="_Toc16938531"/>
      <w:r/>
      <w:bookmarkStart w:id="97" w:name="_Toc462564074"/>
      <w:r/>
      <w:bookmarkStart w:id="98" w:name="_Toc513029215"/>
      <w:r>
        <w:rPr>
          <w:rFonts w:hint="eastAsia" w:ascii="Arial" w:hAnsi="Arial" w:eastAsia="黑体" w:cs="Arial"/>
          <w:sz w:val="28"/>
          <w:szCs w:val="28"/>
        </w:rPr>
        <w:t xml:space="preserve">10、投标文件构成</w:t>
      </w:r>
      <w:bookmarkEnd w:id="95"/>
      <w:r/>
      <w:bookmarkEnd w:id="96"/>
      <w:r/>
      <w:bookmarkEnd w:id="97"/>
      <w:r/>
      <w:bookmarkEnd w:id="98"/>
      <w:r/>
      <w:r/>
    </w:p>
    <w:p>
      <w:pPr>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1"/>
        </w:rPr>
      </w:pPr>
      <w:r>
        <w:rPr>
          <w:rFonts w:hint="eastAsia" w:ascii="宋体" w:hAnsi="宋体"/>
          <w:sz w:val="24"/>
          <w:szCs w:val="21"/>
        </w:rPr>
        <w:t xml:space="preserve">10.2如标书制作工具中格式和内容与“江苏政府采购网”发布的招标文件不一致，请以“江苏政府采购网”发布的招标文件为准。</w:t>
      </w:r>
      <w:r/>
    </w:p>
    <w:p>
      <w:pPr>
        <w:ind w:firstLine="420"/>
        <w:keepLines/>
        <w:keepNext/>
        <w:spacing w:line="360" w:lineRule="auto"/>
        <w:rPr>
          <w:rFonts w:ascii="Arial" w:hAnsi="Arial" w:eastAsia="黑体" w:cs="Arial"/>
          <w:sz w:val="28"/>
          <w:szCs w:val="28"/>
        </w:rPr>
        <w:outlineLvl w:val="3"/>
      </w:pPr>
      <w:r/>
      <w:bookmarkStart w:id="99" w:name="_Hlt26668975"/>
      <w:r/>
      <w:bookmarkEnd w:id="99"/>
      <w:r/>
      <w:bookmarkStart w:id="100" w:name="_Hlt26954838"/>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49090507"/>
      <w:r/>
      <w:bookmarkStart w:id="107" w:name="_Toc513029216"/>
      <w:r/>
      <w:bookmarkStart w:id="108" w:name="_Toc14577355"/>
      <w:r/>
      <w:bookmarkStart w:id="109" w:name="_Toc49090508"/>
      <w:r>
        <w:rPr>
          <w:rFonts w:hint="eastAsia" w:ascii="Arial" w:hAnsi="Arial" w:eastAsia="黑体" w:cs="Arial"/>
          <w:sz w:val="28"/>
          <w:szCs w:val="28"/>
        </w:rPr>
        <w:t xml:space="preserve">11、证明投标人及投标标的符合招标文件规定的文件</w:t>
      </w:r>
      <w:bookmarkEnd w:id="102"/>
      <w:r/>
      <w:bookmarkEnd w:id="103"/>
      <w:r/>
      <w:bookmarkEnd w:id="104"/>
      <w:r/>
      <w:bookmarkEnd w:id="105"/>
      <w:r/>
      <w:bookmarkEnd w:id="106"/>
      <w:r/>
      <w:bookmarkEnd w:id="107"/>
      <w:r/>
      <w:r/>
    </w:p>
    <w:p>
      <w:pPr>
        <w:spacing w:line="360" w:lineRule="auto"/>
        <w:rPr>
          <w:rFonts w:ascii="宋体" w:hAnsi="宋体"/>
          <w:sz w:val="24"/>
          <w:szCs w:val="24"/>
        </w:rPr>
      </w:pPr>
      <w:r>
        <w:rPr>
          <w:rFonts w:hint="eastAsia" w:ascii="宋体" w:hAnsi="宋体"/>
          <w:sz w:val="24"/>
          <w:szCs w:val="24"/>
        </w:rPr>
        <w:t xml:space="preserve">    11.1投标人应按照招标文件要求提交证明文件，证明其及投标标的符合招标文件规定。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8"/>
      <w:r/>
      <w:bookmarkEnd w:id="109"/>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12、投标分项报价表</w:t>
      </w:r>
      <w:r/>
    </w:p>
    <w:p>
      <w:pPr>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投标人应按照招标文件规定格式填报投标分项报价表。</w:t>
      </w:r>
      <w:r/>
    </w:p>
    <w:p>
      <w:pPr>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360" w:lineRule="auto"/>
        <w:rPr>
          <w:rFonts w:ascii="Arial" w:hAnsi="Arial" w:eastAsia="黑体" w:cs="Arial"/>
          <w:sz w:val="28"/>
          <w:szCs w:val="28"/>
        </w:rPr>
        <w:outlineLvl w:val="3"/>
      </w:pPr>
      <w:r/>
      <w:bookmarkStart w:id="110" w:name="_Hlt26670486"/>
      <w:r/>
      <w:bookmarkEnd w:id="110"/>
      <w:r/>
      <w:bookmarkStart w:id="111" w:name="_Hlt26954846"/>
      <w:r/>
      <w:bookmarkEnd w:id="111"/>
      <w:r/>
      <w:bookmarkStart w:id="112" w:name="_Hlt26954848"/>
      <w:r/>
      <w:bookmarkEnd w:id="112"/>
      <w:r/>
      <w:bookmarkStart w:id="113" w:name="_Hlt26670482"/>
      <w:r/>
      <w:bookmarkEnd w:id="113"/>
      <w:r/>
      <w:bookmarkStart w:id="114" w:name="_Hlt26954731"/>
      <w:r/>
      <w:bookmarkEnd w:id="114"/>
      <w:r>
        <w:rPr>
          <w:rFonts w:hint="eastAsia" w:ascii="Arial" w:hAnsi="Arial" w:eastAsia="黑体" w:cs="Arial"/>
          <w:sz w:val="28"/>
          <w:szCs w:val="28"/>
        </w:rPr>
        <w:t xml:space="preserve">13、技术要求响应及偏离表、商务要求响应及偏离表</w:t>
      </w:r>
      <w:r/>
    </w:p>
    <w:p>
      <w:pPr>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13.2投标人可在投标文件中提供认为需要的其他技术文件或说明。</w:t>
      </w:r>
      <w:r/>
    </w:p>
    <w:p>
      <w:pPr>
        <w:ind w:firstLine="420"/>
        <w:keepLines/>
        <w:keepNext/>
        <w:spacing w:line="360" w:lineRule="auto"/>
        <w:rPr>
          <w:rFonts w:ascii="Arial" w:hAnsi="Arial" w:eastAsia="黑体" w:cs="Arial"/>
          <w:sz w:val="28"/>
          <w:szCs w:val="28"/>
        </w:rPr>
        <w:outlineLvl w:val="3"/>
      </w:pPr>
      <w:r/>
      <w:bookmarkStart w:id="115" w:name="_Toc14577359"/>
      <w:r/>
      <w:bookmarkStart w:id="116" w:name="_Toc49090510"/>
      <w:r>
        <w:rPr>
          <w:rFonts w:hint="eastAsia" w:ascii="Arial" w:hAnsi="Arial" w:eastAsia="黑体" w:cs="Arial"/>
          <w:sz w:val="28"/>
          <w:szCs w:val="28"/>
        </w:rPr>
        <w:t xml:space="preserve">14、投标函和开标一览表</w:t>
      </w:r>
      <w:r/>
    </w:p>
    <w:p>
      <w:pPr>
        <w:ind w:firstLine="480"/>
        <w:spacing w:line="360" w:lineRule="auto"/>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投标人应按照招标文件中提供的格式完整、正确填写投标函、开标一览表。</w:t>
      </w:r>
      <w:r/>
    </w:p>
    <w:p>
      <w:pPr>
        <w:ind w:firstLine="480"/>
        <w:spacing w:line="360" w:lineRule="auto"/>
        <w:rPr>
          <w:rFonts w:ascii="宋体" w:hAnsi="宋体"/>
          <w:sz w:val="24"/>
          <w:szCs w:val="21"/>
        </w:rPr>
      </w:pPr>
      <w:r>
        <w:rPr>
          <w:rFonts w:hint="eastAsia" w:ascii="宋体" w:hAnsi="宋体"/>
          <w:sz w:val="24"/>
          <w:szCs w:val="21"/>
        </w:rPr>
        <w:t xml:space="preserve">14.2对于采用货币报价的项目，开标一览表中的投标总报价应与投标分项报价表中的投标总报价一致，如不一致，不作为无效投标处理，但评标时按开标一览表中价格为准。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20"/>
        <w:keepLines/>
        <w:keepNext/>
        <w:spacing w:line="360" w:lineRule="auto"/>
        <w:rPr>
          <w:rFonts w:ascii="Arial" w:hAnsi="Arial" w:eastAsia="黑体" w:cs="Arial"/>
          <w:sz w:val="28"/>
          <w:szCs w:val="28"/>
        </w:rPr>
        <w:outlineLvl w:val="3"/>
      </w:pPr>
      <w:r/>
      <w:bookmarkStart w:id="117" w:name="_Toc14577360"/>
      <w:r/>
      <w:bookmarkStart w:id="118" w:name="_Toc49090511"/>
      <w:r>
        <w:rPr>
          <w:rFonts w:hint="eastAsia" w:ascii="Arial" w:hAnsi="Arial" w:eastAsia="黑体" w:cs="Arial"/>
          <w:sz w:val="28"/>
          <w:szCs w:val="28"/>
        </w:rPr>
        <w:t xml:space="preserve">15、投标有效期</w:t>
      </w:r>
      <w:bookmarkEnd w:id="117"/>
      <w:r/>
      <w:bookmarkEnd w:id="118"/>
      <w:r/>
      <w:r/>
    </w:p>
    <w:p>
      <w:pPr>
        <w:ind w:firstLine="480"/>
        <w:spacing w:line="360" w:lineRule="auto"/>
        <w:rPr>
          <w:rFonts w:ascii="宋体" w:hAnsi="宋体"/>
          <w:bCs/>
          <w:sz w:val="24"/>
          <w:szCs w:val="21"/>
        </w:rPr>
      </w:pPr>
      <w:r>
        <w:rPr>
          <w:rFonts w:hint="eastAsia" w:ascii="宋体" w:hAnsi="宋体"/>
          <w:bCs/>
          <w:sz w:val="24"/>
          <w:szCs w:val="21"/>
        </w:rPr>
        <w:t xml:space="preserve">15.1投标有效期为</w:t>
      </w:r>
      <w:r>
        <w:rPr>
          <w:rFonts w:hint="eastAsia" w:ascii="宋体" w:hAnsi="宋体"/>
          <w:sz w:val="24"/>
          <w:szCs w:val="21"/>
        </w:rPr>
        <w:t xml:space="preserve">交易</w:t>
      </w:r>
      <w:r>
        <w:rPr>
          <w:rFonts w:hint="eastAsia" w:ascii="宋体" w:hAnsi="宋体"/>
          <w:bCs/>
          <w:sz w:val="24"/>
          <w:szCs w:val="21"/>
        </w:rPr>
        <w:t xml:space="preserve">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16、投标有效期的延长</w:t>
      </w:r>
      <w:r/>
    </w:p>
    <w:p>
      <w:pPr>
        <w:ind w:firstLine="480"/>
        <w:spacing w:line="360" w:lineRule="auto"/>
        <w:rPr>
          <w:rFonts w:ascii="宋体" w:hAnsi="宋体"/>
          <w:bCs/>
          <w:sz w:val="24"/>
          <w:szCs w:val="21"/>
        </w:rPr>
      </w:pPr>
      <w:r>
        <w:rPr>
          <w:rFonts w:hint="eastAsia" w:ascii="宋体" w:hAnsi="宋体"/>
          <w:bCs/>
          <w:sz w:val="24"/>
          <w:szCs w:val="21"/>
        </w:rPr>
        <w:t xml:space="preserve">16.1在特殊情况下，</w:t>
      </w:r>
      <w:r>
        <w:rPr>
          <w:rFonts w:hint="eastAsia" w:ascii="宋体" w:hAnsi="宋体"/>
          <w:sz w:val="24"/>
          <w:szCs w:val="21"/>
        </w:rPr>
        <w:t xml:space="preserve">交易</w:t>
      </w:r>
      <w:r>
        <w:rPr>
          <w:rFonts w:hint="eastAsia" w:ascii="宋体" w:hAnsi="宋体"/>
          <w:bCs/>
          <w:sz w:val="24"/>
          <w:szCs w:val="21"/>
        </w:rPr>
        <w:t xml:space="preserve">中心于原投标有效期满之前，可向投标人提出延长投标有效期的要求。这种要求与答复均应采用书面形式。投标人可以拒绝</w:t>
      </w:r>
      <w:r>
        <w:rPr>
          <w:rFonts w:hint="eastAsia" w:ascii="宋体" w:hAnsi="宋体"/>
          <w:sz w:val="24"/>
          <w:szCs w:val="21"/>
        </w:rPr>
        <w:t xml:space="preserve">交易</w:t>
      </w:r>
      <w:r>
        <w:rPr>
          <w:rFonts w:hint="eastAsia" w:ascii="宋体" w:hAnsi="宋体"/>
          <w:bCs/>
          <w:sz w:val="24"/>
          <w:szCs w:val="21"/>
        </w:rPr>
        <w:t xml:space="preserve">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45" w:after="145" w:line="360" w:lineRule="auto"/>
        <w:rPr>
          <w:b/>
          <w:bCs/>
          <w:sz w:val="32"/>
          <w:szCs w:val="32"/>
        </w:rPr>
        <w:outlineLvl w:val="2"/>
      </w:pPr>
      <w:r/>
      <w:bookmarkStart w:id="119" w:name="_Hlt26954739"/>
      <w:r/>
      <w:bookmarkEnd w:id="119"/>
      <w:r/>
      <w:bookmarkStart w:id="120" w:name="_Hlt26954852"/>
      <w:r/>
      <w:bookmarkEnd w:id="120"/>
      <w:r/>
      <w:bookmarkStart w:id="121" w:name="_Toc16938540"/>
      <w:r/>
      <w:bookmarkStart w:id="122" w:name="_Toc20823296"/>
      <w:r/>
      <w:bookmarkStart w:id="123" w:name="_Toc120614217"/>
      <w:r/>
      <w:bookmarkStart w:id="124" w:name="_Toc513029224"/>
      <w:r>
        <w:rPr>
          <w:rFonts w:hint="eastAsia"/>
          <w:b/>
          <w:bCs/>
          <w:sz w:val="32"/>
          <w:szCs w:val="32"/>
        </w:rPr>
        <w:t xml:space="preserve">四、投标文件的递交</w:t>
      </w:r>
      <w:bookmarkEnd w:id="121"/>
      <w:r/>
      <w:bookmarkEnd w:id="122"/>
      <w:r/>
      <w:bookmarkEnd w:id="123"/>
      <w:r/>
      <w:bookmarkEnd w:id="124"/>
      <w:r/>
      <w:r/>
    </w:p>
    <w:p>
      <w:pPr>
        <w:ind w:firstLine="420"/>
        <w:keepLines/>
        <w:keepNext/>
        <w:spacing w:line="360" w:lineRule="auto"/>
        <w:rPr>
          <w:rFonts w:ascii="黑体" w:hAnsi="Arial" w:eastAsia="黑体" w:cs="Arial"/>
          <w:sz w:val="28"/>
          <w:szCs w:val="28"/>
        </w:rPr>
        <w:outlineLvl w:val="3"/>
      </w:pPr>
      <w:r/>
      <w:bookmarkStart w:id="125" w:name="_Toc462564084"/>
      <w:r/>
      <w:bookmarkStart w:id="126" w:name="_Toc16938541"/>
      <w:r/>
      <w:bookmarkStart w:id="127" w:name="_Toc513029225"/>
      <w:r/>
      <w:bookmarkStart w:id="128" w:name="_Toc20823297"/>
      <w:r>
        <w:rPr>
          <w:rFonts w:hint="eastAsia" w:ascii="Arial" w:hAnsi="Arial" w:eastAsia="黑体" w:cs="Arial"/>
          <w:sz w:val="28"/>
          <w:szCs w:val="28"/>
        </w:rPr>
        <w:t xml:space="preserve">17、电子</w:t>
      </w:r>
      <w:r>
        <w:rPr>
          <w:rFonts w:hint="eastAsia" w:ascii="黑体" w:hAnsi="Arial" w:eastAsia="黑体" w:cs="Arial"/>
          <w:sz w:val="28"/>
          <w:szCs w:val="28"/>
        </w:rPr>
        <w:t xml:space="preserve">投标文件</w:t>
      </w:r>
      <w:bookmarkEnd w:id="125"/>
      <w:r/>
      <w:bookmarkEnd w:id="126"/>
      <w:r/>
      <w:bookmarkEnd w:id="127"/>
      <w:r/>
      <w:bookmarkEnd w:id="128"/>
      <w:r>
        <w:rPr>
          <w:rFonts w:hint="eastAsia" w:ascii="黑体" w:hAnsi="Arial" w:eastAsia="黑体" w:cs="Arial"/>
          <w:sz w:val="28"/>
          <w:szCs w:val="28"/>
        </w:rPr>
        <w:t xml:space="preserve">的递交</w:t>
      </w:r>
      <w:r/>
    </w:p>
    <w:p>
      <w:pPr>
        <w:ind w:left="525"/>
        <w:spacing w:line="360" w:lineRule="auto"/>
        <w:rPr>
          <w:rFonts w:ascii="宋体" w:hAnsi="宋体"/>
          <w:bCs/>
          <w:sz w:val="24"/>
          <w:szCs w:val="21"/>
        </w:rPr>
      </w:pPr>
      <w:r>
        <w:rPr>
          <w:rFonts w:hint="eastAsia" w:ascii="宋体" w:hAnsi="宋体"/>
          <w:bCs/>
          <w:sz w:val="24"/>
          <w:szCs w:val="21"/>
        </w:rPr>
        <w:t xml:space="preserve">17.1投标人应当按照《操作手册》规定，在投标截止时间前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w:t>
      </w:r>
      <w:r/>
    </w:p>
    <w:p>
      <w:pPr>
        <w:spacing w:line="360" w:lineRule="auto"/>
        <w:rPr>
          <w:rFonts w:ascii="宋体" w:hAnsi="宋体"/>
          <w:bCs/>
          <w:sz w:val="24"/>
          <w:szCs w:val="21"/>
        </w:rPr>
      </w:pPr>
      <w:r>
        <w:rPr>
          <w:rFonts w:hint="eastAsia" w:ascii="宋体" w:hAnsi="宋体"/>
          <w:bCs/>
          <w:sz w:val="24"/>
          <w:szCs w:val="21"/>
        </w:rPr>
        <w:t xml:space="preserve">文件。</w:t>
      </w:r>
      <w:bookmarkStart w:id="129" w:name="_Toc20823298"/>
      <w:r/>
      <w:bookmarkStart w:id="130" w:name="_Toc513029226"/>
      <w:r/>
      <w:bookmarkStart w:id="131" w:name="_Toc16938542"/>
      <w:r/>
      <w:r/>
    </w:p>
    <w:p>
      <w:pPr>
        <w:ind w:firstLine="420"/>
        <w:keepLines/>
        <w:keepNext/>
        <w:spacing w:before="280" w:after="290" w:line="360" w:lineRule="auto"/>
        <w:rPr>
          <w:rFonts w:ascii="宋体" w:hAnsi="宋体" w:eastAsia="黑体" w:cs="Arial"/>
          <w:bCs/>
          <w:sz w:val="24"/>
          <w:szCs w:val="28"/>
        </w:rPr>
        <w:outlineLvl w:val="3"/>
      </w:pPr>
      <w:r>
        <w:rPr>
          <w:rFonts w:ascii="Arial" w:hAnsi="Arial" w:eastAsia="黑体" w:cs="Arial"/>
          <w:bCs/>
          <w:sz w:val="28"/>
          <w:szCs w:val="28"/>
        </w:rPr>
        <w:t xml:space="preserve">1</w:t>
      </w:r>
      <w:r>
        <w:rPr>
          <w:rFonts w:hint="eastAsia" w:ascii="Arial" w:hAnsi="Arial" w:eastAsia="黑体" w:cs="Arial"/>
          <w:bCs/>
          <w:sz w:val="28"/>
          <w:szCs w:val="28"/>
        </w:rPr>
        <w:t xml:space="preserve">8、投标截止日期</w:t>
      </w:r>
      <w:bookmarkEnd w:id="129"/>
      <w:r/>
      <w:bookmarkEnd w:id="130"/>
      <w:r/>
      <w:bookmarkEnd w:id="131"/>
      <w:r/>
      <w:r/>
    </w:p>
    <w:p>
      <w:pPr>
        <w:ind w:firstLine="480"/>
        <w:spacing w:line="360" w:lineRule="auto"/>
        <w:rPr>
          <w:rFonts w:ascii="宋体" w:hAnsi="宋体"/>
          <w:bCs/>
          <w:i/>
          <w:sz w:val="24"/>
          <w:szCs w:val="21"/>
          <w:u w:val="single"/>
        </w:rPr>
      </w:pPr>
      <w:r>
        <w:rPr>
          <w:rFonts w:ascii="宋体" w:hAnsi="宋体"/>
          <w:i/>
          <w:sz w:val="24"/>
          <w:szCs w:val="21"/>
          <w:u w:val="single"/>
        </w:rPr>
        <w:t xml:space="preserve">1</w:t>
      </w:r>
      <w:r>
        <w:rPr>
          <w:rFonts w:hint="eastAsia" w:ascii="宋体" w:hAnsi="宋体"/>
          <w:i/>
          <w:sz w:val="24"/>
          <w:szCs w:val="21"/>
          <w:u w:val="single"/>
        </w:rPr>
        <w:t xml:space="preserve">8.1</w:t>
      </w:r>
      <w:r>
        <w:rPr>
          <w:rFonts w:hint="eastAsia" w:ascii="宋体" w:hAnsi="宋体"/>
          <w:bCs/>
          <w:i/>
          <w:sz w:val="24"/>
          <w:szCs w:val="21"/>
          <w:u w:val="single"/>
        </w:rPr>
        <w:t xml:space="preserve">投标人上传电子投标文件的时间不得迟于招标公告中规定的投标截止时间。</w:t>
      </w:r>
      <w:r/>
    </w:p>
    <w:p>
      <w:pPr>
        <w:ind w:firstLine="480"/>
        <w:spacing w:line="360" w:lineRule="auto"/>
        <w:rPr>
          <w:rFonts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sz w:val="24"/>
          <w:szCs w:val="21"/>
        </w:rPr>
      </w:pPr>
      <w:r>
        <w:rPr>
          <w:rFonts w:ascii="宋体" w:hAnsi="宋体"/>
          <w:sz w:val="24"/>
          <w:szCs w:val="21"/>
        </w:rPr>
        <w:t xml:space="preserve">1</w:t>
      </w:r>
      <w:r>
        <w:rPr>
          <w:rFonts w:hint="eastAsia" w:ascii="宋体" w:hAnsi="宋体"/>
          <w:sz w:val="24"/>
          <w:szCs w:val="21"/>
        </w:rPr>
        <w:t xml:space="preserve">8.2交易</w:t>
      </w:r>
      <w:r>
        <w:rPr>
          <w:rFonts w:hint="eastAsia" w:ascii="宋体" w:hAnsi="宋体"/>
          <w:bCs/>
          <w:sz w:val="24"/>
          <w:szCs w:val="21"/>
        </w:rPr>
        <w:t xml:space="preserve">中心可以按照规定，通过修改招标文件酌情延长投标截止日期，在此情况下，投标人的所有权利和义务以及投标人受制的截止日期均应以延长后新的截止日期为准。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sz w:val="28"/>
          <w:szCs w:val="28"/>
        </w:rPr>
        <w:outlineLvl w:val="3"/>
      </w:pPr>
      <w:r/>
      <w:bookmarkStart w:id="132" w:name="_Toc20823299"/>
      <w:r/>
      <w:bookmarkStart w:id="133" w:name="_Toc16938543"/>
      <w:r/>
      <w:bookmarkStart w:id="134" w:name="_Toc513029227"/>
      <w:r>
        <w:rPr>
          <w:rFonts w:hint="eastAsia" w:ascii="Arial" w:hAnsi="Arial" w:eastAsia="黑体" w:cs="Arial"/>
          <w:sz w:val="28"/>
          <w:szCs w:val="28"/>
        </w:rPr>
        <w:t xml:space="preserve">19、投标文件</w:t>
      </w:r>
      <w:bookmarkEnd w:id="132"/>
      <w:r/>
      <w:bookmarkEnd w:id="133"/>
      <w:r/>
      <w:bookmarkEnd w:id="134"/>
      <w:r>
        <w:rPr>
          <w:rFonts w:hint="eastAsia" w:ascii="Arial" w:hAnsi="Arial" w:eastAsia="黑体" w:cs="Arial"/>
          <w:sz w:val="28"/>
          <w:szCs w:val="28"/>
        </w:rPr>
        <w:t xml:space="preserve">的拒收</w:t>
      </w:r>
      <w:r/>
    </w:p>
    <w:p>
      <w:pPr>
        <w:ind w:firstLine="480"/>
        <w:spacing w:line="360" w:lineRule="auto"/>
        <w:rPr>
          <w:rFonts w:ascii="宋体" w:hAnsi="宋体"/>
          <w:bCs/>
          <w:sz w:val="24"/>
          <w:szCs w:val="21"/>
        </w:rPr>
      </w:pPr>
      <w:r>
        <w:rPr>
          <w:rFonts w:hint="eastAsia" w:ascii="宋体" w:hAnsi="宋体"/>
          <w:bCs/>
          <w:sz w:val="24"/>
          <w:szCs w:val="21"/>
        </w:rPr>
        <w:t xml:space="preserve">19.1</w:t>
      </w:r>
      <w:r>
        <w:rPr>
          <w:rFonts w:hint="eastAsia" w:ascii="宋体" w:hAnsi="宋体"/>
          <w:sz w:val="24"/>
          <w:szCs w:val="21"/>
        </w:rPr>
        <w:t xml:space="preserve">交易</w:t>
      </w:r>
      <w:r>
        <w:rPr>
          <w:rFonts w:hint="eastAsia" w:ascii="宋体" w:hAnsi="宋体"/>
          <w:bCs/>
          <w:sz w:val="24"/>
          <w:szCs w:val="21"/>
        </w:rPr>
        <w:t xml:space="preserve">中心拒绝接收在其规定的投标截止时间后上传的任何投标文件。</w:t>
      </w:r>
      <w:r/>
    </w:p>
    <w:p>
      <w:pPr>
        <w:ind w:firstLine="420"/>
        <w:keepLines/>
        <w:keepNext/>
        <w:spacing w:line="360" w:lineRule="auto"/>
        <w:rPr>
          <w:rFonts w:ascii="Arial" w:hAnsi="Arial" w:eastAsia="黑体" w:cs="Arial"/>
          <w:sz w:val="28"/>
          <w:szCs w:val="28"/>
        </w:rPr>
        <w:outlineLvl w:val="3"/>
      </w:pPr>
      <w:r/>
      <w:bookmarkStart w:id="135" w:name="_Toc513029228"/>
      <w:r/>
      <w:bookmarkStart w:id="136" w:name="_Toc20823300"/>
      <w:r/>
      <w:bookmarkStart w:id="137" w:name="_Toc16938544"/>
      <w:r>
        <w:rPr>
          <w:rFonts w:hint="eastAsia" w:ascii="Arial" w:hAnsi="Arial" w:eastAsia="黑体" w:cs="Arial"/>
          <w:sz w:val="28"/>
          <w:szCs w:val="28"/>
        </w:rPr>
        <w:t xml:space="preserve">20、投标文件的撤回和修改</w:t>
      </w:r>
      <w:bookmarkEnd w:id="135"/>
      <w:r/>
      <w:bookmarkEnd w:id="136"/>
      <w:r/>
      <w:bookmarkEnd w:id="137"/>
      <w:r/>
      <w:r/>
    </w:p>
    <w:p>
      <w:pPr>
        <w:ind w:firstLine="480"/>
        <w:spacing w:line="360" w:lineRule="auto"/>
        <w:rPr>
          <w:rFonts w:ascii="宋体" w:hAnsi="宋体"/>
          <w:sz w:val="24"/>
          <w:szCs w:val="21"/>
        </w:rPr>
      </w:pPr>
      <w:r>
        <w:rPr>
          <w:rFonts w:hint="eastAsia" w:ascii="宋体" w:hAnsi="宋体"/>
          <w:sz w:val="24"/>
          <w:szCs w:val="21"/>
        </w:rPr>
        <w:t xml:space="preserve">20.1 投标文件的撤回</w:t>
      </w:r>
      <w:r/>
    </w:p>
    <w:p>
      <w:pPr>
        <w:ind w:firstLine="480"/>
        <w:spacing w:line="360" w:lineRule="auto"/>
        <w:rPr>
          <w:rFonts w:ascii="宋体" w:hAnsi="宋体"/>
          <w:sz w:val="24"/>
          <w:szCs w:val="21"/>
        </w:rPr>
      </w:pPr>
      <w:r>
        <w:rPr>
          <w:rFonts w:hint="eastAsia" w:ascii="宋体" w:hAnsi="宋体"/>
          <w:sz w:val="24"/>
          <w:szCs w:val="21"/>
        </w:rPr>
        <w:t xml:space="preserve">20.1.1 电子投标文件的撤回</w:t>
      </w:r>
      <w:r/>
    </w:p>
    <w:p>
      <w:pPr>
        <w:ind w:firstLine="480"/>
        <w:spacing w:line="360" w:lineRule="auto"/>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1"/>
        </w:rPr>
        <w:t xml:space="preserve">20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1"/>
        </w:rPr>
        <w:t xml:space="preserve">20</w:t>
      </w:r>
      <w:r>
        <w:rPr>
          <w:rFonts w:hint="eastAsia" w:ascii="宋体" w:hAnsi="宋体"/>
          <w:sz w:val="24"/>
          <w:szCs w:val="24"/>
        </w:rPr>
        <w:t xml:space="preserve">.2 投标文件的修改</w:t>
      </w:r>
      <w:r/>
    </w:p>
    <w:p>
      <w:pPr>
        <w:ind w:firstLine="480"/>
        <w:spacing w:line="360" w:lineRule="auto"/>
        <w:rPr>
          <w:rFonts w:ascii="宋体" w:hAnsi="宋体"/>
          <w:sz w:val="24"/>
          <w:szCs w:val="21"/>
        </w:rPr>
      </w:pPr>
      <w:r>
        <w:rPr>
          <w:rFonts w:hint="eastAsia" w:ascii="宋体" w:hAnsi="宋体"/>
          <w:sz w:val="24"/>
          <w:szCs w:val="21"/>
        </w:rPr>
        <w:t xml:space="preserve">20.2.1投标人可在投标截止时间前，对其电子投标文件进行修改，具体操作方法见《操作手册》。</w:t>
      </w:r>
      <w:r/>
    </w:p>
    <w:p>
      <w:pPr>
        <w:ind w:firstLine="480"/>
        <w:spacing w:line="360" w:lineRule="auto"/>
        <w:rPr>
          <w:rFonts w:ascii="宋体" w:hAnsi="宋体"/>
          <w:bCs/>
          <w:sz w:val="24"/>
          <w:szCs w:val="21"/>
        </w:rPr>
      </w:pPr>
      <w:r>
        <w:rPr>
          <w:rFonts w:hint="eastAsia" w:ascii="宋体" w:hAnsi="宋体"/>
          <w:sz w:val="24"/>
          <w:szCs w:val="21"/>
        </w:rPr>
        <w:t xml:space="preserve">20.</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360" w:lineRule="auto"/>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38" w:name="_Toc513029229"/>
      <w:r/>
      <w:bookmarkStart w:id="139" w:name="_Toc20823301"/>
      <w:r/>
      <w:bookmarkStart w:id="140" w:name="_Toc120614218"/>
      <w:r/>
      <w:bookmarkStart w:id="141" w:name="_Toc16938545"/>
      <w:r>
        <w:rPr>
          <w:rFonts w:hint="eastAsia"/>
          <w:b/>
          <w:bCs/>
          <w:sz w:val="32"/>
          <w:szCs w:val="32"/>
        </w:rPr>
        <w:t xml:space="preserve">五、开标与评标</w:t>
      </w:r>
      <w:bookmarkEnd w:id="138"/>
      <w:r/>
      <w:bookmarkEnd w:id="139"/>
      <w:r/>
      <w:bookmarkEnd w:id="140"/>
      <w:r/>
      <w:bookmarkEnd w:id="141"/>
      <w:r/>
      <w:r/>
    </w:p>
    <w:p>
      <w:pPr>
        <w:ind w:firstLine="420"/>
        <w:keepLines/>
        <w:keepNext/>
        <w:spacing w:line="360" w:lineRule="auto"/>
        <w:rPr>
          <w:rFonts w:ascii="Arial" w:hAnsi="Arial" w:eastAsia="黑体" w:cs="Arial"/>
          <w:sz w:val="28"/>
          <w:szCs w:val="28"/>
        </w:rPr>
        <w:outlineLvl w:val="3"/>
      </w:pPr>
      <w:r/>
      <w:bookmarkStart w:id="142" w:name="_Toc20823302"/>
      <w:r/>
      <w:bookmarkStart w:id="143" w:name="_Toc513029230"/>
      <w:r/>
      <w:bookmarkStart w:id="144" w:name="_Toc16938546"/>
      <w:r>
        <w:rPr>
          <w:rFonts w:hint="eastAsia" w:ascii="Arial" w:hAnsi="Arial" w:eastAsia="黑体" w:cs="Arial"/>
          <w:sz w:val="28"/>
          <w:szCs w:val="28"/>
        </w:rPr>
        <w:t xml:space="preserve">21、开标</w:t>
      </w:r>
      <w:bookmarkEnd w:id="142"/>
      <w:r/>
      <w:bookmarkEnd w:id="143"/>
      <w:r/>
      <w:bookmarkEnd w:id="144"/>
      <w:r/>
      <w:r/>
    </w:p>
    <w:p>
      <w:pPr>
        <w:ind w:firstLine="360"/>
        <w:spacing w:line="360" w:lineRule="auto"/>
        <w:rPr>
          <w:szCs w:val="21"/>
        </w:rPr>
      </w:pPr>
      <w:r>
        <w:rPr>
          <w:rFonts w:hint="eastAsia" w:ascii="宋体" w:hAnsi="宋体"/>
          <w:sz w:val="24"/>
          <w:szCs w:val="21"/>
        </w:rPr>
        <w:t xml:space="preserve">21.1交易</w:t>
      </w:r>
      <w:r>
        <w:rPr>
          <w:rFonts w:hint="eastAsia" w:ascii="宋体" w:hAnsi="宋体"/>
          <w:bCs/>
          <w:sz w:val="24"/>
          <w:szCs w:val="21"/>
        </w:rPr>
        <w:t xml:space="preserve">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1"/>
        </w:rPr>
        <w:t xml:space="preserve">交易</w:t>
      </w:r>
      <w:r>
        <w:rPr>
          <w:rFonts w:hint="eastAsia" w:ascii="宋体" w:hAnsi="宋体"/>
          <w:sz w:val="24"/>
          <w:szCs w:val="24"/>
        </w:rPr>
        <w:t xml:space="preserve">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360" w:lineRule="auto"/>
        <w:rPr>
          <w:rFonts w:ascii="宋体" w:hAnsi="宋体"/>
          <w:sz w:val="24"/>
          <w:szCs w:val="24"/>
        </w:rPr>
      </w:pPr>
      <w:r>
        <w:rPr>
          <w:rFonts w:hint="eastAsia" w:ascii="宋体" w:hAnsi="宋体"/>
          <w:bCs/>
          <w:sz w:val="24"/>
          <w:szCs w:val="21"/>
        </w:rPr>
        <w:t xml:space="preserve">21.3投标人在开标过程中涉及到的投标文件解密、开标结果确认等工作，应按照《操作手册》规定执行。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spacing w:line="360" w:lineRule="auto"/>
        <w:rPr>
          <w:rFonts w:ascii="Arial" w:hAnsi="Arial" w:eastAsia="黑体" w:cs="Arial"/>
          <w:sz w:val="28"/>
          <w:szCs w:val="28"/>
        </w:rPr>
        <w:outlineLvl w:val="3"/>
      </w:pPr>
      <w:r/>
      <w:bookmarkStart w:id="145" w:name="_Toc20823303"/>
      <w:r/>
      <w:bookmarkStart w:id="146" w:name="_Toc16938547"/>
      <w:r/>
      <w:bookmarkStart w:id="147" w:name="_Toc513029231"/>
      <w:r>
        <w:rPr>
          <w:rFonts w:hint="eastAsia" w:ascii="Arial" w:hAnsi="Arial" w:eastAsia="黑体" w:cs="Arial"/>
          <w:sz w:val="28"/>
          <w:szCs w:val="28"/>
        </w:rPr>
        <w:t xml:space="preserve">22、评标委员会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sz w:val="24"/>
          <w:szCs w:val="24"/>
        </w:rPr>
        <w:t xml:space="preserve">开标后，</w:t>
      </w:r>
      <w:r>
        <w:rPr>
          <w:rFonts w:hint="eastAsia" w:ascii="宋体" w:hAnsi="宋体"/>
          <w:sz w:val="24"/>
          <w:szCs w:val="21"/>
        </w:rPr>
        <w:t xml:space="preserve">交易</w:t>
      </w:r>
      <w:r>
        <w:rPr>
          <w:rFonts w:hint="eastAsia" w:ascii="宋体" w:hAnsi="宋体"/>
          <w:sz w:val="24"/>
          <w:szCs w:val="24"/>
        </w:rPr>
        <w:t xml:space="preserve">中心将立即组织评标委员会（以下简称评委会）进行评标。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ind w:firstLine="420"/>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23．评标过程的保密与公正</w:t>
      </w:r>
      <w:bookmarkEnd w:id="145"/>
      <w:r/>
      <w:bookmarkEnd w:id="146"/>
      <w:r/>
      <w:bookmarkEnd w:id="147"/>
      <w:r/>
      <w:r/>
    </w:p>
    <w:p>
      <w:pPr>
        <w:ind w:firstLine="480"/>
        <w:spacing w:line="360" w:lineRule="auto"/>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交易</w:t>
      </w:r>
      <w:r>
        <w:rPr>
          <w:rFonts w:hint="eastAsia" w:ascii="宋体" w:hAnsi="宋体"/>
          <w:bCs/>
          <w:sz w:val="24"/>
          <w:szCs w:val="21"/>
        </w:rPr>
        <w:t xml:space="preserve">中心均不得向投标人或与评标无关的其他人员透露。</w:t>
      </w:r>
      <w:r/>
    </w:p>
    <w:p>
      <w:pPr>
        <w:ind w:firstLine="480"/>
        <w:spacing w:line="360" w:lineRule="auto"/>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1"/>
        </w:rPr>
        <w:t xml:space="preserve">交易</w:t>
      </w:r>
      <w:r>
        <w:rPr>
          <w:rFonts w:hint="eastAsia" w:ascii="宋体" w:hAnsi="宋体"/>
          <w:sz w:val="24"/>
          <w:szCs w:val="24"/>
        </w:rPr>
        <w:t xml:space="preserve">中心和评标委员会不向未中标的投标人解释未中标原因，也不公布评标过程中的相关细节。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360" w:lineRule="auto"/>
        <w:rPr>
          <w:rFonts w:ascii="Arial" w:hAnsi="Arial" w:eastAsia="黑体" w:cs="Arial"/>
          <w:sz w:val="28"/>
          <w:szCs w:val="28"/>
        </w:rPr>
        <w:outlineLvl w:val="3"/>
      </w:pPr>
      <w:r/>
      <w:bookmarkStart w:id="148" w:name="_Toc513029232"/>
      <w:r/>
      <w:bookmarkStart w:id="149" w:name="_Toc16938548"/>
      <w:r/>
      <w:bookmarkStart w:id="150" w:name="_Toc20823304"/>
      <w:r>
        <w:rPr>
          <w:rFonts w:hint="eastAsia" w:ascii="Arial" w:hAnsi="Arial" w:eastAsia="黑体" w:cs="Arial"/>
          <w:sz w:val="28"/>
          <w:szCs w:val="28"/>
        </w:rPr>
        <w:t xml:space="preserve">24．投标文件的澄清</w:t>
      </w:r>
      <w:bookmarkEnd w:id="148"/>
      <w:r/>
      <w:bookmarkEnd w:id="149"/>
      <w:r/>
      <w:bookmarkEnd w:id="150"/>
      <w:r/>
      <w:r/>
    </w:p>
    <w:p>
      <w:pPr>
        <w:ind w:firstLine="480"/>
        <w:spacing w:line="360" w:lineRule="auto"/>
        <w:rPr>
          <w:rFonts w:ascii="宋体" w:hAnsi="宋体"/>
          <w:sz w:val="24"/>
          <w:szCs w:val="24"/>
        </w:rPr>
      </w:pPr>
      <w:r/>
      <w:bookmarkStart w:id="151" w:name="_Toc16938549"/>
      <w:r/>
      <w:bookmarkStart w:id="152" w:name="_Toc513029233"/>
      <w:r/>
      <w:bookmarkStart w:id="153"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25、对投标文件的初审</w:t>
      </w:r>
      <w:bookmarkEnd w:id="151"/>
      <w:r/>
      <w:bookmarkEnd w:id="152"/>
      <w:r/>
      <w:bookmarkEnd w:id="153"/>
      <w:r/>
      <w:r/>
    </w:p>
    <w:p>
      <w:pPr>
        <w:ind w:firstLine="480"/>
        <w:spacing w:line="360" w:lineRule="auto"/>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投标文件初审分为资格审查和符合性审查。</w:t>
      </w:r>
      <w:r/>
    </w:p>
    <w:p>
      <w:pPr>
        <w:ind w:firstLine="480"/>
        <w:spacing w:line="360" w:lineRule="auto"/>
        <w:rPr>
          <w:rFonts w:ascii="宋体" w:hAnsi="宋体"/>
          <w:bCs/>
          <w:sz w:val="24"/>
          <w:szCs w:val="21"/>
        </w:rPr>
      </w:pPr>
      <w:r>
        <w:rPr>
          <w:rFonts w:hint="eastAsia" w:ascii="宋体" w:hAnsi="宋体"/>
          <w:bCs/>
          <w:sz w:val="24"/>
          <w:szCs w:val="21"/>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1"/>
        </w:rPr>
      </w:pPr>
      <w:r>
        <w:rPr>
          <w:rFonts w:hint="eastAsia" w:ascii="宋体" w:hAnsi="宋体"/>
          <w:bCs/>
          <w:sz w:val="24"/>
          <w:szCs w:val="21"/>
        </w:rPr>
        <w:t xml:space="preserve">采购人在进行资格性审查的同时，将在“信用中国”网站（www.creditchina.gov.cn）</w:t>
      </w:r>
      <w:r>
        <w:rPr>
          <w:rFonts w:hint="eastAsia" w:ascii="宋体" w:hAnsi="宋体"/>
          <w:bCs/>
          <w:sz w:val="24"/>
        </w:rPr>
        <w:t xml:space="preserve">和</w:t>
      </w:r>
      <w:r>
        <w:rPr>
          <w:rFonts w:hint="eastAsia" w:ascii="宋体" w:hAnsi="宋体"/>
          <w:sz w:val="24"/>
          <w:szCs w:val="24"/>
        </w:rPr>
        <w:t xml:space="preserve">“中国政府采购网"(www.ccgp.gov.cn)</w:t>
      </w:r>
      <w:r>
        <w:rPr>
          <w:rFonts w:hint="eastAsia" w:ascii="宋体" w:hAnsi="宋体"/>
          <w:bCs/>
          <w:sz w:val="24"/>
          <w:szCs w:val="21"/>
        </w:rPr>
        <w:t xml:space="preserve">查询投标人的信用记录，以确定投标人是否具备投标资格,查询结果留存并归档。</w:t>
      </w:r>
      <w:r/>
    </w:p>
    <w:p>
      <w:pPr>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szCs w:val="21"/>
        </w:rPr>
      </w:pPr>
      <w:r>
        <w:rPr>
          <w:rFonts w:hint="eastAsia" w:ascii="宋体" w:hAnsi="宋体"/>
          <w:bCs/>
          <w:sz w:val="24"/>
          <w:szCs w:val="21"/>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szCs w:val="21"/>
        </w:rPr>
      </w:pPr>
      <w:r>
        <w:rPr>
          <w:rFonts w:hint="eastAsia" w:ascii="宋体" w:hAnsi="宋体"/>
          <w:bCs/>
          <w:sz w:val="24"/>
          <w:szCs w:val="21"/>
        </w:rPr>
        <w:t xml:space="preserve">25.1.3未通过资格审查或符合性审查的投标人，</w:t>
      </w:r>
      <w:r>
        <w:rPr>
          <w:rFonts w:hint="eastAsia" w:ascii="宋体" w:hAnsi="宋体"/>
          <w:sz w:val="24"/>
          <w:szCs w:val="21"/>
        </w:rPr>
        <w:t xml:space="preserve">交易</w:t>
      </w:r>
      <w:r>
        <w:rPr>
          <w:rFonts w:hint="eastAsia" w:ascii="宋体" w:hAnsi="宋体"/>
          <w:bCs/>
          <w:sz w:val="24"/>
          <w:szCs w:val="21"/>
        </w:rPr>
        <w:t xml:space="preserve">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交易</w:t>
      </w:r>
      <w:r>
        <w:rPr>
          <w:rFonts w:hint="eastAsia" w:ascii="宋体" w:hAnsi="宋体"/>
          <w:bCs/>
          <w:sz w:val="24"/>
          <w:szCs w:val="21"/>
        </w:rPr>
        <w:t xml:space="preserve">中心将不再告知未通过资格审查或符合性审查的原因。</w:t>
      </w:r>
      <w:r/>
    </w:p>
    <w:p>
      <w:pPr>
        <w:ind w:firstLine="480"/>
        <w:spacing w:line="360" w:lineRule="auto"/>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交易</w:t>
      </w:r>
      <w:r>
        <w:rPr>
          <w:rFonts w:hint="eastAsia" w:ascii="宋体" w:hAnsi="宋体"/>
          <w:sz w:val="24"/>
          <w:szCs w:val="24"/>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360" w:lineRule="auto"/>
        <w:rPr>
          <w:rFonts w:ascii="宋体" w:hAnsi="宋体"/>
          <w:bCs/>
          <w:sz w:val="24"/>
          <w:szCs w:val="21"/>
        </w:rPr>
      </w:pPr>
      <w:r>
        <w:rPr>
          <w:rFonts w:hint="eastAsia" w:ascii="宋体" w:hAnsi="宋体"/>
          <w:sz w:val="24"/>
          <w:szCs w:val="21"/>
        </w:rPr>
        <w:t xml:space="preserve">25.3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1"/>
        </w:rPr>
      </w:pPr>
      <w:r>
        <w:rPr>
          <w:rFonts w:hint="eastAsia" w:ascii="宋体" w:hAnsi="宋体"/>
          <w:sz w:val="24"/>
          <w:szCs w:val="21"/>
        </w:rPr>
        <w:t xml:space="preserve">25.4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360" w:lineRule="auto"/>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360" w:lineRule="auto"/>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360" w:lineRule="auto"/>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360" w:lineRule="auto"/>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360" w:lineRule="auto"/>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360"/>
        <w:keepLines/>
        <w:keepNext/>
        <w:spacing w:line="360" w:lineRule="auto"/>
        <w:rPr>
          <w:rFonts w:ascii="宋体" w:hAnsi="宋体"/>
          <w:sz w:val="24"/>
        </w:rPr>
        <w:outlineLvl w:val="3"/>
      </w:pPr>
      <w:r/>
      <w:bookmarkStart w:id="154" w:name="_Toc513029234"/>
      <w:r/>
      <w:bookmarkStart w:id="155" w:name="_Toc16938550"/>
      <w:r/>
      <w:bookmarkStart w:id="156"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bookmarkEnd w:id="154"/>
      <w:r/>
      <w:bookmarkEnd w:id="155"/>
      <w:r/>
      <w:bookmarkEnd w:id="156"/>
      <w:r/>
      <w:r/>
    </w:p>
    <w:p>
      <w:pPr>
        <w:pStyle w:val="883"/>
        <w:ind w:firstLine="420"/>
        <w:spacing w:before="0" w:after="0" w:line="360" w:lineRule="auto"/>
        <w:rPr>
          <w:b w:val="0"/>
          <w:bCs w:val="0"/>
        </w:rPr>
      </w:pPr>
      <w:r/>
      <w:bookmarkStart w:id="157" w:name="_Toc513029242"/>
      <w:r/>
      <w:bookmarkStart w:id="158" w:name="_Toc479757207"/>
      <w:r/>
      <w:bookmarkStart w:id="159" w:name="_Toc20823314"/>
      <w:r/>
      <w:bookmarkStart w:id="160" w:name="_Toc16938558"/>
      <w:r/>
      <w:bookmarkStart w:id="161" w:name="_Toc120614221"/>
      <w:r>
        <w:rPr>
          <w:rFonts w:hint="eastAsia"/>
          <w:b w:val="0"/>
          <w:bCs w:val="0"/>
        </w:rPr>
        <w:t xml:space="preserve">26、无效投标条款和废标条款</w:t>
      </w:r>
      <w:r/>
    </w:p>
    <w:p>
      <w:pPr>
        <w:ind w:left="479"/>
        <w:spacing w:line="360" w:lineRule="auto"/>
        <w:rPr>
          <w:rFonts w:ascii="宋体" w:hAnsi="宋体"/>
          <w:bCs/>
          <w:sz w:val="24"/>
        </w:rPr>
      </w:pPr>
      <w:r/>
      <w:bookmarkStart w:id="162" w:name="_Toc513029235"/>
      <w:r/>
      <w:bookmarkStart w:id="163" w:name="_Toc20823307"/>
      <w:r/>
      <w:bookmarkStart w:id="164" w:name="_Toc16938551"/>
      <w:r>
        <w:rPr>
          <w:rFonts w:hint="eastAsia" w:ascii="宋体" w:hAnsi="宋体"/>
          <w:bCs/>
          <w:sz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投标人未按照招标文件要求上传电子投标文件的。</w:t>
      </w:r>
      <w:r/>
    </w:p>
    <w:p>
      <w:pPr>
        <w:ind w:left="479"/>
        <w:spacing w:line="360" w:lineRule="auto"/>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360" w:lineRule="auto"/>
        <w:rPr>
          <w:rFonts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ascii="宋体" w:hAnsi="宋体"/>
          <w:bCs/>
          <w:i/>
          <w:sz w:val="24"/>
          <w:u w:val="single"/>
        </w:rPr>
      </w:pPr>
      <w:r>
        <w:rPr>
          <w:rFonts w:hint="eastAsia" w:ascii="宋体" w:hAnsi="宋体"/>
          <w:bCs/>
          <w:sz w:val="24"/>
        </w:rPr>
        <w:t xml:space="preserve">26.1.6未通过符合性审查的。</w:t>
      </w:r>
      <w:r/>
    </w:p>
    <w:p>
      <w:pPr>
        <w:ind w:firstLine="360"/>
        <w:spacing w:line="360" w:lineRule="auto"/>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360" w:lineRule="auto"/>
        <w:rPr>
          <w:rFonts w:ascii="宋体" w:hAnsi="宋体"/>
          <w:bCs/>
          <w:sz w:val="24"/>
        </w:rPr>
      </w:pPr>
      <w:r>
        <w:rPr>
          <w:rFonts w:hint="eastAsia" w:ascii="宋体" w:hAnsi="宋体"/>
          <w:bCs/>
          <w:sz w:val="24"/>
        </w:rPr>
        <w:t xml:space="preserve">26.1.8投标人被“信用中国”网站（www.creditchina.gov.cn）列入失信被执行人或重大税收违法案件当事人名单或政府采购严重失信行为记录名单，被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26.1.9投标文件含有采购人不能接受的附加条件的。</w:t>
      </w:r>
      <w:r/>
    </w:p>
    <w:p>
      <w:pPr>
        <w:ind w:firstLine="480"/>
        <w:spacing w:line="360" w:lineRule="auto"/>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360" w:lineRule="auto"/>
        <w:rPr>
          <w:rFonts w:ascii="宋体" w:hAnsi="宋体"/>
          <w:bCs/>
          <w:sz w:val="24"/>
        </w:rPr>
      </w:pPr>
      <w:r>
        <w:rPr>
          <w:rFonts w:hint="eastAsia" w:ascii="宋体" w:hAnsi="宋体"/>
          <w:bCs/>
          <w:sz w:val="24"/>
        </w:rPr>
        <w:t xml:space="preserve">26.2废标条款</w:t>
      </w:r>
      <w:r/>
    </w:p>
    <w:p>
      <w:pPr>
        <w:ind w:left="479"/>
        <w:spacing w:line="360" w:lineRule="auto"/>
        <w:rPr>
          <w:rFonts w:ascii="宋体" w:hAnsi="宋体"/>
          <w:sz w:val="24"/>
          <w:szCs w:val="24"/>
        </w:rPr>
      </w:pPr>
      <w:r>
        <w:rPr>
          <w:rFonts w:hint="eastAsia" w:ascii="宋体" w:hAnsi="宋体"/>
          <w:bCs/>
          <w:sz w:val="24"/>
        </w:rPr>
        <w:t xml:space="preserve">26.2.1符合专业条件的供应商或者对招标文件作实质响应的供应商不足三家的。</w:t>
      </w:r>
      <w:r/>
    </w:p>
    <w:p>
      <w:pPr>
        <w:ind w:left="479"/>
        <w:spacing w:line="360" w:lineRule="auto"/>
        <w:rPr>
          <w:rFonts w:ascii="宋体" w:hAnsi="宋体"/>
          <w:sz w:val="24"/>
          <w:szCs w:val="24"/>
        </w:rPr>
      </w:pPr>
      <w:r>
        <w:rPr>
          <w:rFonts w:hint="eastAsia" w:ascii="宋体" w:hAnsi="宋体"/>
          <w:bCs/>
          <w:sz w:val="24"/>
        </w:rPr>
        <w:t xml:space="preserve">26.2.2出现影响采购公正的违法、违规行为的。</w:t>
      </w:r>
      <w:r/>
    </w:p>
    <w:p>
      <w:pPr>
        <w:ind w:left="479"/>
        <w:spacing w:line="360" w:lineRule="auto"/>
        <w:rPr>
          <w:rFonts w:ascii="宋体" w:hAnsi="宋体"/>
          <w:bCs/>
          <w:sz w:val="24"/>
        </w:rPr>
      </w:pPr>
      <w:r>
        <w:rPr>
          <w:rFonts w:hint="eastAsia" w:ascii="宋体" w:hAnsi="宋体"/>
          <w:bCs/>
          <w:sz w:val="24"/>
        </w:rPr>
        <w:t xml:space="preserve">26.2.3因重大变故，采购任务取消的。</w:t>
      </w:r>
      <w:r/>
    </w:p>
    <w:p>
      <w:pPr>
        <w:ind w:left="479"/>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360" w:lineRule="auto"/>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2"/>
        <w:ind w:firstLine="482"/>
        <w:spacing w:before="145" w:after="145" w:line="360" w:lineRule="auto"/>
      </w:pPr>
      <w:r/>
      <w:bookmarkStart w:id="165" w:name="_Toc120614219"/>
      <w:r>
        <w:rPr>
          <w:rFonts w:hint="eastAsia"/>
        </w:rPr>
        <w:t xml:space="preserve">六、</w:t>
      </w:r>
      <w:bookmarkEnd w:id="162"/>
      <w:r/>
      <w:bookmarkEnd w:id="163"/>
      <w:r/>
      <w:bookmarkEnd w:id="164"/>
      <w:r>
        <w:rPr>
          <w:rFonts w:hint="eastAsia"/>
        </w:rPr>
        <w:t xml:space="preserve">定标</w:t>
      </w:r>
      <w:bookmarkEnd w:id="165"/>
      <w:r/>
      <w:r/>
    </w:p>
    <w:p>
      <w:pPr>
        <w:pStyle w:val="883"/>
        <w:ind w:firstLine="600"/>
        <w:spacing w:before="0" w:after="0" w:line="360" w:lineRule="auto"/>
        <w:rPr>
          <w:rFonts w:ascii="黑体" w:hAnsi="宋体"/>
          <w:b w:val="0"/>
          <w:sz w:val="30"/>
          <w:szCs w:val="30"/>
        </w:rPr>
      </w:pPr>
      <w:r/>
      <w:bookmarkStart w:id="166" w:name="_Toc513029238"/>
      <w:r/>
      <w:bookmarkStart w:id="167" w:name="_Toc16938554"/>
      <w:r/>
      <w:bookmarkStart w:id="168" w:name="_Toc20823310"/>
      <w:r>
        <w:rPr>
          <w:rFonts w:hint="eastAsia" w:ascii="黑体" w:hAnsi="宋体"/>
          <w:b w:val="0"/>
          <w:sz w:val="30"/>
          <w:szCs w:val="30"/>
        </w:rPr>
        <w:t xml:space="preserve">27、</w:t>
      </w:r>
      <w:bookmarkEnd w:id="166"/>
      <w:r>
        <w:rPr>
          <w:rFonts w:hint="eastAsia" w:ascii="黑体" w:hAnsi="宋体"/>
          <w:b w:val="0"/>
          <w:sz w:val="30"/>
          <w:szCs w:val="30"/>
        </w:rPr>
        <w:t xml:space="preserve">确定</w:t>
      </w:r>
      <w:bookmarkEnd w:id="167"/>
      <w:r/>
      <w:bookmarkEnd w:id="168"/>
      <w:r>
        <w:rPr>
          <w:rFonts w:hint="eastAsia" w:ascii="黑体" w:hAnsi="宋体"/>
          <w:b w:val="0"/>
          <w:sz w:val="30"/>
          <w:szCs w:val="30"/>
        </w:rPr>
        <w:t xml:space="preserve">中标单位</w:t>
      </w:r>
      <w:r/>
    </w:p>
    <w:p>
      <w:pPr>
        <w:ind w:firstLine="480"/>
        <w:spacing w:line="360" w:lineRule="auto"/>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交易中心将在“江苏政府采购网”、“扬州市政府采购网”发布中标公告，公告期限为1个工作日。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6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3"/>
        <w:ind w:firstLine="600"/>
        <w:spacing w:before="0" w:after="0" w:line="360" w:lineRule="auto"/>
        <w:rPr>
          <w:rFonts w:ascii="黑体" w:hAnsi="宋体"/>
          <w:b w:val="0"/>
          <w:sz w:val="30"/>
          <w:szCs w:val="30"/>
        </w:rPr>
      </w:pPr>
      <w:r>
        <w:rPr>
          <w:rFonts w:hint="eastAsia" w:ascii="黑体" w:hAnsi="宋体"/>
          <w:b w:val="0"/>
          <w:sz w:val="30"/>
          <w:szCs w:val="30"/>
        </w:rPr>
        <w:t xml:space="preserve">28、质疑处理</w:t>
      </w:r>
      <w:bookmarkEnd w:id="169"/>
      <w:r/>
      <w:r/>
    </w:p>
    <w:p>
      <w:pPr>
        <w:ind w:firstLine="480"/>
        <w:spacing w:line="360" w:lineRule="auto"/>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360" w:lineRule="auto"/>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360" w:lineRule="auto"/>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360" w:lineRule="auto"/>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360" w:lineRule="auto"/>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360" w:lineRule="auto"/>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360" w:lineRule="auto"/>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360" w:lineRule="auto"/>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83"/>
        <w:ind w:firstLine="600"/>
        <w:spacing w:before="0" w:after="0" w:line="360" w:lineRule="auto"/>
        <w:rPr>
          <w:rFonts w:ascii="黑体" w:hAnsi="宋体"/>
          <w:b w:val="0"/>
          <w:sz w:val="30"/>
          <w:szCs w:val="30"/>
        </w:rPr>
      </w:pPr>
      <w:r>
        <w:rPr>
          <w:rFonts w:hint="eastAsia" w:ascii="黑体" w:hAnsi="宋体"/>
          <w:b w:val="0"/>
          <w:sz w:val="30"/>
          <w:szCs w:val="30"/>
        </w:rPr>
        <w:t xml:space="preserve">29、中标通知书</w:t>
      </w:r>
      <w:r/>
    </w:p>
    <w:p>
      <w:pPr>
        <w:ind w:firstLine="600"/>
        <w:spacing w:line="360" w:lineRule="auto"/>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2"/>
        <w:spacing w:before="145" w:after="145" w:line="360" w:lineRule="auto"/>
      </w:pPr>
      <w:r/>
      <w:bookmarkStart w:id="170" w:name="_Toc513029236"/>
      <w:r/>
      <w:bookmarkStart w:id="171" w:name="_Toc120614220"/>
      <w:r/>
      <w:bookmarkStart w:id="172" w:name="_Toc20823308"/>
      <w:r/>
      <w:bookmarkStart w:id="173" w:name="_Toc16938552"/>
      <w:r>
        <w:rPr>
          <w:rFonts w:hint="eastAsia"/>
        </w:rPr>
        <w:t xml:space="preserve">七、授予合同</w:t>
      </w:r>
      <w:bookmarkEnd w:id="170"/>
      <w:r/>
      <w:bookmarkEnd w:id="171"/>
      <w:r/>
      <w:bookmarkEnd w:id="172"/>
      <w:r/>
      <w:bookmarkEnd w:id="173"/>
      <w:r/>
      <w:r/>
    </w:p>
    <w:p>
      <w:pPr>
        <w:pStyle w:val="883"/>
        <w:ind w:firstLine="600"/>
        <w:spacing w:before="0" w:after="0" w:line="360" w:lineRule="auto"/>
        <w:rPr>
          <w:rFonts w:ascii="黑体" w:hAnsi="宋体"/>
          <w:b w:val="0"/>
          <w:sz w:val="30"/>
          <w:szCs w:val="30"/>
        </w:rPr>
      </w:pPr>
      <w:r/>
      <w:bookmarkStart w:id="174" w:name="_Toc16938553"/>
      <w:r/>
      <w:bookmarkStart w:id="175" w:name="_Toc513029237"/>
      <w:r/>
      <w:bookmarkStart w:id="176" w:name="_Toc20823309"/>
      <w:r>
        <w:rPr>
          <w:rFonts w:hint="eastAsia" w:ascii="黑体" w:hAnsi="宋体"/>
          <w:b w:val="0"/>
          <w:sz w:val="30"/>
          <w:szCs w:val="30"/>
        </w:rPr>
        <w:t xml:space="preserve">30. 签订合同</w:t>
      </w:r>
      <w:r/>
    </w:p>
    <w:p>
      <w:pPr>
        <w:ind w:firstLine="600"/>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360" w:lineRule="auto"/>
        <w:rPr>
          <w:rFonts w:ascii="宋体" w:hAnsi="宋体"/>
          <w:sz w:val="24"/>
          <w:szCs w:val="24"/>
        </w:rPr>
      </w:pPr>
      <w:r>
        <w:rPr>
          <w:rFonts w:hint="eastAsia" w:ascii="宋体" w:hAnsi="宋体"/>
          <w:sz w:val="24"/>
          <w:szCs w:val="24"/>
        </w:rPr>
        <w:t xml:space="preserve">30.2招标文件、中标人的投标文件及招标过程中有关澄清、承诺文件均应作为合同附件。</w:t>
      </w:r>
      <w:r/>
    </w:p>
    <w:p>
      <w:pPr>
        <w:ind w:firstLine="600"/>
        <w:spacing w:line="360" w:lineRule="auto"/>
        <w:rPr>
          <w:rFonts w:ascii="宋体" w:hAnsi="宋体"/>
          <w:sz w:val="24"/>
          <w:szCs w:val="24"/>
        </w:rPr>
      </w:pPr>
      <w:r>
        <w:rPr>
          <w:rFonts w:hint="eastAsia" w:ascii="宋体" w:hAnsi="宋体"/>
          <w:sz w:val="24"/>
          <w:szCs w:val="24"/>
        </w:rPr>
        <w:t xml:space="preserve">30.3签订合同后，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。未经采购人同意，中标人也不得采用分包的形式履行合同，否则采购人有权上报监管部门，并提请监管部门解除合同。转包或分包造成采购人损失的，中标人应承担相应赔偿责任。</w:t>
      </w:r>
      <w:bookmarkEnd w:id="174"/>
      <w:r/>
      <w:bookmarkEnd w:id="175"/>
      <w:r/>
      <w:bookmarkEnd w:id="176"/>
      <w:r/>
      <w:r/>
    </w:p>
    <w:p>
      <w:pPr>
        <w:pStyle w:val="883"/>
        <w:ind w:firstLine="600"/>
        <w:spacing w:before="0" w:after="0" w:line="360" w:lineRule="auto"/>
        <w:rPr>
          <w:rFonts w:ascii="黑体" w:hAnsi="宋体"/>
          <w:b w:val="0"/>
          <w:sz w:val="30"/>
          <w:szCs w:val="30"/>
        </w:rPr>
      </w:pPr>
      <w:r>
        <w:rPr>
          <w:rFonts w:hint="eastAsia" w:ascii="黑体" w:hAnsi="宋体"/>
          <w:b w:val="0"/>
          <w:sz w:val="30"/>
          <w:szCs w:val="30"/>
        </w:rPr>
        <w:t xml:space="preserve">31、政府采购履约资金扶持政策</w:t>
      </w:r>
      <w:r/>
    </w:p>
    <w:p>
      <w:pPr>
        <w:pStyle w:val="893"/>
        <w:spacing w:line="360" w:lineRule="auto"/>
      </w:pPr>
      <w:r>
        <w:rPr>
          <w:rFonts w:hint="eastAsia" w:ascii="宋体" w:hAnsi="宋体"/>
          <w:bCs/>
          <w:sz w:val="24"/>
        </w:rPr>
        <w:t xml:space="preserve">中标人可凭政府采购合同办理融资贷款，详情请见江苏政府采购网“政采贷”专栏。</w:t>
      </w:r>
      <w:r/>
    </w:p>
    <w:p>
      <w:pPr>
        <w:ind w:firstLine="555"/>
        <w:spacing w:line="500" w:lineRule="exact"/>
        <w:rPr>
          <w:rFonts w:ascii="宋体" w:hAnsi="宋体"/>
          <w:bCs/>
          <w:sz w:val="24"/>
          <w:szCs w:val="24"/>
        </w:rPr>
      </w:pPr>
      <w:r>
        <w:rPr>
          <w:rFonts w:ascii="宋体" w:hAnsi="宋体"/>
          <w:bCs/>
          <w:sz w:val="24"/>
          <w:szCs w:val="24"/>
        </w:rPr>
      </w:r>
      <w:r/>
    </w:p>
    <w:p>
      <w:pPr>
        <w:ind w:firstLine="555"/>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bCs/>
          <w:sz w:val="24"/>
          <w:szCs w:val="24"/>
        </w:rPr>
      </w:pPr>
      <w:r>
        <w:rPr>
          <w:rFonts w:ascii="宋体" w:hAnsi="宋体"/>
          <w:bCs/>
          <w:sz w:val="24"/>
          <w:szCs w:val="24"/>
        </w:rPr>
      </w:r>
      <w:r/>
    </w:p>
    <w:p>
      <w:pPr>
        <w:ind w:firstLine="2640"/>
        <w:keepNext/>
        <w:rPr>
          <w:rFonts w:ascii="黑体" w:eastAsia="黑体"/>
          <w:bCs/>
          <w:sz w:val="44"/>
          <w:szCs w:val="28"/>
        </w:rPr>
        <w:outlineLvl w:val="0"/>
      </w:pPr>
      <w:r/>
      <w:bookmarkStart w:id="177" w:name="_Toc2438"/>
      <w:r>
        <w:rPr>
          <w:rFonts w:hint="eastAsia" w:ascii="黑体" w:eastAsia="黑体"/>
          <w:bCs/>
          <w:sz w:val="44"/>
          <w:szCs w:val="28"/>
        </w:rPr>
        <w:t xml:space="preserve">第三章  合同</w:t>
      </w:r>
      <w:bookmarkEnd w:id="157"/>
      <w:r/>
      <w:bookmarkEnd w:id="158"/>
      <w:r/>
      <w:bookmarkEnd w:id="159"/>
      <w:r/>
      <w:bookmarkEnd w:id="160"/>
      <w:r/>
      <w:bookmarkEnd w:id="161"/>
      <w:r>
        <w:rPr>
          <w:rFonts w:hint="eastAsia" w:ascii="黑体" w:eastAsia="黑体"/>
          <w:bCs/>
          <w:sz w:val="44"/>
          <w:szCs w:val="28"/>
        </w:rPr>
        <w:t xml:space="preserve">文本</w:t>
      </w:r>
      <w:bookmarkEnd w:id="177"/>
      <w:r/>
      <w:r/>
    </w:p>
    <w:p>
      <w:pPr>
        <w:ind w:firstLine="480"/>
        <w:spacing w:line="360" w:lineRule="auto"/>
        <w:rPr>
          <w:rFonts w:ascii="宋体" w:hAnsi="宋体"/>
          <w:bCs/>
          <w:sz w:val="24"/>
          <w:szCs w:val="21"/>
        </w:rPr>
      </w:pPr>
      <w:r/>
      <w:bookmarkStart w:id="178" w:name="_Toc16938559"/>
      <w:r/>
      <w:bookmarkStart w:id="179" w:name="_Toc513029243"/>
      <w:r/>
      <w:bookmarkStart w:id="180" w:name="_Toc20823315"/>
      <w:r>
        <w:rPr>
          <w:rFonts w:hint="eastAsia" w:ascii="宋体" w:hAnsi="宋体"/>
          <w:bCs/>
          <w:sz w:val="24"/>
          <w:szCs w:val="21"/>
        </w:rPr>
        <w:t xml:space="preserve">以下为中标后签定本项目合同的通用条款，中标人不得提出实质性的修改。</w:t>
      </w:r>
      <w:r/>
    </w:p>
    <w:p>
      <w:pPr>
        <w:jc w:val="center"/>
        <w:spacing w:before="145" w:after="145" w:line="360" w:lineRule="auto"/>
        <w:rPr>
          <w:rFonts w:ascii="宋体" w:hAnsi="宋体"/>
          <w:b/>
          <w:bCs/>
          <w:sz w:val="30"/>
          <w:szCs w:val="20"/>
        </w:rPr>
        <w:outlineLvl w:val="0"/>
      </w:pPr>
      <w:r/>
      <w:bookmarkStart w:id="181" w:name="_Toc28536"/>
      <w:r>
        <w:rPr>
          <w:rFonts w:hint="eastAsia" w:ascii="宋体" w:hAnsi="宋体"/>
          <w:b/>
          <w:sz w:val="30"/>
          <w:szCs w:val="21"/>
        </w:rPr>
        <w:t xml:space="preserve">江苏省</w:t>
      </w:r>
      <w:r>
        <w:rPr>
          <w:rFonts w:hint="eastAsia" w:ascii="宋体" w:hAnsi="宋体"/>
          <w:b/>
          <w:sz w:val="30"/>
          <w:szCs w:val="21"/>
        </w:rPr>
        <w:t xml:space="preserve">政府采购合同（服务）（合同编号）</w:t>
      </w:r>
      <w:bookmarkEnd w:id="181"/>
      <w:r/>
      <w:r/>
    </w:p>
    <w:p>
      <w:pPr>
        <w:spacing w:before="120" w:after="120" w:line="360" w:lineRule="auto"/>
        <w:rPr>
          <w:rFonts w:ascii="宋体" w:hAnsi="宋体" w:cs="Courier New"/>
          <w:sz w:val="24"/>
          <w:szCs w:val="24"/>
        </w:rPr>
      </w:pPr>
      <w:r>
        <w:rPr>
          <w:rFonts w:ascii="宋体" w:hAnsi="宋体" w:cs="Courier New"/>
          <w:sz w:val="24"/>
          <w:szCs w:val="24"/>
        </w:rPr>
        <w:t xml:space="preserve">项目名称：                                       项目编号：</w:t>
      </w:r>
      <w:r/>
    </w:p>
    <w:p>
      <w:pPr>
        <w:spacing w:before="120" w:after="120" w:line="360" w:lineRule="auto"/>
        <w:rPr>
          <w:rFonts w:ascii="宋体" w:hAnsi="宋体" w:cs="Courier New"/>
          <w:sz w:val="24"/>
          <w:szCs w:val="24"/>
        </w:rPr>
      </w:pPr>
      <w:r>
        <w:rPr>
          <w:rFonts w:ascii="宋体" w:hAnsi="宋体" w:cs="Courier New"/>
          <w:sz w:val="24"/>
          <w:szCs w:val="24"/>
        </w:rPr>
        <w:t xml:space="preserve">甲方：（买方）________</w:t>
      </w:r>
      <w:r/>
    </w:p>
    <w:p>
      <w:pPr>
        <w:spacing w:before="120" w:after="120" w:line="360" w:lineRule="auto"/>
        <w:rPr>
          <w:rFonts w:ascii="宋体" w:hAnsi="宋体" w:cs="Courier New"/>
          <w:sz w:val="24"/>
          <w:szCs w:val="24"/>
        </w:rPr>
      </w:pPr>
      <w:r>
        <w:rPr>
          <w:rFonts w:ascii="宋体" w:hAnsi="宋体" w:cs="Courier New"/>
          <w:sz w:val="24"/>
          <w:szCs w:val="24"/>
        </w:rPr>
        <w:t xml:space="preserve">乙方：（卖方）_________</w:t>
      </w:r>
      <w:r/>
    </w:p>
    <w:p>
      <w:pPr>
        <w:spacing w:before="120" w:after="120"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扬州市公共资源交易中心高邮分中心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2.1本合同金额为（大写）：________圆（____元）人民币或其他币种。</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line="360" w:lineRule="auto"/>
        <w:rPr>
          <w:rFonts w:ascii="宋体" w:hAnsi="宋体" w:cs="Courier New"/>
          <w:b/>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line="360" w:lineRule="auto"/>
        <w:rPr>
          <w:rFonts w:ascii="宋体" w:hAnsi="宋体" w:cs="Courier New"/>
          <w:b/>
          <w:sz w:val="24"/>
          <w:szCs w:val="24"/>
        </w:rPr>
      </w:pPr>
      <w:r>
        <w:rPr>
          <w:rFonts w:ascii="宋体" w:hAnsi="宋体" w:cs="Courier New"/>
          <w:b/>
          <w:sz w:val="24"/>
          <w:szCs w:val="24"/>
        </w:rPr>
        <w:t xml:space="preserve">六、履约保证金</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6.1 乙方交纳人民币__零___元作为本合同的履约保证金。（不得超过合同金额的10%）</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6.2.1履约保证金退还方式：无</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6.2.2履约保证金退还时间：无</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6.2.3履约保证金退还条件：无</w:t>
      </w:r>
      <w:r/>
    </w:p>
    <w:p>
      <w:pPr>
        <w:spacing w:before="145" w:after="145" w:line="360" w:lineRule="auto"/>
        <w:rPr>
          <w:rFonts w:hint="eastAsia" w:ascii="宋体" w:hAnsi="宋体" w:cs="Courier New"/>
          <w:sz w:val="24"/>
          <w:szCs w:val="24"/>
        </w:rPr>
      </w:pPr>
      <w:r>
        <w:rPr>
          <w:rFonts w:hint="eastAsia" w:ascii="宋体" w:hAnsi="宋体" w:cs="Courier New"/>
          <w:sz w:val="24"/>
          <w:szCs w:val="24"/>
        </w:rPr>
        <w:t xml:space="preserve">6.2.4履约保证金不予退还的情形：无</w:t>
      </w:r>
      <w:r/>
    </w:p>
    <w:p>
      <w:pPr>
        <w:spacing w:before="145" w:after="145" w:line="360" w:lineRule="auto"/>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line="360" w:lineRule="auto"/>
        <w:rPr>
          <w:rFonts w:ascii="宋体" w:hAnsi="宋体"/>
          <w:sz w:val="24"/>
          <w:szCs w:val="24"/>
        </w:rPr>
      </w:pPr>
      <w:r>
        <w:rPr>
          <w:rFonts w:hint="eastAsia" w:ascii="宋体" w:hAnsi="宋体"/>
          <w:sz w:val="24"/>
          <w:szCs w:val="24"/>
        </w:rPr>
        <w:t xml:space="preserve">7.1乙方不得将合同标的转包给他人履行。</w:t>
      </w:r>
      <w:r/>
    </w:p>
    <w:p>
      <w:pPr>
        <w:spacing w:before="145" w:after="145" w:line="360" w:lineRule="auto"/>
        <w:rPr>
          <w:rFonts w:ascii="宋体" w:hAnsi="宋体"/>
          <w:sz w:val="24"/>
          <w:szCs w:val="24"/>
        </w:rPr>
      </w:pPr>
      <w:r>
        <w:rPr>
          <w:rFonts w:hint="eastAsia" w:ascii="宋体" w:hAnsi="宋体"/>
          <w:sz w:val="24"/>
          <w:szCs w:val="24"/>
        </w:rPr>
        <w:t xml:space="preserve">7.2乙方不得将合同标的分包给他人履行。</w:t>
      </w:r>
      <w:r/>
    </w:p>
    <w:p>
      <w:pPr>
        <w:spacing w:before="145" w:after="145"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乙方如有转包或未经甲方同意的分包行为，甲方有权上报监管部门，并提请监管部门解除合同。</w:t>
      </w:r>
      <w:r/>
    </w:p>
    <w:p>
      <w:pPr>
        <w:spacing w:before="120" w:after="120" w:line="36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before="145" w:after="145"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合同签订后，甲方自收到发票之日起10个工作日内支付合同总价50%</w:t>
      </w:r>
      <w:r>
        <w:rPr>
          <w:rFonts w:hint="eastAsia" w:ascii="宋体" w:hAnsi="宋体" w:cs="宋体"/>
          <w:color w:val="000000"/>
          <w:sz w:val="24"/>
        </w:rPr>
        <w:t xml:space="preserve">的</w:t>
      </w:r>
      <w:r>
        <w:rPr>
          <w:rFonts w:hint="eastAsia" w:ascii="宋体" w:hAnsi="宋体" w:cs="宋体"/>
          <w:color w:val="000000"/>
          <w:sz w:val="24"/>
        </w:rPr>
        <w:t xml:space="preserve">预付款</w:t>
      </w:r>
      <w:r>
        <w:rPr>
          <w:rFonts w:hint="eastAsia" w:ascii="宋体" w:hAnsi="宋体" w:cs="宋体"/>
          <w:color w:val="000000"/>
          <w:sz w:val="24"/>
        </w:rPr>
        <w:t xml:space="preserve">；硬件进场、安装调试完成，甲方自收到发票之日起10个工作日内支付合同总价的20%；软件开发部署完成，甲方自收到发票之日起10个工作日内支付合同总价的15%；试运行3个月，甲方自收到发票之日起10个工作日内支付合同总价的10%；验收合格后，甲方自收到发票之日起10个工作日内支付合同总价的5%。</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 期相同。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513"/>
        <w:spacing w:before="12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签订日期：年  月  日</w:t>
      </w:r>
      <w:bookmarkStart w:id="182" w:name="_Hlt16619369"/>
      <w:r/>
      <w:bookmarkEnd w:id="182"/>
      <w:r>
        <w:rPr>
          <w:rFonts w:ascii="黑体" w:eastAsia="黑体"/>
          <w:bCs/>
          <w:sz w:val="44"/>
        </w:rPr>
        <w:br w:type="page" w:clear="all"/>
      </w:r>
      <w:bookmarkEnd w:id="178"/>
      <w:r/>
      <w:bookmarkEnd w:id="179"/>
      <w:r/>
      <w:bookmarkEnd w:id="180"/>
      <w:r/>
      <w:r/>
    </w:p>
    <w:p>
      <w:pPr>
        <w:jc w:val="center"/>
        <w:spacing w:before="120" w:after="120" w:line="0" w:lineRule="atLeast"/>
        <w:rPr>
          <w:rFonts w:ascii="宋体" w:hAnsi="宋体" w:cs="Courier New"/>
          <w:sz w:val="24"/>
          <w:szCs w:val="24"/>
        </w:rPr>
        <w:outlineLvl w:val="0"/>
      </w:pPr>
      <w:r/>
      <w:bookmarkStart w:id="183" w:name="_Hlt16619350"/>
      <w:r/>
      <w:bookmarkStart w:id="184" w:name="_Toc20823346"/>
      <w:r/>
      <w:bookmarkStart w:id="185" w:name="_Toc16938590"/>
      <w:r/>
      <w:bookmarkStart w:id="186" w:name="_Toc120614244"/>
      <w:r/>
      <w:bookmarkStart w:id="187" w:name="_Toc26197"/>
      <w:r/>
      <w:bookmarkStart w:id="188" w:name="_Toc462564139"/>
      <w:r/>
      <w:bookmarkStart w:id="189" w:name="_Toc479757211"/>
      <w:r>
        <w:rPr>
          <w:rFonts w:hint="eastAsia" w:ascii="黑体" w:hAnsi="Courier New" w:eastAsia="黑体" w:cs="Courier New"/>
          <w:bCs/>
          <w:sz w:val="44"/>
          <w:szCs w:val="21"/>
        </w:rPr>
        <w:t xml:space="preserve">第</w:t>
      </w:r>
      <w:bookmarkEnd w:id="183"/>
      <w:r>
        <w:rPr>
          <w:rFonts w:hint="eastAsia" w:ascii="黑体" w:hAnsi="Courier New" w:eastAsia="黑体" w:cs="Courier New"/>
          <w:bCs/>
          <w:sz w:val="44"/>
          <w:szCs w:val="21"/>
        </w:rPr>
        <w:t xml:space="preserve">四章 采购需求</w:t>
      </w:r>
      <w:bookmarkEnd w:id="184"/>
      <w:r/>
      <w:bookmarkEnd w:id="185"/>
      <w:r/>
      <w:bookmarkEnd w:id="186"/>
      <w:r/>
      <w:bookmarkEnd w:id="187"/>
      <w:r/>
      <w:r/>
    </w:p>
    <w:p>
      <w:pPr>
        <w:jc w:val="left"/>
        <w:spacing w:line="360" w:lineRule="auto"/>
        <w:rPr>
          <w:rFonts w:ascii="宋体" w:hAnsi="宋体"/>
          <w:sz w:val="24"/>
          <w:szCs w:val="24"/>
        </w:rPr>
      </w:pPr>
      <w:r/>
      <w:bookmarkStart w:id="190" w:name="_Toc26554093"/>
      <w:r/>
      <w:bookmarkStart w:id="191" w:name="_Toc49090575"/>
      <w:r>
        <w:rPr>
          <w:rFonts w:hint="eastAsia" w:ascii="宋体" w:hAnsi="宋体"/>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pP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2"/>
        <w:spacing w:line="5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一、项目背景、目标、内容及期限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1.1.项目背景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为认真实施扬州市承担的中央财政支持公立医院改革与高质量发展示范项 目，提升我市职业健康信息化水平，根据国家、省、市职业病防治规划（2021— 2025年）有关要求，将职业健康信息化工作纳入全民健康保障信息化工程，构建覆盖市、县、乡、用人单位的职业健康管理“一张网”，实现职业健康信息的上下联动、横向联通和动态管理服务，不断提高职业病危害风险监测预警、智能决 策的支持能力，推进实现职业健康管理的信息化和现代化，提高管理效率和服务水平。</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1.2.建设目标</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通过建设互联互通、多方参与、体系覆盖、智慧监管的职业健康智慧管理信 息化系统，全面整合职业健康各项基础性工作数据，实现涵盖全行业、全业务、全过程的监管模式，满足实时化、智能化、规范化、惠民化的职业健康监管需求，为全市职业健康监管人员开展日常工作提供信息化支撑，提升监管精准性和高效性，促进全市职业健康事业高质量发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建设内容</w:t>
      </w:r>
      <w:r/>
    </w:p>
    <w:tbl>
      <w:tblPr>
        <w:tblStyle w:val="1086"/>
        <w:tblW w:w="9390" w:type="dxa"/>
        <w:tblInd w:w="-5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5"/>
        <w:gridCol w:w="1326"/>
        <w:gridCol w:w="1960"/>
        <w:gridCol w:w="851"/>
        <w:gridCol w:w="4248"/>
      </w:tblGrid>
      <w:tr>
        <w:trPr>
          <w:trHeight w:val="590"/>
        </w:trPr>
        <w:tc>
          <w:tcPr>
            <w:tcW w:w="1005" w:type="dxa"/>
            <w:textDirection w:val="lrTb"/>
            <w:noWrap w:val="false"/>
          </w:tcPr>
          <w:p>
            <w:pPr>
              <w:ind w:left="147"/>
              <w:spacing w:before="271" w:line="221" w:lineRule="auto"/>
              <w:rPr>
                <w:rFonts w:ascii="宋体" w:hAnsi="宋体" w:cs="宋体"/>
                <w:sz w:val="24"/>
                <w:szCs w:val="24"/>
              </w:rPr>
            </w:pPr>
            <w:r>
              <w:rPr>
                <w:rFonts w:hint="eastAsia" w:ascii="宋体" w:hAnsi="宋体" w:cs="宋体"/>
                <w:spacing w:val="-4"/>
                <w:sz w:val="24"/>
                <w:szCs w:val="24"/>
                <w14:textOutline w14:w="3835" w14:cap="flat" w14:cmpd="sng" w14:algn="ctr">
                  <w14:solidFill>
                    <w14:srgbClr w14:val="000000"/>
                  </w14:solidFill>
                  <w14:prstDash w14:val="solid"/>
                  <w14:miter/>
                </w14:textOutline>
              </w:rPr>
              <w:t xml:space="preserve">编号</w:t>
            </w:r>
            <w:r/>
          </w:p>
        </w:tc>
        <w:tc>
          <w:tcPr>
            <w:tcW w:w="1326" w:type="dxa"/>
            <w:textDirection w:val="lrTb"/>
            <w:noWrap w:val="false"/>
          </w:tcPr>
          <w:p>
            <w:pPr>
              <w:ind w:left="344"/>
              <w:spacing w:before="272" w:line="221" w:lineRule="auto"/>
              <w:rPr>
                <w:rFonts w:ascii="宋体" w:hAnsi="宋体" w:cs="宋体"/>
                <w:spacing w:val="-3"/>
                <w:sz w:val="24"/>
                <w:szCs w:val="24"/>
              </w:rPr>
            </w:pPr>
            <w:r>
              <w:rPr>
                <w:rFonts w:hint="eastAsia" w:ascii="宋体" w:hAnsi="宋体" w:cs="宋体"/>
                <w:spacing w:val="-4"/>
                <w:sz w:val="24"/>
                <w:szCs w:val="24"/>
                <w14:textOutline w14:w="3835" w14:cap="flat" w14:cmpd="sng" w14:algn="ctr">
                  <w14:solidFill>
                    <w14:srgbClr w14:val="000000"/>
                  </w14:solidFill>
                  <w14:prstDash w14:val="solid"/>
                  <w14:miter/>
                </w14:textOutline>
              </w:rPr>
              <w:t xml:space="preserve">类型</w:t>
            </w:r>
            <w:r/>
          </w:p>
        </w:tc>
        <w:tc>
          <w:tcPr>
            <w:tcW w:w="1960" w:type="dxa"/>
            <w:textDirection w:val="lrTb"/>
            <w:noWrap w:val="false"/>
          </w:tcPr>
          <w:p>
            <w:pPr>
              <w:ind w:left="571"/>
              <w:spacing w:before="271" w:line="218" w:lineRule="auto"/>
              <w:rPr>
                <w:rFonts w:ascii="宋体" w:hAnsi="宋体" w:cs="宋体"/>
                <w:spacing w:val="-5"/>
                <w:sz w:val="24"/>
                <w:szCs w:val="24"/>
              </w:rPr>
            </w:pPr>
            <w:r>
              <w:rPr>
                <w:rFonts w:hint="eastAsia" w:ascii="宋体" w:hAnsi="宋体" w:cs="宋体"/>
                <w:spacing w:val="-3"/>
                <w:sz w:val="24"/>
                <w:szCs w:val="24"/>
                <w14:textOutline w14:w="3835" w14:cap="flat" w14:cmpd="sng" w14:algn="ctr">
                  <w14:solidFill>
                    <w14:srgbClr w14:val="000000"/>
                  </w14:solidFill>
                  <w14:prstDash w14:val="solid"/>
                  <w14:miter/>
                </w14:textOutline>
              </w:rPr>
              <w:t xml:space="preserve">产品名称</w:t>
            </w:r>
            <w:r/>
          </w:p>
        </w:tc>
        <w:tc>
          <w:tcPr>
            <w:tcW w:w="851" w:type="dxa"/>
            <w:textDirection w:val="lrTb"/>
            <w:noWrap w:val="false"/>
          </w:tcPr>
          <w:p>
            <w:pPr>
              <w:ind w:left="224"/>
              <w:spacing w:before="271" w:line="220" w:lineRule="auto"/>
              <w:rPr>
                <w:rFonts w:ascii="宋体" w:hAnsi="宋体" w:cs="宋体"/>
                <w:spacing w:val="-13"/>
                <w:sz w:val="24"/>
                <w:szCs w:val="24"/>
              </w:rPr>
            </w:pPr>
            <w:r>
              <w:rPr>
                <w:rFonts w:hint="eastAsia" w:ascii="宋体" w:hAnsi="宋体" w:cs="宋体"/>
                <w:spacing w:val="-3"/>
                <w:sz w:val="24"/>
                <w:szCs w:val="24"/>
                <w14:textOutline w14:w="3835" w14:cap="flat" w14:cmpd="sng" w14:algn="ctr">
                  <w14:solidFill>
                    <w14:srgbClr w14:val="000000"/>
                  </w14:solidFill>
                  <w14:prstDash w14:val="solid"/>
                  <w14:miter/>
                </w14:textOutline>
              </w:rPr>
              <w:t xml:space="preserve">数量</w:t>
            </w:r>
            <w:r/>
          </w:p>
        </w:tc>
        <w:tc>
          <w:tcPr>
            <w:tcW w:w="4248" w:type="dxa"/>
            <w:textDirection w:val="lrTb"/>
            <w:noWrap w:val="false"/>
          </w:tcPr>
          <w:p>
            <w:pPr>
              <w:ind w:left="1773"/>
              <w:spacing w:before="272" w:line="221" w:lineRule="auto"/>
              <w:rPr>
                <w:rFonts w:ascii="宋体" w:hAnsi="宋体" w:cs="宋体"/>
                <w:spacing w:val="-4"/>
                <w:sz w:val="24"/>
                <w:szCs w:val="24"/>
              </w:rPr>
            </w:pPr>
            <w:r>
              <w:rPr>
                <w:rFonts w:hint="eastAsia" w:ascii="宋体" w:hAnsi="宋体" w:cs="宋体"/>
                <w:spacing w:val="-4"/>
                <w:sz w:val="24"/>
                <w:szCs w:val="24"/>
                <w14:textOutline w14:w="3835" w14:cap="flat" w14:cmpd="sng" w14:algn="ctr">
                  <w14:solidFill>
                    <w14:srgbClr w14:val="000000"/>
                  </w14:solidFill>
                  <w14:prstDash w14:val="solid"/>
                  <w14:miter/>
                </w14:textOutline>
              </w:rPr>
              <w:t xml:space="preserve">备注</w:t>
            </w:r>
            <w:r/>
          </w:p>
        </w:tc>
      </w:tr>
      <w:tr>
        <w:trPr>
          <w:trHeight w:val="4529"/>
        </w:trPr>
        <w:tc>
          <w:tcPr>
            <w:tcW w:w="1005" w:type="dxa"/>
            <w:vAlign w:val="center"/>
            <w:textDirection w:val="lrTb"/>
            <w:noWrap w:val="false"/>
          </w:tcPr>
          <w:p>
            <w:pPr>
              <w:jc w:val="center"/>
              <w:spacing w:line="247" w:lineRule="auto"/>
              <w:rPr>
                <w:rFonts w:ascii="宋体" w:hAnsi="宋体" w:cs="宋体"/>
                <w:sz w:val="24"/>
                <w:szCs w:val="24"/>
              </w:rPr>
            </w:pPr>
            <w:r>
              <w:rPr>
                <w:rFonts w:ascii="宋体" w:hAnsi="宋体" w:cs="宋体"/>
                <w:sz w:val="24"/>
                <w:szCs w:val="24"/>
              </w:rPr>
            </w:r>
            <w:r/>
          </w:p>
          <w:p>
            <w:pPr>
              <w:ind w:left="314"/>
              <w:jc w:val="center"/>
              <w:spacing w:before="60" w:line="189" w:lineRule="auto"/>
              <w:rPr>
                <w:rFonts w:ascii="宋体" w:hAnsi="宋体" w:cs="宋体"/>
                <w:sz w:val="24"/>
                <w:szCs w:val="24"/>
              </w:rPr>
            </w:pPr>
            <w:r>
              <w:rPr>
                <w:rFonts w:hint="eastAsia" w:ascii="宋体" w:hAnsi="宋体" w:cs="宋体"/>
                <w:sz w:val="24"/>
                <w:szCs w:val="24"/>
              </w:rPr>
              <w:t xml:space="preserve">1</w:t>
            </w:r>
            <w:r/>
          </w:p>
        </w:tc>
        <w:tc>
          <w:tcPr>
            <w:tcW w:w="1326" w:type="dxa"/>
            <w:vAlign w:val="center"/>
            <w:textDirection w:val="lrTb"/>
            <w:noWrap w:val="false"/>
          </w:tcPr>
          <w:p>
            <w:pPr>
              <w:pStyle w:val="1088"/>
              <w:ind w:left="117"/>
              <w:jc w:val="center"/>
              <w:spacing w:before="272" w:line="219" w:lineRule="auto"/>
              <w:rPr>
                <w:rFonts w:ascii="宋体" w:hAnsi="宋体" w:eastAsia="宋体" w:cs="宋体"/>
                <w:sz w:val="24"/>
                <w:szCs w:val="24"/>
              </w:rPr>
            </w:pPr>
            <w:r>
              <w:rPr>
                <w:rFonts w:hint="eastAsia" w:ascii="宋体" w:hAnsi="宋体" w:eastAsia="宋体" w:cs="宋体"/>
                <w:spacing w:val="-3"/>
                <w:sz w:val="24"/>
                <w:szCs w:val="24"/>
              </w:rPr>
              <w:t xml:space="preserve">软件系统</w:t>
            </w:r>
            <w:r/>
          </w:p>
        </w:tc>
        <w:tc>
          <w:tcPr>
            <w:tcW w:w="1960" w:type="dxa"/>
            <w:vAlign w:val="center"/>
            <w:textDirection w:val="lrTb"/>
            <w:noWrap w:val="false"/>
          </w:tcPr>
          <w:p>
            <w:pPr>
              <w:pStyle w:val="1088"/>
              <w:ind w:left="118"/>
              <w:jc w:val="center"/>
              <w:spacing w:before="272" w:line="561" w:lineRule="exact"/>
              <w:rPr>
                <w:rFonts w:ascii="宋体" w:hAnsi="宋体" w:eastAsia="宋体" w:cs="宋体"/>
                <w:sz w:val="24"/>
                <w:szCs w:val="24"/>
                <w:lang w:eastAsia="zh-CN"/>
              </w:rPr>
            </w:pPr>
            <w:r>
              <w:rPr>
                <w:rFonts w:hint="eastAsia" w:ascii="宋体" w:hAnsi="宋体" w:eastAsia="宋体" w:cs="宋体"/>
                <w:spacing w:val="6"/>
                <w:position w:val="27"/>
                <w:sz w:val="24"/>
                <w:szCs w:val="24"/>
                <w:lang w:eastAsia="zh-CN"/>
              </w:rPr>
              <w:t xml:space="preserve">扬州市职业健康智</w:t>
            </w:r>
            <w:r/>
          </w:p>
          <w:p>
            <w:pPr>
              <w:pStyle w:val="1088"/>
              <w:ind w:left="129"/>
              <w:jc w:val="center"/>
              <w:spacing w:line="220" w:lineRule="auto"/>
              <w:rPr>
                <w:rFonts w:ascii="宋体" w:hAnsi="宋体" w:eastAsia="宋体" w:cs="宋体"/>
                <w:sz w:val="24"/>
                <w:szCs w:val="24"/>
                <w:lang w:eastAsia="zh-CN"/>
              </w:rPr>
            </w:pPr>
            <w:r>
              <w:rPr>
                <w:rFonts w:hint="eastAsia" w:ascii="宋体" w:hAnsi="宋体" w:eastAsia="宋体" w:cs="宋体"/>
                <w:spacing w:val="-5"/>
                <w:sz w:val="24"/>
                <w:szCs w:val="24"/>
                <w:lang w:eastAsia="zh-CN"/>
              </w:rPr>
              <w:t xml:space="preserve">慧管理系统</w:t>
            </w:r>
            <w:r/>
          </w:p>
        </w:tc>
        <w:tc>
          <w:tcPr>
            <w:tcW w:w="851" w:type="dxa"/>
            <w:vAlign w:val="center"/>
            <w:textDirection w:val="lrTb"/>
            <w:noWrap w:val="false"/>
          </w:tcPr>
          <w:p>
            <w:pPr>
              <w:pStyle w:val="1088"/>
              <w:ind w:left="264"/>
              <w:jc w:val="center"/>
              <w:spacing w:before="272"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vAlign w:val="center"/>
            <w:textDirection w:val="lrTb"/>
            <w:noWrap w:val="false"/>
          </w:tcPr>
          <w:p>
            <w:pPr>
              <w:pStyle w:val="1088"/>
              <w:ind w:left="120" w:right="61" w:firstLine="1"/>
              <w:jc w:val="center"/>
              <w:spacing w:before="275" w:line="492" w:lineRule="auto"/>
              <w:rPr>
                <w:rFonts w:ascii="宋体" w:hAnsi="宋体" w:eastAsia="宋体" w:cs="宋体"/>
                <w:sz w:val="24"/>
                <w:szCs w:val="24"/>
                <w:lang w:eastAsia="zh-CN"/>
              </w:rPr>
            </w:pPr>
            <w:r>
              <w:rPr>
                <w:rFonts w:hint="eastAsia" w:ascii="宋体" w:hAnsi="宋体" w:eastAsia="宋体" w:cs="宋体"/>
                <w:spacing w:val="-4"/>
                <w:lang w:eastAsia="zh-CN"/>
              </w:rPr>
              <w:t xml:space="preserve">含集约化部署门户网站、微服务基础支撑</w:t>
            </w:r>
            <w:r>
              <w:rPr>
                <w:rFonts w:hint="eastAsia" w:ascii="宋体" w:hAnsi="宋体" w:eastAsia="宋体" w:cs="宋体"/>
                <w:spacing w:val="6"/>
                <w:lang w:eastAsia="zh-CN"/>
              </w:rPr>
              <w:t xml:space="preserve"> </w:t>
            </w:r>
            <w:r>
              <w:rPr>
                <w:rFonts w:hint="eastAsia" w:ascii="宋体" w:hAnsi="宋体" w:eastAsia="宋体" w:cs="宋体"/>
                <w:spacing w:val="-2"/>
                <w:lang w:eastAsia="zh-CN"/>
              </w:rPr>
              <w:t xml:space="preserve">系统、智慧监管应用体系（行政管理端）</w:t>
            </w:r>
            <w:r>
              <w:rPr>
                <w:rFonts w:hint="eastAsia" w:ascii="宋体" w:hAnsi="宋体" w:eastAsia="宋体" w:cs="宋体"/>
                <w:spacing w:val="-15"/>
                <w:lang w:eastAsia="zh-CN"/>
              </w:rPr>
              <w:t xml:space="preserve">监督执法应用体系（监督执法端）、乡镇服务协同体系（乡镇园区端）、专业机构应用</w:t>
            </w:r>
            <w:r>
              <w:rPr>
                <w:rFonts w:hint="eastAsia" w:ascii="宋体" w:hAnsi="宋体" w:eastAsia="宋体" w:cs="宋体"/>
                <w:spacing w:val="-4"/>
                <w:lang w:eastAsia="zh-CN"/>
              </w:rPr>
              <w:t xml:space="preserve">体系（服务机构端）、惠企服务应用体系</w:t>
            </w:r>
            <w:r>
              <w:rPr>
                <w:rFonts w:hint="eastAsia" w:ascii="宋体" w:hAnsi="宋体" w:eastAsia="宋体" w:cs="宋体"/>
                <w:spacing w:val="-15"/>
                <w:lang w:eastAsia="zh-CN"/>
              </w:rPr>
              <w:t xml:space="preserve">（用人单位端）、惠民服务应用体系（劳动</w:t>
            </w:r>
            <w:r>
              <w:rPr>
                <w:rFonts w:hint="eastAsia" w:ascii="宋体" w:hAnsi="宋体" w:eastAsia="宋体" w:cs="宋体"/>
                <w:spacing w:val="-2"/>
                <w:lang w:eastAsia="zh-CN"/>
              </w:rPr>
              <w:t xml:space="preserve">者端）和数据交换</w:t>
            </w:r>
            <w:r>
              <w:rPr>
                <w:rFonts w:hint="eastAsia" w:ascii="宋体" w:hAnsi="宋体" w:eastAsia="宋体" w:cs="宋体"/>
                <w:spacing w:val="-30"/>
                <w:lang w:eastAsia="zh-CN"/>
              </w:rPr>
              <w:t xml:space="preserve"> </w:t>
            </w:r>
            <w:r>
              <w:rPr>
                <w:rFonts w:hint="eastAsia" w:ascii="宋体" w:hAnsi="宋体" w:eastAsia="宋体" w:cs="宋体"/>
                <w:spacing w:val="-2"/>
                <w:lang w:eastAsia="zh-CN"/>
              </w:rPr>
              <w:t xml:space="preserve">9 个主要板块构成。</w:t>
            </w:r>
            <w:r/>
          </w:p>
        </w:tc>
      </w:tr>
      <w:tr>
        <w:trPr>
          <w:trHeight w:val="563"/>
        </w:trPr>
        <w:tc>
          <w:tcPr>
            <w:tcW w:w="1005" w:type="dxa"/>
            <w:textDirection w:val="lrTb"/>
            <w:noWrap w:val="false"/>
          </w:tcPr>
          <w:p>
            <w:pPr>
              <w:jc w:val="center"/>
              <w:spacing w:line="243" w:lineRule="auto"/>
              <w:rPr>
                <w:rFonts w:ascii="宋体" w:hAnsi="宋体" w:cs="宋体"/>
                <w:sz w:val="24"/>
                <w:szCs w:val="24"/>
              </w:rPr>
            </w:pPr>
            <w:r>
              <w:rPr>
                <w:rFonts w:ascii="宋体" w:hAnsi="宋体" w:cs="宋体"/>
                <w:sz w:val="24"/>
                <w:szCs w:val="24"/>
              </w:rPr>
            </w:r>
            <w:r/>
          </w:p>
          <w:p>
            <w:pPr>
              <w:ind w:left="294"/>
              <w:jc w:val="center"/>
              <w:spacing w:before="61" w:line="189" w:lineRule="auto"/>
              <w:rPr>
                <w:rFonts w:ascii="宋体" w:hAnsi="宋体" w:cs="宋体"/>
                <w:sz w:val="24"/>
                <w:szCs w:val="24"/>
              </w:rPr>
            </w:pPr>
            <w:r>
              <w:rPr>
                <w:rFonts w:hint="eastAsia" w:ascii="宋体" w:hAnsi="宋体" w:cs="宋体"/>
                <w:sz w:val="24"/>
                <w:szCs w:val="24"/>
              </w:rPr>
              <w:t xml:space="preserve">2</w:t>
            </w:r>
            <w:r/>
          </w:p>
        </w:tc>
        <w:tc>
          <w:tcPr>
            <w:tcBorders>
              <w:bottom w:val="none" w:color="000000" w:sz="4" w:space="0"/>
            </w:tcBorders>
            <w:tcW w:w="1326" w:type="dxa"/>
            <w:vMerge w:val="restart"/>
            <w:textDirection w:val="lrTb"/>
            <w:noWrap w:val="false"/>
          </w:tcPr>
          <w:p>
            <w:pPr>
              <w:pStyle w:val="1088"/>
              <w:ind w:left="115"/>
              <w:jc w:val="center"/>
              <w:spacing w:before="269" w:line="219" w:lineRule="auto"/>
              <w:rPr>
                <w:rFonts w:ascii="宋体" w:hAnsi="宋体" w:eastAsia="宋体" w:cs="宋体"/>
                <w:sz w:val="24"/>
                <w:szCs w:val="24"/>
              </w:rPr>
            </w:pPr>
            <w:r>
              <w:rPr>
                <w:rFonts w:hint="eastAsia" w:ascii="宋体" w:hAnsi="宋体" w:eastAsia="宋体" w:cs="宋体"/>
                <w:spacing w:val="-3"/>
                <w:sz w:val="24"/>
                <w:szCs w:val="24"/>
              </w:rPr>
              <w:t xml:space="preserve">硬件服务</w:t>
            </w:r>
            <w:r/>
          </w:p>
        </w:tc>
        <w:tc>
          <w:tcPr>
            <w:tcW w:w="1960" w:type="dxa"/>
            <w:textDirection w:val="lrTb"/>
            <w:noWrap w:val="false"/>
          </w:tcPr>
          <w:p>
            <w:pPr>
              <w:pStyle w:val="1088"/>
              <w:ind w:left="118"/>
              <w:jc w:val="center"/>
              <w:spacing w:before="269" w:line="219" w:lineRule="auto"/>
              <w:rPr>
                <w:rFonts w:ascii="宋体" w:hAnsi="宋体" w:eastAsia="宋体" w:cs="宋体"/>
                <w:sz w:val="24"/>
                <w:szCs w:val="24"/>
              </w:rPr>
            </w:pPr>
            <w:r>
              <w:rPr>
                <w:rFonts w:hint="eastAsia" w:ascii="宋体" w:hAnsi="宋体" w:eastAsia="宋体" w:cs="宋体"/>
                <w:spacing w:val="-2"/>
                <w:sz w:val="24"/>
                <w:szCs w:val="24"/>
              </w:rPr>
              <w:t xml:space="preserve">超融合一体机</w:t>
            </w:r>
            <w:r/>
          </w:p>
        </w:tc>
        <w:tc>
          <w:tcPr>
            <w:tcW w:w="851" w:type="dxa"/>
            <w:textDirection w:val="lrTb"/>
            <w:noWrap w:val="false"/>
          </w:tcPr>
          <w:p>
            <w:pPr>
              <w:pStyle w:val="1088"/>
              <w:ind w:left="248"/>
              <w:jc w:val="center"/>
              <w:spacing w:before="268" w:line="218" w:lineRule="auto"/>
              <w:rPr>
                <w:rFonts w:ascii="宋体" w:hAnsi="宋体" w:eastAsia="宋体" w:cs="宋体"/>
                <w:sz w:val="24"/>
                <w:szCs w:val="24"/>
              </w:rPr>
            </w:pPr>
            <w:r>
              <w:rPr>
                <w:rFonts w:hint="eastAsia" w:ascii="宋体" w:hAnsi="宋体" w:eastAsia="宋体" w:cs="宋体"/>
                <w:spacing w:val="-5"/>
                <w:sz w:val="24"/>
                <w:szCs w:val="24"/>
              </w:rPr>
              <w:t xml:space="preserve">3</w:t>
            </w:r>
            <w:r>
              <w:rPr>
                <w:rFonts w:hint="eastAsia" w:ascii="宋体" w:hAnsi="宋体" w:eastAsia="宋体" w:cs="宋体"/>
                <w:spacing w:val="35"/>
                <w:sz w:val="24"/>
                <w:szCs w:val="24"/>
              </w:rPr>
              <w:t xml:space="preserve"> </w:t>
            </w:r>
            <w:r>
              <w:rPr>
                <w:rFonts w:hint="eastAsia" w:ascii="宋体" w:hAnsi="宋体" w:eastAsia="宋体" w:cs="宋体"/>
                <w:spacing w:val="-5"/>
                <w:sz w:val="24"/>
                <w:szCs w:val="24"/>
              </w:rPr>
              <w:t xml:space="preserve">台</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6"/>
        </w:trPr>
        <w:tc>
          <w:tcPr>
            <w:tcW w:w="1005" w:type="dxa"/>
            <w:textDirection w:val="lrTb"/>
            <w:noWrap w:val="false"/>
          </w:tcPr>
          <w:p>
            <w:pPr>
              <w:jc w:val="center"/>
              <w:spacing w:line="244" w:lineRule="auto"/>
              <w:rPr>
                <w:rFonts w:ascii="宋体" w:hAnsi="宋体" w:cs="宋体"/>
                <w:sz w:val="24"/>
                <w:szCs w:val="24"/>
              </w:rPr>
            </w:pPr>
            <w:r>
              <w:rPr>
                <w:rFonts w:ascii="宋体" w:hAnsi="宋体" w:cs="宋体"/>
                <w:sz w:val="24"/>
                <w:szCs w:val="24"/>
              </w:rPr>
            </w:r>
            <w:r/>
          </w:p>
          <w:p>
            <w:pPr>
              <w:ind w:left="298"/>
              <w:jc w:val="center"/>
              <w:spacing w:before="61" w:line="189"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21"/>
              <w:jc w:val="center"/>
              <w:spacing w:before="270" w:line="216" w:lineRule="auto"/>
              <w:rPr>
                <w:rFonts w:ascii="宋体" w:hAnsi="宋体" w:eastAsia="宋体" w:cs="宋体"/>
                <w:sz w:val="24"/>
                <w:szCs w:val="24"/>
              </w:rPr>
            </w:pPr>
            <w:r>
              <w:rPr>
                <w:rFonts w:hint="eastAsia" w:ascii="宋体" w:hAnsi="宋体" w:eastAsia="宋体" w:cs="宋体"/>
                <w:spacing w:val="-6"/>
                <w:sz w:val="24"/>
                <w:szCs w:val="24"/>
              </w:rPr>
              <w:t xml:space="preserve">存储</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 xml:space="preserve">FC</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 xml:space="preserve">交换机</w:t>
            </w:r>
            <w:r/>
          </w:p>
        </w:tc>
        <w:tc>
          <w:tcPr>
            <w:tcW w:w="851" w:type="dxa"/>
            <w:textDirection w:val="lrTb"/>
            <w:noWrap w:val="false"/>
          </w:tcPr>
          <w:p>
            <w:pPr>
              <w:pStyle w:val="1088"/>
              <w:ind w:left="244"/>
              <w:jc w:val="center"/>
              <w:spacing w:before="269" w:line="218" w:lineRule="auto"/>
              <w:rPr>
                <w:rFonts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 xml:space="preserve">台</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3"/>
        </w:trPr>
        <w:tc>
          <w:tcPr>
            <w:tcW w:w="1005" w:type="dxa"/>
            <w:textDirection w:val="lrTb"/>
            <w:noWrap w:val="false"/>
          </w:tcPr>
          <w:p>
            <w:pPr>
              <w:jc w:val="center"/>
              <w:spacing w:line="244" w:lineRule="auto"/>
              <w:rPr>
                <w:rFonts w:ascii="宋体" w:hAnsi="宋体" w:cs="宋体"/>
                <w:sz w:val="24"/>
                <w:szCs w:val="24"/>
              </w:rPr>
            </w:pPr>
            <w:r>
              <w:rPr>
                <w:rFonts w:ascii="宋体" w:hAnsi="宋体" w:cs="宋体"/>
                <w:sz w:val="24"/>
                <w:szCs w:val="24"/>
              </w:rPr>
            </w:r>
            <w:r/>
          </w:p>
          <w:p>
            <w:pPr>
              <w:ind w:left="293"/>
              <w:jc w:val="center"/>
              <w:spacing w:before="61" w:line="189" w:lineRule="auto"/>
              <w:rPr>
                <w:rFonts w:ascii="宋体" w:hAnsi="宋体" w:cs="宋体"/>
                <w:sz w:val="24"/>
                <w:szCs w:val="24"/>
              </w:rPr>
            </w:pPr>
            <w:r>
              <w:rPr>
                <w:rFonts w:hint="eastAsia" w:ascii="宋体" w:hAnsi="宋体" w:cs="宋体"/>
                <w:sz w:val="24"/>
                <w:szCs w:val="24"/>
              </w:rPr>
              <w:t xml:space="preserve">4</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17"/>
              <w:jc w:val="center"/>
              <w:spacing w:before="270" w:line="219" w:lineRule="auto"/>
              <w:rPr>
                <w:rFonts w:ascii="宋体" w:hAnsi="宋体" w:eastAsia="宋体" w:cs="宋体"/>
                <w:sz w:val="24"/>
                <w:szCs w:val="24"/>
              </w:rPr>
            </w:pPr>
            <w:r>
              <w:rPr>
                <w:rFonts w:hint="eastAsia" w:ascii="宋体" w:hAnsi="宋体" w:eastAsia="宋体" w:cs="宋体"/>
                <w:spacing w:val="-2"/>
                <w:sz w:val="24"/>
                <w:szCs w:val="24"/>
              </w:rPr>
              <w:t xml:space="preserve">服务接入交换机</w:t>
            </w:r>
            <w:r/>
          </w:p>
        </w:tc>
        <w:tc>
          <w:tcPr>
            <w:tcW w:w="851" w:type="dxa"/>
            <w:textDirection w:val="lrTb"/>
            <w:noWrap w:val="false"/>
          </w:tcPr>
          <w:p>
            <w:pPr>
              <w:pStyle w:val="1088"/>
              <w:ind w:left="244"/>
              <w:jc w:val="center"/>
              <w:spacing w:before="269" w:line="218" w:lineRule="auto"/>
              <w:rPr>
                <w:rFonts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 xml:space="preserve">台</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6"/>
        </w:trPr>
        <w:tc>
          <w:tcPr>
            <w:tcW w:w="1005" w:type="dxa"/>
            <w:textDirection w:val="lrTb"/>
            <w:noWrap w:val="false"/>
          </w:tcPr>
          <w:p>
            <w:pPr>
              <w:jc w:val="center"/>
              <w:spacing w:line="248" w:lineRule="auto"/>
              <w:rPr>
                <w:rFonts w:ascii="宋体" w:hAnsi="宋体" w:cs="宋体"/>
                <w:sz w:val="24"/>
                <w:szCs w:val="24"/>
              </w:rPr>
            </w:pPr>
            <w:r>
              <w:rPr>
                <w:rFonts w:ascii="宋体" w:hAnsi="宋体" w:cs="宋体"/>
                <w:sz w:val="24"/>
                <w:szCs w:val="24"/>
              </w:rPr>
            </w:r>
            <w:r/>
          </w:p>
          <w:p>
            <w:pPr>
              <w:ind w:left="300"/>
              <w:jc w:val="center"/>
              <w:spacing w:before="61" w:line="186"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17"/>
              <w:jc w:val="center"/>
              <w:spacing w:before="271" w:line="219" w:lineRule="auto"/>
              <w:rPr>
                <w:rFonts w:ascii="宋体" w:hAnsi="宋体" w:eastAsia="宋体" w:cs="宋体"/>
                <w:sz w:val="24"/>
                <w:szCs w:val="24"/>
              </w:rPr>
            </w:pPr>
            <w:r>
              <w:rPr>
                <w:rFonts w:hint="eastAsia" w:ascii="宋体" w:hAnsi="宋体" w:eastAsia="宋体" w:cs="宋体"/>
                <w:spacing w:val="-2"/>
                <w:sz w:val="24"/>
                <w:szCs w:val="24"/>
              </w:rPr>
              <w:t xml:space="preserve">核心防火墙</w:t>
            </w:r>
            <w:r/>
          </w:p>
        </w:tc>
        <w:tc>
          <w:tcPr>
            <w:tcW w:w="851" w:type="dxa"/>
            <w:textDirection w:val="lrTb"/>
            <w:noWrap w:val="false"/>
          </w:tcPr>
          <w:p>
            <w:pPr>
              <w:pStyle w:val="1088"/>
              <w:ind w:left="264"/>
              <w:jc w:val="center"/>
              <w:spacing w:before="270" w:line="218"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34"/>
                <w:sz w:val="24"/>
                <w:szCs w:val="24"/>
              </w:rPr>
              <w:t xml:space="preserve"> </w:t>
            </w:r>
            <w:r>
              <w:rPr>
                <w:rFonts w:hint="eastAsia" w:ascii="宋体" w:hAnsi="宋体" w:eastAsia="宋体" w:cs="宋体"/>
                <w:spacing w:val="-13"/>
                <w:sz w:val="24"/>
                <w:szCs w:val="24"/>
              </w:rPr>
              <w:t xml:space="preserve">台</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4"/>
        </w:trPr>
        <w:tc>
          <w:tcPr>
            <w:tcW w:w="1005" w:type="dxa"/>
            <w:textDirection w:val="lrTb"/>
            <w:noWrap w:val="false"/>
          </w:tcPr>
          <w:p>
            <w:pPr>
              <w:jc w:val="center"/>
              <w:spacing w:line="245" w:lineRule="auto"/>
              <w:rPr>
                <w:rFonts w:ascii="宋体" w:hAnsi="宋体" w:cs="宋体"/>
                <w:sz w:val="24"/>
                <w:szCs w:val="24"/>
              </w:rPr>
            </w:pPr>
            <w:r>
              <w:rPr>
                <w:rFonts w:ascii="宋体" w:hAnsi="宋体" w:cs="宋体"/>
                <w:sz w:val="24"/>
                <w:szCs w:val="24"/>
              </w:rPr>
            </w:r>
            <w:r/>
          </w:p>
          <w:p>
            <w:pPr>
              <w:ind w:left="299"/>
              <w:jc w:val="center"/>
              <w:spacing w:before="61" w:line="189" w:lineRule="auto"/>
              <w:rPr>
                <w:rFonts w:ascii="宋体" w:hAnsi="宋体" w:cs="宋体"/>
                <w:sz w:val="24"/>
                <w:szCs w:val="24"/>
              </w:rPr>
            </w:pPr>
            <w:r>
              <w:rPr>
                <w:rFonts w:hint="eastAsia" w:ascii="宋体" w:hAnsi="宋体" w:cs="宋体"/>
                <w:sz w:val="24"/>
                <w:szCs w:val="24"/>
              </w:rPr>
              <w:t xml:space="preserve">6</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23"/>
              <w:jc w:val="center"/>
              <w:spacing w:before="271" w:line="219" w:lineRule="auto"/>
              <w:rPr>
                <w:rFonts w:ascii="宋体" w:hAnsi="宋体" w:eastAsia="宋体" w:cs="宋体"/>
                <w:sz w:val="24"/>
                <w:szCs w:val="24"/>
              </w:rPr>
            </w:pPr>
            <w:r>
              <w:rPr>
                <w:rFonts w:hint="eastAsia" w:ascii="宋体" w:hAnsi="宋体" w:eastAsia="宋体" w:cs="宋体"/>
                <w:spacing w:val="-3"/>
                <w:sz w:val="24"/>
                <w:szCs w:val="24"/>
              </w:rPr>
              <w:t xml:space="preserve">主机防护系统</w:t>
            </w:r>
            <w:r/>
          </w:p>
        </w:tc>
        <w:tc>
          <w:tcPr>
            <w:tcW w:w="851" w:type="dxa"/>
            <w:textDirection w:val="lrTb"/>
            <w:noWrap w:val="false"/>
          </w:tcPr>
          <w:p>
            <w:pPr>
              <w:pStyle w:val="1088"/>
              <w:ind w:left="211"/>
              <w:jc w:val="center"/>
              <w:spacing w:before="270" w:line="223" w:lineRule="auto"/>
              <w:rPr>
                <w:rFonts w:ascii="宋体" w:hAnsi="宋体" w:eastAsia="宋体" w:cs="宋体"/>
                <w:sz w:val="24"/>
                <w:szCs w:val="24"/>
              </w:rPr>
            </w:pPr>
            <w:r>
              <w:rPr>
                <w:rFonts w:hint="eastAsia" w:ascii="宋体" w:hAnsi="宋体" w:eastAsia="宋体" w:cs="宋体"/>
                <w:spacing w:val="-8"/>
                <w:sz w:val="24"/>
                <w:szCs w:val="24"/>
              </w:rPr>
              <w:t xml:space="preserve">10</w:t>
            </w:r>
            <w:r>
              <w:rPr>
                <w:rFonts w:hint="eastAsia" w:ascii="宋体" w:hAnsi="宋体" w:eastAsia="宋体" w:cs="宋体"/>
                <w:spacing w:val="14"/>
                <w:sz w:val="24"/>
                <w:szCs w:val="24"/>
              </w:rPr>
              <w:t xml:space="preserve"> </w:t>
            </w:r>
            <w:r>
              <w:rPr>
                <w:rFonts w:hint="eastAsia" w:ascii="宋体" w:hAnsi="宋体" w:eastAsia="宋体" w:cs="宋体"/>
                <w:spacing w:val="-8"/>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6"/>
        </w:trPr>
        <w:tc>
          <w:tcPr>
            <w:tcW w:w="1005" w:type="dxa"/>
            <w:textDirection w:val="lrTb"/>
            <w:noWrap w:val="false"/>
          </w:tcPr>
          <w:p>
            <w:pPr>
              <w:jc w:val="center"/>
              <w:spacing w:line="249" w:lineRule="auto"/>
              <w:rPr>
                <w:rFonts w:ascii="宋体" w:hAnsi="宋体" w:cs="宋体"/>
                <w:sz w:val="24"/>
                <w:szCs w:val="24"/>
              </w:rPr>
            </w:pPr>
            <w:r>
              <w:rPr>
                <w:rFonts w:ascii="宋体" w:hAnsi="宋体" w:cs="宋体"/>
                <w:sz w:val="24"/>
                <w:szCs w:val="24"/>
              </w:rPr>
            </w:r>
            <w:r/>
          </w:p>
          <w:p>
            <w:pPr>
              <w:ind w:left="298"/>
              <w:jc w:val="center"/>
              <w:spacing w:before="60" w:line="186" w:lineRule="auto"/>
              <w:rPr>
                <w:rFonts w:ascii="宋体" w:hAnsi="宋体" w:cs="宋体"/>
                <w:sz w:val="24"/>
                <w:szCs w:val="24"/>
              </w:rPr>
            </w:pPr>
            <w:r>
              <w:rPr>
                <w:rFonts w:hint="eastAsia" w:ascii="宋体" w:hAnsi="宋体" w:cs="宋体"/>
                <w:sz w:val="24"/>
                <w:szCs w:val="24"/>
              </w:rPr>
              <w:t xml:space="preserve">7</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18"/>
              <w:jc w:val="center"/>
              <w:spacing w:before="271" w:line="219" w:lineRule="auto"/>
              <w:rPr>
                <w:rFonts w:ascii="宋体" w:hAnsi="宋体" w:eastAsia="宋体" w:cs="宋体"/>
                <w:sz w:val="24"/>
                <w:szCs w:val="24"/>
              </w:rPr>
            </w:pPr>
            <w:r>
              <w:rPr>
                <w:rFonts w:hint="eastAsia" w:ascii="宋体" w:hAnsi="宋体" w:eastAsia="宋体" w:cs="宋体"/>
                <w:spacing w:val="-2"/>
                <w:sz w:val="24"/>
                <w:szCs w:val="24"/>
              </w:rPr>
              <w:t xml:space="preserve">终端准入系统</w:t>
            </w:r>
            <w:r/>
          </w:p>
        </w:tc>
        <w:tc>
          <w:tcPr>
            <w:tcW w:w="851" w:type="dxa"/>
            <w:textDirection w:val="lrTb"/>
            <w:noWrap w:val="false"/>
          </w:tcPr>
          <w:p>
            <w:pPr>
              <w:pStyle w:val="1088"/>
              <w:ind w:left="264"/>
              <w:jc w:val="center"/>
              <w:spacing w:before="271"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0"/>
        </w:trPr>
        <w:tc>
          <w:tcPr>
            <w:tcW w:w="1005" w:type="dxa"/>
            <w:textDirection w:val="lrTb"/>
            <w:noWrap w:val="false"/>
          </w:tcPr>
          <w:p>
            <w:pPr>
              <w:jc w:val="center"/>
              <w:spacing w:line="246" w:lineRule="auto"/>
              <w:rPr>
                <w:rFonts w:ascii="宋体" w:hAnsi="宋体" w:cs="宋体"/>
                <w:sz w:val="24"/>
                <w:szCs w:val="24"/>
              </w:rPr>
            </w:pPr>
            <w:r>
              <w:rPr>
                <w:rFonts w:ascii="宋体" w:hAnsi="宋体" w:cs="宋体"/>
                <w:sz w:val="24"/>
                <w:szCs w:val="24"/>
              </w:rPr>
            </w:r>
            <w:r/>
          </w:p>
          <w:p>
            <w:pPr>
              <w:ind w:left="303"/>
              <w:jc w:val="center"/>
              <w:spacing w:before="60" w:line="189" w:lineRule="auto"/>
              <w:rPr>
                <w:rFonts w:ascii="宋体" w:hAnsi="宋体" w:cs="宋体"/>
                <w:sz w:val="24"/>
                <w:szCs w:val="24"/>
              </w:rPr>
            </w:pPr>
            <w:r>
              <w:rPr>
                <w:rFonts w:hint="eastAsia" w:ascii="宋体" w:hAnsi="宋体" w:cs="宋体"/>
                <w:sz w:val="24"/>
                <w:szCs w:val="24"/>
              </w:rPr>
              <w:t xml:space="preserve">8</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62"/>
              <w:jc w:val="center"/>
              <w:spacing w:before="271" w:line="219" w:lineRule="auto"/>
              <w:rPr>
                <w:rFonts w:ascii="宋体" w:hAnsi="宋体" w:eastAsia="宋体" w:cs="宋体"/>
                <w:sz w:val="24"/>
                <w:szCs w:val="24"/>
              </w:rPr>
            </w:pPr>
            <w:r>
              <w:rPr>
                <w:rFonts w:hint="eastAsia" w:ascii="宋体" w:hAnsi="宋体" w:eastAsia="宋体" w:cs="宋体"/>
                <w:spacing w:val="-10"/>
                <w:sz w:val="24"/>
                <w:szCs w:val="24"/>
              </w:rPr>
              <w:t xml:space="preserve">日志审计系统</w:t>
            </w:r>
            <w:r/>
          </w:p>
        </w:tc>
        <w:tc>
          <w:tcPr>
            <w:tcW w:w="851" w:type="dxa"/>
            <w:textDirection w:val="lrTb"/>
            <w:noWrap w:val="false"/>
          </w:tcPr>
          <w:p>
            <w:pPr>
              <w:pStyle w:val="1088"/>
              <w:ind w:left="264"/>
              <w:jc w:val="center"/>
              <w:spacing w:before="271"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6"/>
        </w:trPr>
        <w:tc>
          <w:tcPr>
            <w:tcW w:w="1005" w:type="dxa"/>
            <w:textDirection w:val="lrTb"/>
            <w:noWrap w:val="false"/>
          </w:tcPr>
          <w:p>
            <w:pPr>
              <w:jc w:val="center"/>
              <w:spacing w:line="247" w:lineRule="auto"/>
              <w:rPr>
                <w:rFonts w:ascii="宋体" w:hAnsi="宋体" w:cs="宋体"/>
                <w:sz w:val="24"/>
                <w:szCs w:val="24"/>
              </w:rPr>
            </w:pPr>
            <w:r>
              <w:rPr>
                <w:rFonts w:ascii="宋体" w:hAnsi="宋体" w:cs="宋体"/>
                <w:sz w:val="24"/>
                <w:szCs w:val="24"/>
              </w:rPr>
            </w:r>
            <w:r/>
          </w:p>
          <w:p>
            <w:pPr>
              <w:ind w:left="298"/>
              <w:jc w:val="center"/>
              <w:spacing w:before="60" w:line="189" w:lineRule="auto"/>
              <w:rPr>
                <w:rFonts w:ascii="宋体" w:hAnsi="宋体" w:cs="宋体"/>
                <w:sz w:val="24"/>
                <w:szCs w:val="24"/>
              </w:rPr>
            </w:pPr>
            <w:r>
              <w:rPr>
                <w:rFonts w:hint="eastAsia" w:ascii="宋体" w:hAnsi="宋体" w:cs="宋体"/>
                <w:sz w:val="24"/>
                <w:szCs w:val="24"/>
              </w:rPr>
              <w:t xml:space="preserve">9</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20"/>
              <w:jc w:val="center"/>
              <w:spacing w:before="272" w:line="219" w:lineRule="auto"/>
              <w:rPr>
                <w:rFonts w:ascii="宋体" w:hAnsi="宋体" w:eastAsia="宋体" w:cs="宋体"/>
                <w:sz w:val="24"/>
                <w:szCs w:val="24"/>
              </w:rPr>
            </w:pPr>
            <w:r>
              <w:rPr>
                <w:rFonts w:hint="eastAsia" w:ascii="宋体" w:hAnsi="宋体" w:eastAsia="宋体" w:cs="宋体"/>
                <w:spacing w:val="-2"/>
                <w:sz w:val="24"/>
                <w:szCs w:val="24"/>
              </w:rPr>
              <w:t xml:space="preserve">安全访问审计系统</w:t>
            </w:r>
            <w:r/>
          </w:p>
        </w:tc>
        <w:tc>
          <w:tcPr>
            <w:tcW w:w="851" w:type="dxa"/>
            <w:textDirection w:val="lrTb"/>
            <w:noWrap w:val="false"/>
          </w:tcPr>
          <w:p>
            <w:pPr>
              <w:pStyle w:val="1088"/>
              <w:ind w:left="264"/>
              <w:jc w:val="center"/>
              <w:spacing w:before="272"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64"/>
        </w:trPr>
        <w:tc>
          <w:tcPr>
            <w:tcW w:w="1005" w:type="dxa"/>
            <w:textDirection w:val="lrTb"/>
            <w:noWrap w:val="false"/>
          </w:tcPr>
          <w:p>
            <w:pPr>
              <w:jc w:val="center"/>
              <w:spacing w:line="247" w:lineRule="auto"/>
              <w:rPr>
                <w:rFonts w:ascii="宋体" w:hAnsi="宋体" w:cs="宋体"/>
                <w:sz w:val="24"/>
                <w:szCs w:val="24"/>
              </w:rPr>
            </w:pPr>
            <w:r>
              <w:rPr>
                <w:rFonts w:ascii="宋体" w:hAnsi="宋体" w:cs="宋体"/>
                <w:sz w:val="24"/>
                <w:szCs w:val="24"/>
              </w:rPr>
            </w:r>
            <w:r/>
          </w:p>
          <w:p>
            <w:pPr>
              <w:ind w:left="262"/>
              <w:jc w:val="center"/>
              <w:spacing w:before="60" w:line="189" w:lineRule="auto"/>
              <w:rPr>
                <w:rFonts w:ascii="宋体" w:hAnsi="宋体" w:cs="宋体"/>
                <w:sz w:val="24"/>
                <w:szCs w:val="24"/>
              </w:rPr>
            </w:pPr>
            <w:r>
              <w:rPr>
                <w:rFonts w:hint="eastAsia" w:ascii="宋体" w:hAnsi="宋体" w:cs="宋体"/>
                <w:spacing w:val="-6"/>
                <w:sz w:val="24"/>
                <w:szCs w:val="24"/>
              </w:rPr>
              <w:t xml:space="preserve">10</w:t>
            </w:r>
            <w:r/>
          </w:p>
        </w:tc>
        <w:tc>
          <w:tcPr>
            <w:tcBorders>
              <w:top w:val="none" w:color="000000" w:sz="4" w:space="0"/>
              <w:bottom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17"/>
              <w:jc w:val="center"/>
              <w:spacing w:before="272" w:line="219" w:lineRule="auto"/>
              <w:rPr>
                <w:rFonts w:ascii="宋体" w:hAnsi="宋体" w:eastAsia="宋体" w:cs="宋体"/>
                <w:sz w:val="24"/>
                <w:szCs w:val="24"/>
              </w:rPr>
            </w:pPr>
            <w:r>
              <w:rPr>
                <w:rFonts w:hint="eastAsia" w:ascii="宋体" w:hAnsi="宋体" w:eastAsia="宋体" w:cs="宋体"/>
                <w:spacing w:val="-2"/>
                <w:sz w:val="24"/>
                <w:szCs w:val="24"/>
              </w:rPr>
              <w:t xml:space="preserve">数据库审计系统</w:t>
            </w:r>
            <w:r/>
          </w:p>
        </w:tc>
        <w:tc>
          <w:tcPr>
            <w:tcW w:w="851" w:type="dxa"/>
            <w:textDirection w:val="lrTb"/>
            <w:noWrap w:val="false"/>
          </w:tcPr>
          <w:p>
            <w:pPr>
              <w:pStyle w:val="1088"/>
              <w:ind w:left="264"/>
              <w:jc w:val="center"/>
              <w:spacing w:before="272"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571"/>
        </w:trPr>
        <w:tc>
          <w:tcPr>
            <w:tcW w:w="1005" w:type="dxa"/>
            <w:textDirection w:val="lrTb"/>
            <w:noWrap w:val="false"/>
          </w:tcPr>
          <w:p>
            <w:pPr>
              <w:jc w:val="center"/>
              <w:spacing w:line="247" w:lineRule="auto"/>
              <w:rPr>
                <w:rFonts w:ascii="宋体" w:hAnsi="宋体" w:cs="宋体"/>
                <w:sz w:val="24"/>
                <w:szCs w:val="24"/>
              </w:rPr>
            </w:pPr>
            <w:r>
              <w:rPr>
                <w:rFonts w:ascii="宋体" w:hAnsi="宋体" w:cs="宋体"/>
                <w:sz w:val="24"/>
                <w:szCs w:val="24"/>
              </w:rPr>
            </w:r>
            <w:r/>
          </w:p>
          <w:p>
            <w:pPr>
              <w:ind w:left="266"/>
              <w:jc w:val="center"/>
              <w:spacing w:before="60" w:line="189" w:lineRule="auto"/>
              <w:rPr>
                <w:rFonts w:ascii="宋体" w:hAnsi="宋体" w:cs="宋体"/>
                <w:sz w:val="24"/>
                <w:szCs w:val="24"/>
              </w:rPr>
            </w:pPr>
            <w:r>
              <w:rPr>
                <w:rFonts w:hint="eastAsia" w:ascii="宋体" w:hAnsi="宋体" w:cs="宋体"/>
                <w:spacing w:val="-8"/>
                <w:sz w:val="24"/>
                <w:szCs w:val="24"/>
              </w:rPr>
              <w:t xml:space="preserve">11</w:t>
            </w:r>
            <w:r/>
          </w:p>
        </w:tc>
        <w:tc>
          <w:tcPr>
            <w:tcBorders>
              <w:top w:val="none" w:color="000000" w:sz="4" w:space="0"/>
            </w:tcBorders>
            <w:tcW w:w="1326" w:type="dxa"/>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960" w:type="dxa"/>
            <w:textDirection w:val="lrTb"/>
            <w:noWrap w:val="false"/>
          </w:tcPr>
          <w:p>
            <w:pPr>
              <w:pStyle w:val="1088"/>
              <w:ind w:left="121"/>
              <w:jc w:val="center"/>
              <w:spacing w:before="272" w:line="220" w:lineRule="auto"/>
              <w:rPr>
                <w:rFonts w:ascii="宋体" w:hAnsi="宋体" w:eastAsia="宋体" w:cs="宋体"/>
                <w:sz w:val="24"/>
                <w:szCs w:val="24"/>
              </w:rPr>
            </w:pPr>
            <w:r>
              <w:rPr>
                <w:rFonts w:hint="eastAsia" w:ascii="宋体" w:hAnsi="宋体" w:eastAsia="宋体" w:cs="宋体"/>
                <w:spacing w:val="-3"/>
                <w:sz w:val="24"/>
                <w:szCs w:val="24"/>
              </w:rPr>
              <w:t xml:space="preserve">漏洞扫描系统</w:t>
            </w:r>
            <w:r/>
          </w:p>
        </w:tc>
        <w:tc>
          <w:tcPr>
            <w:tcW w:w="851" w:type="dxa"/>
            <w:textDirection w:val="lrTb"/>
            <w:noWrap w:val="false"/>
          </w:tcPr>
          <w:p>
            <w:pPr>
              <w:pStyle w:val="1088"/>
              <w:ind w:left="264"/>
              <w:jc w:val="center"/>
              <w:spacing w:before="272" w:line="223" w:lineRule="auto"/>
              <w:rPr>
                <w:rFonts w:ascii="宋体" w:hAnsi="宋体" w:eastAsia="宋体" w:cs="宋体"/>
                <w:sz w:val="24"/>
                <w:szCs w:val="24"/>
              </w:rPr>
            </w:pPr>
            <w:r>
              <w:rPr>
                <w:rFonts w:hint="eastAsia" w:ascii="宋体" w:hAnsi="宋体" w:eastAsia="宋体" w:cs="宋体"/>
                <w:spacing w:val="-13"/>
                <w:sz w:val="24"/>
                <w:szCs w:val="24"/>
              </w:rPr>
              <w:t xml:space="preserve">1</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套</w:t>
            </w:r>
            <w:r/>
          </w:p>
        </w:tc>
        <w:tc>
          <w:tcPr>
            <w:tcW w:w="4248"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spacing w:line="5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1.4.建设期限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建设周期自合同签订之日起为12个月，系统开发及上线自合同签订之日起6个月。</w:t>
      </w:r>
      <w:r/>
    </w:p>
    <w:p>
      <w:pPr>
        <w:ind w:firstLine="482"/>
        <w:spacing w:line="5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 软件系统要求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总体技术要求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2.1.1.技术设计要求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立统一的应用系统平台，各种应用的统一管理，简单维护，实现集中控制访问权限，集中管理身份、策略和服务，并且技术上要先进、成熟、可靠、稳定和安全，该项目需能够适配信创要求，整个项目是交钥匙工程，包含软件信创适配和改造费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 技术路线</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平台的技术路线需满足以下要求：1.应用服务满足安全可靠要求、 2.采用浏 览端/服务器（B/S）架构、3.采用微服务架构模式、4. 系统建设以现有标准的业务系统数据为核心、5.基于数据交换平台的信息资源整合、6.基于数据分析挖掘的智能管理、7.支持 IPv4/IPv6 双栈、8.应用平台基于国产或开源操作系统、数据库开发。</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 性能要求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1.响应时间</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专线接入方式的带宽假设为 50M：</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数据采集录入，客户端响应时间&lt;3 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批量数据查询， 90％的响应时间&lt;5 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数据统计汇总， 90％的响应时间&lt;5 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2.吞吐量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从业务角度需求的吞吐量为 300TPS。</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3.资源利用率</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Web 服务器、应用服务器和数据库服务器 CPU 空闲率＞50%；</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中心网络空闲率＞50％。</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 安全要求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根据数据安全保护法相关要求，本项目围绕着建设的平台系统进行针对性的 网络安全规划与设计，确保系统上线后具备网络边界访问控制、恶意代码检测、 漏洞管理、准入管控、日志审计、运维管理等能力，满足合规要求的同时有效应对勒索病毒、钓鱼攻击以及数据泄漏等风险。</w:t>
      </w:r>
      <w:r>
        <w:rPr>
          <w:rFonts w:hint="eastAsia" w:ascii="宋体" w:hAnsi="宋体" w:cs="宋体"/>
          <w:color w:val="000000" w:themeColor="text1"/>
          <w:sz w:val="24"/>
          <w:szCs w:val="24"/>
          <w14:textFill>
            <w14:solidFill>
              <w14:schemeClr w14:val="tx1"/>
            </w14:solidFill>
          </w14:textFill>
        </w:rPr>
        <w:t xml:space="preserve">项目承建方需提供网络安全安全前期规划、网络安全产品部署调试、数据传输符合三级等保要求，协助用户完成等保测试、日常网络安全巡检维护等工作。</w:t>
      </w:r>
      <w:r>
        <w:rPr>
          <w:rFonts w:ascii="宋体" w:hAnsi="宋体" w:cs="宋体"/>
          <w:color w:val="000000" w:themeColor="text1"/>
          <w:sz w:val="24"/>
          <w:szCs w:val="24"/>
          <w14:textFill>
            <w14:solidFill>
              <w14:schemeClr w14:val="tx1"/>
            </w14:solidFill>
          </w14:textFill>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2.2.功能设计要求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2.2.1.集约化部署门户网站</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平台建设将兼容整合所有信息系统，需包括行政管理端、监督执法端、乡镇园区端、用人单位端、劳动者端、 服务机构端等系统、将所有系统业务功能集合于一体，通过统一门户实现各系统间的业务协同，各业务间的流程关联。功能需主要包含系统门户、政策咨询、行业专栏、信息公示、投诉举报、信息发布等。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2.2.1.1.系统门户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通过建立统一业务应用集成门户需将行政管理端、监督执法端、乡镇园区端、用人单位端、劳动者端、服务机构端集成应用，实现跨数据、跨应用和跨平台的无缝接入和集成，为各类用户提供快速、灵活的、个性化的综合信息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2.2.1.2.政策咨询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公示职业健康相关的各类政策法规，需包含信息动态、法律法规、规范文件、卫生规章、行业标准等，供用人单位实时查阅职业健康政策，同时提供咨询远程技术支持服务，解决客户日常性技术咨询、对系统的询问、对终端操作的咨询、对系统设备运行情况的周期性询问等可以通过远程电话指导方式进行日常性技术支持和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2.2.1.3.行业专栏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系统需实现通过建立行业专栏模块，用户可以获得关于职业健康与安全的专 业知识、最新趋势、实践经验和解决问题的建议。专栏文章可以帮助用人单位和劳动者了解并应对工作场所中的健康和安全问题，提高职业健康管理水平，创造更安全、健康的工作环境。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2.2.1.4.信息公示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系统需实现公示监管部门已经审阅过的职业健康检查机构、职业卫生技术服 务机构、放射卫生技术服务机构、职业病诊断机构、职业病鉴定机构。公示信息 点包含机构名称、联系人、联系电话等。以及公示全市健康企业和健康达人名单。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2.2.1.5.投诉举报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系统需提供投诉举报窗口，提供社会公众、劳动者对相关违法行为进行在线 投诉举报窗口，并与监管机构联动，达到全民监督的目的。系统支持发起无档投诉，投诉信息主要包含：单位/个人名称、所属地区、经营地址、投诉内容、投诉详情、资料上传、您的姓名、身份证号、您的性别、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2.2.1.6.信息发布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需实现各级卫生行政机构、监督机构、疾控中心可在系统中可以进行本级各 类信息的发布，包括宣传材料、通知公告等信息在系统中进行发布到下级机构单位、用人单位，并在系统中查看各级单位的查阅情况。具体功能如下：</w:t>
      </w:r>
      <w:r/>
    </w:p>
    <w:p>
      <w:pPr>
        <w:ind w:firstLine="480"/>
        <w:jc w:val="left"/>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需实现信息上传主要包括信息类型、标题、内容、附件（支持WORD/EXCEL/PDF/压缩文件等）等信息。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需实现设定业务交流的查阅范围，通过查阅级别、查阅单位（支持单个单位、定向发布）两个维度进行信息发布，灵活开展业务交流权限的控制。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2.2.2.微服务基础支撑系统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扬州市职业健康智慧管理系统基础应用统一管理，主要需包含注册管理、申诉管理、注销管理、组织架构、权限管理、菜单管理、用户管理、管理员管理、行政区划管理、定时任务管理、短信发送记录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2.2.2.1.注册管理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1.用人单位注册管理</w:t>
      </w:r>
      <w:r/>
    </w:p>
    <w:p>
      <w:pPr>
        <w:ind w:firstLine="480"/>
        <w:spacing w:line="500" w:lineRule="exact"/>
        <w:rPr>
          <w:rFonts w:ascii="宋体" w:hAnsi="宋体" w:cs="宋体"/>
          <w:bCs/>
          <w:i/>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投标</w:t>
      </w:r>
      <w:r>
        <w:rPr>
          <w:rFonts w:hint="eastAsia" w:ascii="宋体" w:hAnsi="宋体" w:cs="宋体"/>
          <w:i/>
          <w:iCs/>
          <w:color w:val="000000" w:themeColor="text1"/>
          <w:sz w:val="24"/>
          <w:szCs w:val="24"/>
          <w:u w:val="single"/>
          <w14:textFill>
            <w14:solidFill>
              <w14:schemeClr w14:val="tx1"/>
            </w14:solidFill>
          </w14:textFill>
        </w:rPr>
        <w:t xml:space="preserve">人</w:t>
      </w:r>
      <w:r>
        <w:rPr>
          <w:rFonts w:hint="eastAsia" w:ascii="宋体" w:hAnsi="宋体" w:cs="宋体"/>
          <w:i/>
          <w:iCs/>
          <w:color w:val="000000" w:themeColor="text1"/>
          <w:sz w:val="24"/>
          <w:szCs w:val="24"/>
          <w:u w:val="single"/>
          <w14:textFill>
            <w14:solidFill>
              <w14:schemeClr w14:val="tx1"/>
            </w14:solidFill>
          </w14:textFill>
        </w:rPr>
        <w:t xml:space="preserve">需要承诺，能够对接处理获取江苏省用人单位职业健康服务平台中扬州市注册的用人单位申报数据，用人单位可以通江苏省用人单位职业健 康服务平台的账号、密码登入本系统，已注册单位无需重复注册，对接所有费用包含在本项目范围内</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须</w:t>
      </w:r>
      <w:r>
        <w:rPr>
          <w:rFonts w:hint="eastAsia" w:ascii="宋体" w:hAnsi="宋体" w:cs="宋体"/>
          <w:i/>
          <w:iCs/>
          <w:color w:val="000000" w:themeColor="text1"/>
          <w:sz w:val="24"/>
          <w:szCs w:val="24"/>
          <w:u w:val="single"/>
          <w14:textFill>
            <w14:solidFill>
              <w14:schemeClr w14:val="tx1"/>
            </w14:solidFill>
          </w14:textFill>
        </w:rPr>
        <w:t xml:space="preserve">提供</w:t>
      </w:r>
      <w:r>
        <w:rPr>
          <w:rFonts w:hint="eastAsia" w:ascii="宋体" w:hAnsi="宋体" w:cs="宋体"/>
          <w:i/>
          <w:iCs/>
          <w:color w:val="000000" w:themeColor="text1"/>
          <w:sz w:val="24"/>
          <w:szCs w:val="24"/>
          <w:u w:val="single"/>
          <w14:textFill>
            <w14:solidFill>
              <w14:schemeClr w14:val="tx1"/>
            </w14:solidFill>
          </w14:textFill>
        </w:rPr>
        <w:t xml:space="preserve">承诺函</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格式</w:t>
      </w:r>
      <w:r>
        <w:rPr>
          <w:rFonts w:hint="eastAsia" w:ascii="宋体" w:hAnsi="宋体" w:cs="宋体"/>
          <w:i/>
          <w:iCs/>
          <w:color w:val="000000" w:themeColor="text1"/>
          <w:sz w:val="24"/>
          <w:szCs w:val="24"/>
          <w:u w:val="single"/>
          <w14:textFill>
            <w14:solidFill>
              <w14:schemeClr w14:val="tx1"/>
            </w14:solidFill>
          </w14:textFill>
        </w:rPr>
        <w:t xml:space="preserve">自拟</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原件扫描上传</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w:t>
      </w:r>
      <w:r>
        <w:rPr>
          <w:i/>
          <w:iCs/>
          <w:u w:val="single"/>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首次使用系统的单位，需可通过系统进行注册登记，登记信息包含单位所在地区、用人单位名称、统一社会信用代码、单位场所地址、单位注册地址、法定代表人、同意申报承诺书、是否分支机构。</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2.职业健康技术服务机构管理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机构注册信息：技术机构需能自行注册公司账号、管理公司账号信息，并引导操作人员填写公司基本信息。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用户登录后，系统需提醒、引导技术机构完成用人单位信息的登记，以便于监管机构能全面了解技术机构的详细信息。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2.2.2.2.申诉管理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系统需支持用人单位在被他人注册或注册手机号已失效的情况下，可通过账号申诉找回。</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2.2.2.3.注销管理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系统需支持用人单位营业执照注销后，在系统申请注销账号，注销需监管部门审核。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2.2.2.4.组织架构</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系统管理员需可以对系统用户的组织架构进行新增、编辑、删除等操作； 需 可新增的机构类型包括卫生行政部门、监督所、疾控中心、用人单位、第三方技术服务机构等。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2.2.2.5.权限管理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系统管理员需可以对系统用户的权限进行管理，可对不同的角色分配不同权限的功能；需支持对角色进行停用、编辑、删除等操作。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2.2.2.6.菜单管理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系统管理员需可以对系统用户的权限进行管理，可修改菜单名称、菜单层级、菜单URL，可对菜单进行停用、删除操作</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需可对功能按钮进行维护。</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2.2.2.7.用户管理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系统管理员需支持可以对系统用户进行管理，可对用户进行菜单分配、角色分配；需可对用户进行添加、停用、编辑、删除等操作。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2.2.2.8.行政区划管理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系统需实现对系统行政区划管理，属地可以对用人单位的区划进行调整，并可以进行批量调整。</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2.2.2.9.定时任务管理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1.定时任务列表查询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定时任务列表查询条件需包含任务描述和状态，查询结果包含任务编码、任务描述、规则表达式和操作模块。</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2.定时任务编辑</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定时任务编辑需支持可对定时任务规则表达式进行修改。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3.定时任务停用/启用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在定时任务列表操作字段内点击停用需可对定时任务进行限制使用，点击启用按钮可赋予定时任务使用权限。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2.2.2.10.短信发送记录（含短信对接）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用于对短信发送记录的管理，需实现可以查询短信服务是否正常、每日发送 数量、收件人信息等信息，对所有记录进行操作留痕。并实现与卫健委短信系统对接实现短消息发送。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2.2.3.智慧监管应用体系（行政管理端）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2.2.3.1.大数据决策分析系统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需实现数据可视化展示及管理，全面直观了解职业健康工作开展情况和各类 工作发展趋势，为职业健康工作决策提供辅助支持。需支持主要包含职业病防治 电子地图、职业健康业务数据分析可视化、用人单位职业健康管理可视化、用人单位按行政区划、地区统计分析、用人单位按危害项目申报统计分析、职业病危害因素分布分析、职业病分布分析、职业健康检查机构统计分析、职业卫生技术服务机构统计分析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2.2.3.1.1.职业病防治电子地图</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针对职业健康业务领域的所有参与角色，需支持进行多图层全局宏观数据展 示与分析。需可对职业健康技术服务机构分布、监督执法机构分布、用人单位分类分级分布、卫生行政部门分布等情况做到全面掌握。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2.2.3.1.2.职业健康业务数据分析可视化</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需实现职业健康重点业务信息“一屏所览”，监管部门按地区将从宏观到微 观，层层展开区域内职业防治整体情况。需实现可从危害项目申报、建设项目三同时、职业病危害因素检测与评价、职业健康检查、职业健康培训、风险分类分级等不同视角切换，全面掌握辖区内职业卫生工作开展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2.2.3.1.3.用人单位职业健康管理可视化</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监管部门需可了解辖区内各单位的用人单位情况以及具体的地理位置分布 情况。同时系统利用大数据挖掘与深度掘取技术，并通过数据可视化的分层显示 技术，逐步展开详细数据，需实现可深入了解用人单位微观层了解单位用人单位年度体检情况、年度培训情况、职业病危害因素分布、危害因素车间分布 TOP5情况，以及通过地图展示用人单位基本情况。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2.2.3.1.4.用人单位按行政区划、地区统计分析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需可针对区域内所有用人单位涉及的危害因素种类，进行综合统计分析。需可按危害因素种类、地区、行业分类等维度进行精细化分析。从用人单位在册职 工数、外委总人数、接害总人数（含外委）、职业病累计人数和用人单位个数等情况展示。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2.2.3.1.5.用人单位按危害项目申报统计分析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可针对区域内用人单位职业病危害项目申报情况统计分析，可按地区、行业分类和申报日期等维度进行精细化分析，从申报总数、申报单位数、未审核数、审核通过数和审核不通过数等情况进行综合分析，并形成统计分析报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2.2.3.1.6.职业病危害因素分布分析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需支持可针对区域内所有用人单位涉及的危害因素种类，进行综合统计分析。 需可按危害因素种类、地区、行业分类等维度进行精细化分析。并可结合职业健康检查实时数据，横向对比，智能评估区域内重点危害情况。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2.2.3.1.7.职业病分布分析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可对区域内所有职业病类型进行综合统计分析，分析辖区内疑似职业病、确诊职业病的数量与种类情况。需从区域的角度查看不同辖区内的劳动者健康情况，评估区域职业卫生监管工作开展情况。需从职业健康检查机构的角度， 查看职业病检出情况。需支持可进一步细化至用人单位进行横向对比， 根据用人 单位规模、行业、涉害人数等维度，评估用人单位职业病防治工作开展情况做到监管有的放矢，智能可靠。</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2.2.3.1.8.职业健康检查机构工作统计分析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系统需可对职业健康检查机构在辖区范围内开展职业健康检查工作情况的 统计分析，需可从辖区职业健康检查机构体检的用人单位工作分布情况、体检职工情况综合分析。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2.2.3.1.9.职业卫生技术服务机构工作统计分析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系统需可对职业卫生技术服务机构在辖区范围内开展职业病危害因素检测 与评价的工作量统计分析，需可从辖区职业卫生技术服务机构检测的单位检测数情况综合分析。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2.2.3.2.大数据风险预警系统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需支持从用人单位新增职业病、职业健康检查、作业场所检测、危害项目申报、职业健康培训、职业卫生“三同时”等角度定位风险隐患单位。需实现通过 短信通知、系统消息等多种方式分类分级推送给用人单位、乡镇（园区服务站）、监督执法部门和行政管理部门，辅助监督执法部门精准化监管。主要包含智能预警模型、实时智能预警、风险隐患单位风险处置管理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2.2.3.2.1.预警模型建立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系统需实现风险评估预警模型建立，主要包含预警类型、时间基准、预警内容、预警接收人员等。具体预警模型包含如下：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需实现可对用人单位超期未申报进行预警提醒功能，督促未年度更新完成申报工作。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需对区域单位时间内、用人单位体检复查指标数据连续异常超过设定阈值进行预警，做到对用人单位职业健康检查率、检查规范率、疑似职业病、确诊职业病、职业禁忌证等情况做到全面掌握。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需可对职业病人增加情况进行智能预警。对区域单位时间内、用人单位职业病人申报数据连续增加超过设定阈值进行预警。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需可对危害因素监测超标情况进行智能预警。对区域单位时间内、用人单位作业场所职业危害因素监测指标数据连续异常超过设定阈值进行预警。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需可对各类监督管理工作进行智能预警。通过数据交换信息，提醒卫生监督机构对需要申报的相关用人单位进行督促申报。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主要包括：</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1.危害项目申报超期临期预警模型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系统需对超期、临期未进行危害项目申报的用人单位管理员发送预警消息，提醒该单位管理人员落实依法申报。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作业场所整改填报预警模型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技术机构填报场所检测数据后，若有超标数据，系统需实现自动给对应用人单位发送预警消息，提醒用人单位进行依法处置。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检测评价临超期预警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根据用人单位职业病危害严重程度，在检测评价临期、超期时需发送预警消息，预警消息发送给用人单位。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职业健康培训临超期预警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对用人单位主要负责人和职业健康管理人员培训证明临期、超期时需发送预警消息，预警消息发送给用人单位。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 用人单位体检复查数据异常预警模型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系统需对获取到的体检数据进行分析预警，对复查有异常的劳动者体检数据，自动推送给对应用人单位，提醒用人单位进行依法处置。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 职业禁忌证、疑似职业病情况预警模型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系统需对获取到的体检数据进行分析预警，对体检结果为疑似职业病、职业 禁忌证的重点数据进行预警，消息推送给对应用人单位，提醒用人单位进行后续处理。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 新增职业病预警模型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系统需对获取到的职业病诊断数据进行分析预警，将新增职业病消息推送给对应用人单位，提醒用人单位进行后续处理。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2.2.3.2.2.实时智能预警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需支持系统发送和短信发送两种模式。一旦触发预警模型，系统自动通过预警模型配置内容发送给相关人员提醒处理。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功能包括短信发送及系统消息发送。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短信发送：需通过短信将预警消息发送给对应用户手机。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系统消息发送：需通过系统消息将预警消息发送给对应用户。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2.2.3.2.3.风险隐患单位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依据《关于建立职业健康领域风险隐患排查化解工作制度》的通知建立风险隐患单位，从用人单位职业健康检查相关异常、疑似职业病、新增职业病等方面形成一般隐患单位、挂牌隐患单位，并可以查看到具体的个案数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2.2.3.2.4.风险处置管理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卫生监管部门需可通过风险处置管理功能查看用人单位处置疑似职业病、确认职业病和职业禁忌证等风险预警处置情况。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2.2.3.3.用人单位综合档案系统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建立以法人户为索引，主要需包括用人单位基本信息、职业病危害项目申报档案、劳动者健康监护管理档案、危害因素监测与检测评价档案、建设项目“三同时”档案、监督检查档案、行政处罚档案、自查自纠档案、风险分级档案、在线教育培训档案、投诉举报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2.2.3.3.1.职业危害因素项目申报档案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需建立扬州市职业病危害项目及用人单位基本档案信息，通过该模块需可以查看申报用人单位的基本信息、产品信息、接触的职业危害因素、年度职业健康监护情况和年度检测情况信息。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2.2.3.3.2.劳动者职业健康监护管理档案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需支持从江苏省职业病防治信息管理平台中获取劳动者的职业健康监护档</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案，对于疑似职业病或确诊职业病的个案数据进行查看。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2.2.3.3.3.职业病危害因素检测与现状评价档案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需支持由职业病用人单位委托有资质的职业卫生技术服务机构对工作场所</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职业病危害因素分布与浓（强）度进行年度检测、评价档案。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2.2.3.3.4.职业健康在线教育培训档案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需针对职业健康管理人员、用人单位法人等不同对接，利用在线培训资源进行培训考核管理，形成培训档案记录，需通过该模块可查看用人单位法人、职业卫生管理人员年度培训和考核情况。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2.2.3.3.5.建设项目“三同时”档案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需建立用人单位三同时档案，通过该模块可查看用人单位建设项目基本信息库、职业病危害预评价报告、职业病防护设施设计报告、职业病危害控制效果评价报告。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2.2.3.3.6.用人单位风险分类档案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需根据职业卫生评定标准对单位进行评定，计算该单位的分值、等级危害程度，通过该模块可查看单位的风险分类情况。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2.2.3.3.7.用人单位自查自纠档案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需建立扬州市用人单位自查自纠档案，通过该模块可查看自查单位情况， 对年度未自查的单位进行监督检查。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2.2.3.3.8.监督检查档案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需通过该模块可以查询到对职业卫生用人单位的监督检查信息及附件材料。 监督检查档案包含任务类型、检查日期、检查结论、检查机构、卫生监督员、双随机执行单号、检查内容，以及文书和相关材料。</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2.2.3.3.9.行政处罚档案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通过该模块可以查询到对职业卫生用人单位的行政处罚档案及附件材料。行政处罚档案包含案件查处编号、案件来源、案由、违法事实、处罚程序、做出行政处罚决定日期、行政处罚决定、处罚文号或编号、结案情况、其他处理情况和文书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2.2.3.3.10.投诉举报档案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需通过该模块可以查询到对职业卫生用人单位的投诉举报档案及附件材料。</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2.2.3.4.监管部门管理待办系统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需实现对职业病危害项目申报、用人单位申诉注销、职业健康技术服务机构审阅等在系统端在线审核。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2.2.3.4.1.职业病危害因素申报审核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监管人员需可对用人单位职业病危害项目申报数据进行审核，填写审核意见，完成审核。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2.2.3.4.2.用人单位注销申诉审核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系统需实现对用人单位账号申诉和注销进行审核。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2.2.3.4.3.职业健康技术服务机构审阅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监管人员需通过职业健康技术服务机构审阅模块可以对职业卫生技术服务 机构、放射卫生技术服务机构、职业病诊断机构、职业检查机构报备的信息进行审阅，填写审阅意见，完成审核。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2.2.3.4.4.用人单位风险评估审核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监管人员需对用人单位风险评估结果数据和附件材料进行审核，填写审核意见，完成审核。</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2.2.3.5.职业病危害专项治理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监管部门和用人单位需通过职业病危害专项治理模块单点集成跳转至国家职业病危害项目申报系统完成职业病危害专项治理，避免用户登录多个系统。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2.2.3.6.健康企业与健康达人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监管部门和用人单位需通过健康企业模块单点集成跳转至江苏省用人单位 职业健康服务平台完成开展健康企业与健康达人申报审核工作，避免用户用人单位登录多个系统。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2.2.4.监督执法应用体系（监督执法端）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地江苏省卫生监督平台，需实现与职业健康监管系统的业务协同，监管系统中的申报数据、疑似职业病数据、工作场所超标数据可实时推送至智慧卫监系统，各级卫生监督机构及时开展监督检查、案件查处工作，同时执法系统产生的用人单位监督检查、整改要求、行政处罚记录，也会推送至职业健康监管系统，真正做到精准执法，提升监督执法效能。具体系统建设功能如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2.2.4.1.行政检查系统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1.职业卫生用人单位档案管理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系统需根据职业危害项目申报后的记录生成或更新职业卫生用人单位本底</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档案，便于后期监督执法。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2.日常监督检查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日常监督需主要是对属地管理范围的职业卫生用人单位开展经常性监督检 查工作。主要功能包括：监督检查结果填报、现场笔录文书制作、监督意见书制作。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3.国家、省级双随机监督检查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需主要实现国家双随机任务下达接收和双随机完成率等统计分析。主要功能如下：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待办任务：监督员需可以从待办任务中查询到自己需要处理完成的双随机任务，监督员需可以通过移动执法系统进行监督任务检查，并将结果上传平台。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汇总统计：需根据监督员任务完成情况，进行统计任务的完成率、完结率。系统需通过条形图展示各专业，各地区显示监督员任务总数、任务完成数、任务关闭数。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2.2.4.2.行政处罚系统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系统要求采集、处理各类行政处罚措施信息，出具现场执法文书，实现与日常监督检查、抽检、投诉管理、卫生监督员管理和卫生监督信息报告系统的衔接。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支持引导用户进行处罚流程的操作，进行受理、立案、调查、案件终结、案件合议、分管领导审批、行政机关审批、处罚告知、陈述申辩及听证、行政处罚决定、送达、结案、归档等流程管理以及简易执法流程管理。主要功能要求如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1.本系统作为全市各级卫生健康执法机构使用的系统，流程管理能够按照卫生健康执法机构的实际工作情况进行调整配置。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2.对于监督检查中发现的违法行为，处罚办理过程根据业务办理需要自动关联相关的监督记录，并显示管理相对人信息、违法行为信息等功能。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3.行政处罚系统需集成国家规范用语库，选择违法事实后，系统可自动出具相关违法条款以及处罚依据。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4.实现全部卫生行政处罚文书的制作以及审批流程管理，各种文书间同类项目要求系统可以信息继承自动生成。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5.行政处罚信息采集项目设置满足国家卫生健康监督管理平台接口规范的</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要求，结案后将处罚报告卡相关信息上传国家卫生健康监督管理平台。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6.系统能够出具符合《卫生行政执法文书规范》的卫生监督执法文书功能，并能定制常用文书，通用的元素会自动套用，文书生成后可以直接打印。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7.系统中涉及文书采用电子签名、签章技术集成监督员电子签名，文书根据业务信息自动生成电子文书并上传服务器，无需监督员二次扫描归档过程。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8.行政处罚过程中对每一个流程进行时限提醒，并引导至下一步流程。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9.卫生健康监督执法智能辅助功能，自动出具适用法律条款、处理建议、相关历史案例参考。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2.2.4.3.投诉举报系统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本系统需主要实现对群众投诉举报、上级交办信息进行登记、受理、转交办、调查取证、处理回复、归档等流程管理。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本系统需作为卫生健康监督机构使用的系统，流程管理需要能够按照各卫生健康监督机构的实际工作情况，进行调整配置。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1.投诉登记：需主要处理群众投诉、上级交办的信息登记受理， 同时被投诉单位信息需要能够与户档案信息关联管理。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2.受理审批：需对于投诉登记的信息能够进行受理、不予受理、移送其他部门。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3.业务办理：受理人员根据审批意见，需进行业务交办、转办和移送，并生成该环节的相应文书。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4.调查取证：对于投诉举报的信息需进行进一步调查取证、存储采集相关证据、文书附件信息。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5.调查反馈：需将投诉举报的调查结果反馈给受理部门，上传调查报告。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6.处理回复：对于需要回复的投诉信息需进行相关回复信息登记、办结。</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7.归档：对于已办结的投诉举报事项过程中产生的相应的文档资料、现场查证资料等需进行档案编号，整理归档。</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8.投诉举报系统审批过程中，提交或者驳回流程审批环节，案件待办事项需将固定发送内容以短信通知的方式发送给流程审批人。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2.2.4.4.信息报告系统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本系统主要需完成国家信息报告卡的综合管理和查询、上传状态、质量统计等功能。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系统需实现对于信息报告卡的处理，是由业务系统自动生成，即监督人员无需关心报告卡的制作过程，而只需要把精力关注到监督执法业务中。系统需会根据业务信息自动生成信息报告卡，并上报到上级卫生健康监督信息平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信息处理机制上，系统需支持集成了信息卡要求的基础质控体系标准和反馈机制。系统需会通过该质控评估预警反馈机制将上级卫生健康监督平台反馈的数据状态同步到本系统，并提醒监督员各类信息卡的上报状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2.2.4.5.移动执法系统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1.日常监督检查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日常监督检查模块，集成了国家信息报告卡标准检查项目以及卫生健康监督信息系统业务规范，需能够满足现场绝大多数监督检查的要求，将日常监督检查工作有效地进行统一、规范化。</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2.双随机监督检查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本模块是为了满足国家双随机检查要求和江苏省双随机检查要求，为了方便 监督员快速了解自己的监督任务，并及时检查上报而特别制定的功能。该模块需能够与信息平台中的双随机管理功能进行联动应用，即相关双随机任务的产生、完成与移动执法系统关联应用，信息平台中的任务产生后，对应监督人员的执法终端就会有相应的待检查任务，监督员完成监督后上传信息后，在信息平台中的任务状态就会变为完成状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3.用人单位职业健康档案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督执法部门需实现通过移动执法系统能够查看到用人单位基本信息、职业病危害项目申报档案、劳动者职业健康监护档案、职业病危害因素检测与评价档案、风险分类分级档案、在线教育培训档案等全过程档案。辅助监督人员顺利开展职业卫生被监督单位的现场日常监督、文书处理、案件查处等工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2.2.4.6.与 CA 平台集成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需与江苏省卫生监督所的CA系统进行集成，实现卫生监督现场执法文书的 个人电子签名以及电子签章功能，包括但不限于《现场笔录》、《现场监督意见书》、《当场行政处罚决定书》、《行政处罚事先告知文书》、《处罚决定书》等执法文书，便于执法文书的电子化归档。</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2.2.5.乡镇服务协同体系（乡镇园区端）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为乡镇（园区） 职业健康服务站建立用人单位服务管理系统，主要用于乡镇（园区）职业健康服务站人员开展区县监管部门发布的专项工作和常规巡查工作。以及帮助乡镇（园区）职业健康服务站人员通过系统软件便捷地与卫生监督员进行协同处置管理相对人违法、违规行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2.2.5.1.服务机构管理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主要管理辖区内乡镇（园区）职业健康服务站，需可以通过该模块创建、修改、停用辖区内的乡村服务站。主要包含信息点有所属地区、机构名称、社会信用代码、单位服务站人数、状态。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2.2.5.2.服务人员管理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需支持乡镇（园区）职业健康服务站管理员填报、修改、删除服务站人员信息并分配已有的权限给服务站人员。主要包含所属地区、服务站机构、姓名、身份证号、状态。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2.2.5.3.企业专项帮扶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2.2.5.3.1.任务下达接收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需实现监管部门可以建立企业用人单位帮扶计划，计划建立后直接下达给到乡镇（园区）职业健康服务站，乡镇（园区）职业健康服务站线上接并安排乡镇（园区）职业健康服务站人员。</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2.2.5.3.2.任务现况调查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需实现乡镇（园区）职业健康服务站人员现场使用移动终端对用人单位职业 病危害项目申报情况、职业健康培训情况、职业病危害因素定期检测与现状评价 情况、职业健康检查情况、个体防护用品等情况开展现况巡查。系统需内置职业健康管理标准题库， 在现场巡查完成之后自动生成《小微用人单位帮扶整改意见书》暨“一企一策”方案， 便于乡镇（园区）职业健康服务站人员帮助指导用人单位整改落实。现场巡查事项内容实现依托职业健康基础数据库和风险预警系统智能化匹配。辅助乡镇服务人员现场巡查。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2.2.5.3.3.企业日常服务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系统需实现移动上门服务功能，主要包含上门打卡签到、现场帮扶图片上传、上门帮扶内容等功能，便于现场帮扶工作全程追溯。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系统需建立在线惠企交流系统，各乡镇（园区）职业健康服务站人员入驻系统开展“一对一”线上指导，帮助用人单位快速落实整改意见。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2.2.5.3.4.任务效果评估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需支持监管部门对用人单位在移动端“效果评估”模块通过用人单位职业健康管理服务效果评估考核表对用人单位进行评分。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2.2.5.3.5.服务全程追溯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属地监管部门需能够全程追溯用人单位现况调查、用人单位线上线下服务和实施效果过程情况、效果评估和督导整改情况等。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2.2.5.4.企业日常巡查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乡镇（园区）职业健康服务站人员日常使用移动终端对用人单位职业健康方面进行巡查。系统需内置职业健康管理标准题库，在现场巡查完成之后自动生成《小微用人单位帮扶整改意见书》暨“一企一策”方案，便于乡镇（园区）职业健康服务站人员帮助指导用人单位整改落实。现场巡查事项内容实现依托职业健康基础数据库和风险预警系统智能化匹配。辅助乡镇（园区） 职业健康服务站人员现场巡查。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2.2.5.5.协同督导整改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乡镇（园区）职业健康服务站人员服务过程中用人单位多次不整改。需支持将不整改用人单位和整改事项反馈给属地卫生监督所的责任科室，责任科室再分 配工作给监督员，监督员接收到任务后，在手机端会有相应的监督任务， 可以进行专项监督检查。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2.2.5.6.监督任务分配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需支持乡镇（园区）职业健康服务站人员上报异常用人单位给监督机构， 一般由科室领导将待分配的监督工作分配给监督员，详情界面可查看用人单位信息，巡查检查记录，回访收集材料等内容。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2.2.5.7.企业回访服务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功能需用于乡镇（园区）职业健康服务站人员一企一策方案内的整改完成内容进行回访回访时，需可以对现场情况进行记录以及拍照取证。系统依据回访结果自动生成服务前后对比表。便于监管审查服务工作完成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2.2.6.专业机构应用体系（服务机构端）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需对职业健康技术服务机构的各类资质证明进行管理、备查。为用人单位技术服务把好关、守好门。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2.2.6.1.资质报告及更新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职业健康技术服务机构需可以登记及更新公司的服务资质，将资质证书上传系统进行报告，监管部门能掌握技术服务机构的资质情况，服务项目内容。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2.2.6.2.职业健康检查协议报告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职业健康检查机构用于维护与用人单位签订的体检协议，需包含用人单位名称、社会统一信用代码、签订时间等信息，并上传协议。相关协议监管部门需同步能够查询。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2.2.6.3.职业病危害因素检测协议报告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职业卫生技术服务机构用于维护与用人单位签订的检测协议， 需包含用人单位名称、社会统一信用代码、签订时间等信息， 并上传协议。相关协议监管部门需同步能够查询。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2.2.6.4.职业健康检查总结报告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职业健康检查机构用于维护用人单位职业健康检查总结报告， 需支持并实现关联从省防治平台的体检数据。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2.2.6.5.职业病危害因素检测报告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需将第三方技术服务机构纳入系统进行管理， 实现技术服务机构向职业健康监管系统填写、上报检测报告功能。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单位基本信息：需通过职业病危害项目申报后建立职业卫生用人单位本底档案数据，第三方技术服务机构可从已申报的职业卫生用人单位档案库中选择已有的单位。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检测结果信息包含：检测内容、采样地点、采样时间、检测报告以及用人单位超标信息。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对于日常监测过程中发现的项目超标情况，系统需进行提醒，用人单位需实现进行限期整改结果填报，上报到监管部门。整改信息主要包含：超标原因， 整改措施，复检结果（符合/不符合），复检报告，超标整改报告，支持通过手机扫码上传复检报告和超标整改报告。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2.2.6.6.现状评价报告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需由具备资质的职业卫生技术服务机构对用人单位工作场所职业病危害因 素及其接触水平、职业病防护设施及其他职业病防护措施与效果、职业病危害因素对劳动者的健康影响情况等进行综合评价，并出具评价报告。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2.2.6.7.“三同时”评价报告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建设单位对可能产生职业病危害的建设项目， 应当委托有资质的职业卫生技术服务机构进行职业病危害预评价、职业病防护设施设计、职业病危害控制效果评价及相应的评审。需支持并将用人单位“三同时”项目评价结果存入用人单位职业卫生档案。用人单位在填报本单位的“三同时”项目能够调取到评审评价结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2.2.7.惠企服务应用体系（用人单位端）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以着力提升监管惠民服务水平为关键点，打造涵盖用人单位职业健康服务，实现创新服务模式，改进工作作风、促进执法公开的信息惠民服务体系。</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2.2.7.1.职业健康管理画像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用人单位需通过门户进入之后可直接通过数据可视化展示各类关键统计分 析数据、待办事项、统计分析。对不同角色的权限进行针对性信息展示，使用户能第一时间掌握重要信息。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2.2.7.1.1.待办事项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需显示需要当前用户办理的待办事务，包括待申报提醒、信息关联提醒 、信息完善提醒、发放记录、检测记录智能提醒。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2.2.7.1.2.风险预警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需显示用人单位当前的风险评估得分，以及各年度工作的完成情况。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2.2.7.1.3.统计分析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需显示用人单位总员工数、接害员工数、危害等级、管理等级、职业体检率、 培训率、检测合格率、体检异常率、档案完成率。以及显示用人单位接害情况、职业健康培训情况、职业健康检查情况。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2.2.7.2.企业基本档案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2.2.7.2.1.基本信息管理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需可管理用人单位基本信息、主要产品、职业病危害基本情况等信息。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2.2.7.2.2.岗位（工种）管理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设置用人单位的部门车间组织结构，需实现多层级的组织构架设置要求， 同时，部门车间与岗位进行关联，使管理人员能及时掌握部门整体涉害情况。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用户可建立部门编码，方便后期进行部门数据对接及快速导入，部门排序。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所有已完成配置的岗位信息，需与部门车间的做智能关联提醒，帮助用户完成岗位与部门车间的梳理。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2.2.7.2.3.部门车间管理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需设置用人单位的部门车间组织结构，支持多层级的组织构架设置要求， 同时，部门车间与岗位进行关联，使管理人员能及时掌握部门整体涉害情况。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用户需可建立部门编码，方便后期进行部门数据对接及快速导入，部门排序。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所有已完成配置的岗位信息，需与部门车间的做智能关联提醒，帮助用户完成岗位与部门车间的梳理。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2.2.7.2.4.生产工艺流程管理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用于对工艺流程、工艺环节进行管理。主要功能需包括工艺流程的添加、编辑、删除、查询，在工艺流程下可添加、删除、停用、启用相应的工艺环节，以及维护各工艺环节所涉及的岗位。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2.2.7.2.5.危害设备管理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帮助用人单位管理可能产生职业病危害的设备，进行类别管理，并与部门车间、岗位关联，建立起危害设备与部门、岗位的关联关系，便于后期进行检测管理。同时系统能根据岗位所涉及危害因素进行智能提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2.2.7.2.6.原辅材料（产品）管理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需帮助用人单位对本单位所有涉害的各种原辅材料及产品、副产品和中间产品从危害因素的角度进行类别管理。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需与部门车间关联，建立起危害材料与部门的关联关系，便于后期进行检测管理。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需与岗位进行关联，根据岗位所涉及危害因素建立智能提醒。</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2.2.7.2.7.化学品管理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需帮助用人单位管理可能产生危害因素的化学品，成分，生产、供货用人单位、涉及的危害因素信息，对各类化学品进行类别管理，与危害因素相关联， 同时用人单位可上传 MSDS 报告，并形成 MSDS 报告基础库，方便进行综合检索查询。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需与部门车间关联，建立起危险化学品与部门的关联关系，便于后期进行检测管理。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2.2.7.2.8.防护设施管理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需管理用人单位的各类防护设施、应急救援设施，进行分类归档管理，用户能及时了解用人单位的防护设施基本信息，使用车间、生产单位、用途等信息。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用人单位还需能对防护设施的检修记录、费用进行精细化管理，同时能设置、智能提醒各类防护设施的维修时间。</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2.2.7.2.9.个人防护用品管理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用人单位在系统中需能高效地管理防护用品的采购，发放工作，劳动者进行领用签字确认，确保劳动者佩戴安全合格的防护用品，保护劳动者安全与健康。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个人防护用品主要功能需包括：防护用品管理、防护用品发放管理、防护用品领用管理。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2.2.7.2.10.警示标识管理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根据各类场所、设备、岗位所涉及的危害因素，提醒用人单位配备张贴对应的警示标识，帮助用人单位管理各类警示标识的张贴位置、标识种类、数量，警示内容等信息，同时，提供批量复制设置警示标识信息的功能，使用人单位能快速完成相关的工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2.2.7.3.员工信息管理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2.2.7.3.1.员工综合档案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功能需包括员工入职信息的添加、编辑、删除、查询，以及查看信息详情以及用人单位可查询单位下所有员工的档案信息，列表数据字段包含姓名、性别、工号、部门（车间）、岗位（工种）、手机号、证件类型、证件号码、是否外委、在职状态，员工体检记录、调动记录、防护用品发放记录、培训记录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2.2.7.3.2.员工调动管理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主要功能需包括员工的调岗、离职操作，并且在调入接害岗位后自动生成岗位危害告知待办。对已完成的调动记录可进行查询、撤销、删除操作。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2.2.7.3.3.岗位危害告知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需可对未开展岗位告知的员工进行告知， 可下载岗位危害告知单并进行上传。</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2.2.7.4.三同时项目管理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需对用人单位三同时建设项目进行全过程的档案信息管理，全面维护管理用人单位三同时建设项目职业危害预评价、设计审查、控制效果评价、竣工验收重要环节过程文档，参与人员、档案报告、原始资料档案。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需主要包括三同时项目信息管理、预评价阶段档案管理、设计审查阶段档案、控制效果评价、竣工验收阶段档案管理。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同时项目信息管理需包括：项目名称、项目类型、投资金额、项目负责人、联系电话、开始建设时间，完成时间、审查结论、存在的职业病危害因素、建设项目批准文件、建设项目职业病防治法律责任承诺书、工程改建扩建、维修、使用中变更的图纸及有关材料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2.2.7.5.职业病危害项目申报管理</w:t>
      </w:r>
      <w:r/>
    </w:p>
    <w:p>
      <w:pPr>
        <w:ind w:firstLine="480"/>
        <w:spacing w:line="500" w:lineRule="exact"/>
        <w:rPr>
          <w:rFonts w:ascii="宋体" w:hAnsi="宋体" w:cs="宋体"/>
          <w:bCs/>
          <w:i/>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投标人</w:t>
      </w:r>
      <w:r>
        <w:rPr>
          <w:rFonts w:hint="eastAsia" w:ascii="宋体" w:hAnsi="宋体" w:cs="宋体"/>
          <w:i/>
          <w:iCs/>
          <w:color w:val="000000" w:themeColor="text1"/>
          <w:sz w:val="24"/>
          <w:szCs w:val="24"/>
          <w:u w:val="single"/>
          <w14:textFill>
            <w14:solidFill>
              <w14:schemeClr w14:val="tx1"/>
            </w14:solidFill>
          </w14:textFill>
        </w:rPr>
        <w:t xml:space="preserve">需承诺扬州市需要申报职业病危害项目的用人单位，从国家系统或 省系统注册或登录时能够自动转向本系统，相关对接所有费用包含在本项目范</w:t>
      </w:r>
      <w:r>
        <w:rPr>
          <w:i/>
          <w:iCs/>
          <w:u w:val="single"/>
        </w:rPr>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围内</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须</w:t>
      </w:r>
      <w:r>
        <w:rPr>
          <w:rFonts w:hint="eastAsia" w:ascii="宋体" w:hAnsi="宋体" w:cs="宋体"/>
          <w:i/>
          <w:iCs/>
          <w:color w:val="000000" w:themeColor="text1"/>
          <w:sz w:val="24"/>
          <w:szCs w:val="24"/>
          <w:u w:val="single"/>
          <w14:textFill>
            <w14:solidFill>
              <w14:schemeClr w14:val="tx1"/>
            </w14:solidFill>
          </w14:textFill>
        </w:rPr>
        <w:t xml:space="preserve">提供</w:t>
      </w:r>
      <w:r>
        <w:rPr>
          <w:rFonts w:hint="eastAsia" w:ascii="宋体" w:hAnsi="宋体" w:cs="宋体"/>
          <w:i/>
          <w:iCs/>
          <w:color w:val="000000" w:themeColor="text1"/>
          <w:sz w:val="24"/>
          <w:szCs w:val="24"/>
          <w:u w:val="single"/>
          <w14:textFill>
            <w14:solidFill>
              <w14:schemeClr w14:val="tx1"/>
            </w14:solidFill>
          </w14:textFill>
        </w:rPr>
        <w:t xml:space="preserve">承诺函</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格式自拟</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原件</w:t>
      </w:r>
      <w:r>
        <w:rPr>
          <w:rFonts w:hint="eastAsia" w:ascii="宋体" w:hAnsi="宋体" w:cs="宋体"/>
          <w:i/>
          <w:iCs/>
          <w:color w:val="000000" w:themeColor="text1"/>
          <w:sz w:val="24"/>
          <w:szCs w:val="24"/>
          <w:u w:val="single"/>
          <w14:textFill>
            <w14:solidFill>
              <w14:schemeClr w14:val="tx1"/>
            </w14:solidFill>
          </w14:textFill>
        </w:rPr>
        <w:t xml:space="preserve">扫描上传</w:t>
      </w:r>
      <w:r>
        <w:rPr>
          <w:rFonts w:hint="eastAsia" w:ascii="宋体" w:hAnsi="宋体" w:cs="宋体"/>
          <w:i/>
          <w:iCs/>
          <w:color w:val="000000" w:themeColor="text1"/>
          <w:sz w:val="24"/>
          <w:szCs w:val="24"/>
          <w:u w:val="single"/>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为规范职业病危害项目的申报工作，加强对用人单位职业卫生工作的监督管理，根据《中华人民共和国职业病防治法》，涉及职业病危害的用人单位必须依 法进行职业病危害项目申报工作。本系统是通过对国家职业病危害项目申报系统的落地建设，并结合我市职业病危害现状和特点，增加相关信息采集， 同时建立我市职业病危害项目及用人单位基本档案信息。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2.2.7.6.职业健康培训查询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用人单位需可以查询到本单位培训情况和考核情况，并可以下载证书。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2.2.7.7.风险分类分级管理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依据国家、江苏省《用人单位职业病危害风险分级》标准需实现用人单位根据职业病危害风险和职业卫生管理状况分级结果综合评估，得出职业病危害综合风险类别。</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2.2.7.8.自查自纠管理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系统与监管系统需进行数据对接，根据监管系统的用人单位自查自纠题库，用人单位可进行科学的职业病防治自查自纠工作，制定检查内容，检查标准，负责部门，人员，发现的问题，整改措施。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系统需根据用人单位存在的职业病危害因素性质、接触水平、接触人数， 协助用人单位进行职业病危害暴露风险类别评估（低风险、中风险和高风险），并向监管部门申报。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需实现用人单位职业病危害综合风险分类评定管理，根据用人单位暴露风险类别和职业健康管理状况等级，对职业病危害综合风险进行评定（0 级、Ⅰ级、Ⅱ级、Ⅲ级和Ⅳ级）。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职业病防治责任自查及风险评估申报信息内容需包括：</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单位基本信息、职业卫生防治管理、职业病危害因素、职业病危害接触水平、职业健康管理情况。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2.2.7.9.台账档案管理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管理档案子系统主要根据《职业病防治法》及其他相关法规要求，帮助、引导用人单位快速建立各类职业病防治管理档案，使用人单位职业卫生工作符合法规要求，同时不断提高用人单位的职业卫生管理水平。</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管理档案子系统功能需包括：管理各类规章制度和操作规程，用人单位年度防治计划、经费、用人单位职业卫生培训等。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2.2.7.10.法定事项报告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系统需实现用人单位将本单位疑似职业病、职业病，以及隐患治理报告和治疗保障情况报告给属地监管部门。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2.2.8.惠民服务应用体系（劳动者端）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2.2.8.1.个人职业健康档案信息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劳动者需支持可通过手机端查询个人职业健康档案信息，提供劳动者职业健康检查结果、作业场所浓强度检测结果查询服务、体检连续性档案查询服务、劳动者危害因素接触史查询服务等。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2.2.8.2.岗位危害情况</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劳动者需可通过移动端查询个人所在岗位可能产生的职业病危害、后果及职业病防护措施。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2.2.8.3.职业健康科普小视频</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劳动者需可通过移动端随时查看职业健康科普小视频，增强职业健康防护意识。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2.2.8.4.电子公告栏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劳动者需能够通过电子公告栏模块查看到企业的管理制度、操作规程、应急预案、职业病危害因素检测结果。用人单位端需可支持维护管理。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2.3.数据交换要求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需实现与国家职业病危害项目申报系统、国家职业卫生技术服务机构管理系统、江苏省用人单位职业健康服务平台、江苏省病防治信息管理平台、江苏省卫生健康监督信息管理平台、江</w:t>
      </w:r>
      <w:r>
        <w:rPr>
          <w:rFonts w:hint="eastAsia" w:ascii="宋体" w:hAnsi="宋体" w:cs="宋体"/>
          <w:color w:val="000000" w:themeColor="text1"/>
          <w:sz w:val="24"/>
          <w:szCs w:val="24"/>
          <w14:textFill>
            <w14:solidFill>
              <w14:schemeClr w14:val="tx1"/>
            </w14:solidFill>
          </w14:textFill>
        </w:rPr>
        <w:t xml:space="preserve">苏省职业健康风险评估系统、扬州市职业健康在线监测系统、扬州市职业健康培训云平台，全民人口健康平台、大数据局政务管理系统、居民健康档案系统等数据共享集成，建设职业健康基础数据库和业务数据库，实现职业病危害申报、职业病与危害因素监测、职业健康检查、职业病报告、职业卫生监督执法、职业健康在线培训、应急救援与事故调查处理等信息的互联互通和共建共享，推动与发改、工信、政务、民政、人社等部门的信息共享。建立数据共享交换系统，构建全市职业健康数据交换体系，促进实现跨层级、跨区域、跨部门的数据共享与交换，确保数据来源准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2.3.1.与国家职业病危害项目申报系统集成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系统需实现将国家职业病危害项目申报系统的职业病危害专项治理子系统 集成应用。避免卫生监管部门及用人单位多系统登录。对接所有费用包含在本项目范围内。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2.3.2.与国家职业卫生技术服务机构管理系统对接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在省级职业健康系统实现与国家职业卫生技术服务机构管理系统的对接的</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情况下，市系统实现职业病危害因素检测评价数据直报省级职业健康系统，避免职业卫生技术服务机构重复填报，减轻第三方技术服务机构工作量。对接所有费用包含在本项目范围内。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2.3.3.与江苏省用人单位职业健康服务平台交换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江苏省用人单位职业健康服务平台信息交换，上报职业病危害用人单位本底档案。通过建立职业病危害项目申报信息报告体系，可以生成符合国家标准的数据，进行安全对接和完整的业务信息交换进而可以直接报送至国家平台，能够在线查看上报状态，并建立重发机制。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2.3.4.与江苏省职业病防治信息管理平台对接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与江苏省职业病防治平台的数据对接共享，掌握职业危害用人单位劳动者，职业健康检查档案、职业病诊断档案情况等个案信息，向监管部门推送预警相关信息（确诊职业病、疑似职业病信息）。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省职业病防治平台和区域职业健康管理平台用人单位进行数据“碰撞”，形成未申报用人单位名单，监管部门依据此名单准确获取未申报用人单位督促用人单位进行申报，增加全市用人单位职业危害项目申报率。</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2.3.5.与江苏省卫生健康监督信息管理平台对接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落地江苏省卫生健康监督综合管理平台，实现与职业健康监管系统的业务协同，为了保证卫生健康监督执法业务的标准化和统一化，扬州市卫生健康监督业务数据需要基于国家卫生健康监督信息平台的数据标准化和业务功能规范的要求进行开发和功能扩建，要做到能够自动产生国家要求的五类信息报告卡。同时利用和传输扬州市卫生监督执法系统的职业健康业务数据，实现与江苏省卫生健康监督管理平台的数据交换。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2.3.6.与江苏省职业健康风险评估系统对接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需实现与江苏省职业健康风险评估系统数据交换，在用人单位完成职业健康风险评估并通过监管部门审核后，将评估结果实时上报至江苏省职业健康风险评估系统。对接所有费用包含在本项目范围内。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2.3.7.与扬州市职业健康培训云平台数据对接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系统需实现与扬州市职业健康培训云平台对接获取扬州市内用人单位主要 负责人、职业健康管理人员在线培训考核、发证记录。对接所有费用包含在本项目范围内。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2.3.8.与扬州市职业健康在线监测系统集成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需将扬州市健康在线监测系统集成至统一门户，避免监管部门多系统登录。对接所有费用包含在本项目范围内。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2.3.9.与全民人口健康平台数据对接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实现与全民人口健康平台的业务数据对接，在技术服务机构完成注册登记后，将机构注册登记信息、人员信息、仪器设备信息同步到全民健康人口平台；并且定期上传职业健康服务过程结转数据。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2.3.10.与扬州市大数据局政务管理系统数据对接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完成与扬州市大数据局政务管理的业务数据对接，将本系统的用人单位申报数据、分类分级等数据同步到大数据局政务管理。同时从大数据局政务管理系统获取发改、工信、政务、民政、人社等部门相关数据。对接所有费用包含在本项目范围内。</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2.3.11.与居民健康档案系统数据对接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需实现将劳动者职业健康检查档案数据与居民健康档案系统数据对接，居民健康档案系统按照身份证和全市居民数据匹配，匹配上的形成居民健康的职业健康档案。未匹配上的劳动者在居民健康档案系统内提醒建档。对接所有费用包含在本项目范围内。</w:t>
      </w:r>
      <w:r/>
    </w:p>
    <w:p>
      <w:pPr>
        <w:ind w:firstLine="482"/>
        <w:spacing w:line="5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 硬件</w:t>
      </w:r>
      <w:r>
        <w:rPr>
          <w:rFonts w:hint="eastAsia" w:ascii="宋体" w:hAnsi="宋体" w:cs="宋体"/>
          <w:b/>
          <w:bCs/>
          <w:color w:val="000000" w:themeColor="text1"/>
          <w:sz w:val="24"/>
          <w:szCs w:val="24"/>
          <w14:textFill>
            <w14:solidFill>
              <w14:schemeClr w14:val="tx1"/>
            </w14:solidFill>
          </w14:textFill>
        </w:rPr>
        <w:t xml:space="preserve">技术</w:t>
      </w:r>
      <w:r>
        <w:rPr>
          <w:rFonts w:hint="eastAsia" w:ascii="宋体" w:hAnsi="宋体" w:cs="宋体"/>
          <w:b/>
          <w:bCs/>
          <w:color w:val="000000" w:themeColor="text1"/>
          <w:sz w:val="24"/>
          <w:szCs w:val="24"/>
          <w14:textFill>
            <w14:solidFill>
              <w14:schemeClr w14:val="tx1"/>
            </w14:solidFill>
          </w14:textFill>
        </w:rPr>
        <w:t xml:space="preserve">参数</w:t>
      </w:r>
      <w:r>
        <w:rPr>
          <w:rFonts w:hint="eastAsia" w:ascii="宋体" w:hAnsi="宋体" w:cs="宋体"/>
          <w:b/>
          <w:bCs/>
          <w:color w:val="000000" w:themeColor="text1"/>
          <w:sz w:val="24"/>
          <w:szCs w:val="24"/>
          <w14:textFill>
            <w14:solidFill>
              <w14:schemeClr w14:val="tx1"/>
            </w14:solidFill>
          </w14:textFill>
        </w:rPr>
        <w:t xml:space="preserve">要求</w:t>
      </w:r>
      <w:r/>
    </w:p>
    <w:p>
      <w:pPr>
        <w:ind w:firstLine="480"/>
        <w:spacing w:line="500" w:lineRule="exact"/>
        <w:rPr>
          <w:rFonts w:hint="eastAsia" w:ascii="宋体" w:hAnsi="宋体" w:cs="宋体"/>
          <w:i/>
          <w:iCs/>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投标</w:t>
      </w:r>
      <w:r>
        <w:rPr>
          <w:rFonts w:hint="eastAsia" w:ascii="宋体" w:hAnsi="宋体" w:cs="宋体"/>
          <w:i/>
          <w:iCs/>
          <w:color w:val="000000" w:themeColor="text1"/>
          <w:sz w:val="24"/>
          <w:szCs w:val="24"/>
          <w:u w:val="single"/>
          <w14:textFill>
            <w14:solidFill>
              <w14:schemeClr w14:val="tx1"/>
            </w14:solidFill>
          </w14:textFill>
        </w:rPr>
        <w:t xml:space="preserve">人</w:t>
      </w:r>
      <w:r>
        <w:rPr>
          <w:rFonts w:hint="eastAsia" w:ascii="宋体" w:hAnsi="宋体" w:cs="宋体"/>
          <w:i/>
          <w:iCs/>
          <w:color w:val="000000" w:themeColor="text1"/>
          <w:sz w:val="24"/>
          <w:szCs w:val="24"/>
          <w:u w:val="single"/>
          <w14:textFill>
            <w14:solidFill>
              <w14:schemeClr w14:val="tx1"/>
            </w14:solidFill>
          </w14:textFill>
        </w:rPr>
        <w:t xml:space="preserve">需要承诺:本项目所提供的</w:t>
      </w:r>
      <w:r>
        <w:rPr>
          <w:rFonts w:hint="eastAsia" w:ascii="宋体" w:hAnsi="宋体" w:cs="宋体"/>
          <w:i/>
          <w:iCs/>
          <w:color w:val="000000" w:themeColor="text1"/>
          <w:sz w:val="24"/>
          <w:szCs w:val="24"/>
          <w:u w:val="single"/>
          <w14:textFill>
            <w14:solidFill>
              <w14:schemeClr w14:val="tx1"/>
            </w14:solidFill>
          </w14:textFill>
        </w:rPr>
        <w:t xml:space="preserve">所有</w:t>
      </w:r>
      <w:r>
        <w:rPr>
          <w:rFonts w:hint="eastAsia" w:ascii="宋体" w:hAnsi="宋体" w:cs="宋体"/>
          <w:i/>
          <w:iCs/>
          <w:color w:val="000000" w:themeColor="text1"/>
          <w:sz w:val="24"/>
          <w:szCs w:val="24"/>
          <w:u w:val="single"/>
          <w14:textFill>
            <w14:solidFill>
              <w14:schemeClr w14:val="tx1"/>
            </w14:solidFill>
          </w14:textFill>
        </w:rPr>
        <w:t xml:space="preserve">硬件产品均提供原厂商三年质保服务</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rPr>
          <w:rFonts w:hint="eastAsia" w:ascii="宋体" w:hAnsi="宋体" w:cs="宋体"/>
          <w:i/>
          <w:iCs/>
          <w:color w:val="000000" w:themeColor="text1"/>
          <w:sz w:val="24"/>
          <w:szCs w:val="24"/>
          <w:u w:val="single"/>
          <w:lang w:eastAsia="zh-CN"/>
          <w14:textFill>
            <w14:solidFill>
              <w14:schemeClr w14:val="tx1"/>
            </w14:solidFill>
          </w14:textFill>
        </w:rPr>
        <w:t xml:space="preserve">须</w:t>
      </w:r>
      <w:r>
        <w:rPr>
          <w:rFonts w:hint="eastAsia" w:ascii="宋体" w:hAnsi="宋体" w:cs="宋体"/>
          <w:i/>
          <w:iCs/>
          <w:color w:val="000000" w:themeColor="text1"/>
          <w:sz w:val="24"/>
          <w:szCs w:val="24"/>
          <w:u w:val="single"/>
          <w:lang w:val="en-US" w:eastAsia="zh-CN"/>
          <w14:textFill>
            <w14:solidFill>
              <w14:schemeClr w14:val="tx1"/>
            </w14:solidFill>
          </w14:textFill>
        </w:rPr>
        <w:t xml:space="preserve">提供承诺函，格式自拟</w:t>
      </w:r>
      <w:r>
        <w:rPr>
          <w:rFonts w:hint="eastAsia" w:ascii="宋体" w:hAnsi="宋体" w:cs="宋体"/>
          <w:i/>
          <w:iCs/>
          <w:color w:val="000000" w:themeColor="text1"/>
          <w:sz w:val="24"/>
          <w:szCs w:val="24"/>
          <w:u w:val="single"/>
          <w:lang w:val="en-US" w:eastAsia="zh-CN"/>
          <w14:textFill>
            <w14:solidFill>
              <w14:schemeClr w14:val="tx1"/>
            </w14:solidFill>
          </w14:textFill>
        </w:rPr>
        <w:t xml:space="preserve">，</w:t>
      </w:r>
      <w:r>
        <w:rPr>
          <w:rFonts w:hint="eastAsia" w:ascii="宋体" w:hAnsi="宋体" w:cs="宋体"/>
          <w:i/>
          <w:iCs/>
          <w:color w:val="000000" w:themeColor="text1"/>
          <w:sz w:val="24"/>
          <w:szCs w:val="24"/>
          <w:u w:val="single"/>
          <w:lang w:val="en-US" w:eastAsia="zh-CN"/>
          <w14:textFill>
            <w14:solidFill>
              <w14:schemeClr w14:val="tx1"/>
            </w14:solidFill>
          </w14:textFill>
        </w:rPr>
        <w:t xml:space="preserve">原件扫描上传</w:t>
      </w:r>
      <w:r>
        <w:rPr>
          <w:rFonts w:hint="eastAsia" w:ascii="宋体" w:hAnsi="宋体" w:cs="宋体"/>
          <w:i/>
          <w:iCs/>
          <w:color w:val="000000" w:themeColor="text1"/>
          <w:sz w:val="24"/>
          <w:szCs w:val="24"/>
          <w:u w:val="single"/>
          <w:lang w:val="en-US" w:eastAsia="zh-CN"/>
          <w14:textFill>
            <w14:solidFill>
              <w14:schemeClr w14:val="tx1"/>
            </w14:solidFill>
          </w14:textFill>
        </w:rPr>
        <w:t xml:space="preserve">）</w:t>
      </w:r>
      <w:r>
        <w:rPr>
          <w:rFonts w:hint="eastAsia" w:ascii="宋体" w:hAnsi="宋体" w:cs="宋体"/>
          <w:i/>
          <w:iCs/>
          <w:color w:val="000000" w:themeColor="text1"/>
          <w:sz w:val="24"/>
          <w:szCs w:val="24"/>
          <w:u w:val="single"/>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3.1.超融合一体机 3 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每台配置</w:t>
      </w:r>
      <w:r>
        <w:rPr>
          <w:rFonts w:hint="eastAsia" w:ascii="宋体" w:hAnsi="宋体" w:cs="宋体"/>
          <w:color w:val="000000" w:themeColor="text1"/>
          <w:sz w:val="24"/>
          <w:szCs w:val="24"/>
          <w14:textFill>
            <w14:solidFill>
              <w14:schemeClr w14:val="tx1"/>
            </w14:solidFill>
          </w14:textFill>
        </w:rPr>
        <w:t xml:space="preserve">国产CPU≥2颗，每颗CPU核数≥32，主频≥2.60GHZ、系统盘 ≥2*480G SSD，内存≥128G、缓存盘≥2*480G SSD，数据盘≥2*4T HDD、千兆电口≥4个、万兆光口≥2个，冗余电源，部署国产操作系统，需符合信创要求</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2．投标产品代码自主率（“未识别开源代码比例”）大于95%。检测产品名称需要和投标产品一致，且检测内容需要至少包含虚拟化、存储、网络与管理模块；</w:t>
      </w:r>
      <w:r/>
    </w:p>
    <w:p>
      <w:pPr>
        <w:ind w:firstLine="480"/>
        <w:spacing w:line="500" w:lineRule="exact"/>
        <w:rPr>
          <w:rFonts w:hint="eastAsia" w:ascii="宋体" w:hAnsi="宋体" w:cs="宋体"/>
          <w:sz w:val="24"/>
          <w:szCs w:val="24"/>
          <w14:textFill>
            <w14:solidFill>
              <w14:schemeClr w14:val="tx1"/>
            </w14:solidFill>
          </w14:textFill>
          <w14:ligatures w14:val="none"/>
        </w:rPr>
      </w:pPr>
      <w:r>
        <w:rPr>
          <w:rFonts w:hint="eastAsia" w:ascii="宋体" w:hAnsi="宋体" w:cs="宋体"/>
          <w:sz w:val="24"/>
          <w:szCs w:val="24"/>
          <w14:textFill>
            <w14:solidFill>
              <w14:schemeClr w14:val="tx1"/>
            </w14:solidFill>
          </w14:textFill>
        </w:rPr>
        <w:t xml:space="preserve">3．提供不少于6套计算虚拟化、网络虚拟化和存储虚拟化软件授权；</w:t>
      </w:r>
      <w:r>
        <w:rPr>
          <w:rFonts w:hint="eastAsia" w:ascii="宋体" w:hAnsi="宋体" w:cs="宋体"/>
          <w:sz w:val="24"/>
          <w:szCs w:val="24"/>
          <w14:textFill>
            <w14:solidFill>
              <w14:schemeClr w14:val="tx1"/>
            </w14:solidFill>
          </w14:textFill>
          <w14:ligatures w14:val="none"/>
        </w:rPr>
      </w:r>
      <w:r/>
    </w:p>
    <w:p>
      <w:pPr>
        <w:ind w:firstLine="0"/>
        <w:spacing w:line="500" w:lineRule="exact"/>
        <w:rPr>
          <w:rFonts w:hint="eastAsia" w:ascii="宋体" w:hAnsi="宋体" w:cs="宋体"/>
          <w:sz w:val="24"/>
          <w:szCs w:val="24"/>
          <w14:textFill>
            <w14:solidFill>
              <w14:schemeClr w14:val="tx1"/>
            </w14:solidFill>
          </w14:textFill>
          <w14:ligatures w14:val="none"/>
        </w:rPr>
      </w:pPr>
      <w:r>
        <w:rPr>
          <w:rFonts w:hint="eastAsia" w:ascii="宋体" w:hAnsi="宋体" w:cs="宋体"/>
          <w:sz w:val="24"/>
          <w:szCs w:val="24"/>
          <w14:textFill>
            <w14:solidFill>
              <w14:schemeClr w14:val="tx1"/>
            </w14:solidFill>
          </w14:textFill>
        </w:rPr>
      </w:r>
      <w:r>
        <w:rPr>
          <w:rFonts w:hint="eastAsia" w:ascii="宋体" w:hAnsi="宋体" w:cs="宋体"/>
          <w:sz w:val="24"/>
          <w:szCs w:val="24"/>
          <w14:textFill>
            <w14:solidFill>
              <w14:schemeClr w14:val="tx1"/>
            </w14:solidFill>
          </w14:textFill>
        </w:rPr>
        <w:t xml:space="preserve">  ★</w:t>
      </w:r>
      <w:r>
        <w:rPr>
          <w:rFonts w:hint="eastAsia" w:ascii="宋体" w:hAnsi="宋体" w:cs="宋体"/>
          <w:sz w:val="24"/>
          <w:szCs w:val="24"/>
          <w14:textFill>
            <w14:solidFill>
              <w14:schemeClr w14:val="tx1"/>
            </w14:solidFill>
          </w14:textFill>
        </w:rPr>
        <w:t xml:space="preserve">4．云计算管理平台，和底层资源池部分的（计算虚拟化、存储虚拟化、网 络虚拟化）均为同一厂商品牌提供，并可以支持扩展同一品牌的网络和安全虚拟化（虚拟应用防火墙、虚拟应用负</w:t>
      </w:r>
      <w:r>
        <w:rPr>
          <w:rFonts w:hint="eastAsia" w:ascii="宋体" w:hAnsi="宋体" w:cs="宋体"/>
          <w:color w:val="000000" w:themeColor="text1"/>
          <w:sz w:val="24"/>
          <w:szCs w:val="24"/>
          <w14:textFill>
            <w14:solidFill>
              <w14:schemeClr w14:val="tx1"/>
            </w14:solidFill>
          </w14:textFill>
        </w:rPr>
        <w:t xml:space="preserve">载均衡等）功能组件，以保障平台的扩展性和兼容性</w:t>
      </w:r>
      <w:r>
        <w:rPr>
          <w:rFonts w:ascii="SimSun" w:hAnsi="SimSun" w:eastAsia="SimSun" w:cs="SimSun"/>
          <w:color w:val="000000"/>
          <w:sz w:val="24"/>
        </w:rPr>
        <w:t xml:space="preserve">（需提供产品功能的截图）</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14:ligatures w14:val="none"/>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5．支持上传或利用现有云主机创建镜像，可对镜像进行管理、关联资源池</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等操作，可通过镜像实现一键快速创建云主机及安全组件；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6．支持大屏展示便于客户直观查看虚拟化资源池的使用情况和健康状态， 包括资源池使用情况，包括 CPU 使用率、内存使用率、存储使用率、虚拟机数</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量、物理主机数量以及集群故障与告警等；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 ．当虚拟机麒麟、龙晰、欧拉等国产操作系统出现故障时，可以自动重启或者迁移该虚拟机，保障业务连续性；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 ．支持设置告警类型（紧急和普通）、告警内容（集群、主机、虚拟机、CPU、 内存、磁盘），针对告警信息平台可自动给出告警处理建议， 同时支持将告警信息以短信和邮件方式发送给管理员；</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9．支持对加入虚拟存储的硬盘 raid 卡等硬件进行检测，确保加入虚拟存储的硬件的品质， 提升虚拟存储的可靠性和稳定性；</w:t>
      </w:r>
      <w:r/>
    </w:p>
    <w:p>
      <w:pPr>
        <w:ind w:firstLine="480"/>
        <w:spacing w:line="500" w:lineRule="exact"/>
        <w:rPr>
          <w:rFonts w:hint="eastAsia" w:ascii="宋体" w:hAnsi="宋体" w:cs="宋体"/>
          <w:sz w:val="24"/>
          <w:szCs w:val="24"/>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14:textFill>
            <w14:solidFill>
              <w14:schemeClr w14:val="tx1"/>
            </w14:solidFill>
          </w14:textFill>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10．具备一键健康体检功能，检测对象包括系统运行状态（系统服务检测、配置文件检测、系统分区检测、存储空间检测、虚拟存储数据检测）、系统配置检测（序列号有效性检测、网口配置检测、虚拟存储配置检测）、硬件健康检测（CPU、内存、网卡、磁盘、存储、 RAID 检测），提供快速定位问题功能，确保系统最佳状态</w:t>
      </w:r>
      <w:r>
        <w:rPr>
          <w:rFonts w:hint="eastAsia" w:ascii="宋体" w:hAnsi="宋体" w:cs="宋体"/>
          <w:sz w:val="24"/>
          <w:szCs w:val="24"/>
          <w14:textFill>
            <w14:solidFill>
              <w14:schemeClr w14:val="tx1"/>
            </w14:solidFill>
          </w14:textFill>
        </w:rPr>
        <w:t xml:space="preserve">（提供第三方关于“一键健康体检”的产品功能检测报告，</w:t>
      </w:r>
      <w:r>
        <w:rPr>
          <w:rFonts w:hint="eastAsia" w:ascii="宋体" w:hAnsi="宋体" w:cs="宋体"/>
          <w:sz w:val="24"/>
          <w:szCs w:val="24"/>
          <w14:textFill>
            <w14:solidFill>
              <w14:schemeClr w14:val="tx1"/>
            </w14:solidFill>
          </w14:textFill>
        </w:rPr>
        <w:t xml:space="preserve">原件</w:t>
      </w:r>
      <w:r>
        <w:rPr>
          <w:rFonts w:hint="eastAsia" w:ascii="宋体" w:hAnsi="宋体" w:cs="宋体"/>
          <w:sz w:val="24"/>
          <w:szCs w:val="24"/>
          <w14:textFill>
            <w14:solidFill>
              <w14:schemeClr w14:val="tx1"/>
            </w14:solidFill>
          </w14:textFill>
        </w:rPr>
        <w:t xml:space="preserve">扫描上传</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11．支持IO重试，当存储出现故障，导致虚拟机无法读取存储数据时，自动挂起虚拟机，避免数据丢失;</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12．支持标准的 iSCSI 协议，允许外部物理主机或应用通过标准的 iSCSI 接口访问虚拟存储。支持 iSCSI 存储、 FC 存储、 NFS 存储、本地存储。支持通过 iSCSI 透传/非透传指令使虚拟机支持存储裸设备映射（RDM），可以将存储设备上的 LUN 直接映射给虚拟机使用;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13．支持选择多种克隆方式，包括快速全量克隆、全量克隆和链接克隆， 可查看通过链接克隆的虚拟机是否运行正常，可以设置克隆完成后自动启动克隆虚拟机操作;</w:t>
      </w:r>
      <w:r/>
    </w:p>
    <w:p>
      <w:pPr>
        <w:ind w:firstLine="480"/>
        <w:spacing w:line="500" w:lineRule="exact"/>
        <w:rPr>
          <w:rFonts w:hint="eastAsia" w:ascii="宋体" w:hAnsi="宋体" w:cs="宋体"/>
          <w:sz w:val="24"/>
          <w:szCs w:val="24"/>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14:textFill>
            <w14:solidFill>
              <w14:schemeClr w14:val="tx1"/>
            </w14:solidFill>
          </w14:textFill>
        </w:rPr>
        <w:t xml:space="preserve">  ★</w:t>
      </w:r>
      <w:r>
        <w:rPr>
          <w:rFonts w:hint="eastAsia" w:ascii="宋体" w:hAnsi="宋体" w:cs="宋体"/>
          <w:sz w:val="24"/>
          <w:szCs w:val="24"/>
          <w14:textFill>
            <w14:solidFill>
              <w14:schemeClr w14:val="tx1"/>
            </w14:solidFill>
          </w14:textFill>
        </w:rPr>
        <w:t xml:space="preserve">14．支持对虚拟磁盘设置 QoS，可以在虚拟机开机和关机状态下对虚拟机的 虚拟磁盘占用资源进行限制操作，可以设置磁盘 IO 限制，包括最大读速率、最大写速率、最大读速率、和最大写次数</w:t>
      </w:r>
      <w:r>
        <w:rPr>
          <w:rFonts w:hint="eastAsia" w:ascii="宋体" w:hAnsi="宋体" w:cs="宋体"/>
          <w:sz w:val="24"/>
          <w:szCs w:val="24"/>
          <w14:textFill>
            <w14:solidFill>
              <w14:schemeClr w14:val="tx1"/>
            </w14:solidFill>
          </w14:textFill>
        </w:rPr>
        <w:t xml:space="preserve">（需提供第三方检测报告，原件扫描上传）</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14:textFill>
            <w14:solidFill>
              <w14:schemeClr w14:val="tx1"/>
            </w14:solidFill>
          </w14:textFill>
        </w:rPr>
        <w:t xml:space="preserve">15．支</w:t>
      </w:r>
      <w:r>
        <w:rPr>
          <w:rFonts w:hint="eastAsia" w:ascii="宋体" w:hAnsi="宋体" w:cs="宋体"/>
          <w:color w:val="000000" w:themeColor="text1"/>
          <w:sz w:val="24"/>
          <w:szCs w:val="24"/>
          <w14:textFill>
            <w14:solidFill>
              <w14:schemeClr w14:val="tx1"/>
            </w14:solidFill>
          </w14:textFill>
        </w:rPr>
        <w:t xml:space="preserve">持快照功能，可以新增快照策略，并设置快照频率，包括按周快照、按天快照和按小时快照，可以设置快照保存方式，可以点击快照恢复进行覆盖原虚拟机信息操作，可以点击快照克隆进行克隆新虚拟机操作;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16．支持智能坏道预测，准确识别出接下来会出现坏道的硬盘，实现故障前预测并处理，规避故障风险;</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auto"/>
          <w:sz w:val="24"/>
          <w:szCs w:val="24"/>
        </w:rPr>
      </w:r>
      <w:r>
        <w:rPr>
          <w:rFonts w:hint="eastAsia" w:ascii="宋体" w:hAnsi="宋体" w:cs="宋体"/>
          <w:sz w:val="24"/>
          <w:szCs w:val="24"/>
          <w14:textFill>
            <w14:solidFill>
              <w14:schemeClr w14:val="tx1"/>
            </w14:solidFill>
          </w14:textFill>
        </w:rPr>
        <w:t xml:space="preserve">★</w:t>
      </w:r>
      <w:r>
        <w:rPr>
          <w:rFonts w:hint="eastAsia" w:ascii="宋体" w:hAnsi="宋体" w:cs="宋体"/>
          <w:color w:val="auto"/>
          <w:sz w:val="24"/>
          <w:szCs w:val="24"/>
        </w:rPr>
        <w:t xml:space="preserve">17.</w:t>
      </w:r>
      <w:r>
        <w:rPr>
          <w:rFonts w:hint="eastAsia" w:ascii="宋体" w:hAnsi="宋体" w:cs="宋体"/>
          <w:color w:val="000000" w:themeColor="text1"/>
          <w:sz w:val="24"/>
          <w:szCs w:val="24"/>
          <w14:textFill>
            <w14:solidFill>
              <w14:schemeClr w14:val="tx1"/>
            </w14:solidFill>
          </w14:textFill>
        </w:rPr>
        <w:t xml:space="preserve">为保证磁盘健康，支持坏道扫描功能，可以通过设置定时坏道扫描任 务（启用/关闭）进行磁盘修复和坏道预测，可以自行设置定时坏道扫描任务中 的执行时间。支持磁盘坏道预测，在界面可以查看磁盘坏道预测页面信息、包括 坏道预测、坏道扫描和坏道数据修复。可以查到磁盘坏道列表项信息，包括硬盘名称、坏道预测、最近7天坏道扫描、坏道数据修复和硬盘风险状态</w:t>
      </w:r>
      <w:r>
        <w:rPr>
          <w:rFonts w:hint="eastAsia" w:ascii="宋体" w:hAnsi="宋体" w:cs="宋体"/>
          <w:sz w:val="24"/>
          <w:szCs w:val="24"/>
          <w14:textFill>
            <w14:solidFill>
              <w14:schemeClr w14:val="tx1"/>
            </w14:solidFill>
          </w14:textFill>
        </w:rPr>
        <w:t xml:space="preserve">（需提供第三方检测报告，原件扫描上传）</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18．支持数据重建智能保护业务性能，可以对数据重建速度进行智能限速，避免数据重建过程中IO 性能占用导致对业务的性能造成影响；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19．当硬盘处于亚健康状态时，支持手动隔离硬盘，并将硬盘上的数据迁移至健康的硬盘上，即使更换系统盘仍不影响业务；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20．支持磁盘健康状态监测， 包括 CPU、内存、SSD、HDD、网卡、外置存储、RAID 卡等健康状况，支持邮件和短信告警；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21．支持Vxlan 网络功能，支持Vxlan 网络和现有的Vlan 网络对接，实现虚拟化平台与原有网络的兼容性；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22．为满足用户使用 IPv6 地址的需求，支持为虚拟机配置 IPv6 地址， 并可通过 IPv6 地址访问该业务；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为了满足我单位对东西向流量隔离要求，并提供可靠的数据流量排查和管理能力，要求分布式防火墙中能够进行创建策略操作，可以对已创建策略进行设置，包括源、目的和状态等信息，可以查看已创建的策略列表项信息， 可以点击分布式防火墙中的实时拦截日志跳转到拦截日志和直通页面，可以进行实时拦截日志操作可以查看实时拦截日志列表信息，包括时间、源、IP 地址、协议（ICMP）、数据包大小和匹配策略名称，可以通过开启数据直通临时排查数据流量问题；</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24．超融合能够提供端口镜像功能，支持将超融合内部网络流量镜像到内部虚拟机、nfv、外部安全设备进行流量审计,可联动同一品牌的安全态势感知平台进行流量检测；</w:t>
      </w:r>
      <w:r/>
    </w:p>
    <w:p>
      <w:pPr>
        <w:ind w:firstLine="480"/>
        <w:spacing w:line="500" w:lineRule="exact"/>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25.</w:t>
      </w:r>
      <w:r>
        <w:rPr>
          <w:rFonts w:hint="eastAsia" w:ascii="宋体" w:hAnsi="宋体" w:cs="宋体"/>
          <w:sz w:val="24"/>
          <w:szCs w:val="24"/>
          <w14:textFill>
            <w14:solidFill>
              <w14:schemeClr w14:val="tx1"/>
            </w14:solidFill>
          </w14:textFill>
        </w:rPr>
        <w:t xml:space="preserve">在管理平台上可以通过拖拽连线完成网络拓扑的构建，可以在网络拓扑页面通过功能键实现虚拟网络连接、开启和关闭等操作</w:t>
      </w:r>
      <w:r>
        <w:rPr>
          <w:rFonts w:hint="eastAsia" w:ascii="宋体" w:hAnsi="宋体" w:cs="宋体"/>
          <w:sz w:val="24"/>
          <w:szCs w:val="24"/>
          <w14:textFill>
            <w14:solidFill>
              <w14:schemeClr w14:val="tx1"/>
            </w14:solidFill>
          </w14:textFill>
        </w:rPr>
        <w:t xml:space="preserve">（需提供</w:t>
      </w:r>
      <w:r>
        <w:rPr>
          <w:rFonts w:hint="eastAsia" w:ascii="宋体" w:hAnsi="宋体" w:cs="宋体"/>
          <w:sz w:val="24"/>
          <w:szCs w:val="24"/>
          <w14:textFill>
            <w14:solidFill>
              <w14:schemeClr w14:val="tx1"/>
            </w14:solidFill>
          </w14:textFill>
        </w:rPr>
        <w:t xml:space="preserve">带有CMA</w:t>
      </w:r>
      <w:r>
        <w:rPr>
          <w:rFonts w:hint="eastAsia" w:ascii="宋体" w:hAnsi="宋体" w:cs="宋体"/>
          <w:sz w:val="24"/>
          <w:szCs w:val="24"/>
          <w14:textFill>
            <w14:solidFill>
              <w14:schemeClr w14:val="tx1"/>
            </w14:solidFill>
          </w14:textFill>
        </w:rPr>
        <w:t xml:space="preserve">第三方检测报告，原件扫描上传）</w:t>
      </w:r>
      <w:r>
        <w:rPr>
          <w:rFonts w:hint="eastAsia" w:ascii="宋体" w:hAnsi="宋体" w:cs="宋体"/>
          <w:sz w:val="24"/>
          <w:szCs w:val="24"/>
          <w14:textFill>
            <w14:solidFill>
              <w14:schemeClr w14:val="tx1"/>
            </w14:solidFill>
          </w14:textFill>
        </w:rPr>
        <w:t xml:space="preserve">；</w:t>
      </w:r>
      <w:r>
        <w:rPr>
          <w:sz w:val="22"/>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26．支持跳转连通性探测页面，可以设置探测对象信息，包括网口、对象类型、IP 地址，可以点击开始探测按钮查看探测页面信息，可以在网络连通性探测页面查看网络探测是否成功；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27．提供三年原厂软硬件质保服务。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3.2.存储交换机 2 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★1．交换容量≥2.5Tbps，包转发性能≥450Mpps</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★2．支持固化千兆SFP口≥24个，万兆 SFP≥28个，满配端口授权，配置20个万兆LC模块，</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3．支持横向堆叠，主机堆叠数不小于 9 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4．支持静态路由、RIPV1/2、OSPF、IS-IS、BGP、RIPng、OSPFv3、BGP4+、ISISv6；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5．支持统一用户管理功能，支持 802.1X/MAC/Portal 等多种认证方式， 支持对用户进行分组分域分时的管理，用户、业务的可视可控；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6．支持 VXLAN 功能，支持 VXLAN 二层网关、三层网关，支持 BGP EVPN，实现自动建立隧道；</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7．支持 DRR、SP、DRR+SP 队列调度算法，支持报文的 802.1p 和 DSCP 优先级重新标记，支持 L2（Layer 2）~L4（Layer 4）包过滤功能，提供基于源 MAC 地址、目的 MAC 地址、源 IP 地址、目的 IP 地址、端口、协议、VLAN 的包过滤功能；</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8．支持防止 DOS、ARP 攻击功能、ICMP 防攻击，支持端口隔离、端口安全、Sticky MAC，支持 IP、MAC、端口、 VLAN 的组合绑定；</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 Telemetry 技术,能及时有效地定界故障以及定位故障发生原因， 发现影响用户体验的网络问题，精准保障用户体验</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10．支持真实业务流实时检测技术，能实时检测网络故障；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11．提供三年原厂质保服务。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3.3.24口接入交换机 1 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1．交换容量≥1.28Tbps，包转发率≥108Mpps，以官网最小值为准</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2．千兆电口≥24 个，万兆光口≥4 个</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3．为了提高设备可靠性，支持模块化可插拔双电源；</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 MAC 地址规格≥32K，支持 ARP 表项规格≥20K；</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5．支持纵向虚拟化，作为纵向子节点零配置即插即用；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6．支持静态路由、RIP v1/v2、OSPF、BGP、ISIS、RIPng、OSPFv3、ISISv6、BGP4+；</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7．支持防止 DOS、ARP 攻击功能、 ICMP 防攻击，支持端口隔离、端口安全、Sticky MAC，支持 IP、MAC、端口、 VLAN 的组合绑定；</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 Telemetry 技术,能及时有效地定界故障以及定位故障发生原因；</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9．提供三年原厂质保服务。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3.4.核心防火墙 1 台</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★1．吞吐量≥20G，并发连接数≥200 万， HTTP 新建连接数≥9 万</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2．支持透明、路由、混合、直连（虚拟线）模式；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3．支持基于源安全域、目的安全域、源用户、源地址、源地区、目的地址、 目的地区、服务、应用、隧道、时间、VLAN 等多种方式进行访问控制， 并支持地理区域对象的导入以及重复策略的检查；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4．支持针对 FTP、HTTP、IMAP、OTHER_APP、POP3、SMB、SMTP 等应用协议 的漏洞攻击防护功能，至少可防御缓冲区溢出、跨站脚本、拒绝服务、恶意扫描、SQL注入、WEB 攻击等类型的攻击；</w:t>
      </w:r>
      <w:r/>
    </w:p>
    <w:p>
      <w:pPr>
        <w:ind w:firstLine="480"/>
        <w:spacing w:line="500" w:lineRule="exact"/>
        <w:rPr>
          <w:rFonts w:hint="eastAsia" w:ascii="宋体" w:hAnsi="宋体" w:cs="宋体"/>
          <w:sz w:val="24"/>
          <w:szCs w:val="24"/>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14:textFill>
            <w14:solidFill>
              <w14:schemeClr w14:val="tx1"/>
            </w14:solidFill>
          </w14:textFill>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5．产品支持路由类型、协议类型、网络对象、国家地区等条件进行自动选路的策略路由，支持不少于3种的调度算法，至少包括带宽比例、加权流量、线路优先等</w:t>
      </w:r>
      <w:r>
        <w:rPr>
          <w:rFonts w:hint="eastAsia" w:ascii="宋体" w:hAnsi="宋体" w:cs="宋体"/>
          <w:sz w:val="24"/>
          <w:szCs w:val="24"/>
          <w14:textFill>
            <w14:solidFill>
              <w14:schemeClr w14:val="tx1"/>
            </w14:solidFill>
          </w14:textFill>
        </w:rPr>
        <w:t xml:space="preserve">（需提供产品功能截图）</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14:ligatures w14:val="none"/>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6．支持 SYN Flood、ICMP Flood、UDP Flood、DNS Flood、ARP Flood 攻击防护；支持对信任区域主机外发的异常流量进行检测，如 ICMP，UPD，SYN，DNSFlood 等 DDoS 攻击行为；</w:t>
      </w:r>
      <w:r/>
    </w:p>
    <w:p>
      <w:pPr>
        <w:ind w:firstLine="480"/>
        <w:spacing w:line="500" w:lineRule="exact"/>
        <w:rPr>
          <w:rFonts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 xml:space="preserve">7．产品支持异常数据包攻击防御，防护类型包括 IP 数据块分片传输防护、 Teardrop 攻击防护、Smurf 攻击防护、Land 攻击防护、WinNuke 攻击防护等攻击类型；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8．支持从业务防护以及用户防护两个不同维度设置策略，在业务防护策略 中可以根据源地址、目的地址进行安全策略设置，并对黑链、webshell、漏洞风险、配置风险、弱口令账号等安全隐患进行评估，并形成防御规则和检测响应策略。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 要求所投产品具备未知威胁防护与杀毒</w:t>
      </w:r>
      <w:r>
        <w:rPr>
          <w:rFonts w:hint="eastAsia" w:ascii="宋体" w:hAnsi="宋体" w:cs="宋体"/>
          <w:color w:val="000000" w:themeColor="text1"/>
          <w:sz w:val="24"/>
          <w:szCs w:val="24"/>
          <w:lang w:val="en-US" w:eastAsia="zh-CN"/>
          <w14:textFill>
            <w14:solidFill>
              <w14:schemeClr w14:val="tx1"/>
            </w14:solidFill>
          </w14:textFill>
        </w:rPr>
        <w:t xml:space="preserve">类</w:t>
      </w:r>
      <w:r>
        <w:rPr>
          <w:rFonts w:hint="eastAsia" w:ascii="宋体" w:hAnsi="宋体" w:cs="宋体"/>
          <w:color w:val="000000" w:themeColor="text1"/>
          <w:sz w:val="24"/>
          <w:szCs w:val="24"/>
          <w14:textFill>
            <w14:solidFill>
              <w14:schemeClr w14:val="tx1"/>
            </w14:solidFill>
          </w14:textFill>
        </w:rPr>
        <w:t xml:space="preserve">软件著作权</w:t>
      </w:r>
      <w:r>
        <w:rPr>
          <w:rFonts w:hint="eastAsia" w:ascii="宋体" w:hAnsi="宋体" w:cs="宋体"/>
          <w:color w:val="000000" w:themeColor="text1"/>
          <w:sz w:val="24"/>
          <w:szCs w:val="24"/>
          <w:lang w:eastAsia="zh-CN"/>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提供有效证书原件扫描上传)。</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10．提供不少于 3 年硬件质保、规则库升级和软件升级。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3.5.主机防护系统 10 套</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1．提供不少于 10 套虚拟化服务器版的软件授权；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2．采用 B/S 架构的管理控制中心，具备终端安全可视，终端统一管理，统一威胁处置，统一漏洞修复，威胁响应处置，日志记录与查询等功能；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3．支持主机硬件资产管理，可自动收集主机的硬件信息，如CPU、内存、硬盘、网卡等；资产变更状态、终端防护状态；系统信息，如操作系统版本、系统配置、在线状态等；资产数据可自定义导出；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4．支持对主机运行的文件、存在的网络端口、系统服务、系统账户等进行 同组或全网主机横向分析对比，可显示覆盖的终端数量和终端列表。可对网络端口和系统服务关联到的进程名称和路径做展示，以及判断相关进程文件的安全性；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5．支持全网风险展示，包括但不限于未处理的勒索病毒数量、高级威胁、暴力破解、僵尸网络、 WebShell 后门、高危漏洞及其各自影响的终端数量；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6．提供勒索病毒整体防护体系入口， 直观展示最近七天勒索病毒防护效果，包括已处置的勒索病毒数量、已阻止的勒索病毒行为次数、已阻止的未知进程操作次数、已阻止的暴力破解攻击次数；</w:t>
      </w:r>
      <w:r/>
    </w:p>
    <w:p>
      <w:pPr>
        <w:ind w:firstLine="480"/>
        <w:spacing w:line="500" w:lineRule="exact"/>
        <w:rPr>
          <w:rFonts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 xml:space="preserve">7．支持对主机主动发起或遭受系统漏洞攻击行为的检测和响应，包括永恒 之类漏洞、RDP漏洞等，可有效防止利用漏洞传播勒索和挖矿。能够精准记录展示攻击源目的 IP，关联并展示发起攻击的进程文件，找到攻击源；</w:t>
      </w:r>
      <w:r/>
    </w:p>
    <w:p>
      <w:pPr>
        <w:ind w:firstLine="480"/>
        <w:jc w:val="left"/>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8．支持按“最近 7 天 ”、“最近 30 天 ”、“最近三个月 ”不同时间维度展示病毒查杀事件爆发趋势和病毒 TOP5 排行榜，并展示对应的事件数及终端数；</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9．可实时监控文件的状态，在文件读、写、执行或者进入主机时主动进行</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扫描，支持根据用户性能偏好设置高、中、低 3 种防护级别；</w:t>
      </w:r>
      <w:r/>
    </w:p>
    <w:p>
      <w:pPr>
        <w:ind w:firstLine="480"/>
        <w:jc w:val="left"/>
        <w:spacing w:line="500" w:lineRule="exact"/>
        <w:rPr>
          <w:rFonts w:hint="eastAsia" w:ascii="宋体" w:hAnsi="宋体" w:cs="宋体"/>
          <w:sz w:val="24"/>
          <w:szCs w:val="24"/>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14:textFill>
            <w14:solidFill>
              <w14:schemeClr w14:val="tx1"/>
            </w14:solidFill>
          </w14:textFill>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10．支持展示终端检测到的 WebShell事件及事件详情，包括：恶意文件名称威胁等级，受感染的文件，发现时间，检测引擎，文件类型，文件名， 文件 Hash 值</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文件大小，文件创建时间；可配置WebShell 实时扫描，一旦发现WebShell文件，可自动隔离或仅上报不隔离</w:t>
      </w:r>
      <w:r>
        <w:rPr>
          <w:rFonts w:hint="eastAsia" w:ascii="宋体" w:hAnsi="宋体" w:cs="宋体"/>
          <w:sz w:val="24"/>
          <w:szCs w:val="24"/>
          <w14:textFill>
            <w14:solidFill>
              <w14:schemeClr w14:val="tx1"/>
            </w14:solidFill>
          </w14:textFill>
        </w:rPr>
        <w:t xml:space="preserve">（需提供产品功能截图）</w:t>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14:ligatures w14:val="none"/>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11．支持对服务器重要目录进行权限控制，仅允许配置的可信进程操作该目录并提供配置指引；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备勒索病毒防御专项功能，提供勒索入侵防御（漏洞检测及补丁修复、微隔离等）、6级勒索反加密防护（身份鉴别、访问控制、安全审计、剩余信息保护、入侵防范、恶意代码防范）勒索检测与响应机制，提供立体化的防护;</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13．提供基于可信鉴定方式的进程防护方式，通过人工智能自学习机制， 自 动建立信任进程名单，阻断非可信进程的运行并提供配置指引，同时支持通过模板和手动的方式添加信任进程；</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．提供不少于 3 年规则库升级和软件升级。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3.6.终端准入系统 1 套</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★1．支持带宽≥300Mb，支持用户数≥1500，每秒新建连接数≥4000，最大并发连接数≥150000。千兆电口≥6，千兆光口≥2，内存大小≥4G，硬盘≥960G固态盘</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2．支持终端安全检查，包括：杀软检查、登录域检查、操作系统检查、进程检查、文件检查、注册表检查、补丁检查、账号检查等；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3．无需安装客户端，通过流量状况检查主流杀毒软件的运行情况，对不满</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足检查要求的终端可重定向页面修复；</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 802.1x 认证，可对接本地和 AD 域用户源进行用户名密码认证，可对接外部 CA 认证服务器进行证书认证</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5．支持自定义测试地址，检查终端是否能 PING 通，对不满足检查要求的终端强制断网，支持向管理员告警，并弹窗提示用户；</w:t>
      </w:r>
      <w:r/>
    </w:p>
    <w:p>
      <w:pPr>
        <w:ind w:firstLine="480"/>
        <w:spacing w:line="500" w:lineRule="exact"/>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6. 支</w:t>
      </w:r>
      <w:r>
        <w:rPr>
          <w:rFonts w:hint="eastAsia" w:ascii="宋体" w:hAnsi="宋体" w:cs="宋体"/>
          <w:sz w:val="24"/>
          <w:szCs w:val="24"/>
          <w14:textFill>
            <w14:solidFill>
              <w14:schemeClr w14:val="tx1"/>
            </w14:solidFill>
          </w14:textFill>
        </w:rPr>
        <w:t xml:space="preserve">持终端外联行为检查，包括：连接外网检查、PPPoE 拨号检查、双网 卡行为检查、无线网卡检查、链接非法 WIFI 检查（可设置合法 WIFI 白名单）、4G 网卡检查、否使用非法网关（可设置合法网关白名单），对不满足检查要求的终端强制断网，支持向管理员告警，并弹窗提示用户</w:t>
      </w:r>
      <w:r>
        <w:rPr>
          <w:rFonts w:hint="eastAsia" w:ascii="宋体" w:hAnsi="宋体" w:cs="宋体"/>
          <w:sz w:val="24"/>
          <w:szCs w:val="24"/>
          <w14:textFill>
            <w14:solidFill>
              <w14:schemeClr w14:val="tx1"/>
            </w14:solidFill>
          </w14:textFill>
        </w:rPr>
        <w:t xml:space="preserve">（提供产品界面截图）</w:t>
      </w:r>
      <w:r>
        <w:rPr>
          <w:rFonts w:hint="eastAsia" w:ascii="宋体" w:hAnsi="宋体" w:cs="宋体"/>
          <w:color w:val="000000" w:themeColor="text1"/>
          <w:sz w:val="24"/>
          <w:szCs w:val="24"/>
          <w14:textFill>
            <w14:solidFill>
              <w14:schemeClr w14:val="tx1"/>
            </w14:solidFill>
          </w14:textFill>
        </w:rPr>
        <w:t xml:space="preserve">；</w:t>
      </w:r>
      <w:r>
        <w:rPr>
          <w:sz w:val="22"/>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7．告警事件中支持违规外联告警选项，用于对违规外联行为使用进行预警；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8．支持存储设备、网络设备、蓝牙设备、摄像头、打印机的使用管控；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9．支持终端调用管理员上传脚本/程序以满足个性化检查要求，可设置周期性运行或者运行一次，可设置以当前用户或 SYSTEM 用户权限执行，执行结果检查是否生效；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10．支持自定义测试地址，检查终端是否能 PING 通，对不满足检查要求的终端强制断网，支持向管理员告警，并弹窗提示用户；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．提供不少于 3 年硬件质保、规则库升级和软件升级。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3.7.日志审计系统 1 套</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★1．主机审计许可证书数量≥50，可扩展审计主机许可数≥150，可用存储量≥2TB，内存≥16G，硬盘容量≥2T *2， ≥6 千兆电口， ≥2 万兆光口</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2．支持主流设备日志采集，支持类型不低于 360 种日志的接入和规范化处理，包括但不限于以下设备，安全设备：启明 IPS、深信服行为管理、山石防火墙、天融信防火墙、绿盟 WAF 等；网络设备：主流的交换机、路由器、负载均衡等设备如锐捷、华为、 H3C、中兴等。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3．支持资产自发现功能，对自动发现的设备可以进行一键转资产、合并资</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产、删除操作；</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4．支持展示关联事件类型分布 TOP5、对象 IP 统计 TOP5、事件等级分布、事件趋势、事件列表；点击查看日志可自动跳转到日志检索；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5．支持展示审计事件类型分布 TOP5、对象 IP 统计 TOP5、事件等级分布、事件趋势、事件列表；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6．日志进行归一化操作后，对日志等级进行映射，根据不同设备会统计不同等级下的日志数；</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7．支持通配符、范围搜索、字段等多种输入方式、搜索框模糊搜索、指定 语段进行语法搜索；可根据时间、严重等级等进行组合查询；可根据具体设备、来源/目的所属（可具体到外网、内网资产等）、IP 地址、特征 ID、URL 进行具体条件搜索；支持可设置定时刷新频率，根据刷新时间显示实时接入日志事件；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8．支持对每个日志源设置过滤条件规则，自动过滤无用日志，满足根据实 际业务需求减少采集对象发送到核心服务器的安全事件数，减少对网络带宽和数据库存储空间的占用；</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9．支持对单个/多个日志源批量转发，支持定时转发，可通过 syslog 和</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kafka 方式转发到第三方平台，并且支持转发原始日志和已解析日志的两种日志；</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10．可自定义设置日志存储天数，容量告警提示等；满足存储超过 6 个月以上的合规要求；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．提供不少于3年硬件质保和软件升级。</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3.8.安全运维审计系统 1 套</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★1．默认包含运维授权数≥50，可扩展资产数≥150，图形运维最大并发数≥100，录屏分辨率≥1024*768，保存周期≥6个月，字符运维最大并发数≥200，内存≥8G，硬盘容量≥2T，≥6千兆电口</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2．系统支持IP自动禁止功能，对连续登陆账号密码错误的来源 IP 自动屏蔽，可通过管理员解除屏蔽；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3．支持为管理员和运维人员提供操作向导模式，方便用户进行设备管理和</w:t>
      </w:r>
      <w:r/>
    </w:p>
    <w:p>
      <w:pPr>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使用</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4．支持在线对用户的批量编辑功能，以方便用户管理员批量修改帐号属性</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及关联信息，包括用户状态、有效时间；支持从 AD 服务器批量导入用户帐号；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5．支持监控正在运维的会话，信息包括运维用户、运维客户端地址、资源</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地址、协议、开始时间等，并可以实时阻断；</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6．支持调用本地数据库运维工具客户端，数据库类型包含达梦V7、达梦 V8、pgsql、kingbaseV7、kingbaseV8、mysql、oracle、sqlserver、SYBASE、INFORMIX、DB2；</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7．支持IPV6，设备自身可以配置 IPV6 地址供客户端访问，并且支持目标设备配置 IPV6 地址实现单点登陆和审计；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8．支持在授权基础上自定义访问审批流程，可设置一级或多级审批人，每</w:t>
      </w:r>
      <w:r/>
    </w:p>
    <w:p>
      <w:pPr>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级审批可指定通过投票数，需逐级审批通过才可最终发起运维操作</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9．支持手动和自动定期备份配置信息，支持配置信息本地备份及异地 FTP备份，支持系统配置还原，可以还原至任一备份点；</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．提供不少于 3 年硬件质保和软件升级</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3.9.数据库审计系统 1 套</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★1．硬件吞吐量≥2Gbps，纯数据库流量≥400Mb/s，SQL处理性能≥30000 条 SQL/s，日志检索性能≥500000 条/秒，支持数据库套数≥3套，数据库审计日志存储量不低于6个月，内存大小≥8G，硬盘容量≥2T SATA，≥6千兆电口，≥2 万兆光口</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2．支持</w:t>
      </w:r>
      <w:r>
        <w:rPr>
          <w:rFonts w:hint="eastAsia" w:ascii="宋体" w:hAnsi="宋体" w:cs="宋体"/>
          <w:color w:val="000000" w:themeColor="text1"/>
          <w:sz w:val="24"/>
          <w:szCs w:val="24"/>
          <w14:textFill>
            <w14:solidFill>
              <w14:schemeClr w14:val="tx1"/>
            </w14:solidFill>
          </w14:textFill>
        </w:rPr>
        <w:t xml:space="preserve">达梦、南大通用、人大金仓、神通、浪潮KDB、湖南上容、Oracle、SQLserver、MySQL、DB2、Sybase、Informix、Postgresql、Teradata、Cache、 MongoDB、Hive、Hana、HWMPP、HighGo、Hbase、ES、Solr、HDFS、redis 等主流数据库防护和审计；</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3．数据库访问记录应包括发生时间、业务用户名、操作终端主机名及 IP 地址、终端工具名称、服务器端主机名及IP地址、数据库名、表名、SQL 语句、响应时间、返回结果等关键信息；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4．可对日志进行细粒度解析，支持审计数据库操作(DM)、对象管理(DD)、 控制(DC)等操作语句的审计，解析后的日志记录至少包括访问发生时间、客户端IP地址、客户端 MAC、终端程序、访问账号、访问数据库名、操作表名、 SQL语句、数据库响应时间以及返回结果等关键信息；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5．可以对 SQL 语句进行安全检测，并识别当前的 SQL 操作是否有暴库、撞库等严重性安全问题，如果命中了安全风险规则，那么可根据动作进行阻断、告警、记录等操作，可提示管理员作出相应的防御措施；</w:t>
      </w:r>
      <w:r/>
    </w:p>
    <w:p>
      <w:pPr>
        <w:ind w:firstLine="480"/>
        <w:spacing w:line="500" w:lineRule="exact"/>
        <w:rPr>
          <w:rFonts w:hint="eastAsia" w:ascii="宋体" w:hAnsi="宋体" w:cs="宋体"/>
          <w:sz w:val="24"/>
          <w:szCs w:val="24"/>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14:textFill>
            <w14:solidFill>
              <w14:schemeClr w14:val="tx1"/>
            </w14:solidFill>
          </w14:textFill>
        </w:rPr>
      </w:r>
      <w:r>
        <w:rPr>
          <w:rFonts w:hint="eastAsia" w:ascii="宋体" w:hAnsi="宋体" w:cs="宋体"/>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rPr>
        <w:t xml:space="preserve">6. </w:t>
      </w:r>
      <w:r>
        <w:rPr>
          <w:rFonts w:hint="eastAsia" w:ascii="宋体" w:hAnsi="宋体" w:cs="宋体"/>
          <w:sz w:val="24"/>
          <w:szCs w:val="24"/>
          <w14:textFill>
            <w14:solidFill>
              <w14:schemeClr w14:val="tx1"/>
            </w14:solidFill>
          </w14:textFill>
        </w:rPr>
        <w:t xml:space="preserve">支持基于 SQL 命令的 webshell 检测，提供webshell日志查询、可通过查看webshell攻击的时间、源IP、业务系统、webshell规则发现威胁</w:t>
      </w:r>
      <w:r>
        <w:rPr>
          <w:rFonts w:hint="eastAsia" w:ascii="宋体" w:hAnsi="宋体" w:cs="宋体"/>
          <w:sz w:val="24"/>
          <w:szCs w:val="24"/>
          <w14:textFill>
            <w14:solidFill>
              <w14:schemeClr w14:val="tx1"/>
            </w14:solidFill>
          </w14:textFill>
        </w:rPr>
        <w:t xml:space="preserve">（需提供产品功能截图）</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sz w:val="24"/>
          <w:szCs w:val="24"/>
          <w14:textFill>
            <w14:solidFill>
              <w14:schemeClr w14:val="tx1"/>
            </w14:solidFill>
          </w14:textFill>
          <w14:ligatures w14:val="none"/>
        </w:r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7．支持以时间、源IP、客户端程序、业务系统、数据库用户、数据库名、操作类型、表名、返回行数、影响行数、响应时长、响应码、策略、规则、风险级别、 SQL 模版为条件的数据库风险查询；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8．支持自定义策略配置，策略类型支持风险监控、白名单、黑名单， 监控级别支持高风险、中风险、低风险；</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9．以曲线连接多点的形式展示用户的访问来源、访问目标、操作类型、操</w:t>
      </w:r>
      <w:r/>
    </w:p>
    <w:p>
      <w:pPr>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作对象的行为轨迹图；</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10．支持按策略、风险级别、时间、客户端 IP、数据库 IP、操作对象、操作类型等默认条件检索审计日志。另支持 15 种高级检索条件设置；</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11．支持审计日志会话回放功能，还原用户的访问行为；</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．提供不少于 3 年硬件质保和软件升级。</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3.10.漏洞扫描系统 1 套</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★1．系统漏扫授权IP数≥100，WEB 漏扫授权 URL 数≥20，主机漏扫最大并发 IP 数≥150，内存大小≥8G，≥6 个千兆电口，≥2 个千兆光口</w:t>
      </w:r>
      <w:r>
        <w:rPr>
          <w:rFonts w:hint="eastAsia" w:ascii="宋体" w:hAnsi="宋体" w:cs="宋体"/>
          <w:color w:val="000000" w:themeColor="text1"/>
          <w:sz w:val="24"/>
          <w:szCs w:val="24"/>
          <w14:textFill>
            <w14:solidFill>
              <w14:schemeClr w14:val="tx1"/>
            </w14:solidFill>
          </w14:textFill>
        </w:rPr>
        <w:t xml:space="preserve">(需</w:t>
      </w:r>
      <w:r>
        <w:rPr>
          <w:rFonts w:hint="eastAsia" w:ascii="宋体" w:hAnsi="宋体" w:cs="宋体"/>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官网</w:t>
      </w:r>
      <w:r>
        <w:rPr>
          <w:rFonts w:hint="eastAsia" w:ascii="宋体" w:hAnsi="宋体" w:cs="宋体"/>
          <w:color w:val="000000" w:themeColor="text1"/>
          <w:sz w:val="24"/>
          <w:szCs w:val="24"/>
          <w14:textFill>
            <w14:solidFill>
              <w14:schemeClr w14:val="tx1"/>
            </w14:solidFill>
          </w14:textFill>
        </w:rPr>
        <w:t xml:space="preserve">截图</w:t>
      </w:r>
      <w:r>
        <w:rPr>
          <w:rFonts w:hint="eastAsia" w:ascii="宋体" w:hAnsi="宋体" w:cs="宋体"/>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lang w:eastAsia="zh-CN"/>
          <w14:textFill>
            <w14:solidFill>
              <w14:schemeClr w14:val="tx1"/>
            </w14:solidFill>
          </w14:textFill>
        </w:rPr>
        <w:t xml:space="preserve">其他</w:t>
      </w:r>
      <w:r>
        <w:rPr>
          <w:rFonts w:hint="eastAsia" w:ascii="宋体" w:hAnsi="宋体" w:cs="宋体"/>
          <w:color w:val="000000" w:themeColor="text1"/>
          <w:sz w:val="24"/>
          <w:szCs w:val="24"/>
          <w:lang w:eastAsia="zh-CN"/>
          <w14:textFill>
            <w14:solidFill>
              <w14:schemeClr w14:val="tx1"/>
            </w14:solidFill>
          </w14:textFill>
        </w:rPr>
        <w:t xml:space="preserve">相关证明材料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2．采用有自主知识产权的安全操作系统，采用 B/S 设计架构，并采用 SSL加密通信方式，无须安装客户端，用户可通过浏览器远程方便的对产品进行管理；</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3．支持全局风险统计功能，通过扇形图、条状图、标签、表格等形式直观 展示资产风险分布、漏洞风险等级分布、紧急漏洞、风险资产清单等信息，并可查看详情；</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★4．支持全面扫描、资产发现、系统漏洞扫描、弱口令扫描、WEB 漏洞扫描、基线配置核查六种任务类型，其中全面扫描支持系统漏洞扫描、WEB 漏洞扫描、弱口令扫描同时执行(需提供测试报告</w:t>
      </w:r>
      <w:r>
        <w:rPr>
          <w:rFonts w:hint="eastAsia" w:ascii="宋体" w:hAnsi="宋体" w:cs="宋体"/>
          <w:color w:val="000000" w:themeColor="text1"/>
          <w:sz w:val="24"/>
          <w:szCs w:val="24"/>
          <w:lang w:eastAsia="zh-CN"/>
          <w14:textFill>
            <w14:solidFill>
              <w14:schemeClr w14:val="tx1"/>
            </w14:solidFill>
          </w14:textFill>
        </w:rPr>
        <w:t xml:space="preserve">等相关证明材料</w:t>
      </w:r>
      <w:r>
        <w:rPr>
          <w:rFonts w:hint="eastAsia" w:ascii="宋体" w:hAnsi="宋体" w:cs="宋体"/>
          <w:color w:val="000000" w:themeColor="text1"/>
          <w:sz w:val="24"/>
          <w:szCs w:val="24"/>
          <w14:textFill>
            <w14:solidFill>
              <w14:schemeClr w14:val="tx1"/>
            </w14:solidFill>
          </w14:textFill>
        </w:rPr>
        <w:t xml:space="preserve">，原件扫描上传)；</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5．支持资产发现功能，可基于 IP 地址、IP 网段、IP 范围、URL等方式进行资产发现扫描，支持 EXCEL 格式批量导入；</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6．资产发现支持存活探测、服务和端口探测、操作系统识别、数据库识别、 中间件识别等功能，其中服务和端口探测支持常用端口、全局端口和自定义端口三种探测方式；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7．资产发现支持任务立即执行和指定时间执行两种执行方式， 且指定时间可以精确到分钟；</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8．支持检测的漏洞数大于 230000 条，兼容 CVE、CNNVD、CNVD、Bugtraq 等主流标准；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9．支持行业通用标准OWASP，支持通用WEB漏洞检测，如：SQL注入、XSS、目录遍历、本地/远程文件包含漏洞、安全配置错误、命令执行、敏感信息泄露等；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10．支持对多种服务协议的弱口令猜解，包括FTP、IMAP、Microsoft SQL、MySQL、PcAnywhere、POP3、SMB、Telnet、VNC、SSH、RDP、ORACLE、Rsync、SMTP、VMware 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11．弱口令扫描支持任务立即执行、指定时间执行和周期执行三种执行方式，且指定时间可以精确到分钟，周期执行可精确到每日、每周、每月和自定义周期等；</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12．支持域管理功能，系统默认内置数据域、终端接入域、运维管理域等九个域，可根据客户实际情况进行自定义管理；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13．支持离线基线配置核查功能，支持通过基线配置模板导出离线脚本、通过任务列表导入基线扫描结果等功能；</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14．为确保产品自身的可靠性，要求所投产品的生产厂商为国家信息安全漏洞共享平台(CNVD)技术组成员，提供证明材料；</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15．提供不少于 3 年硬件质保、规则库升级和软件升级。</w:t>
      </w:r>
      <w:r/>
    </w:p>
    <w:p>
      <w:pPr>
        <w:ind w:firstLine="482"/>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 售后服务要求</w:t>
      </w:r>
      <w:r/>
    </w:p>
    <w:p>
      <w:pPr>
        <w:ind w:firstLine="480"/>
        <w:spacing w:line="500" w:lineRule="exact"/>
        <w:rPr>
          <w:rFonts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 xml:space="preserve">在硬件安装调试完、系统部署、上线且经</w:t>
      </w:r>
      <w:r>
        <w:rPr>
          <w:rFonts w:hint="eastAsia" w:ascii="宋体" w:hAnsi="宋体" w:cs="宋体"/>
          <w:color w:val="000000" w:themeColor="text1"/>
          <w:sz w:val="24"/>
          <w:szCs w:val="24"/>
          <w:lang w:val="en-US" w:eastAsia="zh-CN"/>
          <w14:textFill>
            <w14:solidFill>
              <w14:schemeClr w14:val="tx1"/>
            </w14:solidFill>
          </w14:textFill>
        </w:rPr>
        <w:t xml:space="preserve">采购人</w:t>
      </w:r>
      <w:r>
        <w:rPr>
          <w:rFonts w:hint="eastAsia" w:ascii="宋体" w:hAnsi="宋体" w:cs="宋体"/>
          <w:color w:val="000000" w:themeColor="text1"/>
          <w:sz w:val="24"/>
          <w:szCs w:val="24"/>
          <w14:textFill>
            <w14:solidFill>
              <w14:schemeClr w14:val="tx1"/>
            </w14:solidFill>
          </w14:textFill>
        </w:rPr>
        <w:t xml:space="preserve">验收合格后即进入免费质保期。中标人提供 3 年的免费质保期，在免费质保期内，中标人应对其提供的产品出现的质 量及安全问题负责处理解决并承担一切费用</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服务内容包含：1.电话咨询：中标人应当为用户提供免费技术援助电话，保证24小时全天候响应，解答用户在使用中遇到的问题，及时为用户提出解决问题的建议。2.现场响应：故障报修 响应时间：现场处置6小时内到达，技术解决方案12小时内提供（节假日照常服务）。</w:t>
      </w:r>
      <w:r/>
    </w:p>
    <w:p>
      <w:pPr>
        <w:ind w:firstLine="482"/>
        <w:spacing w:line="5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五、培训要求</w:t>
      </w:r>
      <w:r/>
    </w:p>
    <w:p>
      <w:pPr>
        <w:ind w:firstLine="480"/>
        <w:spacing w:line="500" w:lineRule="exact"/>
        <w:rPr>
          <w:rFonts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上线初期，投标人应制定培训计划，包含培训目标、培训对象、培训师资力量、培训方式、培训内容、培训时间等，服务期内应根据院方实际需求免费对相关操作人员进行培训，培训人必须为该软件具体模块负责人及以上人员，通过现场培训的方式，对新上线各软件模块进行不少于两次的培训，并使操作人员达到熟练操作的程度，同时提供用户操作手册、运行维护手册等。 </w:t>
      </w:r>
      <w:r/>
    </w:p>
    <w:p>
      <w:pPr>
        <w:ind w:firstLine="482"/>
        <w:spacing w:line="5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六、人员要求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总体要求:实施团队组建人数须满足系统建设的要求。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要求投标人针对本项目成立项目小组，包括但不限于业务专家、项目经理、研发工程师、测试工程师、实施工程师等，并熟悉各种主流的测试工具。提供书面项目组成员名单人员一旦得到采购人确认，无特殊理由不得随意变动，采购人有权根据实施情况要求更换项目经理和实施人员。</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2.项目经理需要具备过硬的项目管理能力和现场协调能力，项目经理要求有5年及以上工作经验，拥有职业健康类型项目实施管理经验，担任本项目的项目经理必须是投标方全职在岗员工。</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实施要求</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需要针对项目实施提供详细的方案，包含但不限于项目实施计划、实施流程管理、风险控制管理等。内容要求方案清晰，计划合理，切实可行。</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1.项目建设期</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扬州市职业健康智慧管理系统建设周期自合同签订之日起为12个月，系统开发及上线自合同签订之日起6个月。免费运维期为3年。</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2.实施计划</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综合考虑项目系统定制、实施等因素制定项目计划。扬州市职业健康智慧管理系统项目6个月内完成系统设计与开发、测试、部署，12个月内完成试运行与验收。详细进度安排如下： </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（一）3个月内，完成系统的需求分析与系统设计工作。输出系统设计的文档、界面设计等成果物。</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（二）6个月内完成系统开发与系统测试、实施部署工作。输出扬州市职业健康智慧管理系统项目安装包以及系统指导手册等文档。</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（三）12个月内完成培训与试运行等工作。将平台部署至正式提供对外服务环境中，编制培训教材，组织集中或点对点培训，输出培训记录、培训效果反馈表、试运行记录等，试运行3个月。</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试运行完成后开展系统的验收工作。组织专家评审，输出终验报告。</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实施流程管理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3.1项目进度安排原则</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采用关键路径法对整个项目的进度进行安排和控制。主要是通过对系统中几个关键时间点的控制，实现对整个项目的有效控制。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3.2关键进度的控制</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本项目的关键路径为：需求调研；应用软件系统开发；系统部署安装；系统联调、测试、部署；系统人员培训；系统试运行。 </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对于以上这些关键点，应在事前准备应急预案，严格控制其时间点，对于有可能延宕的关键点，按应急预案执行。以保证项目的按时进行。</w:t>
      </w:r>
      <w:r/>
    </w:p>
    <w:p>
      <w:pPr>
        <w:ind w:firstLine="482"/>
        <w:spacing w:line="500" w:lineRule="exact"/>
        <w:rPr>
          <w:rFonts w:hint="eastAsia"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七：</w:t>
      </w:r>
      <w:r>
        <w:rPr>
          <w:rFonts w:hint="eastAsia" w:ascii="宋体" w:hAnsi="宋体" w:cs="宋体"/>
          <w:b/>
          <w:bCs/>
          <w:color w:val="000000" w:themeColor="text1"/>
          <w:sz w:val="24"/>
          <w:szCs w:val="24"/>
          <w:lang w:val="en-US"/>
          <w14:textFill>
            <w14:solidFill>
              <w14:schemeClr w14:val="tx1"/>
            </w14:solidFill>
          </w14:textFill>
        </w:rPr>
        <w:t xml:space="preserve">演示要求 ：</w:t>
      </w:r>
      <w:r/>
    </w:p>
    <w:p>
      <w:pPr>
        <w:ind w:left="105" w:right="105"/>
        <w:keepLines w:val="0"/>
        <w:keepNext w:val="0"/>
        <w:pageBreakBefore w:val="0"/>
        <w:spacing w:line="360" w:lineRule="auto"/>
        <w:rPr>
          <w:rFonts w:hint="eastAsia" w:ascii="宋体" w:hAnsi="宋体" w:cs="宋体"/>
          <w:color w:val="000000" w:themeColor="text1"/>
          <w:sz w:val="24"/>
          <w:szCs w:val="24"/>
          <w:lang w:val="en-US"/>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14:textFill>
            <w14:solidFill>
              <w14:schemeClr w14:val="tx1"/>
            </w14:solidFill>
          </w14:textFill>
        </w:rPr>
        <w:t xml:space="preserve">供应商需按照招标文件规定的演示内容制作演示视频文件，视频文件的格式为*.mp4或*.avi，</w:t>
      </w: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cs="宋体"/>
          <w:color w:val="000000" w:themeColor="text1"/>
          <w:sz w:val="24"/>
          <w:szCs w:val="24"/>
          <w:lang w:val="en-US"/>
          <w14:textFill>
            <w14:solidFill>
              <w14:schemeClr w14:val="tx1"/>
            </w14:solidFill>
          </w14:textFill>
        </w:rPr>
        <w:t xml:space="preserve">须将视频文件分段压缩为*.zip文件上传（单个文件不得大于50M，所有文件总共不得大于300M）。文件上传方式见《操作手册》规定，上传的演示视频将作为投标文件的组成部分，视频时长总计不超过15分钟。</w:t>
      </w:r>
      <w:r/>
    </w:p>
    <w:p>
      <w:pPr>
        <w:ind w:left="105" w:right="105"/>
        <w:keepLines w:val="0"/>
        <w:keepNext w:val="0"/>
        <w:pageBreakBefore w:val="0"/>
        <w:spacing w:line="360" w:lineRule="auto"/>
        <w:rPr>
          <w:rFonts w:hint="eastAsia" w:ascii="宋体" w:hAnsi="宋体" w:cs="宋体"/>
          <w:color w:val="000000" w:themeColor="text1"/>
          <w:sz w:val="24"/>
          <w:szCs w:val="24"/>
          <w:lang w:val="en-US"/>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lang w:val="en-US"/>
          <w14:textFill>
            <w14:solidFill>
              <w14:schemeClr w14:val="tx1"/>
            </w14:solidFill>
          </w14:textFill>
        </w:rPr>
        <w:t xml:space="preserve">演示内容如下：</w:t>
      </w:r>
      <w:r/>
    </w:p>
    <w:p>
      <w:pPr>
        <w:ind w:firstLine="482"/>
        <w:spacing w:line="500" w:lineRule="exact"/>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职业健康业务数据分析可视化功能演示</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1、业务数据分析应包含：危害项目申报数据分析、三同时项目情况分析、检测评价情况分析、职业健康监护情况分析、责任自查情况分析、风险分类等级分析。</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2、检测评价情况分析可查看当年或历年的场所检测、现状评价及综合监管数据条数，同时统计当年及历年危害因素超标项Top10数。</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职业健康监护分析可查看当年或历年的已体检企业总数及已获取的体检记录数，体检记录数区分岗前、岗中、离岗，同时统计企业主检结论中包含职业禁忌证、疑似职业病、其他疾病或异常、未见明显异常及复查的数据情况。</w:t>
      </w:r>
      <w:r/>
    </w:p>
    <w:p>
      <w:pPr>
        <w:ind w:firstLine="482"/>
        <w:spacing w:line="500" w:lineRule="exact"/>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大数据实时风险预警系统功能演示</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1、能够查看职业健康体检数据触发复查、职业禁忌证累计人数≥20例，疑似职业病累计人数≥10例，新增职业病累计人数≥5例的预警风险隐患企业。</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2、系统实现风险隐患企业个案数据下钻功能，选择触发复查、职业禁忌证累计人数≥20风险隐患企业可查看到具体的劳动者名单。</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系统实现风险隐患企业劳动者个案数据下钻功能，选择风险隐患企业劳动者可查看职业健康体检具体明细信息，包含：基本信息、危害因素结论明细、人员职业史，既往病史、婚姻史、烟酒史、自觉症状，以及体检检查具体项目情况。</w:t>
      </w:r>
      <w:r/>
    </w:p>
    <w:p>
      <w:pPr>
        <w:ind w:firstLine="482"/>
        <w:spacing w:line="500" w:lineRule="exact"/>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用人单位综合档案管理系统功能演示</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1、具有用人单位全过程档案功能，按照一户一档要求，能够查看用人单位职业病危害项目申报档案、劳动者职业健康监护档案、工作场所检测评价档案、建设项目三同时档案、用人单位风险分类档案。</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2、健康监护档案能够查看用人单位的劳动者体检情况和诊断情况。</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3、健康监护档案的体检情况分析类型能够按人次和按人数，选择按人数可查询体检2次及以上的劳动者。</w:t>
      </w:r>
      <w:r/>
    </w:p>
    <w:p>
      <w:pPr>
        <w:ind w:firstLine="482"/>
        <w:spacing w:line="500" w:lineRule="exact"/>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移动执法系统演示 </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 CA 集成功能，能够通过移动执法APP演示职业卫生用人单位监督检查，出具带有电子签名的执法文书《现场笔录》和带有电子签章的执法文书《卫生监督意见书》。 </w:t>
      </w:r>
      <w:r/>
    </w:p>
    <w:p>
      <w:pPr>
        <w:pStyle w:val="891"/>
      </w:pPr>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采购标的对应的中小企业划分标准所属行业一览表：</w:t>
      </w:r>
      <w:r/>
    </w:p>
    <w:tbl>
      <w:tblPr>
        <w:tblStyle w:val="890"/>
        <w:tblW w:w="74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848"/>
        <w:gridCol w:w="2852"/>
      </w:tblGrid>
      <w:tr>
        <w:trPr>
          <w:cantSplit/>
          <w:jc w:val="center"/>
        </w:trPr>
        <w:tc>
          <w:tcPr>
            <w:tcW w:w="769" w:type="dxa"/>
            <w:vAlign w:val="center"/>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3848" w:type="dxa"/>
            <w:vAlign w:val="center"/>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采购标的</w:t>
            </w:r>
            <w:r/>
          </w:p>
        </w:tc>
        <w:tc>
          <w:tcPr>
            <w:tcW w:w="2852" w:type="dxa"/>
            <w:vAlign w:val="center"/>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对应中小企业划分标准所属行业</w:t>
            </w:r>
            <w:r/>
          </w:p>
        </w:tc>
      </w:tr>
      <w:tr>
        <w:trPr>
          <w:cantSplit/>
          <w:jc w:val="center"/>
          <w:trHeight w:val="291"/>
        </w:trPr>
        <w:tc>
          <w:tcPr>
            <w:tcW w:w="769"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3848"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扬州市职业健康智慧管理系统</w:t>
            </w:r>
            <w:r/>
          </w:p>
        </w:tc>
        <w:tc>
          <w:tcPr>
            <w:tcW w:w="2852"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cantSplit/>
          <w:jc w:val="center"/>
          <w:trHeight w:val="235"/>
        </w:trPr>
        <w:tc>
          <w:tcPr>
            <w:tcW w:w="769"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3848"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852"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222"/>
        </w:trPr>
        <w:tc>
          <w:tcPr>
            <w:tcW w:w="769"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3848"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W w:w="2852" w:type="dxa"/>
            <w:textDirection w:val="lrTb"/>
            <w:noWrap w:val="false"/>
          </w:tcPr>
          <w:p>
            <w:pPr>
              <w:jc w:val="center"/>
              <w:spacing w:line="0" w:lineRule="atLeas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spacing w:line="360" w:lineRule="auto"/>
        <w:rPr>
          <w:bCs/>
          <w:iCs/>
          <w:sz w:val="24"/>
          <w:szCs w:val="24"/>
          <w:lang w:val="zh-CN" w:eastAsia="zh-Hans"/>
        </w:rPr>
        <w:sectPr>
          <w:headerReference w:type="default" r:id="rId14"/>
          <w:footerReference w:type="default" r:id="rId21"/>
          <w:footnotePr/>
          <w:endnotePr/>
          <w:type w:val="nextPage"/>
          <w:pgSz w:w="11906" w:h="16838" w:orient="portrait"/>
          <w:pgMar w:top="1440" w:right="1800" w:bottom="1440" w:left="1800" w:header="851" w:footer="992" w:gutter="0"/>
          <w:cols w:num="1" w:sep="0" w:space="425" w:equalWidth="1"/>
          <w:docGrid w:linePitch="360"/>
        </w:sectPr>
      </w:pPr>
      <w:r>
        <w:rPr>
          <w:bCs/>
          <w:iCs/>
          <w:sz w:val="24"/>
          <w:szCs w:val="24"/>
          <w:lang w:val="zh-CN" w:eastAsia="zh-Hans"/>
        </w:rPr>
      </w:r>
      <w:r/>
    </w:p>
    <w:p>
      <w:pPr>
        <w:spacing w:line="360" w:lineRule="auto"/>
        <w:rPr>
          <w:rFonts w:ascii="宋体" w:hAnsi="宋体"/>
          <w:sz w:val="24"/>
          <w:szCs w:val="24"/>
        </w:rPr>
      </w:pPr>
      <w:r>
        <w:rPr>
          <w:rFonts w:ascii="宋体" w:hAnsi="宋体"/>
          <w:sz w:val="24"/>
          <w:szCs w:val="24"/>
        </w:rPr>
      </w:r>
      <w:r/>
    </w:p>
    <w:p>
      <w:pPr>
        <w:jc w:val="center"/>
        <w:keepNext/>
        <w:rPr>
          <w:rFonts w:ascii="黑体" w:eastAsia="黑体"/>
          <w:bCs/>
          <w:sz w:val="44"/>
          <w:szCs w:val="28"/>
        </w:rPr>
        <w:outlineLvl w:val="0"/>
      </w:pPr>
      <w:r/>
      <w:bookmarkStart w:id="192" w:name="_Toc19090"/>
      <w:r/>
      <w:bookmarkStart w:id="193" w:name="_Toc120614281"/>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192"/>
      <w:r/>
      <w:r/>
    </w:p>
    <w:p>
      <w:pPr>
        <w:ind w:firstLine="441"/>
        <w:jc w:val="left"/>
        <w:spacing w:before="120" w:after="120" w:line="360" w:lineRule="auto"/>
        <w:rPr>
          <w:rFonts w:ascii="宋体" w:hAnsi="宋体" w:cs="宋体"/>
          <w:b/>
          <w:color w:val="0000ff"/>
          <w:sz w:val="24"/>
          <w:szCs w:val="24"/>
          <w:highlight w:val="yellow"/>
        </w:rPr>
      </w:pPr>
      <w:r>
        <w:rPr>
          <w:rFonts w:hint="eastAsia" w:ascii="宋体" w:hAnsi="宋体" w:cs="宋体"/>
          <w:b/>
          <w:sz w:val="24"/>
          <w:szCs w:val="24"/>
        </w:rPr>
        <w:t xml:space="preserve">政府采购政策功能落实</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1、小微型企业价格扣除</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（1）对小型和微型企业产品给予</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的扣除价格，用扣除后的价格参与评审。</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2、残疾人福利单位价格扣除</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（1）对残疾人福利性单位视同小型、微型企业，给予</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的价格扣除，用扣除后的价格参与评审。</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3、监狱和戒毒企业价格扣除</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的价格扣除，用扣除后的价格参与评审。</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5、如本项目同意联合体参加</w:t>
      </w:r>
      <w:r>
        <w:rPr>
          <w:rFonts w:hint="eastAsia" w:ascii="宋体" w:hAnsi="宋体" w:cs="宋体"/>
          <w:sz w:val="24"/>
          <w:szCs w:val="24"/>
        </w:rPr>
        <w:t xml:space="preserve">投标</w:t>
      </w:r>
      <w:r>
        <w:rPr>
          <w:rFonts w:hint="eastAsia" w:ascii="宋体" w:hAnsi="宋体" w:cs="宋体"/>
          <w:sz w:val="24"/>
          <w:szCs w:val="24"/>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的价格扣除，用扣除后的价格参与评审。</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6、联合体各方均为小型、微型企业（残疾人福利单位、监狱企业）的，联合体享受</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价格扣除，用扣除后的价格参与评审。</w:t>
      </w:r>
      <w:r/>
    </w:p>
    <w:p>
      <w:pPr>
        <w:ind w:firstLine="482"/>
        <w:jc w:val="left"/>
        <w:spacing w:before="120" w:after="120" w:line="360" w:lineRule="auto"/>
        <w:rPr>
          <w:rFonts w:ascii="宋体" w:hAnsi="宋体" w:cs="宋体"/>
          <w:b/>
          <w:sz w:val="24"/>
          <w:szCs w:val="24"/>
        </w:rPr>
      </w:pPr>
      <w:r>
        <w:rPr>
          <w:rFonts w:hint="eastAsia" w:ascii="宋体" w:hAnsi="宋体" w:cs="宋体"/>
          <w:b/>
          <w:sz w:val="24"/>
          <w:szCs w:val="24"/>
        </w:rPr>
        <w:t xml:space="preserve">评审方法与评审标准</w:t>
      </w:r>
      <w:r/>
    </w:p>
    <w:tbl>
      <w:tblPr>
        <w:tblStyle w:val="890"/>
        <w:tblW w:w="89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81"/>
        <w:gridCol w:w="5752"/>
        <w:gridCol w:w="885"/>
      </w:tblGrid>
      <w:tr>
        <w:trPr>
          <w:jc w:val="center"/>
          <w:trHeight w:val="90"/>
          <w:tblHeader/>
        </w:trPr>
        <w:tc>
          <w:tcPr>
            <w:tcW w:w="800" w:type="dxa"/>
            <w:vAlign w:val="center"/>
            <w:textDirection w:val="lrTb"/>
            <w:noWrap w:val="false"/>
          </w:tcPr>
          <w:p>
            <w:pPr>
              <w:ind w:firstLine="28"/>
              <w:jc w:val="center"/>
              <w:spacing w:line="276" w:lineRule="auto"/>
              <w:rPr>
                <w:rFonts w:ascii="宋体" w:hAnsi="宋体" w:cs="宋体"/>
                <w:b/>
                <w:bCs/>
                <w:sz w:val="24"/>
                <w:szCs w:val="24"/>
              </w:rPr>
            </w:pPr>
            <w:r>
              <w:rPr>
                <w:rFonts w:hint="eastAsia" w:ascii="宋体" w:hAnsi="宋体" w:cs="宋体"/>
                <w:b/>
                <w:bCs/>
                <w:sz w:val="24"/>
                <w:szCs w:val="24"/>
              </w:rPr>
              <w:t xml:space="preserve">序号</w:t>
            </w:r>
            <w:r/>
          </w:p>
        </w:tc>
        <w:tc>
          <w:tcPr>
            <w:tcW w:w="1481" w:type="dxa"/>
            <w:vAlign w:val="center"/>
            <w:textDirection w:val="lrTb"/>
            <w:noWrap w:val="false"/>
          </w:tcPr>
          <w:p>
            <w:pPr>
              <w:ind w:firstLine="28"/>
              <w:jc w:val="center"/>
              <w:spacing w:line="276" w:lineRule="auto"/>
              <w:rPr>
                <w:rFonts w:ascii="宋体" w:hAnsi="宋体" w:cs="宋体"/>
                <w:b/>
                <w:bCs/>
                <w:sz w:val="24"/>
                <w:szCs w:val="24"/>
              </w:rPr>
            </w:pPr>
            <w:r>
              <w:rPr>
                <w:rFonts w:hint="eastAsia" w:ascii="宋体" w:hAnsi="宋体" w:cs="宋体"/>
                <w:b/>
                <w:bCs/>
                <w:sz w:val="24"/>
                <w:szCs w:val="24"/>
              </w:rPr>
              <w:t xml:space="preserve">评审因素</w:t>
            </w:r>
            <w:r/>
          </w:p>
        </w:tc>
        <w:tc>
          <w:tcPr>
            <w:tcW w:w="5752" w:type="dxa"/>
            <w:vAlign w:val="center"/>
            <w:textDirection w:val="lrTb"/>
            <w:noWrap w:val="false"/>
          </w:tcPr>
          <w:p>
            <w:pPr>
              <w:ind w:firstLine="28"/>
              <w:jc w:val="center"/>
              <w:spacing w:line="276" w:lineRule="auto"/>
              <w:rPr>
                <w:rFonts w:ascii="宋体" w:hAnsi="宋体" w:cs="宋体"/>
                <w:b/>
                <w:bCs/>
                <w:sz w:val="24"/>
                <w:szCs w:val="24"/>
              </w:rPr>
            </w:pPr>
            <w:r>
              <w:rPr>
                <w:rFonts w:hint="eastAsia" w:ascii="宋体" w:hAnsi="宋体" w:cs="宋体"/>
                <w:b/>
                <w:bCs/>
                <w:sz w:val="24"/>
                <w:szCs w:val="24"/>
              </w:rPr>
              <w:t xml:space="preserve">评审细则</w:t>
            </w:r>
            <w:r/>
          </w:p>
        </w:tc>
        <w:tc>
          <w:tcPr>
            <w:tcW w:w="885" w:type="dxa"/>
            <w:vAlign w:val="center"/>
            <w:textDirection w:val="lrTb"/>
            <w:noWrap w:val="false"/>
          </w:tcPr>
          <w:p>
            <w:pPr>
              <w:ind w:firstLine="28"/>
              <w:jc w:val="center"/>
              <w:spacing w:line="276"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Height w:val="280"/>
        </w:trPr>
        <w:tc>
          <w:tcPr>
            <w:gridSpan w:val="4"/>
            <w:tcW w:w="8918" w:type="dxa"/>
            <w:vAlign w:val="center"/>
            <w:textDirection w:val="lrTb"/>
            <w:noWrap w:val="false"/>
          </w:tcPr>
          <w:p>
            <w:pPr>
              <w:spacing w:line="276" w:lineRule="auto"/>
              <w:rPr>
                <w:rFonts w:ascii="宋体" w:hAnsi="宋体" w:cs="宋体"/>
                <w:b/>
                <w:color w:val="000000"/>
                <w:sz w:val="24"/>
                <w:szCs w:val="24"/>
              </w:rPr>
            </w:pPr>
            <w:r>
              <w:rPr>
                <w:rFonts w:hint="eastAsia" w:ascii="宋体" w:hAnsi="宋体" w:cs="宋体"/>
                <w:b/>
                <w:bCs/>
                <w:sz w:val="24"/>
                <w:szCs w:val="24"/>
              </w:rPr>
              <w:t xml:space="preserve">一、投标报价（10</w:t>
            </w:r>
            <w:r>
              <w:rPr>
                <w:rFonts w:hint="eastAsia" w:ascii="宋体" w:hAnsi="宋体" w:cs="宋体"/>
                <w:b/>
                <w:bCs/>
                <w:sz w:val="24"/>
                <w:szCs w:val="24"/>
              </w:rPr>
              <w:t xml:space="preserve">分</w:t>
            </w:r>
            <w:r>
              <w:rPr>
                <w:rFonts w:hint="eastAsia" w:ascii="宋体" w:hAnsi="宋体" w:cs="宋体"/>
                <w:b/>
                <w:bCs/>
                <w:sz w:val="24"/>
                <w:szCs w:val="24"/>
              </w:rPr>
              <w:t xml:space="preserve">）</w:t>
            </w:r>
            <w:r/>
          </w:p>
        </w:tc>
      </w:tr>
      <w:tr>
        <w:trPr>
          <w:jc w:val="center"/>
          <w:trHeight w:val="280"/>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1481"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Cs w:val="21"/>
              </w:rPr>
              <w:t xml:space="preserve">价格分</w:t>
            </w:r>
            <w:r/>
          </w:p>
        </w:tc>
        <w:tc>
          <w:tcPr>
            <w:tcW w:w="5752" w:type="dxa"/>
            <w:vAlign w:val="center"/>
            <w:textDirection w:val="lrTb"/>
            <w:noWrap w:val="false"/>
          </w:tcPr>
          <w:p>
            <w:pPr>
              <w:spacing w:line="276" w:lineRule="auto"/>
              <w:widowControl/>
              <w:rPr>
                <w:rFonts w:ascii="宋体" w:hAnsi="宋体" w:cs="宋体"/>
                <w:color w:val="000000"/>
                <w:sz w:val="24"/>
                <w:szCs w:val="24"/>
              </w:rPr>
            </w:pPr>
            <w:r>
              <w:rPr>
                <w:rFonts w:hint="eastAsia" w:ascii="宋体" w:hAnsi="宋体" w:cs="宋体"/>
                <w:color w:val="000000"/>
                <w:szCs w:val="21"/>
              </w:rPr>
              <w:t xml:space="preserve">以满足招标文件要求的最低投标报价为评标基准价，得满分10分，其他投标报价得分＝（评标基准价/其他投标报价）×10×100％。</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80"/>
        </w:trPr>
        <w:tc>
          <w:tcPr>
            <w:gridSpan w:val="4"/>
            <w:tcW w:w="8918" w:type="dxa"/>
            <w:vAlign w:val="center"/>
            <w:textDirection w:val="lrTb"/>
            <w:noWrap w:val="false"/>
          </w:tcPr>
          <w:p>
            <w:pPr>
              <w:spacing w:line="276" w:lineRule="auto"/>
              <w:widowControl/>
              <w:rPr>
                <w:rFonts w:ascii="宋体" w:hAnsi="宋体" w:cs="宋体"/>
                <w:b/>
                <w:color w:val="000000"/>
                <w:sz w:val="24"/>
                <w:szCs w:val="24"/>
              </w:rPr>
            </w:pPr>
            <w:r>
              <w:rPr>
                <w:rFonts w:hint="eastAsia" w:ascii="宋体" w:hAnsi="宋体" w:cs="宋体"/>
                <w:b/>
                <w:bCs/>
                <w:sz w:val="24"/>
                <w:szCs w:val="24"/>
              </w:rPr>
              <w:t xml:space="preserve">二、技术部分（72</w:t>
            </w:r>
            <w:r>
              <w:rPr>
                <w:rFonts w:hint="eastAsia" w:ascii="宋体" w:hAnsi="宋体" w:cs="宋体"/>
                <w:b/>
                <w:bCs/>
                <w:sz w:val="24"/>
                <w:szCs w:val="24"/>
              </w:rPr>
              <w:t xml:space="preserve">分</w:t>
            </w:r>
            <w:r>
              <w:rPr>
                <w:rFonts w:hint="eastAsia" w:ascii="宋体" w:hAnsi="宋体" w:cs="宋体"/>
                <w:b/>
                <w:bCs/>
                <w:sz w:val="24"/>
                <w:szCs w:val="24"/>
              </w:rPr>
              <w:t xml:space="preserve">）</w:t>
            </w:r>
            <w:r/>
          </w:p>
        </w:tc>
      </w:tr>
      <w:tr>
        <w:trPr>
          <w:jc w:val="center"/>
          <w:trHeight w:val="911"/>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1481"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Cs w:val="21"/>
              </w:rPr>
              <w:t xml:space="preserve">总体技术方案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根据投标人提供的针对采购人的</w:t>
            </w:r>
            <w:r>
              <w:rPr>
                <w:rFonts w:hint="eastAsia" w:ascii="宋体" w:hAnsi="宋体" w:cs="宋体"/>
                <w:b/>
                <w:bCs/>
                <w:color w:val="000000"/>
                <w:szCs w:val="21"/>
              </w:rPr>
              <w:t xml:space="preserve">软件系统要求</w:t>
            </w:r>
            <w:r>
              <w:rPr>
                <w:rFonts w:hint="eastAsia" w:ascii="宋体" w:hAnsi="宋体" w:cs="宋体"/>
                <w:b/>
                <w:bCs/>
                <w:color w:val="000000"/>
                <w:szCs w:val="21"/>
                <w:lang w:eastAsia="zh-Hans"/>
              </w:rPr>
              <w:t xml:space="preserve">的</w:t>
            </w:r>
            <w:r>
              <w:rPr>
                <w:rFonts w:hint="eastAsia" w:ascii="宋体" w:hAnsi="宋体" w:cs="宋体"/>
                <w:b/>
                <w:bCs/>
                <w:color w:val="000000"/>
                <w:szCs w:val="21"/>
              </w:rPr>
              <w:t xml:space="preserve">总体技术</w:t>
            </w:r>
            <w:r>
              <w:rPr>
                <w:rFonts w:hint="eastAsia" w:ascii="宋体" w:hAnsi="宋体" w:cs="宋体"/>
                <w:b/>
                <w:bCs/>
                <w:color w:val="000000"/>
                <w:szCs w:val="21"/>
                <w:lang w:eastAsia="zh-Hans"/>
              </w:rPr>
              <w:t xml:space="preserve">要求</w:t>
            </w:r>
            <w:r>
              <w:rPr>
                <w:rFonts w:hint="eastAsia" w:ascii="宋体" w:hAnsi="宋体" w:cs="宋体"/>
                <w:color w:val="000000"/>
                <w:szCs w:val="21"/>
              </w:rPr>
              <w:t xml:space="preserve">编制总体设计方案进行评分：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不符合招标文件要求或未提供的不得分。</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78"/>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1481"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Cs w:val="21"/>
              </w:rPr>
              <w:t xml:space="preserve">功能设计方案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根据投标人提供针对采购人的</w:t>
            </w:r>
            <w:r>
              <w:rPr>
                <w:rFonts w:hint="eastAsia" w:ascii="宋体" w:hAnsi="宋体" w:cs="宋体"/>
                <w:b/>
                <w:bCs/>
                <w:color w:val="000000"/>
                <w:szCs w:val="21"/>
              </w:rPr>
              <w:t xml:space="preserve">软件系统要求的功能设计要求</w:t>
            </w:r>
            <w:r>
              <w:rPr>
                <w:rFonts w:hint="eastAsia" w:ascii="宋体" w:hAnsi="宋体" w:cs="宋体"/>
                <w:color w:val="000000"/>
                <w:szCs w:val="21"/>
              </w:rPr>
              <w:t xml:space="preserve">编制功能设计方案进行评分。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不符合招标文件要求或未提供的不得分。</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78"/>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2.3</w:t>
            </w:r>
            <w:r/>
          </w:p>
        </w:tc>
        <w:tc>
          <w:tcPr>
            <w:tcW w:w="1481"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Cs w:val="21"/>
              </w:rPr>
              <w:t xml:space="preserve">数据交换方案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根据投标人提供针对采购人的</w:t>
            </w:r>
            <w:r>
              <w:rPr>
                <w:rFonts w:hint="eastAsia" w:ascii="宋体" w:hAnsi="宋体" w:cs="宋体"/>
                <w:b/>
                <w:bCs/>
                <w:color w:val="000000"/>
                <w:szCs w:val="21"/>
              </w:rPr>
              <w:t xml:space="preserve">软件系统要求的数据交换要求</w:t>
            </w:r>
            <w:r>
              <w:rPr>
                <w:rFonts w:hint="eastAsia" w:ascii="宋体" w:hAnsi="宋体" w:cs="宋体"/>
                <w:color w:val="000000"/>
                <w:szCs w:val="21"/>
              </w:rPr>
              <w:t xml:space="preserve">建设的所有对接系统编制数据交换方案进行综合评分。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szCs w:val="21"/>
              </w:rPr>
            </w:pPr>
            <w:r>
              <w:rPr>
                <w:rFonts w:hint="eastAsia" w:ascii="宋体" w:hAnsi="宋体" w:cs="宋体"/>
                <w:color w:val="000000"/>
                <w:szCs w:val="21"/>
              </w:rPr>
              <w:t xml:space="preserve">不符合招标文件要求或未提供的不得分。</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78"/>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ascii="宋体" w:hAnsi="宋体" w:cs="宋体"/>
                <w:color w:val="000000"/>
                <w:sz w:val="24"/>
                <w:szCs w:val="24"/>
              </w:rPr>
            </w:r>
            <w:r/>
          </w:p>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2.4</w:t>
            </w:r>
            <w:r/>
          </w:p>
        </w:tc>
        <w:tc>
          <w:tcP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技术参数响应</w:t>
            </w:r>
            <w:r>
              <w:rPr>
                <w:sz w:val="22"/>
              </w:rPr>
            </w:r>
            <w:r/>
          </w:p>
        </w:tc>
        <w:tc>
          <w:tcPr>
            <w:tcW w:w="5752" w:type="dxa"/>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投标产品性能完全满足采购文件要求得</w:t>
            </w:r>
            <w:r>
              <w:rPr>
                <w:rFonts w:ascii="SimSun" w:hAnsi="SimSun" w:eastAsia="SimSun" w:cs="SimSun"/>
                <w:color w:val="000000"/>
                <w:sz w:val="21"/>
              </w:rPr>
              <w:t xml:space="preserve">22</w:t>
            </w:r>
            <w:r>
              <w:rPr>
                <w:rFonts w:ascii="SimSun" w:hAnsi="SimSun" w:eastAsia="SimSun" w:cs="SimSun"/>
                <w:color w:val="000000"/>
                <w:sz w:val="22"/>
              </w:rPr>
              <w:t xml:space="preserve">分，其中：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w:t>
            </w:r>
            <w:r>
              <w:rPr>
                <w:rFonts w:ascii="SimSun" w:hAnsi="SimSun" w:eastAsia="SimSun" w:cs="SimSun"/>
                <w:color w:val="000000"/>
                <w:sz w:val="21"/>
              </w:rPr>
              <w:t xml:space="preserve">“★”号（共22</w:t>
            </w:r>
            <w:r>
              <w:rPr>
                <w:rFonts w:ascii="SimSun" w:hAnsi="SimSun" w:eastAsia="SimSun" w:cs="SimSun"/>
                <w:color w:val="000000"/>
                <w:sz w:val="22"/>
              </w:rPr>
              <w:t xml:space="preserve">个）项指标参数为重要参数，每有</w:t>
            </w:r>
            <w:r>
              <w:rPr>
                <w:rFonts w:ascii="SimSun" w:hAnsi="SimSun" w:eastAsia="SimSun" w:cs="SimSun"/>
                <w:color w:val="000000"/>
                <w:sz w:val="21"/>
              </w:rPr>
              <w:t xml:space="preserve">1项不满足扣1</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（须按招标文件要求提供相关证明材料、功能截图等扫描上传）</w:t>
            </w:r>
            <w:r>
              <w:rPr>
                <w:sz w:val="22"/>
              </w:rPr>
            </w:r>
            <w:r/>
          </w:p>
        </w:tc>
        <w:tc>
          <w:tcPr>
            <w:tcW w:w="885" w:type="dxa"/>
            <w:vAlign w:val="center"/>
            <w:textDirection w:val="lrTb"/>
            <w:noWrap w:val="false"/>
          </w:tcPr>
          <w:p>
            <w:pPr>
              <w:jc w:val="center"/>
              <w:spacing w:line="276" w:lineRule="auto"/>
              <w:widowControl/>
              <w:rPr>
                <w:rFonts w:hint="default" w:ascii="宋体" w:hAnsi="宋体" w:eastAsia="宋体" w:cs="宋体"/>
                <w:color w:val="000000"/>
                <w:sz w:val="24"/>
                <w:szCs w:val="24"/>
                <w:lang w:val="en-US" w:eastAsia="zh-CN"/>
              </w:rPr>
            </w:pPr>
            <w:r>
              <w:rPr>
                <w:rFonts w:hint="eastAsia" w:ascii="宋体" w:hAnsi="宋体" w:cs="宋体"/>
                <w:color w:val="000000"/>
                <w:szCs w:val="21"/>
                <w:lang w:val="en-US" w:eastAsia="zh-CN"/>
              </w:rPr>
              <w:t xml:space="preserve">22</w:t>
            </w:r>
            <w:r/>
          </w:p>
        </w:tc>
      </w:tr>
      <w:tr>
        <w:trPr>
          <w:jc w:val="center"/>
          <w:trHeight w:val="278"/>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2.5</w:t>
            </w:r>
            <w:r/>
          </w:p>
        </w:tc>
        <w:tc>
          <w:tcPr>
            <w:tcW w:w="1481" w:type="dxa"/>
            <w:vAlign w:val="center"/>
            <w:textDirection w:val="lrTb"/>
            <w:noWrap w:val="false"/>
          </w:tcPr>
          <w:p>
            <w:pPr>
              <w:jc w:val="center"/>
              <w:spacing w:line="276" w:lineRule="auto"/>
              <w:widowControl/>
              <w:rPr>
                <w:rFonts w:ascii="宋体" w:hAnsi="宋体" w:cs="宋体"/>
                <w:color w:val="000000"/>
                <w:szCs w:val="21"/>
              </w:rPr>
            </w:pPr>
            <w:r>
              <w:rPr>
                <w:rFonts w:hint="eastAsia" w:ascii="宋体" w:hAnsi="宋体" w:cs="宋体"/>
                <w:color w:val="000000"/>
                <w:szCs w:val="21"/>
              </w:rPr>
              <w:t xml:space="preserve">演示</w:t>
            </w:r>
            <w:r/>
          </w:p>
        </w:tc>
        <w:tc>
          <w:tcPr>
            <w:tcW w:w="5752" w:type="dxa"/>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将以下演示内容自行录制成视频进行演示须在系统中上传演示，视频统一采用录制真实软件操作视频方式进行功能演示（视频画面需清晰）。视频演示时间控制在</w:t>
            </w:r>
            <w:r>
              <w:rPr>
                <w:rFonts w:ascii="SimSun" w:hAnsi="SimSun" w:eastAsia="SimSun" w:cs="SimSun"/>
                <w:color w:val="000000"/>
                <w:sz w:val="21"/>
              </w:rPr>
              <w:t xml:space="preserve">15分钟内。视频随投标文件上传，未上传或无法播放不得分。</w:t>
            </w:r>
            <w:r>
              <w:rPr>
                <w:sz w:val="22"/>
              </w:rPr>
            </w:r>
            <w:r/>
          </w:p>
          <w:p>
            <w:pPr>
              <w:spacing w:line="276" w:lineRule="auto"/>
              <w:widowControl/>
              <w:rPr>
                <w:rFonts w:ascii="宋体" w:hAnsi="宋体" w:cs="宋体"/>
                <w:b/>
                <w:bCs/>
                <w:color w:val="000000"/>
                <w:szCs w:val="21"/>
              </w:rPr>
            </w:pPr>
            <w:r>
              <w:rPr>
                <w:rFonts w:hint="eastAsia" w:ascii="宋体" w:hAnsi="宋体" w:cs="宋体"/>
                <w:b/>
                <w:bCs/>
                <w:color w:val="000000"/>
                <w:szCs w:val="21"/>
              </w:rPr>
              <w:t xml:space="preserve">一、职业健康业务数据分析可视化功能演示</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1、业务数据分析应包含：危害项目申报数据分析、三同时项目情况分析、检测评价情况分析、职业健康监护情况分析、责任自查情况分析、风险分类等级分析，得2分。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2、检测评价情况分析可查看当年或历年的场所检测、现状评价及综合监管数据条数，同时统计当年及历年危害因素超标项Top10数，得2分。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3、职业健康监护分析可查看当年或历年的已体检企业总数及已获取的体检记录数，体检记录数区分岗前、岗中、离岗，同时统计企业主检结论中包含职业禁忌证、疑似职业</w:t>
            </w:r>
            <w:r>
              <w:rPr>
                <w:rFonts w:hint="eastAsia" w:ascii="宋体" w:hAnsi="宋体" w:cs="宋体"/>
                <w:color w:val="000000"/>
              </w:rPr>
              <w:t xml:space="preserve">病、其他疾病或异常、未见明显异常及复查的数据情况，得</w:t>
            </w:r>
            <w:r>
              <w:rPr>
                <w:rFonts w:hint="eastAsia" w:ascii="宋体" w:hAnsi="宋体" w:cs="宋体"/>
                <w:color w:val="000000"/>
                <w:lang w:val="en-US" w:eastAsia="zh-CN"/>
              </w:rPr>
              <w:t xml:space="preserve">1</w:t>
            </w:r>
            <w:r>
              <w:rPr>
                <w:rFonts w:hint="eastAsia" w:ascii="宋体" w:hAnsi="宋体" w:cs="宋体"/>
                <w:color w:val="000000"/>
              </w:rPr>
              <w:t xml:space="preserve">分。</w:t>
            </w:r>
            <w:r/>
          </w:p>
          <w:p>
            <w:pPr>
              <w:spacing w:line="276" w:lineRule="auto"/>
              <w:widowControl/>
              <w:rPr>
                <w:rFonts w:ascii="宋体" w:hAnsi="宋体" w:cs="宋体"/>
                <w:b/>
                <w:bCs/>
                <w:color w:val="000000"/>
                <w:szCs w:val="21"/>
              </w:rPr>
            </w:pPr>
            <w:r>
              <w:rPr>
                <w:rFonts w:hint="eastAsia" w:ascii="宋体" w:hAnsi="宋体" w:cs="宋体"/>
                <w:b/>
                <w:bCs/>
                <w:color w:val="000000"/>
                <w:szCs w:val="21"/>
              </w:rPr>
              <w:t xml:space="preserve">二、大数据实时风险预警系统功能演示（5分）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1、能够查看职业健康体检数据触发复查、职业禁忌证累计人数≥20例，疑似职业病累计人数≥10例，新增职业病累计人数≥5例的预警风险隐患企业，得2分。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2、系统实现风险隐患企业个案数据下钻功能，选择触发复查、职业禁忌证累计人数≥20风险隐患企业可查看到具体的劳动者名单，得2分。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3、系统实现风险隐患企业劳动者个案数据下钻功能，选择风险隐患企业劳动者可查看职业健康体检具体明细信息，包含：基本信息、危害因素结论明细、人员职业史，既往病史、婚姻史、烟酒史、自觉症状，以及体检检查具体项目情况，得1分。</w:t>
            </w:r>
            <w:r/>
          </w:p>
          <w:p>
            <w:pPr>
              <w:spacing w:line="276" w:lineRule="auto"/>
              <w:widowControl/>
              <w:rPr>
                <w:rFonts w:ascii="宋体" w:hAnsi="宋体" w:cs="宋体"/>
                <w:b/>
                <w:bCs/>
                <w:color w:val="000000"/>
                <w:szCs w:val="21"/>
              </w:rPr>
            </w:pPr>
            <w:r>
              <w:rPr>
                <w:rFonts w:hint="eastAsia" w:ascii="宋体" w:hAnsi="宋体" w:cs="宋体"/>
                <w:b/>
                <w:bCs/>
                <w:color w:val="000000"/>
                <w:szCs w:val="21"/>
              </w:rPr>
              <w:t xml:space="preserve">三、用人单位综合档案管理系统功能演示（</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1、具有用人单位全过程档案功能，按照一户一档要求，能够查看用人单位职业病危害项目申报档案、劳动者职业健康监护档案、工作场所检测评价档案、建设项目三同时档案、用人单位风险分类档案</w:t>
            </w:r>
            <w:r>
              <w:rPr>
                <w:rFonts w:hint="eastAsia" w:ascii="宋体" w:hAnsi="宋体" w:cs="宋体"/>
                <w:color w:val="000000"/>
              </w:rPr>
              <w:t xml:space="preserve">，</w:t>
            </w:r>
            <w:r>
              <w:rPr>
                <w:rFonts w:hint="eastAsia" w:ascii="宋体" w:hAnsi="宋体" w:cs="宋体"/>
                <w:color w:val="000000"/>
              </w:rPr>
              <w:t xml:space="preserve">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ascii="宋体" w:hAnsi="宋体" w:cs="宋体"/>
                <w:color w:val="000000"/>
              </w:rPr>
              <w:t xml:space="preserve">。</w:t>
            </w:r>
            <w:r>
              <w:rPr>
                <w:rFonts w:hint="eastAsia" w:ascii="宋体" w:hAnsi="宋体" w:cs="宋体"/>
                <w:color w:val="ff0000"/>
                <w:szCs w:val="21"/>
              </w:rPr>
            </w:r>
            <w:r/>
          </w:p>
          <w:p>
            <w:pPr>
              <w:spacing w:line="276" w:lineRule="auto"/>
              <w:widowControl/>
              <w:rPr>
                <w:rFonts w:ascii="宋体" w:hAnsi="宋体" w:cs="宋体"/>
                <w:color w:val="000000"/>
                <w:szCs w:val="21"/>
              </w:rPr>
            </w:pPr>
            <w:r>
              <w:rPr>
                <w:rFonts w:hint="eastAsia" w:ascii="宋体" w:hAnsi="宋体" w:cs="宋体"/>
                <w:color w:val="000000"/>
                <w:szCs w:val="21"/>
              </w:rPr>
              <w:t xml:space="preserve">2、健康监护档案能够查看用人单位的劳动者体检情况和诊断情况，得1分。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3、健康监护档案的体检情况分析类型能够按人次和按人数，选择按人数可查询体检2次及以上的劳动者，得2分。</w:t>
            </w:r>
            <w:r/>
          </w:p>
          <w:p>
            <w:pPr>
              <w:spacing w:line="276" w:lineRule="auto"/>
              <w:widowControl/>
              <w:rPr>
                <w:rFonts w:ascii="宋体" w:hAnsi="宋体" w:cs="宋体"/>
                <w:b/>
                <w:bCs/>
                <w:color w:val="000000"/>
                <w:szCs w:val="21"/>
              </w:rPr>
            </w:pPr>
            <w:r>
              <w:rPr>
                <w:rFonts w:hint="eastAsia" w:ascii="宋体" w:hAnsi="宋体" w:cs="宋体"/>
                <w:b/>
                <w:bCs/>
                <w:color w:val="000000"/>
                <w:szCs w:val="21"/>
              </w:rPr>
              <w:t xml:space="preserve">四、移动执法系统演示 （5分）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具有 CA 集成功能，能够通过移动执法APP演示职业卫生用人单位监督检查，出具带有电子签名的执法文书《现场笔录》和带有电子签章的执法文书《卫生监督意见书》，得5分</w:t>
            </w:r>
            <w:r>
              <w:rPr>
                <w:rFonts w:hint="eastAsia" w:ascii="宋体" w:hAnsi="宋体" w:cs="宋体"/>
                <w:color w:val="000000"/>
                <w:szCs w:val="21"/>
                <w:lang w:bidi="ar"/>
              </w:rPr>
              <w:t xml:space="preserve">。 </w:t>
            </w:r>
            <w:r/>
          </w:p>
        </w:tc>
        <w:tc>
          <w:tcPr>
            <w:tcW w:w="885" w:type="dxa"/>
            <w:vAlign w:val="center"/>
            <w:textDirection w:val="lrTb"/>
            <w:noWrap w:val="false"/>
          </w:tcPr>
          <w:p>
            <w:pPr>
              <w:jc w:val="center"/>
              <w:spacing w:line="276"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0</w:t>
            </w:r>
            <w:r/>
          </w:p>
        </w:tc>
      </w:tr>
      <w:tr>
        <w:trPr>
          <w:jc w:val="center"/>
          <w:trHeight w:val="90"/>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2.6</w:t>
            </w:r>
            <w:r/>
          </w:p>
        </w:tc>
        <w:tc>
          <w:tcPr>
            <w:tcW w:w="1481" w:type="dxa"/>
            <w:vAlign w:val="center"/>
            <w:textDirection w:val="lrTb"/>
            <w:noWrap w:val="false"/>
          </w:tcPr>
          <w:p>
            <w:pPr>
              <w:jc w:val="center"/>
              <w:spacing w:line="276" w:lineRule="auto"/>
              <w:widowControl/>
              <w:rPr>
                <w:rFonts w:ascii="宋体" w:hAnsi="宋体" w:cs="宋体"/>
                <w:color w:val="ff0000"/>
                <w:szCs w:val="21"/>
              </w:rPr>
            </w:pPr>
            <w:r>
              <w:rPr>
                <w:rFonts w:hint="eastAsia" w:ascii="宋体" w:hAnsi="宋体" w:cs="宋体"/>
                <w:color w:val="000000"/>
                <w:szCs w:val="21"/>
              </w:rPr>
              <w:t xml:space="preserve">实施方案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根据投标人提供的实施方案：</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color w:val="ff0000"/>
                <w:szCs w:val="21"/>
                <w:lang w:bidi="ar"/>
              </w:rPr>
            </w:pPr>
            <w:r>
              <w:rPr>
                <w:rFonts w:hint="eastAsia" w:ascii="宋体" w:hAnsi="宋体" w:cs="宋体"/>
                <w:color w:val="000000"/>
                <w:szCs w:val="21"/>
              </w:rPr>
              <w:t xml:space="preserve">不符合招标文件要求或未提供的不得分。 </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90"/>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2.7</w:t>
            </w:r>
            <w:r/>
          </w:p>
        </w:tc>
        <w:tc>
          <w:tcPr>
            <w:tcW w:w="1481"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Cs w:val="21"/>
              </w:rPr>
              <w:t xml:space="preserve">售后服务方案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根据投标人提供的实施方案：</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color w:val="000000"/>
                <w:szCs w:val="21"/>
                <w:lang w:eastAsia="zh-Hans"/>
              </w:rPr>
            </w:pPr>
            <w:r>
              <w:rPr>
                <w:rFonts w:hint="eastAsia" w:ascii="宋体" w:hAnsi="宋体" w:cs="宋体"/>
                <w:color w:val="000000"/>
                <w:szCs w:val="21"/>
              </w:rPr>
              <w:t xml:space="preserve">不符合招标文件要求或未提供的不得分。</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90"/>
        </w:trPr>
        <w:tc>
          <w:tcPr>
            <w:tcW w:w="80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2.8</w:t>
            </w:r>
            <w:r/>
          </w:p>
        </w:tc>
        <w:tc>
          <w:tcPr>
            <w:tcW w:w="1481" w:type="dxa"/>
            <w:vAlign w:val="center"/>
            <w:textDirection w:val="lrTb"/>
            <w:noWrap w:val="false"/>
          </w:tcPr>
          <w:p>
            <w:pPr>
              <w:jc w:val="center"/>
              <w:spacing w:line="276" w:lineRule="auto"/>
              <w:widowControl/>
              <w:rPr>
                <w:rFonts w:ascii="宋体" w:hAnsi="宋体" w:cs="宋体"/>
                <w:color w:val="000000"/>
                <w:szCs w:val="21"/>
              </w:rPr>
            </w:pPr>
            <w:r>
              <w:rPr>
                <w:rFonts w:hint="eastAsia" w:ascii="宋体" w:hAnsi="宋体" w:cs="宋体"/>
                <w:color w:val="000000"/>
                <w:szCs w:val="21"/>
              </w:rPr>
              <w:t xml:space="preserve">培训方案</w:t>
            </w:r>
            <w:r/>
          </w:p>
        </w:tc>
        <w:tc>
          <w:tcPr>
            <w:tcW w:w="5752" w:type="dxa"/>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根据投标人提供的实施方案：</w:t>
            </w:r>
            <w:r/>
          </w:p>
          <w:p>
            <w:pPr>
              <w:spacing w:line="276" w:lineRule="auto"/>
              <w:widowControl/>
              <w:rPr>
                <w:rFonts w:ascii="宋体" w:hAnsi="宋体" w:cs="宋体"/>
                <w:color w:val="000000"/>
                <w:szCs w:val="21"/>
              </w:rPr>
            </w:pPr>
            <w:r>
              <w:rPr>
                <w:rFonts w:hint="eastAsia" w:ascii="宋体" w:hAnsi="宋体" w:cs="宋体"/>
                <w:color w:val="000000"/>
                <w:szCs w:val="21"/>
              </w:rPr>
              <w:t xml:space="preserve">优于招标文件要求的得5分；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符合招标文件要求的得3分；</w:t>
            </w:r>
            <w:r/>
          </w:p>
          <w:p>
            <w:pPr>
              <w:spacing w:line="276" w:lineRule="auto"/>
              <w:widowControl/>
              <w:rPr>
                <w:rFonts w:ascii="宋体" w:hAnsi="宋体" w:cs="宋体"/>
                <w:color w:val="000000"/>
                <w:szCs w:val="21"/>
              </w:rPr>
            </w:pPr>
            <w:r>
              <w:rPr>
                <w:rFonts w:hint="eastAsia" w:ascii="宋体" w:hAnsi="宋体" w:cs="宋体"/>
                <w:color w:val="000000"/>
                <w:szCs w:val="21"/>
              </w:rPr>
              <w:t xml:space="preserve">不符合招标文件要求或未提供的不得分。</w:t>
            </w:r>
            <w:r/>
          </w:p>
        </w:tc>
        <w:tc>
          <w:tcPr>
            <w:tcW w:w="885"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0"/>
        </w:trPr>
        <w:tc>
          <w:tcPr>
            <w:gridSpan w:val="4"/>
            <w:tcW w:w="8918" w:type="dxa"/>
            <w:vAlign w:val="center"/>
            <w:textDirection w:val="lrTb"/>
            <w:noWrap w:val="false"/>
          </w:tcPr>
          <w:p>
            <w:pPr>
              <w:spacing w:line="276" w:lineRule="auto"/>
              <w:widowControl/>
              <w:rPr>
                <w:rFonts w:ascii="宋体" w:hAnsi="宋体" w:cs="宋体"/>
                <w:b/>
                <w:color w:val="000000"/>
                <w:sz w:val="24"/>
                <w:szCs w:val="24"/>
              </w:rPr>
            </w:pPr>
            <w:r>
              <w:rPr>
                <w:rFonts w:hint="eastAsia" w:ascii="宋体" w:hAnsi="宋体" w:cs="宋体"/>
                <w:b/>
                <w:bCs/>
                <w:sz w:val="24"/>
                <w:szCs w:val="24"/>
              </w:rPr>
              <w:t xml:space="preserve">三、商务部分（18</w:t>
            </w:r>
            <w:r>
              <w:rPr>
                <w:rFonts w:hint="eastAsia" w:ascii="宋体" w:hAnsi="宋体" w:cs="宋体"/>
                <w:b/>
                <w:bCs/>
                <w:sz w:val="24"/>
                <w:szCs w:val="24"/>
              </w:rPr>
              <w:t xml:space="preserve">分</w:t>
            </w:r>
            <w:r>
              <w:rPr>
                <w:rFonts w:hint="eastAsia" w:ascii="宋体" w:hAnsi="宋体" w:cs="宋体"/>
                <w:b/>
                <w:bCs/>
                <w:sz w:val="24"/>
                <w:szCs w:val="24"/>
              </w:rPr>
              <w:t xml:space="preserve">）</w:t>
            </w:r>
            <w:r/>
          </w:p>
        </w:tc>
      </w:tr>
      <w:tr>
        <w:trPr>
          <w:jc w:val="center"/>
          <w:trHeight w:val="437"/>
        </w:trPr>
        <w:tc>
          <w:tcPr>
            <w:tcW w:w="800" w:type="dxa"/>
            <w:textDirection w:val="lrTb"/>
            <w:noWrap w:val="false"/>
          </w:tcPr>
          <w:p>
            <w:pPr>
              <w:spacing w:line="276" w:lineRule="auto"/>
              <w:rPr>
                <w:rFonts w:ascii="宋体" w:hAnsi="宋体" w:cs="宋体"/>
                <w:sz w:val="24"/>
                <w:szCs w:val="24"/>
              </w:rPr>
            </w:pPr>
            <w:r>
              <w:rPr>
                <w:rFonts w:ascii="宋体" w:hAnsi="宋体" w:cs="宋体"/>
                <w:sz w:val="24"/>
                <w:szCs w:val="24"/>
              </w:rPr>
            </w:r>
            <w:r/>
          </w:p>
          <w:p>
            <w:pPr>
              <w:ind w:left="157"/>
              <w:spacing w:line="276" w:lineRule="auto"/>
              <w:rPr>
                <w:rFonts w:ascii="宋体" w:hAnsi="宋体" w:cs="宋体"/>
                <w:sz w:val="24"/>
                <w:szCs w:val="24"/>
              </w:rPr>
            </w:pPr>
            <w:r>
              <w:rPr>
                <w:rFonts w:hint="eastAsia" w:ascii="宋体" w:hAnsi="宋体" w:cs="宋体"/>
                <w:spacing w:val="-2"/>
                <w:sz w:val="24"/>
                <w:szCs w:val="24"/>
              </w:rPr>
              <w:t xml:space="preserve">3</w:t>
            </w:r>
            <w:r>
              <w:rPr>
                <w:rFonts w:hint="eastAsia" w:ascii="宋体" w:hAnsi="宋体" w:cs="宋体"/>
                <w:color w:val="000000"/>
                <w:sz w:val="24"/>
                <w:szCs w:val="24"/>
              </w:rPr>
              <w:t xml:space="preserve">.</w:t>
            </w:r>
            <w:r>
              <w:rPr>
                <w:rFonts w:hint="eastAsia" w:ascii="宋体" w:hAnsi="宋体" w:cs="宋体"/>
                <w:spacing w:val="-1"/>
                <w:sz w:val="24"/>
                <w:szCs w:val="24"/>
              </w:rPr>
              <w:t xml:space="preserve">1</w:t>
            </w:r>
            <w:r/>
          </w:p>
        </w:tc>
        <w:tc>
          <w:tcPr>
            <w:tcW w:w="1481" w:type="dxa"/>
            <w:textDirection w:val="lrTb"/>
            <w:noWrap w:val="false"/>
          </w:tcPr>
          <w:p>
            <w:pPr>
              <w:spacing w:line="276" w:lineRule="auto"/>
              <w:rPr>
                <w:rFonts w:ascii="宋体" w:hAnsi="宋体" w:cs="宋体"/>
                <w:szCs w:val="21"/>
              </w:rPr>
            </w:pPr>
            <w:r>
              <w:rPr>
                <w:rFonts w:ascii="宋体" w:hAnsi="宋体" w:cs="宋体"/>
                <w:szCs w:val="21"/>
              </w:rPr>
            </w:r>
            <w:r/>
          </w:p>
          <w:p>
            <w:pPr>
              <w:ind w:left="227"/>
              <w:spacing w:line="276" w:lineRule="auto"/>
              <w:rPr>
                <w:rFonts w:ascii="宋体" w:hAnsi="宋体" w:cs="宋体"/>
                <w:szCs w:val="21"/>
              </w:rPr>
            </w:pPr>
            <w:r>
              <w:rPr>
                <w:rFonts w:hint="eastAsia" w:ascii="宋体" w:hAnsi="宋体" w:cs="宋体"/>
                <w:spacing w:val="-2"/>
                <w:szCs w:val="21"/>
              </w:rPr>
              <w:t xml:space="preserve">业</w:t>
            </w:r>
            <w:r>
              <w:rPr>
                <w:rFonts w:hint="eastAsia" w:ascii="宋体" w:hAnsi="宋体" w:cs="宋体"/>
                <w:spacing w:val="-1"/>
                <w:szCs w:val="21"/>
              </w:rPr>
              <w:t xml:space="preserve">绩</w:t>
            </w:r>
            <w:r/>
          </w:p>
        </w:tc>
        <w:tc>
          <w:tcPr>
            <w:tcW w:w="5752" w:type="dxa"/>
            <w:textDirection w:val="lrTb"/>
            <w:noWrap w:val="false"/>
          </w:tcPr>
          <w:p>
            <w:pPr>
              <w:ind w:left="227"/>
              <w:spacing w:line="276" w:lineRule="auto"/>
              <w:rPr>
                <w:rFonts w:ascii="宋体" w:hAnsi="宋体" w:cs="宋体"/>
                <w:spacing w:val="-1"/>
                <w:szCs w:val="21"/>
              </w:rPr>
            </w:pPr>
            <w:r>
              <w:rPr>
                <w:rFonts w:hint="eastAsia" w:ascii="宋体" w:hAnsi="宋体" w:cs="宋体"/>
                <w:spacing w:val="-1"/>
                <w:szCs w:val="21"/>
              </w:rPr>
              <w:t xml:space="preserve">投标人提供2021年1月1日至今（以合同签订日期为准）与本项目类似的业绩，每提供一份合同得2分，满分8分。</w:t>
            </w:r>
            <w:r/>
          </w:p>
          <w:p>
            <w:pPr>
              <w:ind w:left="227"/>
              <w:spacing w:line="276" w:lineRule="auto"/>
              <w:rPr>
                <w:rFonts w:ascii="宋体" w:hAnsi="宋体" w:cs="宋体"/>
                <w:color w:val="000000"/>
                <w:szCs w:val="21"/>
              </w:rPr>
            </w:pPr>
            <w:r>
              <w:rPr>
                <w:rFonts w:hint="eastAsia" w:ascii="宋体" w:hAnsi="宋体" w:cs="宋体"/>
                <w:b/>
                <w:bCs/>
                <w:spacing w:val="-1"/>
                <w:szCs w:val="21"/>
              </w:rPr>
              <w:t xml:space="preserve">（须提供合同，原件扫描上传）</w:t>
            </w:r>
            <w:r/>
          </w:p>
        </w:tc>
        <w:tc>
          <w:tcPr>
            <w:tcW w:w="885" w:type="dxa"/>
            <w:vAlign w:val="center"/>
            <w:textDirection w:val="lrTb"/>
            <w:noWrap w:val="false"/>
          </w:tcPr>
          <w:p>
            <w:pPr>
              <w:jc w:val="center"/>
              <w:spacing w:line="276" w:lineRule="auto"/>
              <w:rPr>
                <w:rFonts w:ascii="宋体" w:hAnsi="宋体" w:cs="宋体"/>
                <w:color w:val="000000"/>
                <w:sz w:val="24"/>
                <w:szCs w:val="24"/>
              </w:rPr>
            </w:pPr>
            <w:r>
              <w:rPr>
                <w:rFonts w:hint="eastAsia" w:ascii="宋体" w:hAnsi="宋体" w:cs="宋体"/>
                <w:color w:val="000000"/>
                <w:sz w:val="24"/>
                <w:szCs w:val="24"/>
              </w:rPr>
              <w:t xml:space="preserve">8</w:t>
            </w:r>
            <w:r/>
          </w:p>
        </w:tc>
      </w:tr>
      <w:tr>
        <w:trPr>
          <w:jc w:val="center"/>
          <w:trHeight w:val="800"/>
        </w:trPr>
        <w:tc>
          <w:tcPr>
            <w:tcW w:w="800" w:type="dxa"/>
            <w:vAlign w:val="center"/>
            <w:textDirection w:val="lrTb"/>
            <w:noWrap w:val="false"/>
          </w:tcPr>
          <w:p>
            <w:pPr>
              <w:ind w:left="162"/>
              <w:jc w:val="center"/>
              <w:spacing w:line="276" w:lineRule="auto"/>
              <w:rPr>
                <w:rFonts w:ascii="宋体" w:hAnsi="宋体" w:cs="宋体"/>
                <w:spacing w:val="-4"/>
                <w:sz w:val="24"/>
                <w:szCs w:val="24"/>
              </w:rPr>
            </w:pPr>
            <w:r>
              <w:rPr>
                <w:rFonts w:hint="eastAsia" w:ascii="宋体" w:hAnsi="宋体" w:cs="宋体"/>
                <w:spacing w:val="-4"/>
                <w:sz w:val="24"/>
                <w:szCs w:val="24"/>
              </w:rPr>
              <w:t xml:space="preserve">3</w:t>
            </w:r>
            <w:r>
              <w:rPr>
                <w:rFonts w:hint="eastAsia" w:ascii="宋体" w:hAnsi="宋体" w:cs="宋体"/>
                <w:sz w:val="24"/>
                <w:szCs w:val="24"/>
              </w:rPr>
              <w:t xml:space="preserve">.</w:t>
            </w:r>
            <w:r>
              <w:rPr>
                <w:rFonts w:hint="eastAsia" w:ascii="宋体" w:hAnsi="宋体" w:cs="宋体"/>
                <w:spacing w:val="-4"/>
                <w:sz w:val="24"/>
                <w:szCs w:val="24"/>
              </w:rPr>
              <w:t xml:space="preserve">2</w:t>
            </w:r>
            <w:r/>
          </w:p>
        </w:tc>
        <w:tc>
          <w:tcPr>
            <w:tcW w:w="148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体系认证证书</w:t>
            </w:r>
            <w:r/>
          </w:p>
        </w:tc>
        <w:tc>
          <w:tcPr>
            <w:tcW w:w="5752" w:type="dxa"/>
            <w:vAlign w:val="center"/>
            <w:textDirection w:val="lrTb"/>
            <w:noWrap w:val="false"/>
          </w:tcPr>
          <w:p>
            <w:pPr>
              <w:spacing w:line="276" w:lineRule="auto"/>
              <w:widowControl/>
            </w:pPr>
            <w:r>
              <w:rPr>
                <w:rFonts w:hint="eastAsia"/>
              </w:rPr>
              <w:t xml:space="preserve">投标人具有ISO9001质量管理体系认证证书、ISO20000信息服务管理体系证书，每具备1个得0.5分，最高得1分。</w:t>
            </w:r>
            <w:r/>
          </w:p>
          <w:p>
            <w:pPr>
              <w:pStyle w:val="891"/>
              <w:spacing w:line="276" w:lineRule="auto"/>
            </w:pPr>
            <w:r>
              <w:rPr>
                <w:rFonts w:hint="eastAsia" w:hAnsi="宋体"/>
                <w:b/>
                <w:bCs/>
                <w:sz w:val="21"/>
                <w:szCs w:val="21"/>
                <w:lang w:val="zh-CN"/>
              </w:rPr>
              <w:t xml:space="preserve">注：须提供有效期内的证书，原件扫描上传。</w:t>
            </w:r>
            <w:r/>
          </w:p>
        </w:tc>
        <w:tc>
          <w:tcPr>
            <w:tcW w:w="88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w:t>
            </w:r>
            <w:r/>
          </w:p>
        </w:tc>
      </w:tr>
      <w:tr>
        <w:trPr>
          <w:jc w:val="center"/>
          <w:trHeight w:val="1495"/>
        </w:trPr>
        <w:tc>
          <w:tcPr>
            <w:tcW w:w="800" w:type="dxa"/>
            <w:vAlign w:val="center"/>
            <w:textDirection w:val="lrTb"/>
            <w:noWrap w:val="false"/>
          </w:tcPr>
          <w:p>
            <w:pPr>
              <w:ind w:left="162"/>
              <w:jc w:val="center"/>
              <w:spacing w:line="276" w:lineRule="auto"/>
              <w:rPr>
                <w:rFonts w:ascii="宋体" w:hAnsi="宋体" w:cs="宋体"/>
                <w:sz w:val="24"/>
                <w:szCs w:val="24"/>
              </w:rPr>
            </w:pPr>
            <w:r>
              <w:rPr>
                <w:rFonts w:hint="eastAsia" w:ascii="宋体" w:hAnsi="宋体" w:cs="宋体"/>
                <w:spacing w:val="-4"/>
                <w:sz w:val="24"/>
                <w:szCs w:val="24"/>
              </w:rPr>
              <w:t xml:space="preserve">3</w:t>
            </w:r>
            <w:r>
              <w:rPr>
                <w:rFonts w:hint="eastAsia" w:ascii="宋体" w:hAnsi="宋体" w:cs="宋体"/>
                <w:color w:val="000000"/>
                <w:sz w:val="24"/>
                <w:szCs w:val="24"/>
              </w:rPr>
              <w:t xml:space="preserve">.</w:t>
            </w:r>
            <w:r>
              <w:rPr>
                <w:rFonts w:hint="eastAsia" w:ascii="宋体" w:hAnsi="宋体" w:cs="宋体"/>
                <w:spacing w:val="-3"/>
                <w:sz w:val="24"/>
                <w:szCs w:val="24"/>
              </w:rPr>
              <w:t xml:space="preserve">3</w:t>
            </w:r>
            <w:r/>
          </w:p>
        </w:tc>
        <w:tc>
          <w:tcPr>
            <w:tcW w:w="1481" w:type="dxa"/>
            <w:vAlign w:val="center"/>
            <w:textDirection w:val="lrTb"/>
            <w:noWrap w:val="false"/>
          </w:tcPr>
          <w:p>
            <w:pPr>
              <w:jc w:val="center"/>
              <w:spacing w:line="276" w:lineRule="auto"/>
              <w:rPr>
                <w:rFonts w:ascii="宋体" w:hAnsi="宋体" w:cs="宋体"/>
                <w:szCs w:val="21"/>
              </w:rPr>
            </w:pPr>
            <w:r>
              <w:rPr>
                <w:rFonts w:hint="eastAsia" w:ascii="宋体" w:hAnsi="宋体" w:cs="宋体"/>
                <w:spacing w:val="-8"/>
                <w:szCs w:val="21"/>
              </w:rPr>
              <w:t xml:space="preserve">ITSS服务</w:t>
            </w:r>
            <w:r/>
          </w:p>
          <w:p>
            <w:pPr>
              <w:jc w:val="center"/>
              <w:spacing w:line="276" w:lineRule="auto"/>
              <w:rPr>
                <w:rFonts w:ascii="宋体" w:hAnsi="宋体" w:cs="宋体"/>
                <w:szCs w:val="21"/>
              </w:rPr>
            </w:pPr>
            <w:r>
              <w:rPr>
                <w:rFonts w:hint="eastAsia" w:ascii="宋体" w:hAnsi="宋体" w:cs="宋体"/>
                <w:spacing w:val="-2"/>
                <w:szCs w:val="21"/>
              </w:rPr>
              <w:t xml:space="preserve">管理体系</w:t>
            </w:r>
            <w:r>
              <w:rPr>
                <w:rFonts w:ascii="宋体" w:hAnsi="宋体" w:cs="宋体"/>
                <w:szCs w:val="21"/>
              </w:rPr>
            </w:r>
            <w:r/>
          </w:p>
        </w:tc>
        <w:tc>
          <w:tcPr>
            <w:tcW w:w="5752" w:type="dxa"/>
            <w:vAlign w:val="center"/>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投标人具有ITSS服务管理体系证书的得1分。</w:t>
            </w:r>
            <w:r/>
          </w:p>
          <w:p>
            <w:pPr>
              <w:spacing w:line="276" w:lineRule="auto"/>
              <w:widowControl/>
              <w:rPr>
                <w:rFonts w:ascii="宋体" w:hAnsi="宋体" w:cs="宋体"/>
                <w:color w:val="000000"/>
                <w:szCs w:val="21"/>
              </w:rPr>
            </w:pPr>
            <w:r>
              <w:rPr>
                <w:rFonts w:hint="eastAsia" w:ascii="宋体" w:hAnsi="宋体" w:cs="宋体"/>
                <w:b/>
                <w:bCs/>
                <w:color w:val="000000"/>
                <w:szCs w:val="21"/>
                <w:lang w:val="zh-CN"/>
              </w:rPr>
              <w:t xml:space="preserve">注：须提供有效期内的证书，原件扫描上传。</w:t>
            </w:r>
            <w:r/>
          </w:p>
        </w:tc>
        <w:tc>
          <w:tcPr>
            <w:tcW w:w="88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w:t>
            </w:r>
            <w:r/>
          </w:p>
        </w:tc>
      </w:tr>
      <w:tr>
        <w:trPr>
          <w:jc w:val="center"/>
          <w:trHeight w:val="90"/>
        </w:trPr>
        <w:tc>
          <w:tcPr>
            <w:tcW w:w="800" w:type="dxa"/>
            <w:vAlign w:val="center"/>
            <w:textDirection w:val="lrTb"/>
            <w:noWrap w:val="false"/>
          </w:tcPr>
          <w:p>
            <w:pPr>
              <w:jc w:val="center"/>
              <w:spacing w:line="276" w:lineRule="auto"/>
              <w:rPr>
                <w:rFonts w:ascii="宋体" w:hAnsi="宋体" w:cs="宋体"/>
                <w:spacing w:val="-4"/>
                <w:sz w:val="24"/>
                <w:szCs w:val="24"/>
              </w:rPr>
            </w:pPr>
            <w:r>
              <w:rPr>
                <w:rFonts w:hint="eastAsia" w:ascii="宋体" w:hAnsi="宋体" w:cs="宋体"/>
                <w:spacing w:val="-4"/>
                <w:sz w:val="24"/>
                <w:szCs w:val="24"/>
              </w:rPr>
              <w:t xml:space="preserve">3</w:t>
            </w:r>
            <w:r>
              <w:rPr>
                <w:rFonts w:hint="eastAsia" w:ascii="宋体" w:hAnsi="宋体" w:cs="宋体"/>
                <w:sz w:val="24"/>
                <w:szCs w:val="24"/>
              </w:rPr>
              <w:t xml:space="preserve">.</w:t>
            </w:r>
            <w:r>
              <w:rPr>
                <w:rFonts w:hint="eastAsia" w:ascii="宋体" w:hAnsi="宋体" w:cs="宋体"/>
                <w:spacing w:val="-3"/>
                <w:sz w:val="24"/>
                <w:szCs w:val="24"/>
              </w:rPr>
              <w:t xml:space="preserve">4</w:t>
            </w:r>
            <w:r/>
          </w:p>
        </w:tc>
        <w:tc>
          <w:tcPr>
            <w:tcW w:w="1481" w:type="dxa"/>
            <w:vAlign w:val="center"/>
            <w:textDirection w:val="lrTb"/>
            <w:noWrap w:val="false"/>
          </w:tcPr>
          <w:p>
            <w:pPr>
              <w:jc w:val="center"/>
              <w:spacing w:line="276" w:lineRule="auto"/>
              <w:rPr>
                <w:rFonts w:ascii="宋体" w:hAnsi="宋体" w:cs="宋体"/>
                <w:spacing w:val="-6"/>
                <w:szCs w:val="21"/>
              </w:rPr>
            </w:pPr>
            <w:r>
              <w:rPr>
                <w:rFonts w:hint="eastAsia" w:ascii="宋体" w:hAnsi="宋体" w:cs="宋体"/>
                <w:spacing w:val="-6"/>
                <w:szCs w:val="21"/>
              </w:rPr>
              <w:t xml:space="preserve">信息系统建设和服务能力认证证书</w:t>
            </w:r>
            <w:r/>
          </w:p>
        </w:tc>
        <w:tc>
          <w:tcPr>
            <w:tcW w:w="5752" w:type="dxa"/>
            <w:vAlign w:val="center"/>
            <w:textDirection w:val="lrTb"/>
            <w:noWrap w:val="false"/>
          </w:tcPr>
          <w:p>
            <w:pPr>
              <w:spacing w:line="276" w:lineRule="auto"/>
              <w:widowControl/>
              <w:rPr>
                <w:rFonts w:ascii="宋体" w:hAnsi="宋体" w:cs="宋体"/>
                <w:color w:val="000000"/>
                <w:szCs w:val="21"/>
              </w:rPr>
            </w:pPr>
            <w:r>
              <w:rPr>
                <w:rFonts w:hint="eastAsia" w:ascii="宋体" w:hAnsi="宋体" w:cs="宋体"/>
                <w:color w:val="000000"/>
                <w:szCs w:val="21"/>
              </w:rPr>
              <w:t xml:space="preserve">投标人具有信息系统建设和服务能力等级证书的得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spacing w:line="276" w:lineRule="auto"/>
              <w:widowControl/>
              <w:rPr>
                <w:rFonts w:ascii="宋体" w:hAnsi="宋体" w:cs="宋体"/>
                <w:szCs w:val="21"/>
              </w:rPr>
            </w:pPr>
            <w:r>
              <w:rPr>
                <w:rFonts w:hint="eastAsia" w:ascii="宋体" w:hAnsi="宋体" w:cs="宋体"/>
                <w:b/>
                <w:bCs/>
                <w:color w:val="000000"/>
                <w:szCs w:val="21"/>
                <w:lang w:val="zh-CN"/>
              </w:rPr>
              <w:t xml:space="preserve">注：须提供有效期内的证书，原件扫描上传。</w:t>
            </w:r>
            <w:r/>
          </w:p>
        </w:tc>
        <w:tc>
          <w:tcPr>
            <w:tcW w:w="885" w:type="dxa"/>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r>
      <w:tr>
        <w:trPr>
          <w:jc w:val="center"/>
          <w:trHeight w:val="776"/>
        </w:trPr>
        <w:tc>
          <w:tcPr>
            <w:tcW w:w="800" w:type="dxa"/>
            <w:vAlign w:val="center"/>
            <w:textDirection w:val="lrTb"/>
            <w:noWrap w:val="false"/>
          </w:tcPr>
          <w:p>
            <w:pPr>
              <w:ind w:left="162"/>
              <w:jc w:val="center"/>
              <w:spacing w:line="276" w:lineRule="auto"/>
              <w:rPr>
                <w:rFonts w:ascii="宋体" w:hAnsi="宋体" w:cs="宋体"/>
                <w:sz w:val="24"/>
                <w:szCs w:val="24"/>
              </w:rPr>
            </w:pPr>
            <w:r>
              <w:rPr>
                <w:rFonts w:hint="eastAsia" w:ascii="宋体" w:hAnsi="宋体" w:cs="宋体"/>
                <w:spacing w:val="-4"/>
                <w:sz w:val="24"/>
                <w:szCs w:val="24"/>
              </w:rPr>
              <w:t xml:space="preserve">3</w:t>
            </w:r>
            <w:r>
              <w:rPr>
                <w:rFonts w:hint="eastAsia" w:ascii="宋体" w:hAnsi="宋体" w:cs="宋体"/>
                <w:sz w:val="24"/>
                <w:szCs w:val="24"/>
              </w:rPr>
              <w:t xml:space="preserve">.</w:t>
            </w:r>
            <w:r>
              <w:rPr>
                <w:rFonts w:hint="eastAsia" w:ascii="宋体" w:hAnsi="宋体" w:cs="宋体"/>
                <w:spacing w:val="-3"/>
                <w:sz w:val="24"/>
                <w:szCs w:val="24"/>
              </w:rPr>
              <w:t xml:space="preserve">5</w:t>
            </w:r>
            <w:r/>
          </w:p>
        </w:tc>
        <w:tc>
          <w:tcPr>
            <w:tcW w:w="1481" w:type="dxa"/>
            <w:vAlign w:val="center"/>
            <w:textDirection w:val="lrTb"/>
            <w:noWrap w:val="false"/>
          </w:tcPr>
          <w:p>
            <w:pPr>
              <w:jc w:val="center"/>
              <w:spacing w:line="276" w:lineRule="auto"/>
              <w:rPr>
                <w:rFonts w:ascii="宋体" w:hAnsi="宋体" w:cs="宋体"/>
                <w:szCs w:val="21"/>
              </w:rPr>
            </w:pPr>
            <w:r>
              <w:rPr>
                <w:rFonts w:hint="eastAsia" w:ascii="宋体" w:hAnsi="宋体" w:cs="宋体"/>
                <w:spacing w:val="-2"/>
                <w:szCs w:val="21"/>
              </w:rPr>
              <w:t xml:space="preserve">项目经理能</w:t>
            </w:r>
            <w:r>
              <w:rPr>
                <w:rFonts w:hint="eastAsia" w:ascii="宋体" w:hAnsi="宋体" w:cs="宋体"/>
                <w:spacing w:val="-4"/>
                <w:szCs w:val="21"/>
              </w:rPr>
              <w:t xml:space="preserve">力</w:t>
            </w:r>
            <w:r>
              <w:rPr>
                <w:rFonts w:hint="eastAsia" w:ascii="宋体" w:hAnsi="宋体" w:cs="宋体"/>
                <w:spacing w:val="-2"/>
                <w:szCs w:val="21"/>
              </w:rPr>
            </w:r>
            <w:r/>
          </w:p>
        </w:tc>
        <w:tc>
          <w:tcPr>
            <w:tcW w:w="5752" w:type="dxa"/>
            <w:textDirection w:val="lrTb"/>
            <w:noWrap w:val="false"/>
          </w:tcPr>
          <w:p>
            <w:pPr>
              <w:spacing w:line="276" w:lineRule="auto"/>
              <w:rPr>
                <w:rFonts w:ascii="宋体" w:hAnsi="宋体" w:cs="宋体"/>
                <w:szCs w:val="21"/>
              </w:rPr>
            </w:pPr>
            <w:r>
              <w:rPr>
                <w:rFonts w:hint="eastAsia" w:ascii="宋体" w:hAnsi="宋体" w:cs="宋体"/>
                <w:color w:val="000000" w:themeColor="text1"/>
                <w:spacing w:val="14"/>
                <w:szCs w:val="21"/>
                <w14:textFill>
                  <w14:solidFill>
                    <w14:schemeClr w14:val="tx1"/>
                  </w14:solidFill>
                </w14:textFill>
              </w:rPr>
              <w:t xml:space="preserve">项</w:t>
            </w:r>
            <w:r>
              <w:rPr>
                <w:rFonts w:hint="eastAsia" w:ascii="宋体" w:hAnsi="宋体" w:cs="宋体"/>
                <w:color w:val="000000" w:themeColor="text1"/>
                <w:spacing w:val="9"/>
                <w:szCs w:val="21"/>
                <w14:textFill>
                  <w14:solidFill>
                    <w14:schemeClr w14:val="tx1"/>
                  </w14:solidFill>
                </w14:textFill>
              </w:rPr>
              <w:t xml:space="preserve">目</w:t>
            </w:r>
            <w:r>
              <w:rPr>
                <w:rFonts w:hint="eastAsia" w:ascii="宋体" w:hAnsi="宋体" w:cs="宋体"/>
                <w:color w:val="000000" w:themeColor="text1"/>
                <w:spacing w:val="7"/>
                <w:szCs w:val="21"/>
                <w14:textFill>
                  <w14:solidFill>
                    <w14:schemeClr w14:val="tx1"/>
                  </w14:solidFill>
                </w14:textFill>
              </w:rPr>
              <w:t xml:space="preserve">经理具有</w:t>
            </w:r>
            <w:r>
              <w:rPr>
                <w:rFonts w:hint="eastAsia" w:ascii="宋体" w:hAnsi="宋体" w:cs="宋体"/>
                <w:spacing w:val="7"/>
                <w:szCs w:val="21"/>
              </w:rPr>
              <w:t xml:space="preserve">系统集成项目管理工程师证书得</w:t>
            </w:r>
            <w:r>
              <w:rPr>
                <w:rFonts w:hint="eastAsia" w:ascii="宋体" w:hAnsi="宋体" w:cs="宋体"/>
                <w:spacing w:val="-3"/>
                <w:szCs w:val="21"/>
              </w:rPr>
              <w:t xml:space="preserve">2分。</w:t>
            </w:r>
            <w:r/>
          </w:p>
          <w:p>
            <w:pPr>
              <w:spacing w:line="276" w:lineRule="auto"/>
              <w:rPr>
                <w:rFonts w:ascii="宋体" w:hAnsi="宋体" w:cs="宋体"/>
                <w:szCs w:val="21"/>
              </w:rPr>
            </w:pPr>
            <w:r>
              <w:rPr>
                <w:rFonts w:hint="eastAsia" w:ascii="宋体" w:hAnsi="宋体" w:cs="宋体"/>
                <w:b/>
                <w:bCs/>
                <w:color w:val="000000"/>
                <w:szCs w:val="21"/>
                <w:lang w:val="zh-CN"/>
              </w:rPr>
              <w:t xml:space="preserve">注：须提供有效期内证书及投标人近3个月中任意一月为其缴纳的社保的证明材料，原件扫描上传</w:t>
            </w:r>
            <w:r/>
          </w:p>
        </w:tc>
        <w:tc>
          <w:tcPr>
            <w:tcW w:w="88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w:t>
            </w:r>
            <w:r/>
          </w:p>
        </w:tc>
      </w:tr>
      <w:tr>
        <w:trPr>
          <w:jc w:val="center"/>
          <w:trHeight w:val="800"/>
        </w:trPr>
        <w:tc>
          <w:tcPr>
            <w:tcW w:w="800" w:type="dxa"/>
            <w:vAlign w:val="center"/>
            <w:textDirection w:val="lrTb"/>
            <w:noWrap w:val="false"/>
          </w:tcPr>
          <w:p>
            <w:pPr>
              <w:ind w:left="162"/>
              <w:spacing w:line="276" w:lineRule="auto"/>
              <w:rPr>
                <w:rFonts w:ascii="宋体" w:hAnsi="宋体" w:cs="宋体"/>
                <w:sz w:val="24"/>
                <w:szCs w:val="24"/>
              </w:rPr>
            </w:pPr>
            <w:r>
              <w:rPr>
                <w:rFonts w:hint="eastAsia" w:ascii="宋体" w:hAnsi="宋体" w:cs="宋体"/>
                <w:sz w:val="24"/>
                <w:szCs w:val="24"/>
              </w:rPr>
              <w:t xml:space="preserve">3.6</w:t>
            </w:r>
            <w:r/>
          </w:p>
        </w:tc>
        <w:tc>
          <w:tcPr>
            <w:tcW w:w="1481" w:type="dxa"/>
            <w:vAlign w:val="center"/>
            <w:textDirection w:val="lrTb"/>
            <w:noWrap w:val="false"/>
          </w:tcPr>
          <w:p>
            <w:pPr>
              <w:jc w:val="center"/>
              <w:spacing w:line="276" w:lineRule="auto"/>
              <w:rPr>
                <w:rFonts w:ascii="宋体" w:hAnsi="宋体" w:cs="宋体"/>
                <w:szCs w:val="21"/>
              </w:rPr>
            </w:pPr>
            <w:r>
              <w:rPr>
                <w:rFonts w:hint="eastAsia" w:ascii="宋体" w:hAnsi="宋体" w:cs="宋体"/>
                <w:spacing w:val="-2"/>
                <w:szCs w:val="21"/>
              </w:rPr>
              <w:t xml:space="preserve">项目团队成</w:t>
            </w:r>
            <w:r>
              <w:rPr>
                <w:rFonts w:hint="eastAsia" w:ascii="宋体" w:hAnsi="宋体" w:cs="宋体"/>
                <w:spacing w:val="-5"/>
                <w:szCs w:val="21"/>
              </w:rPr>
              <w:t xml:space="preserve">员</w:t>
            </w:r>
            <w:r>
              <w:rPr>
                <w:rFonts w:hint="eastAsia" w:ascii="宋体" w:hAnsi="宋体" w:cs="宋体"/>
                <w:spacing w:val="-3"/>
                <w:szCs w:val="21"/>
              </w:rPr>
            </w:r>
            <w:r/>
          </w:p>
        </w:tc>
        <w:tc>
          <w:tcPr>
            <w:tcW w:w="5752" w:type="dxa"/>
            <w:textDirection w:val="lrTb"/>
            <w:noWrap w:val="false"/>
          </w:tcPr>
          <w:p>
            <w:pPr>
              <w:spacing w:line="276" w:lineRule="auto"/>
              <w:rPr>
                <w:rFonts w:ascii="宋体" w:hAnsi="宋体" w:cs="宋体"/>
                <w:szCs w:val="21"/>
              </w:rPr>
            </w:pPr>
            <w:r>
              <w:rPr>
                <w:rFonts w:hint="eastAsia" w:ascii="宋体" w:hAnsi="宋体" w:cs="宋体"/>
                <w:color w:val="000000" w:themeColor="text1"/>
                <w:spacing w:val="7"/>
                <w:szCs w:val="21"/>
                <w14:textFill>
                  <w14:solidFill>
                    <w14:schemeClr w14:val="tx1"/>
                  </w14:solidFill>
                </w14:textFill>
              </w:rPr>
              <w:t xml:space="preserve">项</w:t>
            </w:r>
            <w:r>
              <w:rPr>
                <w:rFonts w:hint="eastAsia" w:ascii="宋体" w:hAnsi="宋体" w:cs="宋体"/>
                <w:color w:val="000000" w:themeColor="text1"/>
                <w:spacing w:val="6"/>
                <w:szCs w:val="21"/>
                <w14:textFill>
                  <w14:solidFill>
                    <w14:schemeClr w14:val="tx1"/>
                  </w14:solidFill>
                </w14:textFill>
              </w:rPr>
              <w:t xml:space="preserve">目组成员具有</w:t>
            </w:r>
            <w:r>
              <w:rPr>
                <w:rFonts w:hint="eastAsia" w:ascii="宋体" w:hAnsi="宋体" w:cs="宋体"/>
                <w:spacing w:val="-2"/>
                <w:szCs w:val="21"/>
              </w:rPr>
              <w:t xml:space="preserve">IT服务工程师证书（</w:t>
            </w:r>
            <w:r>
              <w:rPr>
                <w:rFonts w:hint="eastAsia" w:ascii="宋体" w:hAnsi="宋体" w:cs="宋体"/>
                <w:spacing w:val="-1"/>
                <w:szCs w:val="21"/>
              </w:rPr>
              <w:t xml:space="preserve">ITSS）或</w:t>
            </w:r>
            <w:r>
              <w:rPr>
                <w:rFonts w:hint="eastAsia" w:ascii="宋体" w:hAnsi="宋体" w:cs="宋体"/>
                <w:spacing w:val="7"/>
                <w:szCs w:val="21"/>
              </w:rPr>
              <w:t xml:space="preserve">系统集成项目管理工程师证书</w:t>
            </w:r>
            <w:r>
              <w:rPr>
                <w:rFonts w:hint="eastAsia" w:ascii="宋体" w:hAnsi="宋体" w:cs="宋体"/>
                <w:spacing w:val="-2"/>
                <w:szCs w:val="21"/>
              </w:rPr>
              <w:t xml:space="preserve">每提供1个证书得0.5分</w:t>
            </w:r>
            <w:r>
              <w:rPr>
                <w:rFonts w:hint="eastAsia" w:ascii="宋体" w:hAnsi="宋体" w:cs="宋体"/>
                <w:spacing w:val="-1"/>
                <w:szCs w:val="21"/>
              </w:rPr>
              <w:t xml:space="preserve">，最高分1分</w:t>
            </w:r>
            <w:r>
              <w:rPr>
                <w:rFonts w:hint="eastAsia" w:ascii="宋体" w:hAnsi="宋体" w:cs="宋体"/>
                <w:spacing w:val="-1"/>
                <w:szCs w:val="21"/>
              </w:rPr>
              <w:t xml:space="preserve">。</w:t>
            </w:r>
            <w:r>
              <w:rPr>
                <w:rFonts w:hint="eastAsia" w:ascii="宋体" w:hAnsi="宋体" w:cs="宋体"/>
                <w:b/>
                <w:bCs/>
                <w:color w:val="000000"/>
                <w:szCs w:val="21"/>
                <w:lang w:val="zh-CN"/>
              </w:rPr>
              <w:t xml:space="preserve">注：须提供有效期内证书及投标人近3个月中任意一月为其缴纳的社保的证明材料，原件扫描上传</w:t>
            </w:r>
            <w:r/>
          </w:p>
        </w:tc>
        <w:tc>
          <w:tcPr>
            <w:tcW w:w="885" w:type="dxa"/>
            <w:vAlign w:val="center"/>
            <w:textDirection w:val="lrTb"/>
            <w:noWrap w:val="false"/>
          </w:tcPr>
          <w:p>
            <w:pPr>
              <w:jc w:val="center"/>
              <w:spacing w:line="276" w:lineRule="auto"/>
              <w:rPr>
                <w:rFonts w:hint="eastAsia" w:ascii="宋体" w:hAnsi="宋体" w:cs="宋体"/>
                <w:spacing w:val="7"/>
                <w14:ligatures w14:val="none"/>
              </w:rPr>
            </w:pPr>
            <w:r>
              <w:rPr>
                <w:rFonts w:hint="eastAsia" w:ascii="宋体" w:hAnsi="宋体" w:cs="宋体"/>
                <w:spacing w:val="7"/>
              </w:rPr>
              <w:t xml:space="preserve">1</w:t>
            </w:r>
            <w:r>
              <w:rPr>
                <w:rFonts w:hint="eastAsia" w:ascii="宋体" w:hAnsi="宋体" w:cs="宋体"/>
                <w:spacing w:val="7"/>
              </w:rPr>
            </w:r>
            <w:r/>
          </w:p>
        </w:tc>
      </w:tr>
      <w:tr>
        <w:trPr>
          <w:jc w:val="center"/>
          <w:trHeight w:val="800"/>
        </w:trPr>
        <w:tc>
          <w:tcPr>
            <w:tcW w:w="800" w:type="dxa"/>
            <w:vAlign w:val="center"/>
            <w:textDirection w:val="lrTb"/>
            <w:noWrap w:val="false"/>
          </w:tcPr>
          <w:p>
            <w:pPr>
              <w:ind w:left="162"/>
              <w:spacing w:line="276" w:lineRule="auto"/>
              <w:rPr>
                <w:rFonts w:ascii="宋体" w:hAnsi="宋体" w:cs="宋体"/>
                <w:sz w:val="24"/>
                <w:szCs w:val="24"/>
              </w:rPr>
            </w:pPr>
            <w:r>
              <w:rPr>
                <w:rFonts w:hint="eastAsia" w:ascii="宋体" w:hAnsi="宋体" w:cs="宋体"/>
                <w:spacing w:val="-4"/>
                <w:sz w:val="24"/>
                <w:szCs w:val="24"/>
              </w:rPr>
              <w:t xml:space="preserve">3</w:t>
            </w:r>
            <w:r>
              <w:rPr>
                <w:rFonts w:hint="eastAsia" w:ascii="宋体" w:hAnsi="宋体" w:cs="宋体"/>
                <w:sz w:val="24"/>
                <w:szCs w:val="24"/>
              </w:rPr>
              <w:t xml:space="preserve">.</w:t>
            </w:r>
            <w:r>
              <w:rPr>
                <w:rFonts w:hint="eastAsia" w:ascii="宋体" w:hAnsi="宋体" w:cs="宋体"/>
                <w:spacing w:val="-3"/>
                <w:sz w:val="24"/>
                <w:szCs w:val="24"/>
              </w:rPr>
              <w:t xml:space="preserve">7</w:t>
            </w:r>
            <w:r/>
          </w:p>
        </w:tc>
        <w:tc>
          <w:tcPr>
            <w:tcW w:w="1481" w:type="dxa"/>
            <w:vAlign w:val="center"/>
            <w:textDirection w:val="lrTb"/>
            <w:noWrap w:val="false"/>
          </w:tcPr>
          <w:p>
            <w:pPr>
              <w:jc w:val="center"/>
              <w:spacing w:line="276" w:lineRule="auto"/>
              <w:rPr>
                <w:rFonts w:ascii="宋体" w:hAnsi="宋体" w:cs="宋体"/>
                <w:szCs w:val="21"/>
              </w:rPr>
            </w:pPr>
            <w:r>
              <w:rPr>
                <w:rFonts w:hint="eastAsia" w:ascii="宋体" w:hAnsi="宋体" w:cs="宋体"/>
                <w:spacing w:val="-2"/>
                <w:szCs w:val="21"/>
              </w:rPr>
              <w:t xml:space="preserve">软件</w:t>
            </w:r>
            <w:r>
              <w:rPr>
                <w:rFonts w:hint="eastAsia" w:ascii="宋体" w:hAnsi="宋体" w:cs="宋体"/>
                <w:spacing w:val="-1"/>
                <w:szCs w:val="21"/>
              </w:rPr>
              <w:t xml:space="preserve">著作权</w:t>
            </w:r>
            <w:r/>
          </w:p>
        </w:tc>
        <w:tc>
          <w:tcPr>
            <w:tcW w:w="5752" w:type="dxa"/>
            <w:textDirection w:val="lrTb"/>
            <w:noWrap w:val="false"/>
          </w:tcPr>
          <w:p>
            <w:pPr>
              <w:spacing w:line="276" w:lineRule="auto"/>
              <w:rPr>
                <w:rFonts w:hint="eastAsia" w:ascii="宋体" w:hAnsi="宋体" w:cs="宋体"/>
                <w:spacing w:val="7"/>
                <w:szCs w:val="21"/>
              </w:rPr>
            </w:pPr>
            <w:r>
              <w:rPr>
                <w:rFonts w:hint="eastAsia" w:ascii="宋体" w:hAnsi="宋体" w:cs="宋体"/>
                <w:spacing w:val="7"/>
                <w:szCs w:val="21"/>
              </w:rPr>
              <w:t xml:space="preserve">投标人具备跟本次招标相关的软件自主开发能力和相关技术能力，具备“职业健康综合管理”“职业健康监管”“职业卫生检测评价”</w:t>
            </w:r>
            <w:r>
              <w:rPr>
                <w:rFonts w:hint="eastAsia" w:ascii="宋体" w:hAnsi="宋体" w:cs="宋体"/>
                <w:spacing w:val="7"/>
                <w:szCs w:val="21"/>
                <w:lang w:val="en-US" w:eastAsia="zh-CN"/>
              </w:rPr>
              <w:t xml:space="preserve">类</w:t>
            </w:r>
            <w:r>
              <w:rPr>
                <w:rFonts w:hint="eastAsia" w:ascii="宋体" w:hAnsi="宋体" w:cs="宋体"/>
                <w:spacing w:val="7"/>
                <w:szCs w:val="21"/>
              </w:rPr>
              <w:t xml:space="preserve">软件著作权证书。每提供1个证书得1分，本项最高得</w:t>
            </w:r>
            <w:r>
              <w:rPr>
                <w:rFonts w:hint="eastAsia" w:ascii="宋体" w:hAnsi="宋体" w:cs="宋体"/>
                <w:spacing w:val="7"/>
                <w:szCs w:val="21"/>
                <w:lang w:val="en-US" w:eastAsia="zh-CN"/>
              </w:rPr>
              <w:t xml:space="preserve">3</w:t>
            </w:r>
            <w:r>
              <w:rPr>
                <w:rFonts w:hint="eastAsia" w:ascii="宋体" w:hAnsi="宋体" w:cs="宋体"/>
                <w:spacing w:val="7"/>
                <w:szCs w:val="21"/>
              </w:rPr>
              <w:t xml:space="preserve">分。</w:t>
            </w:r>
            <w:r/>
          </w:p>
          <w:p>
            <w:pPr>
              <w:pStyle w:val="904"/>
              <w:numPr>
                <w:ilvl w:val="0"/>
                <w:numId w:val="0"/>
              </w:numPr>
              <w:spacing w:after="0" w:line="276" w:lineRule="auto"/>
              <w:tabs>
                <w:tab w:val="clear" w:pos="360" w:leader="none"/>
                <w:tab w:val="left" w:pos="3346" w:leader="none"/>
              </w:tabs>
              <w:rPr>
                <w:rFonts w:ascii="宋体" w:hAnsi="宋体" w:cs="宋体"/>
                <w:spacing w:val="-3"/>
                <w:szCs w:val="21"/>
              </w:rPr>
            </w:pPr>
            <w:r>
              <w:rPr>
                <w:rFonts w:hint="eastAsia" w:ascii="宋体" w:hAnsi="宋体" w:cs="宋体"/>
                <w:b/>
                <w:bCs/>
                <w:color w:val="000000"/>
                <w:szCs w:val="21"/>
                <w:lang w:val="zh-CN"/>
              </w:rPr>
              <w:t xml:space="preserve">注：须提供有效期内的证书，原件扫描上传。</w:t>
            </w:r>
            <w:r/>
          </w:p>
        </w:tc>
        <w:tc>
          <w:tcPr>
            <w:tcW w:w="885" w:type="dxa"/>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r>
    </w:tbl>
    <w:p>
      <w:pPr>
        <w:jc w:val="left"/>
        <w:spacing w:before="120" w:after="120" w:line="360" w:lineRule="auto"/>
        <w:rPr>
          <w:rFonts w:hint="eastAsia" w:ascii="宋体" w:hAnsi="宋体" w:cs="宋体"/>
          <w:b/>
          <w:sz w:val="24"/>
          <w:szCs w:val="24"/>
        </w:rPr>
      </w:pPr>
      <w:r>
        <w:rPr>
          <w:rFonts w:hint="eastAsia" w:ascii="宋体" w:hAnsi="宋体" w:cs="宋体"/>
          <w:b/>
          <w:sz w:val="24"/>
          <w:szCs w:val="24"/>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rPr>
          <w:rFonts w:ascii="黑体" w:eastAsia="黑体"/>
          <w:bCs/>
          <w:sz w:val="44"/>
          <w:szCs w:val="28"/>
        </w:rPr>
        <w:outlineLvl w:val="0"/>
      </w:pPr>
      <w:r/>
      <w:bookmarkStart w:id="194" w:name="_Toc14992"/>
      <w:r>
        <w:rPr>
          <w:rFonts w:hint="eastAsia" w:ascii="黑体" w:eastAsia="黑体"/>
          <w:bCs/>
          <w:sz w:val="44"/>
          <w:szCs w:val="28"/>
        </w:rPr>
        <w:t xml:space="preserve">第六章  投标</w:t>
      </w:r>
      <w:bookmarkEnd w:id="190"/>
      <w:r/>
      <w:bookmarkEnd w:id="191"/>
      <w:r/>
      <w:bookmarkEnd w:id="193"/>
      <w:r>
        <w:rPr>
          <w:rFonts w:hint="eastAsia" w:ascii="黑体" w:eastAsia="黑体"/>
          <w:bCs/>
          <w:sz w:val="44"/>
          <w:szCs w:val="28"/>
        </w:rPr>
        <w:t xml:space="preserve">文件格式</w:t>
      </w:r>
      <w:bookmarkEnd w:id="194"/>
      <w:r/>
      <w:r/>
    </w:p>
    <w:p>
      <w:pPr>
        <w:jc w:val="center"/>
        <w:rPr>
          <w:rFonts w:ascii="宋体" w:hAnsi="宋体"/>
          <w:b/>
          <w:sz w:val="72"/>
          <w:szCs w:val="21"/>
        </w:rPr>
      </w:pPr>
      <w:r/>
      <w:bookmarkStart w:id="195" w:name="_Hlt26671244"/>
      <w:r/>
      <w:bookmarkEnd w:id="195"/>
      <w:r/>
      <w:bookmarkStart w:id="196" w:name="_Hlt26955039"/>
      <w:r/>
      <w:bookmarkEnd w:id="196"/>
      <w:r/>
      <w:bookmarkStart w:id="197" w:name="_Toc120614282"/>
      <w:r/>
      <w:bookmarkStart w:id="198" w:name="_Toc49090576"/>
      <w:r/>
      <w:bookmarkStart w:id="199" w:name="_Toc26554094"/>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br w:type="page" w:clear="all"/>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cs="宋体"/>
          <w:i/>
          <w:sz w:val="24"/>
          <w:szCs w:val="21"/>
          <w:u w:val="single"/>
        </w:rPr>
      </w:pPr>
      <w:r>
        <w:rPr>
          <w:rFonts w:hint="eastAsia" w:ascii="宋体" w:hAnsi="宋体" w:cs="宋体"/>
          <w:i/>
          <w:sz w:val="24"/>
          <w:szCs w:val="21"/>
          <w:u w:val="single"/>
        </w:rPr>
        <w:t xml:space="preserve">一、法人或者其他组织的营业执照等证明文件，自然人的身份证明</w:t>
      </w:r>
      <w:r/>
    </w:p>
    <w:p>
      <w:pPr>
        <w:ind w:left="480"/>
        <w:spacing w:line="360" w:lineRule="auto"/>
        <w:rPr>
          <w:rFonts w:ascii="宋体" w:hAnsi="宋体" w:cs="宋体"/>
          <w:i/>
          <w:sz w:val="24"/>
          <w:szCs w:val="21"/>
          <w:u w:val="single"/>
        </w:rPr>
      </w:pPr>
      <w:r>
        <w:rPr>
          <w:rFonts w:hint="eastAsia" w:ascii="宋体" w:hAnsi="宋体" w:cs="宋体"/>
          <w:i/>
          <w:sz w:val="24"/>
          <w:szCs w:val="21"/>
          <w:u w:val="single"/>
        </w:rPr>
        <w:t xml:space="preserve">二、上一年度的财务状况报告（</w:t>
      </w:r>
      <w:r>
        <w:rPr>
          <w:rFonts w:hint="eastAsia" w:ascii="宋体" w:hAnsi="宋体" w:cs="宋体"/>
          <w:i/>
          <w:sz w:val="24"/>
          <w:szCs w:val="21"/>
          <w:u w:val="single"/>
        </w:rPr>
        <w:t xml:space="preserve">投标人</w:t>
      </w:r>
      <w:r>
        <w:rPr>
          <w:rFonts w:hint="eastAsia" w:ascii="宋体" w:hAnsi="宋体" w:cs="宋体"/>
          <w:i/>
          <w:sz w:val="24"/>
          <w:szCs w:val="21"/>
          <w:u w:val="single"/>
        </w:rPr>
        <w:t xml:space="preserve">成立不满一年无需提供）</w:t>
      </w:r>
      <w:r/>
    </w:p>
    <w:p>
      <w:pPr>
        <w:ind w:left="480"/>
        <w:spacing w:line="360" w:lineRule="auto"/>
        <w:rPr>
          <w:rFonts w:ascii="宋体" w:hAnsi="宋体" w:cs="宋体"/>
          <w:i/>
          <w:sz w:val="24"/>
          <w:szCs w:val="21"/>
          <w:u w:val="single"/>
        </w:rPr>
      </w:pPr>
      <w:r>
        <w:rPr>
          <w:rFonts w:hint="eastAsia" w:ascii="宋体" w:hAnsi="宋体" w:cs="宋体"/>
          <w:i/>
          <w:sz w:val="24"/>
          <w:szCs w:val="21"/>
          <w:u w:val="single"/>
        </w:rPr>
        <w:t xml:space="preserve">三、依法缴纳税收和社会保障资金的相关材料（提供提交</w:t>
      </w:r>
      <w:r>
        <w:rPr>
          <w:rFonts w:hint="eastAsia" w:ascii="宋体" w:hAnsi="宋体" w:cs="宋体"/>
          <w:i/>
          <w:sz w:val="24"/>
          <w:szCs w:val="21"/>
          <w:u w:val="single"/>
        </w:rPr>
        <w:t xml:space="preserve">投标</w:t>
      </w:r>
      <w:r>
        <w:rPr>
          <w:rFonts w:hint="eastAsia" w:ascii="宋体" w:hAnsi="宋体" w:cs="宋体"/>
          <w:i/>
          <w:sz w:val="24"/>
          <w:szCs w:val="21"/>
          <w:u w:val="single"/>
        </w:rPr>
        <w:t xml:space="preserve">文件截止时间前一年内至少一个月依法缴纳税收及缴纳社会保障资金的证明材料。</w:t>
      </w:r>
      <w:r>
        <w:rPr>
          <w:rFonts w:hint="eastAsia" w:ascii="宋体" w:hAnsi="宋体" w:cs="宋体"/>
          <w:i/>
          <w:sz w:val="24"/>
          <w:szCs w:val="21"/>
          <w:u w:val="single"/>
        </w:rPr>
        <w:t xml:space="preserve">投标人</w:t>
      </w:r>
      <w:r>
        <w:rPr>
          <w:rFonts w:hint="eastAsia" w:ascii="宋体" w:hAnsi="宋体" w:cs="宋体"/>
          <w:i/>
          <w:sz w:val="24"/>
          <w:szCs w:val="21"/>
          <w:u w:val="single"/>
        </w:rPr>
        <w:t xml:space="preserve">依法享受缓缴、免缴税收、社会保障资金的提供证明材料。）</w:t>
      </w:r>
      <w:r/>
    </w:p>
    <w:p>
      <w:pPr>
        <w:ind w:left="480"/>
        <w:spacing w:line="360" w:lineRule="auto"/>
        <w:rPr>
          <w:rFonts w:ascii="宋体" w:hAnsi="宋体" w:cs="宋体"/>
          <w:i/>
          <w:sz w:val="24"/>
          <w:szCs w:val="21"/>
          <w:u w:val="single"/>
        </w:rPr>
      </w:pPr>
      <w:r>
        <w:rPr>
          <w:rFonts w:hint="eastAsia" w:ascii="宋体" w:hAnsi="宋体" w:cs="宋体"/>
          <w:i/>
          <w:sz w:val="24"/>
          <w:szCs w:val="21"/>
          <w:u w:val="single"/>
        </w:rPr>
        <w:t xml:space="preserve">四、具备履行合同所必需的设备和专业技术能力的书面声明</w:t>
      </w:r>
      <w:r/>
    </w:p>
    <w:p>
      <w:pPr>
        <w:ind w:firstLine="480"/>
        <w:spacing w:line="360" w:lineRule="auto"/>
        <w:rPr>
          <w:rFonts w:ascii="宋体" w:hAnsi="宋体" w:cs="宋体"/>
          <w:i/>
          <w:sz w:val="24"/>
          <w:szCs w:val="21"/>
          <w:u w:val="single"/>
        </w:rPr>
      </w:pPr>
      <w:r>
        <w:rPr>
          <w:rFonts w:hint="eastAsia" w:ascii="宋体" w:hAnsi="宋体" w:cs="宋体"/>
          <w:i/>
          <w:sz w:val="24"/>
          <w:szCs w:val="21"/>
          <w:u w:val="single"/>
        </w:rPr>
        <w:t xml:space="preserve">五、参加政府采购活动前 3 年内在经营活动中没有重大违法记录的书面声明</w:t>
      </w:r>
      <w:r/>
    </w:p>
    <w:p>
      <w:pPr>
        <w:ind w:firstLine="480"/>
        <w:spacing w:line="360" w:lineRule="auto"/>
        <w:rPr>
          <w:rFonts w:ascii="宋体" w:hAnsi="宋体" w:cs="宋体"/>
          <w:i/>
          <w:iCs/>
          <w:color w:val="0000ff"/>
          <w:sz w:val="24"/>
          <w:szCs w:val="24"/>
          <w:u w:val="single"/>
        </w:rPr>
      </w:pPr>
      <w:r>
        <w:rPr>
          <w:rFonts w:hint="eastAsia" w:ascii="宋体" w:hAnsi="宋体" w:cs="宋体"/>
          <w:i/>
          <w:iCs/>
          <w:color w:val="0000ff"/>
          <w:sz w:val="24"/>
          <w:szCs w:val="24"/>
          <w:u w:val="single"/>
        </w:rPr>
        <w:t xml:space="preserve">六、供应商信用承诺函</w:t>
      </w:r>
      <w:r/>
    </w:p>
    <w:p>
      <w:pPr>
        <w:ind w:firstLine="480"/>
        <w:spacing w:line="360" w:lineRule="auto"/>
        <w:rPr>
          <w:rFonts w:ascii="宋体" w:hAnsi="宋体" w:cs="宋体"/>
          <w:i/>
          <w:sz w:val="24"/>
          <w:szCs w:val="21"/>
          <w:u w:val="single"/>
        </w:rPr>
      </w:pPr>
      <w:r>
        <w:rPr>
          <w:rFonts w:hint="eastAsia" w:ascii="宋体" w:hAnsi="宋体" w:cs="宋体"/>
          <w:i/>
          <w:sz w:val="24"/>
          <w:szCs w:val="21"/>
          <w:u w:val="single"/>
        </w:rPr>
        <w:t xml:space="preserve">七、特定资格要求的证明文件（如果本项目设置特定资格要求，则需要提供）</w:t>
      </w:r>
      <w:r/>
    </w:p>
    <w:p>
      <w:pPr>
        <w:ind w:firstLine="480"/>
        <w:spacing w:line="360" w:lineRule="auto"/>
        <w:rPr>
          <w:rFonts w:ascii="宋体" w:hAnsi="宋体" w:cs="宋体"/>
          <w:i/>
          <w:sz w:val="24"/>
          <w:szCs w:val="21"/>
          <w:u w:val="single"/>
        </w:rPr>
      </w:pPr>
      <w:r>
        <w:rPr>
          <w:rFonts w:hint="eastAsia" w:ascii="宋体" w:hAnsi="宋体" w:cs="宋体"/>
          <w:i/>
          <w:sz w:val="24"/>
          <w:szCs w:val="21"/>
          <w:u w:val="single"/>
        </w:rPr>
        <w:t xml:space="preserve">八、法人授权书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i w:val="0"/>
          <w:iCs w:val="0"/>
          <w:sz w:val="24"/>
          <w:szCs w:val="21"/>
          <w:u w:val="none"/>
        </w:rPr>
        <w:t xml:space="preserve">    </w:t>
      </w:r>
      <w:r>
        <w:rPr>
          <w:rFonts w:hint="eastAsia" w:ascii="宋体" w:hAnsi="宋体" w:cs="宋体"/>
          <w:i/>
          <w:sz w:val="24"/>
          <w:szCs w:val="21"/>
          <w:u w:val="single"/>
        </w:rPr>
        <w:t xml:space="preserve">九、</w:t>
      </w:r>
      <w:r>
        <w:rPr>
          <w:rFonts w:ascii="SimSun" w:hAnsi="SimSun" w:eastAsia="SimSun" w:cs="SimSun"/>
          <w:i/>
          <w:color w:val="000000"/>
          <w:sz w:val="24"/>
          <w:u w:val="single"/>
        </w:rPr>
        <w:t xml:space="preserve">投标函</w:t>
      </w:r>
      <w:r>
        <w:rPr>
          <w:sz w:val="22"/>
        </w:rPr>
      </w:r>
      <w:r/>
    </w:p>
    <w:p>
      <w:pPr>
        <w:ind w:firstLine="480"/>
        <w:spacing w:line="360" w:lineRule="auto"/>
        <w:rPr>
          <w:rFonts w:ascii="宋体" w:hAnsi="宋体" w:cs="宋体"/>
          <w:color w:val="0000ff"/>
          <w:sz w:val="24"/>
          <w:szCs w:val="24"/>
        </w:rPr>
      </w:pPr>
      <w:r>
        <w:rPr>
          <w:rFonts w:hint="eastAsia" w:ascii="宋体" w:hAnsi="宋体" w:cs="宋体"/>
          <w:color w:val="0000ff"/>
          <w:sz w:val="24"/>
          <w:szCs w:val="21"/>
        </w:rPr>
        <w:t xml:space="preserve">十、</w:t>
      </w:r>
      <w:r>
        <w:rPr>
          <w:rFonts w:hint="eastAsia" w:ascii="宋体" w:hAnsi="宋体" w:cs="宋体"/>
          <w:color w:val="0000ff"/>
          <w:sz w:val="24"/>
          <w:szCs w:val="24"/>
        </w:rPr>
        <w:t xml:space="preserve">、企业报价折扣证明（</w:t>
      </w:r>
      <w:r>
        <w:rPr>
          <w:rFonts w:hint="eastAsia" w:ascii="宋体" w:hAnsi="宋体" w:cs="宋体"/>
          <w:i/>
          <w:sz w:val="24"/>
          <w:szCs w:val="21"/>
          <w:u w:val="single"/>
        </w:rPr>
        <w:t xml:space="preserve">中小企业声明函</w:t>
      </w:r>
      <w:r>
        <w:rPr>
          <w:rFonts w:hint="eastAsia" w:ascii="宋体" w:hAnsi="宋体" w:cs="宋体"/>
          <w:color w:val="0000ff"/>
          <w:sz w:val="24"/>
          <w:szCs w:val="24"/>
        </w:rPr>
        <w:t xml:space="preserve">、残疾人福利性单位声明函）</w:t>
      </w:r>
      <w:r/>
    </w:p>
    <w:p>
      <w:pPr>
        <w:ind w:firstLine="480"/>
        <w:spacing w:line="360" w:lineRule="auto"/>
        <w:rPr>
          <w:rFonts w:ascii="宋体" w:hAnsi="宋体" w:cs="宋体"/>
          <w:sz w:val="24"/>
          <w:szCs w:val="21"/>
        </w:rPr>
      </w:pPr>
      <w:r>
        <w:rPr>
          <w:rFonts w:hint="eastAsia" w:ascii="宋体" w:hAnsi="宋体" w:cs="宋体"/>
          <w:sz w:val="24"/>
          <w:szCs w:val="21"/>
        </w:rPr>
        <w:t xml:space="preserve">十一、联合体协议</w:t>
      </w:r>
      <w:r/>
    </w:p>
    <w:p>
      <w:pPr>
        <w:ind w:firstLine="480"/>
        <w:spacing w:line="360" w:lineRule="auto"/>
        <w:rPr>
          <w:rFonts w:ascii="宋体" w:hAnsi="宋体" w:cs="宋体"/>
          <w:sz w:val="24"/>
          <w:szCs w:val="21"/>
        </w:rPr>
      </w:pPr>
      <w:r>
        <w:rPr>
          <w:rFonts w:hint="eastAsia" w:ascii="宋体" w:hAnsi="宋体" w:cs="宋体"/>
          <w:sz w:val="24"/>
          <w:szCs w:val="21"/>
        </w:rPr>
        <w:t xml:space="preserve">十二、分项报价表</w:t>
      </w:r>
      <w:r/>
    </w:p>
    <w:p>
      <w:pPr>
        <w:ind w:firstLine="480"/>
        <w:spacing w:line="360" w:lineRule="auto"/>
        <w:rPr>
          <w:rFonts w:ascii="宋体" w:hAnsi="宋体" w:cs="宋体"/>
          <w:sz w:val="24"/>
          <w:szCs w:val="21"/>
        </w:rPr>
      </w:pPr>
      <w:r>
        <w:rPr>
          <w:rFonts w:hint="eastAsia" w:ascii="宋体" w:hAnsi="宋体" w:cs="宋体"/>
          <w:sz w:val="24"/>
          <w:szCs w:val="21"/>
        </w:rPr>
        <w:t xml:space="preserve">十三、技术要求响应及偏离表</w:t>
      </w:r>
      <w:r/>
    </w:p>
    <w:p>
      <w:pPr>
        <w:ind w:firstLine="480"/>
        <w:spacing w:line="360" w:lineRule="auto"/>
        <w:rPr>
          <w:rFonts w:ascii="宋体" w:hAnsi="宋体" w:cs="宋体"/>
          <w:sz w:val="24"/>
          <w:szCs w:val="21"/>
        </w:rPr>
      </w:pPr>
      <w:r>
        <w:rPr>
          <w:rFonts w:hint="eastAsia" w:ascii="宋体" w:hAnsi="宋体" w:cs="宋体"/>
          <w:sz w:val="24"/>
          <w:szCs w:val="21"/>
        </w:rPr>
        <w:t xml:space="preserve">十四、商务要求响应及偏离表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十六、主要标的信息</w:t>
      </w:r>
      <w:r/>
    </w:p>
    <w:p>
      <w:pPr>
        <w:ind w:firstLine="480"/>
        <w:spacing w:line="360" w:lineRule="auto"/>
        <w:rPr>
          <w:rFonts w:ascii="宋体" w:hAnsi="宋体" w:cs="宋体"/>
          <w:color w:val="0000ff"/>
          <w:szCs w:val="21"/>
        </w:rPr>
      </w:pPr>
      <w:r>
        <w:rPr>
          <w:rFonts w:hint="eastAsia" w:ascii="宋体" w:hAnsi="宋体" w:cs="宋体"/>
          <w:color w:val="0000ff"/>
          <w:sz w:val="24"/>
          <w:szCs w:val="24"/>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ascii="宋体" w:hAnsi="宋体"/>
          <w:bCs/>
          <w:sz w:val="24"/>
          <w:szCs w:val="21"/>
        </w:rPr>
      </w:pPr>
      <w:r>
        <w:rPr>
          <w:rFonts w:hint="eastAsia" w:ascii="宋体" w:hAnsi="宋体"/>
          <w:bCs/>
          <w:sz w:val="24"/>
          <w:szCs w:val="21"/>
        </w:rPr>
        <w:t xml:space="preserve">                                     </w:t>
      </w:r>
      <w:bookmarkEnd w:id="188"/>
      <w:r/>
      <w:bookmarkEnd w:id="189"/>
      <w:r/>
      <w:bookmarkEnd w:id="197"/>
      <w:r/>
      <w:bookmarkEnd w:id="198"/>
      <w:r/>
      <w:bookmarkEnd w:id="199"/>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jc w:val="center"/>
        <w:rPr>
          <w:rFonts w:ascii="黑体" w:hAnsi="黑体" w:eastAsia="黑体"/>
          <w:i/>
          <w:sz w:val="32"/>
          <w:szCs w:val="32"/>
          <w:u w:val="single"/>
        </w:rPr>
      </w:pPr>
      <w:r>
        <w:rPr>
          <w:rFonts w:hint="eastAsia" w:ascii="宋体" w:hAnsi="宋体"/>
          <w:sz w:val="24"/>
          <w:szCs w:val="21"/>
        </w:rPr>
        <w:t xml:space="preserve"> 如果本项目申请人的特定资格要求中要求提供的，必须提供。</w:t>
      </w:r>
      <w:r>
        <w:rPr>
          <w:rFonts w:hint="eastAsia" w:ascii="宋体" w:hAnsi="宋体"/>
          <w:sz w:val="24"/>
        </w:rPr>
        <w:t xml:space="preserve">    </w:t>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76"/>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76"/>
        <w:ind w:firstLine="480"/>
        <w:rPr>
          <w:sz w:val="24"/>
          <w:szCs w:val="24"/>
        </w:rPr>
      </w:pPr>
      <w:r>
        <w:rPr>
          <w:rFonts w:hint="eastAsia"/>
          <w:sz w:val="24"/>
          <w:szCs w:val="24"/>
        </w:rPr>
        <w:t xml:space="preserve">本授权书于______年____月____日起生效，特此声明。</w:t>
      </w:r>
      <w:r/>
    </w:p>
    <w:p>
      <w:pPr>
        <w:pStyle w:val="1076"/>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76"/>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76"/>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76"/>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76"/>
        <w:ind w:firstLine="480"/>
        <w:rPr>
          <w:sz w:val="24"/>
          <w:szCs w:val="24"/>
        </w:rPr>
      </w:pPr>
      <w:r>
        <w:rPr>
          <w:rFonts w:hint="eastAsia"/>
          <w:sz w:val="24"/>
          <w:szCs w:val="24"/>
        </w:rPr>
        <w:t xml:space="preserve">      日期：</w:t>
      </w:r>
      <w:bookmarkStart w:id="200" w:name="_格式3__银行出具的资信证明"/>
      <w:r/>
      <w:bookmarkEnd w:id="200"/>
      <w:r/>
      <w:bookmarkStart w:id="201" w:name="_Hlt26671380"/>
      <w:r/>
      <w:bookmarkEnd w:id="201"/>
      <w:r/>
      <w:bookmarkStart w:id="202" w:name="_Hlt26955070"/>
      <w:r/>
      <w:bookmarkEnd w:id="202"/>
      <w:r>
        <w:rPr>
          <w:rFonts w:hint="eastAsia"/>
          <w:sz w:val="24"/>
          <w:szCs w:val="24"/>
          <w:u w:val="single"/>
        </w:rPr>
        <w:t xml:space="preserve">                                         </w:t>
      </w:r>
      <w:r/>
    </w:p>
    <w:p>
      <w:pPr>
        <w:pStyle w:val="893"/>
        <w:rPr>
          <w:i/>
          <w:sz w:val="24"/>
          <w:szCs w:val="24"/>
          <w:u w:val="single"/>
        </w:rPr>
      </w:pPr>
      <w:r>
        <w:rPr>
          <w:i/>
          <w:sz w:val="24"/>
          <w:szCs w:val="24"/>
          <w:u w:val="single"/>
        </w:rPr>
      </w:r>
      <w:r/>
    </w:p>
    <w:p>
      <w:pPr>
        <w:ind w:firstLine="480"/>
        <w:spacing w:line="440" w:lineRule="exact"/>
        <w:tabs>
          <w:tab w:val="left" w:pos="360" w:leader="none"/>
        </w:tabs>
        <w:rPr>
          <w:b/>
          <w:bCs/>
          <w:sz w:val="24"/>
          <w:szCs w:val="24"/>
        </w:rPr>
      </w:pPr>
      <w:r>
        <w:rPr>
          <w:rFonts w:hint="eastAsia"/>
          <w:sz w:val="24"/>
          <w:szCs w:val="24"/>
        </w:rPr>
        <w:t xml:space="preserve">法定代表人身份证复印件（正反）：</w:t>
      </w:r>
      <w:r/>
    </w:p>
    <w:p>
      <w:pPr>
        <w:spacing w:line="440" w:lineRule="exact"/>
        <w:tabs>
          <w:tab w:val="left" w:pos="360" w:leader="none"/>
        </w:tabs>
        <w:rPr>
          <w:b/>
          <w:bCs/>
          <w:sz w:val="24"/>
          <w:szCs w:val="24"/>
        </w:rPr>
      </w:pPr>
      <w:r>
        <w:rPr>
          <w:b/>
          <w:bCs/>
          <w:sz w:val="24"/>
          <w:szCs w:val="24"/>
        </w:rPr>
      </w:r>
      <w:r/>
    </w:p>
    <w:p>
      <w:pPr>
        <w:spacing w:line="440" w:lineRule="exact"/>
        <w:tabs>
          <w:tab w:val="left" w:pos="360" w:leader="none"/>
        </w:tabs>
        <w:rPr>
          <w:b/>
          <w:bCs/>
          <w:sz w:val="24"/>
          <w:szCs w:val="24"/>
        </w:rPr>
      </w:pPr>
      <w:r>
        <w:rPr>
          <w:b/>
          <w:bCs/>
          <w:sz w:val="24"/>
          <w:szCs w:val="24"/>
        </w:rPr>
      </w:r>
      <w:r/>
    </w:p>
    <w:p>
      <w:pPr>
        <w:spacing w:line="440" w:lineRule="exact"/>
        <w:tabs>
          <w:tab w:val="left" w:pos="360" w:leader="none"/>
        </w:tabs>
        <w:rPr>
          <w:b/>
          <w:bCs/>
          <w:sz w:val="24"/>
          <w:szCs w:val="24"/>
        </w:rPr>
      </w:pPr>
      <w:r>
        <w:rPr>
          <w:b/>
          <w:bCs/>
          <w:sz w:val="24"/>
          <w:szCs w:val="24"/>
        </w:rPr>
      </w:r>
      <w:r/>
    </w:p>
    <w:p>
      <w:pPr>
        <w:ind w:firstLine="480"/>
        <w:spacing w:line="440" w:lineRule="exact"/>
        <w:tabs>
          <w:tab w:val="left" w:pos="360" w:leader="none"/>
        </w:tabs>
        <w:rPr>
          <w:sz w:val="24"/>
          <w:szCs w:val="24"/>
        </w:rPr>
      </w:pPr>
      <w:r>
        <w:rPr>
          <w:rFonts w:hint="eastAsia"/>
          <w:sz w:val="24"/>
          <w:szCs w:val="24"/>
        </w:rPr>
        <w:t xml:space="preserve">被授权人身份证复印件（正反）：</w:t>
      </w:r>
      <w:r/>
    </w:p>
    <w:p>
      <w:pPr>
        <w:pStyle w:val="893"/>
      </w:pPr>
      <w:r/>
      <w:r/>
    </w:p>
    <w:p>
      <w:pPr>
        <w:pStyle w:val="881"/>
        <w:jc w:val="both"/>
        <w:rPr>
          <w:rFonts w:ascii="黑体" w:hAnsi="黑体" w:eastAsia="黑体"/>
          <w:bCs w:val="0"/>
          <w:i/>
          <w:sz w:val="32"/>
          <w:szCs w:val="32"/>
          <w:u w:val="single"/>
        </w:rPr>
      </w:pPr>
      <w:r>
        <w:rPr>
          <w:rFonts w:hint="eastAsia" w:ascii="黑体" w:hAnsi="黑体" w:eastAsia="黑体"/>
          <w:bCs w:val="0"/>
          <w:i/>
          <w:sz w:val="32"/>
          <w:szCs w:val="32"/>
          <w:u w:val="single"/>
        </w:rPr>
        <w:t xml:space="preserve">九、投标函</w:t>
      </w:r>
      <w:r/>
    </w:p>
    <w:p>
      <w:pPr>
        <w:pStyle w:val="1077"/>
        <w:ind w:firstLine="0"/>
        <w:spacing w:before="0" w:after="0" w:line="420" w:lineRule="exact"/>
        <w:rPr>
          <w:rFonts w:ascii="宋体" w:hAnsi="宋体"/>
          <w:szCs w:val="21"/>
        </w:rPr>
      </w:pPr>
      <w:r>
        <w:rPr>
          <w:rFonts w:hint="eastAsia" w:ascii="宋体" w:hAnsi="宋体"/>
          <w:szCs w:val="21"/>
        </w:rPr>
        <w:t xml:space="preserve">致：扬州市公共资源交易中心高邮分中心：</w:t>
      </w:r>
      <w:r/>
    </w:p>
    <w:p>
      <w:pPr>
        <w:pStyle w:val="1077"/>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107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7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7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7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7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7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7"/>
        <w:ind w:left="420"/>
        <w:spacing w:before="0" w:after="0" w:line="420" w:lineRule="exact"/>
        <w:rPr>
          <w:rFonts w:ascii="宋体" w:hAnsi="宋体"/>
          <w:szCs w:val="21"/>
        </w:rPr>
      </w:pPr>
      <w:r>
        <w:rPr>
          <w:rFonts w:hint="eastAsia" w:ascii="宋体" w:hAnsi="宋体"/>
          <w:szCs w:val="21"/>
        </w:rPr>
        <w:t xml:space="preserve">地          址：</w:t>
      </w:r>
      <w:r/>
    </w:p>
    <w:p>
      <w:pPr>
        <w:pStyle w:val="1077"/>
        <w:ind w:left="420"/>
        <w:spacing w:before="0" w:after="0" w:line="420" w:lineRule="exact"/>
        <w:rPr>
          <w:rFonts w:ascii="宋体" w:hAnsi="宋体"/>
          <w:szCs w:val="21"/>
        </w:rPr>
      </w:pPr>
      <w:r>
        <w:rPr>
          <w:rFonts w:hint="eastAsia" w:ascii="宋体" w:hAnsi="宋体"/>
          <w:szCs w:val="21"/>
        </w:rPr>
        <w:t xml:space="preserve">邮          编：</w:t>
      </w:r>
      <w:r/>
    </w:p>
    <w:p>
      <w:pPr>
        <w:pStyle w:val="1077"/>
        <w:ind w:left="420"/>
        <w:spacing w:before="0" w:after="0" w:line="420" w:lineRule="exact"/>
        <w:rPr>
          <w:rFonts w:ascii="宋体" w:hAnsi="宋体"/>
          <w:szCs w:val="21"/>
        </w:rPr>
      </w:pPr>
      <w:r>
        <w:rPr>
          <w:rFonts w:hint="eastAsia" w:ascii="宋体" w:hAnsi="宋体"/>
          <w:szCs w:val="21"/>
        </w:rPr>
        <w:t xml:space="preserve">电          话：</w:t>
      </w:r>
      <w:r/>
    </w:p>
    <w:p>
      <w:pPr>
        <w:pStyle w:val="1077"/>
        <w:ind w:left="420"/>
        <w:spacing w:before="0" w:after="0" w:line="420" w:lineRule="exact"/>
        <w:rPr>
          <w:rFonts w:ascii="宋体" w:hAnsi="宋体"/>
          <w:szCs w:val="21"/>
        </w:rPr>
      </w:pPr>
      <w:r>
        <w:rPr>
          <w:rFonts w:hint="eastAsia" w:ascii="宋体" w:hAnsi="宋体"/>
          <w:szCs w:val="21"/>
        </w:rPr>
        <w:t xml:space="preserve">传          真：</w:t>
      </w:r>
      <w:r/>
    </w:p>
    <w:p>
      <w:pPr>
        <w:pStyle w:val="1077"/>
        <w:ind w:left="420"/>
        <w:spacing w:before="0" w:after="0" w:line="420" w:lineRule="exact"/>
        <w:rPr>
          <w:rFonts w:ascii="宋体" w:hAnsi="宋体"/>
          <w:szCs w:val="21"/>
        </w:rPr>
      </w:pPr>
      <w:r>
        <w:rPr>
          <w:rFonts w:hint="eastAsia" w:ascii="宋体" w:hAnsi="宋体"/>
          <w:szCs w:val="21"/>
        </w:rPr>
        <w:t xml:space="preserve">投标人开户行：</w:t>
      </w:r>
      <w:r/>
    </w:p>
    <w:p>
      <w:pPr>
        <w:pStyle w:val="1077"/>
        <w:ind w:left="420"/>
        <w:spacing w:before="0" w:after="0" w:line="420" w:lineRule="exact"/>
        <w:rPr>
          <w:rFonts w:ascii="宋体" w:hAnsi="宋体"/>
          <w:szCs w:val="21"/>
        </w:rPr>
      </w:pPr>
      <w:r>
        <w:rPr>
          <w:rFonts w:hint="eastAsia" w:ascii="宋体" w:hAnsi="宋体"/>
          <w:szCs w:val="21"/>
        </w:rPr>
        <w:t xml:space="preserve">账          号： </w:t>
      </w:r>
      <w:r/>
    </w:p>
    <w:p>
      <w:pPr>
        <w:pStyle w:val="1077"/>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left"/>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1928"/>
        <w:spacing w:line="460" w:lineRule="exact"/>
        <w:rPr>
          <w:rFonts w:ascii="黑体" w:hAnsi="黑体" w:eastAsia="黑体"/>
          <w:b/>
          <w:sz w:val="32"/>
          <w:szCs w:val="32"/>
        </w:rPr>
      </w:pPr>
      <w:r/>
      <w:bookmarkStart w:id="203" w:name="_Toc150519795"/>
      <w:r>
        <w:rPr>
          <w:rFonts w:hint="eastAsia" w:ascii="黑体" w:hAnsi="黑体" w:eastAsia="黑体"/>
          <w:b/>
          <w:i/>
          <w:iCs/>
          <w:sz w:val="32"/>
          <w:szCs w:val="32"/>
          <w:u w:val="single"/>
        </w:rPr>
        <w:t xml:space="preserve">十、中小企业声明函（服务）</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w:t>
      </w:r>
      <w:r>
        <w:rPr>
          <w:rFonts w:hint="eastAsia" w:ascii="宋体" w:hAnsi="宋体"/>
          <w:sz w:val="24"/>
          <w:szCs w:val="24"/>
          <w:lang w:val="en-US" w:eastAsia="zh-CN"/>
        </w:rPr>
        <w:t xml:space="preserve">高邮分中心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SimSun" w:hAnsi="SimSun" w:eastAsia="SimSun" w:cs="SimSun"/>
          <w:color w:val="000000"/>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SimSun" w:hAnsi="SimSun" w:eastAsia="SimSun" w:cs="SimSun"/>
          <w:color w:val="000000"/>
          <w:sz w:val="24"/>
          <w:u w:val="single"/>
        </w:rPr>
        <w:t xml:space="preserve">（□中型企业 □小型企业 □微型企业）；</w:t>
      </w: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hint="eastAsia" w:ascii="宋体" w:hAnsi="宋体"/>
          <w:sz w:val="24"/>
          <w:szCs w:val="24"/>
        </w:rPr>
      </w:r>
      <w:r>
        <w:rPr>
          <w:sz w:val="22"/>
        </w:rPr>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SimSun" w:hAnsi="SimSun" w:eastAsia="SimSun" w:cs="SimSun"/>
          <w:color w:val="000000"/>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SimSun" w:hAnsi="SimSun" w:eastAsia="SimSun" w:cs="SimSun"/>
          <w:color w:val="000000"/>
          <w:sz w:val="24"/>
          <w:u w:val="single"/>
        </w:rPr>
        <w:t xml:space="preserve">（□中型企业 □小型企业 □微型企业）；</w:t>
      </w:r>
      <w:r>
        <w:rPr>
          <w:sz w:val="22"/>
        </w:rPr>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keepLines/>
        <w:keepNext/>
        <w:spacing w:before="300" w:after="300" w:line="360" w:lineRule="auto"/>
        <w:widowControl/>
        <w:rPr>
          <w:rFonts w:ascii="Arial" w:hAnsi="Arial" w:eastAsia="幼圆" w:cs="微软雅黑"/>
          <w:b/>
          <w:bCs/>
        </w:rPr>
      </w:pPr>
      <w:r>
        <w:rPr>
          <w:rFonts w:ascii="Arial" w:hAnsi="Arial" w:eastAsia="幼圆" w:cs="微软雅黑"/>
          <w:b/>
          <w:bCs/>
        </w:rPr>
      </w:r>
      <w:r/>
    </w:p>
    <w:p>
      <w:pPr>
        <w:pStyle w:val="922"/>
        <w:numPr>
          <w:ilvl w:val="0"/>
          <w:numId w:val="0"/>
        </w:numPr>
      </w:pPr>
      <w:r/>
      <w:r/>
    </w:p>
    <w:p>
      <w:pPr>
        <w:keepLines/>
        <w:keepNext/>
        <w:widowControl/>
        <w:rPr>
          <w:rFonts w:ascii="Arial" w:hAnsi="Arial" w:eastAsia="幼圆" w:cs="微软雅黑"/>
          <w:b/>
          <w:bCs/>
        </w:rPr>
      </w:pPr>
      <w:r>
        <w:rPr>
          <w:rFonts w:ascii="Arial" w:hAnsi="Arial" w:eastAsia="幼圆" w:cs="微软雅黑"/>
          <w:b/>
          <w:bCs/>
        </w:rPr>
      </w:r>
      <w:r/>
    </w:p>
    <w:p>
      <w:pPr>
        <w:keepLines/>
        <w:keepNext/>
        <w:widowControl/>
        <w:rPr>
          <w:rFonts w:ascii="Arial" w:hAnsi="Arial" w:eastAsia="幼圆" w:cs="微软雅黑"/>
          <w:b/>
          <w:bCs/>
        </w:rPr>
      </w:pPr>
      <w:r>
        <w:rPr>
          <w:rFonts w:ascii="Arial" w:hAnsi="Arial" w:eastAsia="幼圆" w:cs="微软雅黑"/>
          <w:b/>
          <w:bCs/>
        </w:rPr>
      </w:r>
      <w:r/>
    </w:p>
    <w:p>
      <w:pPr>
        <w:keepLines/>
        <w:keepNext/>
        <w:widowControl/>
        <w:rPr>
          <w:rFonts w:ascii="Arial" w:hAnsi="Arial" w:eastAsia="幼圆" w:cs="Arial"/>
          <w:b/>
          <w:bCs/>
        </w:rPr>
        <w:outlineLvl w:val="1"/>
      </w:pPr>
      <w:r>
        <w:rPr>
          <w:rFonts w:hint="eastAsia" w:ascii="Arial" w:hAnsi="Arial" w:eastAsia="幼圆" w:cs="微软雅黑"/>
          <w:b/>
          <w:bCs/>
        </w:rPr>
        <w:t xml:space="preserve">中小微企业划型标准</w:t>
      </w:r>
      <w:bookmarkEnd w:id="203"/>
      <w:r>
        <w:rPr>
          <w:rFonts w:hint="eastAsia" w:ascii="Arial" w:hAnsi="Arial" w:eastAsia="幼圆" w:cs="微软雅黑"/>
          <w:b/>
          <w:bCs/>
        </w:rPr>
        <w:t xml:space="preserve"> </w:t>
      </w:r>
      <w:r/>
    </w:p>
    <w:p>
      <w:pPr>
        <w:jc w:val="left"/>
        <w:spacing w:before="300" w:after="452" w:line="360" w:lineRule="auto"/>
        <w:widowControl/>
        <w:rPr>
          <w:rFonts w:ascii="宋体" w:hAnsi="宋体"/>
        </w:rPr>
      </w:pPr>
      <w:r>
        <w:rPr>
          <w:rFonts w:hint="eastAsia" w:ascii="宋体" w:hAnsi="宋体" w:eastAsia="等线" w:cs="仿宋"/>
          <w:b/>
        </w:rPr>
        <w:t xml:space="preserve">中小微企业划型标准如下：</w:t>
      </w:r>
      <w:r/>
    </w:p>
    <w:tbl>
      <w:tblPr>
        <w:tblStyle w:val="890"/>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十一、联合体协议（参考格式）（如有）</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自愿组成联合体，参加扬州市公共资源交易中心高邮分中心组织的采购编号为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r/>
      <w:r/>
    </w:p>
    <w:p>
      <w:pPr>
        <w:jc w:val="center"/>
        <w:rPr>
          <w:rFonts w:ascii="宋体" w:hAnsi="宋体" w:cs="宋体"/>
          <w:b/>
          <w:color w:val="ff0000"/>
          <w:sz w:val="32"/>
          <w:szCs w:val="32"/>
        </w:rPr>
      </w:pPr>
      <w:r>
        <w:rPr>
          <w:rFonts w:ascii="宋体" w:hAnsi="宋体" w:cs="宋体"/>
          <w:b/>
          <w:color w:val="ff0000"/>
          <w:sz w:val="32"/>
          <w:szCs w:val="32"/>
        </w:rPr>
      </w:r>
      <w:r/>
    </w:p>
    <w:p>
      <w:pPr>
        <w:jc w:val="center"/>
        <w:rPr>
          <w:rFonts w:ascii="宋体" w:hAnsi="宋体" w:cs="宋体"/>
          <w:b/>
          <w:color w:val="ff0000"/>
          <w:sz w:val="32"/>
          <w:szCs w:val="32"/>
        </w:rPr>
      </w:pPr>
      <w:r>
        <w:rPr>
          <w:rFonts w:hint="eastAsia" w:ascii="宋体" w:hAnsi="宋体" w:cs="宋体"/>
          <w:b/>
          <w:color w:val="000000" w:themeColor="text1"/>
          <w:sz w:val="32"/>
          <w:szCs w:val="32"/>
        </w:rPr>
        <w:t xml:space="preserve">十二、分项报价表（服务类）</w:t>
      </w:r>
      <w:r/>
    </w:p>
    <w:tbl>
      <w:tblPr>
        <w:tblStyle w:val="89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序号</w:t>
            </w:r>
            <w:r>
              <w:rPr>
                <w:rFonts w:ascii="SimSun" w:hAnsi="SimSun" w:eastAsia="SimSun" w:cs="SimSun"/>
                <w:color w:val="00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w:t>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w:t>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w:t>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w:t>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w:t>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r>
      <w:tr>
        <w:trPr>
          <w:cantSplit/>
          <w:trHeight w:val="294"/>
        </w:trPr>
        <w:tc>
          <w:tcPr>
            <w:tcW w:w="948" w:type="dxa"/>
            <w:vAlign w:val="center"/>
            <w:vMerge w:val="continue"/>
            <w:textDirection w:val="lrTb"/>
            <w:noWrap w:val="false"/>
          </w:tcPr>
          <w:p>
            <w:pPr>
              <w:jc w:val="center"/>
              <w:spacing w:line="0" w:lineRule="atLeast"/>
              <w:rPr>
                <w:rFonts w:ascii="宋体" w:hAnsi="宋体" w:cs="宋体"/>
                <w:color w:val="ff0000"/>
                <w:sz w:val="24"/>
                <w:szCs w:val="24"/>
              </w:rPr>
            </w:pPr>
            <w:r>
              <w:rPr>
                <w:rFonts w:ascii="宋体" w:hAnsi="宋体" w:cs="宋体"/>
                <w:color w:val="ff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分项服务名称</w:t>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交付期</w:t>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分项单位</w:t>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数量</w:t>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分项</w:t>
            </w:r>
            <w:r>
              <w:rPr>
                <w:rFonts w:ascii="SimSun" w:hAnsi="SimSun" w:eastAsia="SimSun" w:cs="SimSun"/>
                <w:color w:val="000000"/>
                <w:sz w:val="24"/>
                <w:szCs w:val="24"/>
              </w:rPr>
            </w:r>
            <w:r/>
          </w:p>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单价</w:t>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分项</w:t>
            </w:r>
            <w:r>
              <w:rPr>
                <w:color w:val="000000" w:themeColor="text1"/>
              </w:rPr>
            </w:r>
            <w:r/>
          </w:p>
          <w:p>
            <w:pPr>
              <w:jc w:val="cente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总价</w:t>
            </w:r>
            <w:r>
              <w:rPr>
                <w:color w:val="000000" w:themeColor="text1"/>
              </w:rPr>
            </w:r>
            <w:r/>
          </w:p>
        </w:tc>
      </w:tr>
      <w:tr>
        <w:trPr>
          <w:cantSplit/>
          <w:trHeight w:val="654"/>
        </w:trPr>
        <w:tc>
          <w:tcPr>
            <w:tcW w:w="94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w:t>
            </w:r>
            <w:r>
              <w:rPr>
                <w:rFonts w:ascii="SimSun" w:hAnsi="SimSun" w:eastAsia="SimSun" w:cs="SimSun"/>
                <w:color w:val="00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ff0000"/>
                <w:sz w:val="24"/>
                <w:szCs w:val="24"/>
              </w:rPr>
            </w:pPr>
            <w:r>
              <w:rPr>
                <w:rFonts w:ascii="宋体" w:hAnsi="宋体" w:cs="宋体"/>
                <w:color w:val="ff0000"/>
                <w:sz w:val="24"/>
                <w:szCs w:val="24"/>
              </w:rPr>
            </w:r>
            <w:r/>
          </w:p>
        </w:tc>
      </w:tr>
      <w:tr>
        <w:trPr>
          <w:cantSplit/>
          <w:trHeight w:val="654"/>
        </w:trPr>
        <w:tc>
          <w:tcPr>
            <w:tcW w:w="94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w:t>
            </w:r>
            <w:r>
              <w:rPr>
                <w:rFonts w:ascii="SimSun" w:hAnsi="SimSun" w:eastAsia="SimSun" w:cs="SimSun"/>
                <w:color w:val="00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ff0000"/>
                <w:sz w:val="24"/>
                <w:szCs w:val="24"/>
              </w:rPr>
            </w:pPr>
            <w:r>
              <w:rPr>
                <w:rFonts w:ascii="宋体" w:hAnsi="宋体" w:cs="宋体"/>
                <w:color w:val="ff0000"/>
                <w:sz w:val="24"/>
                <w:szCs w:val="24"/>
              </w:rPr>
            </w:r>
            <w:r/>
          </w:p>
        </w:tc>
      </w:tr>
      <w:tr>
        <w:trPr>
          <w:cantSplit/>
          <w:trHeight w:val="654"/>
        </w:trPr>
        <w:tc>
          <w:tcPr>
            <w:tcW w:w="94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w:t>
            </w:r>
            <w:r>
              <w:rPr>
                <w:rFonts w:ascii="SimSun" w:hAnsi="SimSun" w:eastAsia="SimSun" w:cs="SimSun"/>
                <w:color w:val="00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ff0000"/>
                <w:sz w:val="24"/>
                <w:szCs w:val="24"/>
              </w:rPr>
            </w:pPr>
            <w:r>
              <w:rPr>
                <w:rFonts w:ascii="宋体" w:hAnsi="宋体" w:cs="宋体"/>
                <w:color w:val="ff0000"/>
                <w:sz w:val="24"/>
                <w:szCs w:val="24"/>
              </w:rPr>
            </w:r>
            <w:r/>
          </w:p>
        </w:tc>
      </w:tr>
      <w:tr>
        <w:trPr>
          <w:cantSplit/>
          <w:trHeight w:val="654"/>
        </w:trPr>
        <w:tc>
          <w:tcPr>
            <w:tcW w:w="94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w:t>
            </w:r>
            <w:r>
              <w:rPr>
                <w:rFonts w:ascii="SimSun" w:hAnsi="SimSun" w:eastAsia="SimSun" w:cs="SimSun"/>
                <w:color w:val="000000"/>
                <w:sz w:val="24"/>
                <w:szCs w:val="24"/>
              </w:rPr>
            </w:r>
            <w:r/>
          </w:p>
        </w:tc>
        <w:tc>
          <w:tcPr>
            <w:tcW w:w="127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w:t>
            </w:r>
            <w:r>
              <w:rPr>
                <w:rFonts w:ascii="SimSun" w:hAnsi="SimSun" w:eastAsia="SimSun" w:cs="SimSun"/>
                <w:color w:val="000000"/>
                <w:sz w:val="24"/>
                <w:szCs w:val="24"/>
              </w:rPr>
            </w:r>
            <w:r/>
          </w:p>
        </w:tc>
        <w:tc>
          <w:tcPr>
            <w:tcW w:w="128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924"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203"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618"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tc>
        <w:tc>
          <w:tcPr>
            <w:tcW w:w="1798" w:type="dxa"/>
            <w:vAlign w:val="center"/>
            <w:textDirection w:val="lrTb"/>
            <w:noWrap w:val="false"/>
          </w:tcPr>
          <w:p>
            <w:pPr>
              <w:jc w:val="center"/>
              <w:spacing w:line="0" w:lineRule="atLeast"/>
              <w:rPr>
                <w:rFonts w:ascii="宋体" w:hAnsi="宋体" w:cs="宋体"/>
                <w:color w:val="ff0000"/>
                <w:sz w:val="24"/>
                <w:szCs w:val="24"/>
              </w:rPr>
            </w:pPr>
            <w:r>
              <w:rPr>
                <w:rFonts w:ascii="宋体" w:hAnsi="宋体" w:cs="宋体"/>
                <w:color w:val="ff0000"/>
                <w:sz w:val="24"/>
                <w:szCs w:val="24"/>
              </w:rPr>
            </w:r>
            <w:r/>
          </w:p>
        </w:tc>
      </w:tr>
      <w:tr>
        <w:trPr>
          <w:cantSplit/>
          <w:trHeight w:val="487"/>
        </w:trPr>
        <w:tc>
          <w:tcPr>
            <w:gridSpan w:val="6"/>
            <w:tcW w:w="7255" w:type="dxa"/>
            <w:vAlign w:val="center"/>
            <w:textDirection w:val="lrTb"/>
            <w:noWrap w:val="false"/>
          </w:tcPr>
          <w:p>
            <w:pPr>
              <w:ind w:left="0" w:right="0" w:firstLine="0"/>
              <w:jc w:val="center"/>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总报价（人民币：元）</w:t>
            </w:r>
            <w:r>
              <w:rPr>
                <w:rFonts w:ascii="SimSun" w:hAnsi="SimSun" w:eastAsia="SimSun" w:cs="SimSun"/>
                <w:color w:val="000000"/>
                <w:sz w:val="24"/>
                <w:szCs w:val="24"/>
              </w:rPr>
            </w:r>
            <w:r/>
          </w:p>
        </w:tc>
        <w:tc>
          <w:tcPr>
            <w:tcW w:w="1798" w:type="dxa"/>
            <w:textDirection w:val="lrTb"/>
            <w:noWrap w:val="false"/>
          </w:tcPr>
          <w:p>
            <w:pPr>
              <w:spacing w:line="0" w:lineRule="atLeast"/>
              <w:rPr>
                <w:rFonts w:ascii="宋体" w:hAnsi="宋体" w:cs="宋体"/>
                <w:color w:val="ff0000"/>
                <w:sz w:val="24"/>
                <w:szCs w:val="24"/>
              </w:rPr>
            </w:pPr>
            <w:r>
              <w:rPr>
                <w:rFonts w:ascii="宋体" w:hAnsi="宋体" w:cs="宋体"/>
                <w:color w:val="ff0000"/>
                <w:sz w:val="24"/>
                <w:szCs w:val="24"/>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cs="宋体"/>
          <w:color w:val="ff0000"/>
          <w:sz w:val="24"/>
          <w:szCs w:val="24"/>
        </w:rPr>
      </w:pPr>
      <w:r>
        <w:rPr>
          <w:rFonts w:hint="eastAsia" w:ascii="宋体" w:hAnsi="宋体" w:cs="宋体"/>
          <w:color w:val="ff0000"/>
          <w:sz w:val="24"/>
          <w:szCs w:val="24"/>
        </w:rPr>
      </w:r>
      <w:r/>
    </w:p>
    <w:p>
      <w:pPr>
        <w:rPr>
          <w:rFonts w:ascii="黑体" w:hAnsi="黑体" w:eastAsia="黑体"/>
          <w:b/>
          <w:sz w:val="32"/>
          <w:szCs w:val="32"/>
        </w:rPr>
      </w:pPr>
      <w:r>
        <w:rPr>
          <w:rFonts w:hint="eastAsia" w:ascii="宋体" w:hAnsi="宋体" w:cs="宋体"/>
          <w:b/>
          <w:szCs w:val="21"/>
          <w:lang w:bidi="ar"/>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89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4" w:name="_Hlt26955054"/>
      <w:r/>
      <w:bookmarkEnd w:id="204"/>
      <w:r>
        <w:rPr>
          <w:rFonts w:hint="eastAsia" w:ascii="黑体" w:hAnsi="黑体" w:eastAsia="黑体"/>
          <w:b/>
          <w:sz w:val="32"/>
          <w:szCs w:val="32"/>
        </w:rPr>
        <w:t xml:space="preserve">十四、商务要求响应及偏离表</w:t>
      </w:r>
      <w:r/>
    </w:p>
    <w:tbl>
      <w:tblPr>
        <w:tblStyle w:val="89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05" w:name="_Hlt26580838"/>
            <w:r/>
            <w:bookmarkEnd w:id="205"/>
            <w:r/>
            <w:bookmarkStart w:id="206" w:name="_Hlt24879081"/>
            <w:r/>
            <w:bookmarkEnd w:id="206"/>
            <w:r/>
            <w:bookmarkStart w:id="207" w:name="_Hlt26955064"/>
            <w:r/>
            <w:bookmarkEnd w:id="207"/>
            <w:r/>
            <w:bookmarkStart w:id="208" w:name="_Hlt26671372"/>
            <w:r/>
            <w:bookmarkEnd w:id="208"/>
            <w:r/>
            <w:bookmarkStart w:id="209" w:name="_Hlt26782999"/>
            <w:r/>
            <w:bookmarkEnd w:id="209"/>
            <w:r/>
            <w:bookmarkStart w:id="210" w:name="_Hlt26671343"/>
            <w:r/>
            <w:bookmarkEnd w:id="210"/>
            <w:r/>
            <w:bookmarkStart w:id="211" w:name="_Hlt26609391"/>
            <w:r/>
            <w:bookmarkEnd w:id="211"/>
            <w:r/>
            <w:bookmarkStart w:id="212" w:name="_Hlt26955056"/>
            <w:r/>
            <w:bookmarkEnd w:id="212"/>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t xml:space="preserve">……</w:t>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893"/>
        <w:ind w:firstLine="0"/>
        <w:rPr>
          <w:rFonts w:ascii="宋体" w:hAnsi="宋体"/>
          <w:sz w:val="24"/>
        </w:rPr>
      </w:pPr>
      <w:r/>
      <w:bookmarkStart w:id="213" w:name="_Hlt26955066"/>
      <w:r/>
      <w:bookmarkEnd w:id="213"/>
      <w:r/>
      <w:bookmarkStart w:id="214" w:name="_Toc462564146"/>
      <w:r/>
      <w:bookmarkEnd w:id="214"/>
      <w:r/>
      <w:bookmarkStart w:id="215" w:name="_Hlt26671374"/>
      <w:r/>
      <w:bookmarkEnd w:id="215"/>
      <w:r/>
      <w:bookmarkStart w:id="216" w:name="_Hlt26609389"/>
      <w:r/>
      <w:bookmarkEnd w:id="216"/>
      <w:r/>
      <w:r/>
    </w:p>
    <w:p>
      <w:pPr>
        <w:jc w:val="center"/>
        <w:rPr>
          <w:rFonts w:ascii="黑体" w:hAnsi="黑体" w:eastAsia="黑体"/>
          <w:b/>
          <w:sz w:val="32"/>
          <w:szCs w:val="32"/>
        </w:rPr>
      </w:pPr>
      <w:r/>
      <w:bookmarkStart w:id="217" w:name="_格式2__法定代表人授权书"/>
      <w:r/>
      <w:bookmarkEnd w:id="217"/>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tbl>
      <w:tblPr>
        <w:tblStyle w:val="890"/>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77"/>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77"/>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left"/>
        <w:rPr>
          <w:rFonts w:ascii="宋体" w:hAnsi="宋体" w:cs="仿宋"/>
          <w:b/>
          <w:bCs/>
          <w:iCs/>
          <w:sz w:val="32"/>
          <w:szCs w:val="32"/>
        </w:rPr>
      </w:pPr>
      <w:r>
        <w:rPr>
          <w:rFonts w:hint="eastAsia" w:ascii="宋体" w:hAnsi="宋体" w:cs="宋体"/>
          <w:bCs/>
          <w:iCs/>
          <w:szCs w:val="21"/>
          <w:lang w:bidi="ar"/>
        </w:rPr>
        <w:t xml:space="preserve">投标人按一年报价，每年度总报价应保持一致，否则为无效报价。</w:t>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br w:type="page" w:clear="all"/>
      </w:r>
      <w:r/>
    </w:p>
    <w:p>
      <w:pPr>
        <w:rPr>
          <w:rFonts w:ascii="黑体" w:hAnsi="黑体" w:eastAsia="黑体"/>
          <w:b/>
          <w:iCs/>
          <w:sz w:val="32"/>
          <w:szCs w:val="32"/>
        </w:rPr>
      </w:pPr>
      <w:r>
        <w:rPr>
          <w:rFonts w:hint="eastAsia" w:ascii="黑体" w:hAnsi="黑体" w:eastAsia="黑体"/>
          <w:b/>
          <w:iCs/>
          <w:sz w:val="32"/>
          <w:szCs w:val="32"/>
        </w:rPr>
        <w:t xml:space="preserve">十</w:t>
      </w:r>
      <w:r>
        <w:rPr>
          <w:rFonts w:hint="eastAsia" w:ascii="黑体" w:hAnsi="黑体" w:eastAsia="黑体"/>
          <w:b/>
          <w:iCs/>
          <w:sz w:val="32"/>
          <w:szCs w:val="32"/>
        </w:rPr>
        <w:t xml:space="preserve">六</w:t>
      </w:r>
      <w:r>
        <w:rPr>
          <w:rFonts w:hint="eastAsia" w:ascii="黑体" w:hAnsi="黑体" w:eastAsia="黑体"/>
          <w:b/>
          <w:iCs/>
          <w:sz w:val="32"/>
          <w:szCs w:val="32"/>
        </w:rPr>
        <w:t xml:space="preserve">、主要标的信息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投标人全称：（加盖CA电子签章）</w:t>
      </w:r>
      <w:r/>
    </w:p>
    <w:tbl>
      <w:tblPr>
        <w:tblStyle w:val="89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headerReference w:type="default" r:id="rId15"/>
      <w:footerReference w:type="default" r:id="rId22"/>
      <w:footerReference w:type="first" r:id="rId23"/>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p>
  <w:p>
    <w:pPr>
      <w:pStyle w:val="9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left="960"/>
    </w:pPr>
    <w:r/>
    <w:r/>
  </w:p>
  <w:p>
    <w:pPr>
      <w:pStyle w:val="899"/>
      <w:ind w:left="9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fldSimple w:instr="PAGE \* MERGEFORMAT">
      <w:r>
        <w:t xml:space="preserve">1</w:t>
      </w:r>
    </w:fldSimple>
    <w:r/>
    <w:r/>
  </w:p>
  <w:p>
    <w:pPr>
      <w:pStyle w:val="90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fldSimple w:instr="PAGE \* MERGEFORMAT">
      <w:r>
        <w:t xml:space="preserve">1</w:t>
      </w:r>
    </w:fldSimple>
    <w:r/>
    <w:r/>
  </w:p>
  <w:p>
    <w:pPr>
      <w:pStyle w:val="90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fldChar w:fldCharType="begin"/>
                          </w:r>
                          <w:r>
                            <w:instrText xml:space="preserve"> PAGE  \* MERGEFORMAT </w:instrText>
                          </w:r>
                          <w:r>
                            <w:fldChar w:fldCharType="separate"/>
                          </w:r>
                          <w:r>
                            <w:rPr>
                              <w:rFonts w:hint="eastAsia"/>
                            </w:rPr>
                            <w:t xml:space="preserve">１１６</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rPr>
                        <w:rFonts w:hint="eastAsia"/>
                      </w:rPr>
                      <w:t xml:space="preserve">１１６</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1124585</wp:posOffset>
              </wp:positionH>
              <wp:positionV relativeFrom="page">
                <wp:posOffset>703580</wp:posOffset>
              </wp:positionV>
              <wp:extent cx="5312410" cy="9525"/>
              <wp:effectExtent l="0" t="0" r="0" b="0"/>
              <wp:wrapNone/>
              <wp:docPr id="1" name="矩形 46"/>
              <wp:cNvGraphicFramePr/>
              <a:graphic xmlns:a="http://schemas.openxmlformats.org/drawingml/2006/main">
                <a:graphicData uri="http://schemas.microsoft.com/office/word/2010/wordprocessingShape">
                  <wps:wsp>
                    <wps:cNvPr id="0" name=""/>
                    <wps:cNvSpPr/>
                    <wps:spPr bwMode="auto">
                      <a:xfrm>
                        <a:off x="0" y="0"/>
                        <a:ext cx="5312409"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2336;o:allowoverlap:true;o:allowincell:false;mso-position-horizontal-relative:page;margin-left:88.5pt;mso-position-horizontal:absolute;mso-position-vertical-relative:page;margin-top:55.4pt;mso-position-vertical:absolute;width:418.3pt;height:0.8pt;mso-wrap-distance-left:9.0pt;mso-wrap-distance-top:0.0pt;mso-wrap-distance-right:9.0pt;mso-wrap-distance-bottom:0.0pt;visibility:visible;" fillcolor="#000000" stroked="f"/>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4"/>
      <w:isLgl w:val="false"/>
      <w:suff w:val="tab"/>
      <w:lvlText w:val=""/>
      <w:lvlJc w:val="left"/>
      <w:pPr>
        <w:ind w:left="982" w:hanging="420"/>
      </w:pPr>
      <w:rPr>
        <w:rFonts w:hint="default" w:ascii="Wingdings" w:hAnsi="Wingdings"/>
      </w:rPr>
    </w:lvl>
    <w:lvl w:ilvl="1">
      <w:start w:val="1"/>
      <w:numFmt w:val="bullet"/>
      <w:isLgl w:val="false"/>
      <w:suff w:val="tab"/>
      <w:lvlText w:val=""/>
      <w:lvlJc w:val="left"/>
      <w:pPr>
        <w:ind w:left="1402" w:hanging="420"/>
        <w:tabs>
          <w:tab w:val="left" w:pos="1402" w:leader="none"/>
        </w:tabs>
      </w:pPr>
      <w:rPr>
        <w:rFonts w:hint="default" w:ascii="Wingdings" w:hAnsi="Wingdings"/>
      </w:rPr>
    </w:lvl>
    <w:lvl w:ilvl="2">
      <w:start w:val="1"/>
      <w:numFmt w:val="bullet"/>
      <w:isLgl w:val="false"/>
      <w:suff w:val="tab"/>
      <w:lvlText w:val=""/>
      <w:lvlJc w:val="left"/>
      <w:pPr>
        <w:ind w:left="1822" w:hanging="420"/>
      </w:pPr>
      <w:rPr>
        <w:rFonts w:hint="default" w:ascii="Wingdings" w:hAnsi="Wingdings"/>
      </w:rPr>
    </w:lvl>
    <w:lvl w:ilvl="3">
      <w:start w:val="1"/>
      <w:numFmt w:val="bullet"/>
      <w:isLgl w:val="false"/>
      <w:suff w:val="tab"/>
      <w:lvlText w:val=""/>
      <w:lvlJc w:val="left"/>
      <w:pPr>
        <w:ind w:left="2242" w:hanging="420"/>
      </w:pPr>
      <w:rPr>
        <w:rFonts w:hint="default" w:ascii="Wingdings" w:hAnsi="Wingdings"/>
      </w:rPr>
    </w:lvl>
    <w:lvl w:ilvl="4">
      <w:start w:val="1"/>
      <w:numFmt w:val="bullet"/>
      <w:isLgl w:val="false"/>
      <w:suff w:val="tab"/>
      <w:lvlText w:val=""/>
      <w:lvlJc w:val="left"/>
      <w:pPr>
        <w:ind w:left="2662" w:hanging="420"/>
      </w:pPr>
      <w:rPr>
        <w:rFonts w:hint="default" w:ascii="Wingdings" w:hAnsi="Wingdings"/>
      </w:rPr>
    </w:lvl>
    <w:lvl w:ilvl="5">
      <w:start w:val="1"/>
      <w:numFmt w:val="bullet"/>
      <w:isLgl w:val="false"/>
      <w:suff w:val="tab"/>
      <w:lvlText w:val=""/>
      <w:lvlJc w:val="left"/>
      <w:pPr>
        <w:ind w:left="3082" w:hanging="420"/>
      </w:pPr>
      <w:rPr>
        <w:rFonts w:hint="default" w:ascii="Wingdings" w:hAnsi="Wingdings"/>
      </w:rPr>
    </w:lvl>
    <w:lvl w:ilvl="6">
      <w:start w:val="1"/>
      <w:numFmt w:val="bullet"/>
      <w:isLgl w:val="false"/>
      <w:suff w:val="tab"/>
      <w:lvlText w:val=""/>
      <w:lvlJc w:val="left"/>
      <w:pPr>
        <w:ind w:left="3502" w:hanging="420"/>
      </w:pPr>
      <w:rPr>
        <w:rFonts w:hint="default" w:ascii="Wingdings" w:hAnsi="Wingdings"/>
      </w:rPr>
    </w:lvl>
    <w:lvl w:ilvl="7">
      <w:start w:val="1"/>
      <w:numFmt w:val="bullet"/>
      <w:isLgl w:val="false"/>
      <w:suff w:val="tab"/>
      <w:lvlText w:val=""/>
      <w:lvlJc w:val="left"/>
      <w:pPr>
        <w:ind w:left="3922" w:hanging="420"/>
      </w:pPr>
      <w:rPr>
        <w:rFonts w:hint="default" w:ascii="Wingdings" w:hAnsi="Wingdings"/>
      </w:rPr>
    </w:lvl>
    <w:lvl w:ilvl="8">
      <w:start w:val="1"/>
      <w:numFmt w:val="bullet"/>
      <w:isLgl w:val="false"/>
      <w:suff w:val="tab"/>
      <w:lvlText w:val=""/>
      <w:lvlJc w:val="left"/>
      <w:pPr>
        <w:ind w:left="4342" w:hanging="420"/>
      </w:pPr>
      <w:rPr>
        <w:rFonts w:hint="default" w:ascii="Wingdings" w:hAnsi="Wingdings"/>
      </w:rPr>
    </w:lvl>
  </w:abstractNum>
  <w:abstractNum w:abstractNumId="2">
    <w:multiLevelType w:val="hybridMultilevel"/>
    <w:lvl w:ilvl="0">
      <w:start w:val="1"/>
      <w:numFmt w:val="japaneseCounting"/>
      <w:pStyle w:val="922"/>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5 Char"/>
    <w:basedOn w:val="889"/>
    <w:link w:val="884"/>
    <w:uiPriority w:val="9"/>
    <w:rPr>
      <w:rFonts w:ascii="Arial" w:hAnsi="Arial" w:eastAsia="Arial" w:cs="Arial"/>
      <w:b/>
      <w:bCs/>
      <w:sz w:val="24"/>
      <w:szCs w:val="24"/>
    </w:rPr>
  </w:style>
  <w:style w:type="character" w:styleId="850">
    <w:name w:val="Heading 6 Char"/>
    <w:basedOn w:val="889"/>
    <w:link w:val="885"/>
    <w:uiPriority w:val="9"/>
    <w:rPr>
      <w:rFonts w:ascii="Arial" w:hAnsi="Arial" w:eastAsia="Arial" w:cs="Arial"/>
      <w:b/>
      <w:bCs/>
      <w:sz w:val="22"/>
      <w:szCs w:val="22"/>
    </w:rPr>
  </w:style>
  <w:style w:type="character" w:styleId="851">
    <w:name w:val="Heading 7 Char"/>
    <w:basedOn w:val="889"/>
    <w:link w:val="886"/>
    <w:uiPriority w:val="9"/>
    <w:rPr>
      <w:rFonts w:ascii="Arial" w:hAnsi="Arial" w:eastAsia="Arial" w:cs="Arial"/>
      <w:b/>
      <w:bCs/>
      <w:i/>
      <w:iCs/>
      <w:sz w:val="22"/>
      <w:szCs w:val="22"/>
    </w:rPr>
  </w:style>
  <w:style w:type="character" w:styleId="852">
    <w:name w:val="Heading 8 Char"/>
    <w:basedOn w:val="889"/>
    <w:link w:val="887"/>
    <w:uiPriority w:val="9"/>
    <w:rPr>
      <w:rFonts w:ascii="Arial" w:hAnsi="Arial" w:eastAsia="Arial" w:cs="Arial"/>
      <w:i/>
      <w:iCs/>
      <w:sz w:val="22"/>
      <w:szCs w:val="22"/>
    </w:rPr>
  </w:style>
  <w:style w:type="character" w:styleId="853">
    <w:name w:val="Heading 9 Char"/>
    <w:basedOn w:val="889"/>
    <w:link w:val="888"/>
    <w:uiPriority w:val="9"/>
    <w:rPr>
      <w:rFonts w:ascii="Arial" w:hAnsi="Arial" w:eastAsia="Arial" w:cs="Arial"/>
      <w:i/>
      <w:iCs/>
      <w:sz w:val="21"/>
      <w:szCs w:val="21"/>
    </w:rPr>
  </w:style>
  <w:style w:type="character" w:styleId="854">
    <w:name w:val="Subtitle Char"/>
    <w:basedOn w:val="889"/>
    <w:link w:val="908"/>
    <w:uiPriority w:val="11"/>
    <w:rPr>
      <w:sz w:val="24"/>
      <w:szCs w:val="24"/>
    </w:rPr>
  </w:style>
  <w:style w:type="character" w:styleId="855">
    <w:name w:val="Quote Char"/>
    <w:link w:val="936"/>
    <w:uiPriority w:val="29"/>
    <w:rPr>
      <w:i/>
    </w:rPr>
  </w:style>
  <w:style w:type="character" w:styleId="856">
    <w:name w:val="Intense Quote Char"/>
    <w:link w:val="938"/>
    <w:uiPriority w:val="30"/>
    <w:rPr>
      <w:i/>
    </w:rPr>
  </w:style>
  <w:style w:type="table" w:styleId="857">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6">
    <w:name w:val="Footnote Text Char"/>
    <w:link w:val="909"/>
    <w:uiPriority w:val="99"/>
    <w:rPr>
      <w:sz w:val="18"/>
    </w:rPr>
  </w:style>
  <w:style w:type="character" w:styleId="877">
    <w:name w:val="Endnote Text Char"/>
    <w:link w:val="902"/>
    <w:uiPriority w:val="99"/>
    <w:rPr>
      <w:sz w:val="20"/>
    </w:rPr>
  </w:style>
  <w:style w:type="paragraph" w:styleId="878">
    <w:name w:val="TOC Heading"/>
    <w:uiPriority w:val="39"/>
    <w:unhideWhenUsed/>
  </w:style>
  <w:style w:type="paragraph" w:styleId="879" w:default="1">
    <w:name w:val="Normal"/>
    <w:next w:val="891"/>
    <w:uiPriority w:val="0"/>
    <w:qFormat/>
    <w:pPr>
      <w:jc w:val="both"/>
      <w:widowControl w:val="off"/>
    </w:pPr>
    <w:rPr>
      <w:rFonts w:ascii="Times New Roman" w:hAnsi="Times New Roman" w:eastAsia="宋体" w:cs="Times New Roman"/>
      <w:sz w:val="21"/>
      <w:szCs w:val="22"/>
      <w:lang w:val="en-US" w:eastAsia="zh-CN" w:bidi="ar-SA"/>
    </w:rPr>
  </w:style>
  <w:style w:type="paragraph" w:styleId="880">
    <w:name w:val="Heading 1"/>
    <w:basedOn w:val="879"/>
    <w:next w:val="879"/>
    <w:uiPriority w:val="9"/>
    <w:qFormat/>
    <w:pPr>
      <w:jc w:val="center"/>
      <w:keepNext/>
      <w:outlineLvl w:val="0"/>
    </w:pPr>
    <w:rPr>
      <w:rFonts w:ascii="楷体_GB2312" w:eastAsia="楷体_GB2312"/>
      <w:sz w:val="28"/>
      <w:szCs w:val="28"/>
    </w:rPr>
  </w:style>
  <w:style w:type="paragraph" w:styleId="881">
    <w:name w:val="Heading 2"/>
    <w:basedOn w:val="879"/>
    <w:next w:val="879"/>
    <w:uiPriority w:val="0"/>
    <w:qFormat/>
    <w:pPr>
      <w:jc w:val="center"/>
      <w:keepLines/>
      <w:keepNext/>
      <w:spacing w:before="260" w:after="260" w:line="416" w:lineRule="auto"/>
      <w:outlineLvl w:val="1"/>
    </w:pPr>
    <w:rPr>
      <w:rFonts w:ascii="Arial" w:hAnsi="Arial" w:eastAsia="幼圆"/>
      <w:b/>
      <w:bCs/>
      <w:sz w:val="44"/>
      <w:szCs w:val="44"/>
    </w:rPr>
  </w:style>
  <w:style w:type="paragraph" w:styleId="882">
    <w:name w:val="Heading 3"/>
    <w:basedOn w:val="879"/>
    <w:next w:val="879"/>
    <w:uiPriority w:val="0"/>
    <w:qFormat/>
    <w:pPr>
      <w:keepLines/>
      <w:keepNext/>
      <w:spacing w:before="260" w:after="260" w:line="416" w:lineRule="auto"/>
      <w:outlineLvl w:val="2"/>
    </w:pPr>
    <w:rPr>
      <w:b/>
      <w:bCs/>
      <w:sz w:val="32"/>
      <w:szCs w:val="32"/>
    </w:rPr>
  </w:style>
  <w:style w:type="paragraph" w:styleId="883">
    <w:name w:val="Heading 4"/>
    <w:basedOn w:val="879"/>
    <w:next w:val="879"/>
    <w:uiPriority w:val="0"/>
    <w:qFormat/>
    <w:pPr>
      <w:keepLines/>
      <w:keepNext/>
      <w:spacing w:before="280" w:after="290" w:line="376" w:lineRule="auto"/>
      <w:outlineLvl w:val="3"/>
    </w:pPr>
    <w:rPr>
      <w:rFonts w:ascii="Arial" w:hAnsi="Arial" w:eastAsia="黑体"/>
      <w:b/>
      <w:bCs/>
      <w:sz w:val="28"/>
      <w:szCs w:val="28"/>
    </w:rPr>
  </w:style>
  <w:style w:type="paragraph" w:styleId="884">
    <w:name w:val="Heading 5"/>
    <w:basedOn w:val="879"/>
    <w:next w:val="879"/>
    <w:link w:val="927"/>
    <w:uiPriority w:val="9"/>
    <w:unhideWhenUsed/>
    <w:qFormat/>
    <w:pPr>
      <w:keepLines/>
      <w:keepNext/>
      <w:spacing w:before="320" w:after="200"/>
      <w:outlineLvl w:val="4"/>
    </w:pPr>
    <w:rPr>
      <w:rFonts w:ascii="Arial" w:hAnsi="Arial" w:eastAsia="Arial" w:cs="Arial"/>
      <w:b/>
      <w:bCs/>
      <w:sz w:val="24"/>
      <w:szCs w:val="24"/>
    </w:rPr>
  </w:style>
  <w:style w:type="paragraph" w:styleId="885">
    <w:name w:val="Heading 6"/>
    <w:basedOn w:val="879"/>
    <w:next w:val="879"/>
    <w:link w:val="928"/>
    <w:uiPriority w:val="9"/>
    <w:unhideWhenUsed/>
    <w:qFormat/>
    <w:pPr>
      <w:keepLines/>
      <w:keepNext/>
      <w:spacing w:before="320" w:after="200"/>
      <w:outlineLvl w:val="5"/>
    </w:pPr>
    <w:rPr>
      <w:rFonts w:ascii="Arial" w:hAnsi="Arial" w:eastAsia="Arial" w:cs="Arial"/>
      <w:b/>
      <w:bCs/>
      <w:sz w:val="22"/>
    </w:rPr>
  </w:style>
  <w:style w:type="paragraph" w:styleId="886">
    <w:name w:val="Heading 7"/>
    <w:basedOn w:val="879"/>
    <w:next w:val="879"/>
    <w:link w:val="929"/>
    <w:uiPriority w:val="9"/>
    <w:unhideWhenUsed/>
    <w:qFormat/>
    <w:pPr>
      <w:keepLines/>
      <w:keepNext/>
      <w:spacing w:before="320" w:after="200"/>
      <w:outlineLvl w:val="6"/>
    </w:pPr>
    <w:rPr>
      <w:rFonts w:ascii="Arial" w:hAnsi="Arial" w:eastAsia="Arial" w:cs="Arial"/>
      <w:b/>
      <w:bCs/>
      <w:i/>
      <w:iCs/>
      <w:sz w:val="22"/>
    </w:rPr>
  </w:style>
  <w:style w:type="paragraph" w:styleId="887">
    <w:name w:val="Heading 8"/>
    <w:basedOn w:val="879"/>
    <w:next w:val="879"/>
    <w:link w:val="930"/>
    <w:uiPriority w:val="9"/>
    <w:unhideWhenUsed/>
    <w:qFormat/>
    <w:pPr>
      <w:keepLines/>
      <w:keepNext/>
      <w:spacing w:before="320" w:after="200"/>
      <w:outlineLvl w:val="7"/>
    </w:pPr>
    <w:rPr>
      <w:rFonts w:ascii="Arial" w:hAnsi="Arial" w:eastAsia="Arial" w:cs="Arial"/>
      <w:i/>
      <w:iCs/>
      <w:sz w:val="22"/>
    </w:rPr>
  </w:style>
  <w:style w:type="paragraph" w:styleId="888">
    <w:name w:val="Heading 9"/>
    <w:basedOn w:val="879"/>
    <w:next w:val="879"/>
    <w:link w:val="931"/>
    <w:uiPriority w:val="9"/>
    <w:unhideWhenUsed/>
    <w:qFormat/>
    <w:pPr>
      <w:keepLines/>
      <w:keepNext/>
      <w:spacing w:before="320" w:after="200"/>
      <w:outlineLvl w:val="8"/>
    </w:pPr>
    <w:rPr>
      <w:rFonts w:ascii="Arial" w:hAnsi="Arial" w:eastAsia="Arial" w:cs="Arial"/>
      <w:i/>
      <w:iCs/>
      <w:szCs w:val="21"/>
    </w:rPr>
  </w:style>
  <w:style w:type="character" w:styleId="889" w:default="1">
    <w:name w:val="Default Paragraph Font"/>
    <w:uiPriority w:val="1"/>
    <w:semiHidden/>
    <w:unhideWhenUsed/>
  </w:style>
  <w:style w:type="table" w:styleId="890" w:default="1">
    <w:name w:val="Normal Table"/>
    <w:uiPriority w:val="99"/>
    <w:semiHidden/>
    <w:unhideWhenUsed/>
    <w:tblPr>
      <w:tblLayout w:type="fixed"/>
      <w:tblCellMar>
        <w:left w:w="108" w:type="dxa"/>
        <w:top w:w="0" w:type="dxa"/>
        <w:right w:w="108" w:type="dxa"/>
        <w:bottom w:w="0" w:type="dxa"/>
      </w:tblCellMar>
    </w:tblPr>
  </w:style>
  <w:style w:type="paragraph" w:styleId="891" w:customStyle="1">
    <w:name w:val="Default"/>
    <w:next w:val="879"/>
    <w:uiPriority w:val="0"/>
    <w:qFormat/>
    <w:pPr>
      <w:widowControl w:val="off"/>
    </w:pPr>
    <w:rPr>
      <w:rFonts w:ascii="宋体" w:hAnsi="Times New Roman" w:eastAsia="宋体" w:cs="宋体"/>
      <w:color w:val="000000"/>
      <w:sz w:val="24"/>
      <w:szCs w:val="24"/>
      <w:lang w:val="en-US" w:eastAsia="zh-CN" w:bidi="ar-SA"/>
    </w:rPr>
  </w:style>
  <w:style w:type="paragraph" w:styleId="892">
    <w:name w:val="toc 7"/>
    <w:basedOn w:val="879"/>
    <w:next w:val="879"/>
    <w:uiPriority w:val="39"/>
    <w:unhideWhenUsed/>
    <w:qFormat/>
    <w:pPr>
      <w:ind w:left="1701"/>
      <w:spacing w:after="57"/>
    </w:pPr>
  </w:style>
  <w:style w:type="paragraph" w:styleId="893">
    <w:name w:val="Normal Indent"/>
    <w:basedOn w:val="879"/>
    <w:uiPriority w:val="0"/>
    <w:qFormat/>
    <w:pPr>
      <w:ind w:firstLine="420"/>
    </w:pPr>
    <w:rPr>
      <w:sz w:val="20"/>
      <w:szCs w:val="21"/>
    </w:rPr>
  </w:style>
  <w:style w:type="paragraph" w:styleId="894">
    <w:name w:val="Caption"/>
    <w:basedOn w:val="879"/>
    <w:next w:val="8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5">
    <w:name w:val="Body Text"/>
    <w:basedOn w:val="879"/>
    <w:uiPriority w:val="0"/>
    <w:qFormat/>
    <w:pPr>
      <w:ind w:firstLine="562"/>
      <w:spacing w:after="120" w:line="360" w:lineRule="auto"/>
    </w:pPr>
    <w:rPr>
      <w:rFonts w:ascii="Calibri" w:hAnsi="Calibri"/>
    </w:rPr>
  </w:style>
  <w:style w:type="paragraph" w:styleId="896">
    <w:name w:val="Body Text Indent"/>
    <w:basedOn w:val="879"/>
    <w:uiPriority w:val="99"/>
    <w:semiHidden/>
    <w:unhideWhenUsed/>
    <w:qFormat/>
    <w:pPr>
      <w:ind w:left="420"/>
      <w:spacing w:after="120"/>
    </w:pPr>
  </w:style>
  <w:style w:type="paragraph" w:styleId="897">
    <w:name w:val="index 4"/>
    <w:basedOn w:val="879"/>
    <w:next w:val="879"/>
    <w:uiPriority w:val="99"/>
    <w:unhideWhenUsed/>
    <w:qFormat/>
    <w:pPr>
      <w:ind w:left="600"/>
    </w:pPr>
  </w:style>
  <w:style w:type="paragraph" w:styleId="898">
    <w:name w:val="toc 5"/>
    <w:basedOn w:val="879"/>
    <w:next w:val="879"/>
    <w:uiPriority w:val="39"/>
    <w:unhideWhenUsed/>
    <w:qFormat/>
    <w:pPr>
      <w:ind w:left="1134"/>
      <w:spacing w:after="57"/>
    </w:pPr>
  </w:style>
  <w:style w:type="paragraph" w:styleId="899">
    <w:name w:val="toc 3"/>
    <w:basedOn w:val="879"/>
    <w:next w:val="879"/>
    <w:uiPriority w:val="39"/>
    <w:unhideWhenUsed/>
    <w:qFormat/>
    <w:pPr>
      <w:ind w:left="567"/>
      <w:spacing w:after="57"/>
    </w:pPr>
  </w:style>
  <w:style w:type="paragraph" w:styleId="900">
    <w:name w:val="Plain Text"/>
    <w:basedOn w:val="879"/>
    <w:uiPriority w:val="0"/>
    <w:qFormat/>
    <w:rPr>
      <w:rFonts w:ascii="宋体" w:hAnsi="Courier New"/>
      <w:sz w:val="20"/>
      <w:szCs w:val="21"/>
    </w:rPr>
  </w:style>
  <w:style w:type="paragraph" w:styleId="901">
    <w:name w:val="toc 8"/>
    <w:basedOn w:val="879"/>
    <w:next w:val="879"/>
    <w:uiPriority w:val="39"/>
    <w:unhideWhenUsed/>
    <w:qFormat/>
    <w:pPr>
      <w:ind w:left="1984"/>
      <w:spacing w:after="57"/>
    </w:pPr>
  </w:style>
  <w:style w:type="paragraph" w:styleId="902">
    <w:name w:val="endnote text"/>
    <w:basedOn w:val="879"/>
    <w:link w:val="1069"/>
    <w:uiPriority w:val="99"/>
    <w:semiHidden/>
    <w:unhideWhenUsed/>
    <w:qFormat/>
    <w:rPr>
      <w:sz w:val="20"/>
    </w:rPr>
  </w:style>
  <w:style w:type="paragraph" w:styleId="903">
    <w:name w:val="Footer"/>
    <w:basedOn w:val="879"/>
    <w:uiPriority w:val="0"/>
    <w:qFormat/>
    <w:pPr>
      <w:jc w:val="left"/>
      <w:tabs>
        <w:tab w:val="center" w:pos="4153" w:leader="none"/>
        <w:tab w:val="right" w:pos="8306" w:leader="none"/>
      </w:tabs>
    </w:pPr>
    <w:rPr>
      <w:sz w:val="18"/>
      <w:szCs w:val="18"/>
    </w:rPr>
  </w:style>
  <w:style w:type="paragraph" w:styleId="904">
    <w:name w:val="Body Text First Indent 2"/>
    <w:basedOn w:val="896"/>
    <w:uiPriority w:val="99"/>
    <w:qFormat/>
    <w:pPr>
      <w:numPr>
        <w:ilvl w:val="0"/>
        <w:numId w:val="1"/>
      </w:numPr>
      <w:ind w:left="0" w:firstLine="0"/>
      <w:tabs>
        <w:tab w:val="left" w:pos="360" w:leader="none"/>
      </w:tabs>
    </w:pPr>
  </w:style>
  <w:style w:type="paragraph" w:styleId="905">
    <w:name w:val="Header"/>
    <w:basedOn w:val="879"/>
    <w:uiPriority w:val="0"/>
    <w:qFormat/>
    <w:pPr>
      <w:jc w:val="center"/>
      <w:tabs>
        <w:tab w:val="center" w:pos="4153" w:leader="none"/>
        <w:tab w:val="right" w:pos="8306" w:leader="none"/>
      </w:tabs>
      <w:pBdr>
        <w:bottom w:val="single" w:color="auto" w:sz="6" w:space="1"/>
      </w:pBdr>
    </w:pPr>
    <w:rPr>
      <w:sz w:val="18"/>
      <w:szCs w:val="18"/>
    </w:rPr>
  </w:style>
  <w:style w:type="paragraph" w:styleId="906">
    <w:name w:val="toc 1"/>
    <w:basedOn w:val="879"/>
    <w:next w:val="879"/>
    <w:uiPriority w:val="39"/>
    <w:unhideWhenUsed/>
    <w:qFormat/>
    <w:pPr>
      <w:spacing w:after="57"/>
    </w:pPr>
  </w:style>
  <w:style w:type="paragraph" w:styleId="907">
    <w:name w:val="toc 4"/>
    <w:basedOn w:val="879"/>
    <w:next w:val="879"/>
    <w:uiPriority w:val="39"/>
    <w:unhideWhenUsed/>
    <w:qFormat/>
    <w:pPr>
      <w:ind w:left="850"/>
      <w:spacing w:after="57"/>
    </w:pPr>
  </w:style>
  <w:style w:type="paragraph" w:styleId="908">
    <w:name w:val="Subtitle"/>
    <w:basedOn w:val="879"/>
    <w:next w:val="879"/>
    <w:link w:val="935"/>
    <w:uiPriority w:val="11"/>
    <w:qFormat/>
    <w:pPr>
      <w:spacing w:before="200" w:after="200"/>
    </w:pPr>
    <w:rPr>
      <w:sz w:val="24"/>
      <w:szCs w:val="24"/>
    </w:rPr>
  </w:style>
  <w:style w:type="paragraph" w:styleId="909">
    <w:name w:val="footnote text"/>
    <w:basedOn w:val="879"/>
    <w:link w:val="1068"/>
    <w:uiPriority w:val="99"/>
    <w:semiHidden/>
    <w:unhideWhenUsed/>
    <w:qFormat/>
    <w:pPr>
      <w:spacing w:after="40"/>
    </w:pPr>
    <w:rPr>
      <w:sz w:val="18"/>
    </w:rPr>
  </w:style>
  <w:style w:type="paragraph" w:styleId="910">
    <w:name w:val="toc 6"/>
    <w:basedOn w:val="879"/>
    <w:next w:val="879"/>
    <w:uiPriority w:val="39"/>
    <w:unhideWhenUsed/>
    <w:qFormat/>
    <w:pPr>
      <w:ind w:left="1417"/>
      <w:spacing w:after="57"/>
    </w:pPr>
  </w:style>
  <w:style w:type="paragraph" w:styleId="911">
    <w:name w:val="table of figures"/>
    <w:basedOn w:val="879"/>
    <w:next w:val="879"/>
    <w:uiPriority w:val="99"/>
    <w:unhideWhenUsed/>
    <w:qFormat/>
  </w:style>
  <w:style w:type="paragraph" w:styleId="912">
    <w:name w:val="toc 2"/>
    <w:basedOn w:val="879"/>
    <w:next w:val="879"/>
    <w:uiPriority w:val="39"/>
    <w:unhideWhenUsed/>
    <w:qFormat/>
    <w:pPr>
      <w:ind w:left="283"/>
      <w:spacing w:after="57"/>
    </w:pPr>
  </w:style>
  <w:style w:type="paragraph" w:styleId="913">
    <w:name w:val="toc 9"/>
    <w:basedOn w:val="879"/>
    <w:next w:val="879"/>
    <w:uiPriority w:val="39"/>
    <w:unhideWhenUsed/>
    <w:qFormat/>
    <w:pPr>
      <w:ind w:left="2268"/>
      <w:spacing w:after="57"/>
    </w:pPr>
  </w:style>
  <w:style w:type="paragraph" w:styleId="914">
    <w:name w:val="Normal (Web)"/>
    <w:basedOn w:val="879"/>
    <w:uiPriority w:val="0"/>
    <w:unhideWhenUsed/>
    <w:qFormat/>
    <w:pPr>
      <w:jc w:val="left"/>
      <w:spacing w:before="100" w:beforeAutospacing="1" w:after="100" w:afterAutospacing="1"/>
      <w:widowControl/>
    </w:pPr>
    <w:rPr>
      <w:rFonts w:ascii="宋体" w:hAnsi="宋体" w:cs="宋体"/>
      <w:sz w:val="24"/>
      <w:szCs w:val="24"/>
    </w:rPr>
  </w:style>
  <w:style w:type="paragraph" w:styleId="915">
    <w:name w:val="Title"/>
    <w:basedOn w:val="879"/>
    <w:uiPriority w:val="10"/>
    <w:qFormat/>
    <w:pPr>
      <w:contextualSpacing/>
      <w:spacing w:before="300" w:after="200"/>
    </w:pPr>
    <w:rPr>
      <w:sz w:val="48"/>
      <w:szCs w:val="48"/>
    </w:rPr>
  </w:style>
  <w:style w:type="character" w:styleId="916">
    <w:name w:val="endnote reference"/>
    <w:basedOn w:val="889"/>
    <w:uiPriority w:val="99"/>
    <w:semiHidden/>
    <w:unhideWhenUsed/>
    <w:qFormat/>
    <w:rPr>
      <w:vertAlign w:val="superscript"/>
    </w:rPr>
  </w:style>
  <w:style w:type="character" w:styleId="917">
    <w:name w:val="page number"/>
    <w:uiPriority w:val="0"/>
    <w:qFormat/>
  </w:style>
  <w:style w:type="character" w:styleId="918">
    <w:name w:val="Hyperlink"/>
    <w:uiPriority w:val="99"/>
    <w:unhideWhenUsed/>
    <w:qFormat/>
    <w:rPr>
      <w:color w:val="0563c1" w:themeColor="hyperlink"/>
      <w:u w:val="single"/>
      <w14:textFill>
        <w14:solidFill>
          <w14:schemeClr w14:val="hlink"/>
        </w14:solidFill>
      </w14:textFill>
    </w:rPr>
  </w:style>
  <w:style w:type="character" w:styleId="919">
    <w:name w:val="annotation reference"/>
    <w:basedOn w:val="889"/>
    <w:uiPriority w:val="99"/>
    <w:unhideWhenUsed/>
    <w:qFormat/>
    <w:rPr>
      <w:sz w:val="21"/>
      <w:szCs w:val="21"/>
    </w:rPr>
  </w:style>
  <w:style w:type="character" w:styleId="920">
    <w:name w:val="footnote reference"/>
    <w:basedOn w:val="889"/>
    <w:uiPriority w:val="99"/>
    <w:unhideWhenUsed/>
    <w:qFormat/>
    <w:rPr>
      <w:vertAlign w:val="superscript"/>
    </w:rPr>
  </w:style>
  <w:style w:type="table" w:styleId="921">
    <w:name w:val="Table Grid"/>
    <w:basedOn w:val="8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22" w:customStyle="1">
    <w:name w:val="列表项目符号 21"/>
    <w:basedOn w:val="879"/>
    <w:uiPriority w:val="99"/>
    <w:unhideWhenUsed/>
    <w:qFormat/>
    <w:pPr>
      <w:numPr>
        <w:ilvl w:val="0"/>
        <w:numId w:val="2"/>
      </w:numPr>
    </w:pPr>
  </w:style>
  <w:style w:type="character" w:styleId="923" w:customStyle="1">
    <w:name w:val="Heading 1 Char"/>
    <w:basedOn w:val="889"/>
    <w:uiPriority w:val="9"/>
    <w:qFormat/>
    <w:rPr>
      <w:rFonts w:ascii="Arial" w:hAnsi="Arial" w:eastAsia="Arial" w:cs="Arial"/>
      <w:sz w:val="40"/>
      <w:szCs w:val="40"/>
    </w:rPr>
  </w:style>
  <w:style w:type="character" w:styleId="924" w:customStyle="1">
    <w:name w:val="Heading 2 Char"/>
    <w:basedOn w:val="889"/>
    <w:uiPriority w:val="9"/>
    <w:qFormat/>
    <w:rPr>
      <w:rFonts w:ascii="Arial" w:hAnsi="Arial" w:eastAsia="Arial" w:cs="Arial"/>
      <w:sz w:val="34"/>
    </w:rPr>
  </w:style>
  <w:style w:type="character" w:styleId="925" w:customStyle="1">
    <w:name w:val="Heading 3 Char"/>
    <w:basedOn w:val="889"/>
    <w:uiPriority w:val="9"/>
    <w:qFormat/>
    <w:rPr>
      <w:rFonts w:ascii="Arial" w:hAnsi="Arial" w:eastAsia="Arial" w:cs="Arial"/>
      <w:sz w:val="30"/>
      <w:szCs w:val="30"/>
    </w:rPr>
  </w:style>
  <w:style w:type="character" w:styleId="926" w:customStyle="1">
    <w:name w:val="Heading 4 Char"/>
    <w:basedOn w:val="889"/>
    <w:uiPriority w:val="9"/>
    <w:qFormat/>
    <w:rPr>
      <w:rFonts w:ascii="Arial" w:hAnsi="Arial" w:eastAsia="Arial" w:cs="Arial"/>
      <w:b/>
      <w:bCs/>
      <w:sz w:val="26"/>
      <w:szCs w:val="26"/>
    </w:rPr>
  </w:style>
  <w:style w:type="character" w:styleId="927" w:customStyle="1">
    <w:name w:val="标题 5 字符"/>
    <w:basedOn w:val="889"/>
    <w:link w:val="884"/>
    <w:uiPriority w:val="9"/>
    <w:qFormat/>
    <w:rPr>
      <w:rFonts w:ascii="Arial" w:hAnsi="Arial" w:eastAsia="Arial" w:cs="Arial"/>
      <w:b/>
      <w:bCs/>
      <w:sz w:val="24"/>
      <w:szCs w:val="24"/>
    </w:rPr>
  </w:style>
  <w:style w:type="character" w:styleId="928" w:customStyle="1">
    <w:name w:val="标题 6 字符"/>
    <w:basedOn w:val="889"/>
    <w:link w:val="885"/>
    <w:uiPriority w:val="9"/>
    <w:qFormat/>
    <w:rPr>
      <w:rFonts w:ascii="Arial" w:hAnsi="Arial" w:eastAsia="Arial" w:cs="Arial"/>
      <w:b/>
      <w:bCs/>
      <w:sz w:val="22"/>
      <w:szCs w:val="22"/>
    </w:rPr>
  </w:style>
  <w:style w:type="character" w:styleId="929" w:customStyle="1">
    <w:name w:val="标题 7 字符"/>
    <w:basedOn w:val="889"/>
    <w:link w:val="886"/>
    <w:uiPriority w:val="9"/>
    <w:qFormat/>
    <w:rPr>
      <w:rFonts w:ascii="Arial" w:hAnsi="Arial" w:eastAsia="Arial" w:cs="Arial"/>
      <w:b/>
      <w:bCs/>
      <w:i/>
      <w:iCs/>
      <w:sz w:val="22"/>
      <w:szCs w:val="22"/>
    </w:rPr>
  </w:style>
  <w:style w:type="character" w:styleId="930" w:customStyle="1">
    <w:name w:val="标题 8 字符"/>
    <w:basedOn w:val="889"/>
    <w:link w:val="887"/>
    <w:uiPriority w:val="9"/>
    <w:qFormat/>
    <w:rPr>
      <w:rFonts w:ascii="Arial" w:hAnsi="Arial" w:eastAsia="Arial" w:cs="Arial"/>
      <w:i/>
      <w:iCs/>
      <w:sz w:val="22"/>
      <w:szCs w:val="22"/>
    </w:rPr>
  </w:style>
  <w:style w:type="character" w:styleId="931" w:customStyle="1">
    <w:name w:val="标题 9 字符"/>
    <w:basedOn w:val="889"/>
    <w:link w:val="888"/>
    <w:uiPriority w:val="9"/>
    <w:qFormat/>
    <w:rPr>
      <w:rFonts w:ascii="Arial" w:hAnsi="Arial" w:eastAsia="Arial" w:cs="Arial"/>
      <w:i/>
      <w:iCs/>
      <w:sz w:val="21"/>
      <w:szCs w:val="21"/>
    </w:rPr>
  </w:style>
  <w:style w:type="paragraph" w:styleId="932">
    <w:name w:val="List Paragraph"/>
    <w:basedOn w:val="879"/>
    <w:uiPriority w:val="34"/>
    <w:qFormat/>
    <w:pPr>
      <w:contextualSpacing/>
      <w:ind w:left="720"/>
    </w:pPr>
  </w:style>
  <w:style w:type="paragraph" w:styleId="933">
    <w:name w:val="No Spacing"/>
    <w:uiPriority w:val="1"/>
    <w:qFormat/>
    <w:rPr>
      <w:rFonts w:ascii="Times New Roman" w:hAnsi="Times New Roman" w:eastAsia="宋体" w:cs="Times New Roman"/>
      <w:lang w:val="en-US" w:eastAsia="zh-CN" w:bidi="ar-SA"/>
    </w:rPr>
  </w:style>
  <w:style w:type="character" w:styleId="934" w:customStyle="1">
    <w:name w:val="Title Char"/>
    <w:basedOn w:val="889"/>
    <w:uiPriority w:val="10"/>
    <w:qFormat/>
    <w:rPr>
      <w:sz w:val="48"/>
      <w:szCs w:val="48"/>
    </w:rPr>
  </w:style>
  <w:style w:type="character" w:styleId="935" w:customStyle="1">
    <w:name w:val="副标题 字符"/>
    <w:basedOn w:val="889"/>
    <w:link w:val="908"/>
    <w:uiPriority w:val="11"/>
    <w:qFormat/>
    <w:rPr>
      <w:sz w:val="24"/>
      <w:szCs w:val="24"/>
    </w:rPr>
  </w:style>
  <w:style w:type="paragraph" w:styleId="936">
    <w:name w:val="Quote"/>
    <w:basedOn w:val="879"/>
    <w:next w:val="879"/>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79"/>
    <w:next w:val="879"/>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basedOn w:val="889"/>
    <w:uiPriority w:val="99"/>
    <w:qFormat/>
  </w:style>
  <w:style w:type="character" w:styleId="941" w:customStyle="1">
    <w:name w:val="Footer Char"/>
    <w:basedOn w:val="889"/>
    <w:uiPriority w:val="99"/>
    <w:qFormat/>
  </w:style>
  <w:style w:type="character" w:styleId="942" w:customStyle="1">
    <w:name w:val="Caption Char"/>
    <w:uiPriority w:val="99"/>
    <w:qFormat/>
  </w:style>
  <w:style w:type="table" w:styleId="943"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944" w:customStyle="1">
    <w:name w:val="无格式表格 1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90"/>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网格表 3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90"/>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网格表 5 深色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网格表 6 彩色1"/>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8" w:customStyle="1">
    <w:name w:val="Grid Table 6 Colorful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网格表 7 彩色1"/>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basedOn w:val="8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清单表 21"/>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清单表 3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清单表 4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清单表 5 深色1"/>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清单表 6 彩色1"/>
    <w:basedOn w:val="890"/>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90"/>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90"/>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90"/>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90"/>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90"/>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90"/>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清单表 7 彩色1"/>
    <w:basedOn w:val="890"/>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90"/>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90"/>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90"/>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90"/>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90"/>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90"/>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脚注文本 字符"/>
    <w:link w:val="909"/>
    <w:uiPriority w:val="99"/>
    <w:qFormat/>
    <w:rPr>
      <w:sz w:val="18"/>
    </w:rPr>
  </w:style>
  <w:style w:type="character" w:styleId="1069" w:customStyle="1">
    <w:name w:val="尾注文本 字符"/>
    <w:link w:val="902"/>
    <w:uiPriority w:val="99"/>
    <w:qFormat/>
    <w:rPr>
      <w:sz w:val="20"/>
    </w:rPr>
  </w:style>
  <w:style w:type="paragraph" w:styleId="1070" w:customStyle="1">
    <w:name w:val="TOC 标题1"/>
    <w:uiPriority w:val="39"/>
    <w:unhideWhenUsed/>
    <w:qFormat/>
    <w:rPr>
      <w:rFonts w:ascii="Times New Roman" w:hAnsi="Times New Roman" w:eastAsia="宋体" w:cs="Times New Roman"/>
      <w:lang w:val="en-US" w:eastAsia="zh-CN" w:bidi="ar-SA"/>
    </w:rPr>
  </w:style>
  <w:style w:type="paragraph" w:styleId="1071" w:customStyle="1">
    <w:name w:val="font0"/>
    <w:basedOn w:val="915"/>
    <w:next w:val="1072"/>
    <w:uiPriority w:val="0"/>
    <w:qFormat/>
    <w:pPr>
      <w:jc w:val="left"/>
      <w:spacing w:before="156" w:after="156" w:line="360" w:lineRule="auto"/>
      <w:widowControl/>
    </w:pPr>
    <w:rPr>
      <w:rFonts w:hint="eastAsia" w:ascii="宋体" w:hAnsi="宋体" w:eastAsia="黑体"/>
    </w:rPr>
  </w:style>
  <w:style w:type="paragraph" w:styleId="1072" w:customStyle="1">
    <w:name w:val="font10"/>
    <w:basedOn w:val="879"/>
    <w:uiPriority w:val="0"/>
    <w:qFormat/>
    <w:pPr>
      <w:jc w:val="left"/>
      <w:spacing w:before="100" w:beforeAutospacing="1" w:after="100" w:afterAutospacing="1"/>
      <w:widowControl/>
    </w:pPr>
    <w:rPr>
      <w:rFonts w:eastAsia="Arial Unicode MS"/>
      <w:szCs w:val="21"/>
    </w:rPr>
  </w:style>
  <w:style w:type="paragraph" w:styleId="1073" w:customStyle="1">
    <w:name w:val="正文格式"/>
    <w:basedOn w:val="879"/>
    <w:uiPriority w:val="0"/>
    <w:qFormat/>
    <w:pPr>
      <w:ind w:firstLine="482"/>
      <w:spacing w:line="360" w:lineRule="atLeast"/>
    </w:pPr>
    <w:rPr>
      <w:szCs w:val="21"/>
    </w:rPr>
  </w:style>
  <w:style w:type="character" w:styleId="1074" w:customStyle="1">
    <w:name w:val="qowt-font15-arial"/>
    <w:basedOn w:val="889"/>
    <w:uiPriority w:val="0"/>
    <w:qFormat/>
  </w:style>
  <w:style w:type="character" w:styleId="1075" w:customStyle="1">
    <w:name w:val="qowt-font8-simsun"/>
    <w:basedOn w:val="889"/>
    <w:uiPriority w:val="0"/>
    <w:qFormat/>
  </w:style>
  <w:style w:type="paragraph" w:styleId="1076" w:customStyle="1">
    <w:name w:val="Char"/>
    <w:basedOn w:val="879"/>
    <w:uiPriority w:val="0"/>
    <w:qFormat/>
    <w:pPr>
      <w:ind w:firstLine="200"/>
      <w:tabs>
        <w:tab w:val="left" w:pos="360" w:leader="none"/>
      </w:tabs>
    </w:pPr>
    <w:rPr>
      <w:sz w:val="28"/>
      <w:szCs w:val="30"/>
    </w:rPr>
  </w:style>
  <w:style w:type="paragraph" w:styleId="1077"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1078" w:customStyle="1">
    <w:name w:val="正文1"/>
    <w:basedOn w:val="1079"/>
    <w:next w:val="1082"/>
    <w:uiPriority w:val="0"/>
    <w:qFormat/>
    <w:pPr>
      <w:jc w:val="left"/>
      <w:spacing w:line="360" w:lineRule="atLeast"/>
    </w:pPr>
    <w:rPr>
      <w:rFonts w:ascii="宋体" w:hAnsi="Calibri"/>
      <w:sz w:val="24"/>
      <w:szCs w:val="20"/>
    </w:rPr>
  </w:style>
  <w:style w:type="paragraph" w:styleId="1079" w:customStyle="1">
    <w:name w:val="正文11"/>
    <w:next w:val="1080"/>
    <w:uiPriority w:val="0"/>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正文首行缩进 21"/>
    <w:basedOn w:val="1081"/>
    <w:next w:val="879"/>
    <w:uiPriority w:val="0"/>
    <w:qFormat/>
    <w:pPr>
      <w:ind w:firstLine="420"/>
    </w:pPr>
  </w:style>
  <w:style w:type="paragraph" w:styleId="1081" w:customStyle="1">
    <w:name w:val="正文文本缩进1"/>
    <w:basedOn w:val="1079"/>
    <w:next w:val="879"/>
    <w:uiPriority w:val="0"/>
    <w:qFormat/>
    <w:pPr>
      <w:ind w:left="420"/>
      <w:spacing w:after="120"/>
    </w:pPr>
    <w:rPr>
      <w:sz w:val="20"/>
      <w:szCs w:val="24"/>
    </w:rPr>
  </w:style>
  <w:style w:type="paragraph" w:styleId="1082" w:customStyle="1">
    <w:name w:val="正文文本1"/>
    <w:basedOn w:val="1078"/>
    <w:next w:val="1083"/>
    <w:uiPriority w:val="0"/>
    <w:qFormat/>
    <w:pPr>
      <w:spacing w:after="120"/>
    </w:pPr>
    <w:rPr>
      <w:lang w:eastAsia="en-US"/>
    </w:r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next w:val="10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5" w:customStyle="1">
    <w:name w:val="段"/>
    <w:basedOn w:val="1078"/>
    <w:next w:val="1079"/>
    <w:uiPriority w:val="0"/>
    <w:qFormat/>
    <w:pPr>
      <w:ind w:firstLine="200"/>
      <w:widowControl/>
    </w:pPr>
    <w:rPr>
      <w:sz w:val="20"/>
    </w:rPr>
  </w:style>
  <w:style w:type="table" w:styleId="1086" w:customStyle="1">
    <w:name w:val="Table Normal"/>
    <w:uiPriority w:val="0"/>
    <w:unhideWhenUsed/>
    <w:qFormat/>
    <w:tblPr>
      <w:tblLayout w:type="fixed"/>
      <w:tblCellMar>
        <w:left w:w="0" w:type="dxa"/>
        <w:top w:w="0" w:type="dxa"/>
        <w:right w:w="0" w:type="dxa"/>
        <w:bottom w:w="0" w:type="dxa"/>
      </w:tblCellMar>
    </w:tblPr>
  </w:style>
  <w:style w:type="paragraph" w:styleId="1087" w:customStyle="1">
    <w:name w:val="WPSOffice手动目录 1"/>
    <w:uiPriority w:val="0"/>
    <w:qFormat/>
    <w:rPr>
      <w:rFonts w:ascii="Times New Roman" w:hAnsi="Times New Roman" w:eastAsia="宋体" w:cs="Times New Roman"/>
      <w:lang w:val="en-US" w:eastAsia="zh-CN" w:bidi="ar-SA"/>
    </w:rPr>
  </w:style>
  <w:style w:type="paragraph" w:styleId="1088" w:customStyle="1">
    <w:name w:val="Table Text"/>
    <w:basedOn w:val="879"/>
    <w:uiPriority w:val="0"/>
    <w:semiHidden/>
    <w:qFormat/>
    <w:rPr>
      <w:rFonts w:ascii="仿宋" w:hAnsi="仿宋" w:eastAsia="仿宋" w:cs="仿宋"/>
      <w:szCs w:val="21"/>
      <w:lang w:eastAsia="en-US"/>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王昳农</dc:creator>
  <cp:lastModifiedBy>杨思磊</cp:lastModifiedBy>
  <cp:revision>17</cp:revision>
  <dcterms:created xsi:type="dcterms:W3CDTF">2024-06-04T07:38:00Z</dcterms:created>
  <dcterms:modified xsi:type="dcterms:W3CDTF">2024-06-18T05:47:18Z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23E683AF43B54F13B2F20895D436DED4_13</vt:lpwstr>
  </property>
</Properties>
</file>