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1446"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1446"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12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84"/>
        </w:rPr>
        <w:t xml:space="preserve">招　标　文　件</w:t>
      </w:r>
      <w:r/>
    </w:p>
    <w:p>
      <w:pPr>
        <w:ind w:left="0" w:right="0" w:firstLine="0"/>
        <w:jc w:val="center"/>
        <w:spacing w:before="12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项目名称：呼吸机</w:t>
      </w:r>
      <w:r/>
    </w:p>
    <w:p>
      <w:pPr>
        <w:ind w:left="0" w:right="0" w:firstLine="0"/>
        <w:jc w:val="center"/>
        <w:spacing w:before="12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项目编号：JSZC-320600-HWZX-G2024-0564</w:t>
      </w:r>
      <w:r/>
    </w:p>
    <w:p>
      <w:pPr>
        <w:ind w:left="0" w:right="0" w:firstLine="0"/>
        <w:jc w:val="center"/>
        <w:spacing w:before="12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采购代理编号：0675-246JOC0031007</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采购人：南通市第一人民医院</w:t>
      </w:r>
      <w:r/>
    </w:p>
    <w:p>
      <w:pPr>
        <w:ind w:left="0" w:right="0" w:firstLine="0"/>
        <w:jc w:val="center"/>
        <w:spacing w:before="12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采购代理机构：江苏海外集团国际工程咨询有限公司</w:t>
      </w:r>
      <w:r/>
    </w:p>
    <w:p>
      <w:pPr>
        <w:ind w:left="0" w:right="0" w:firstLine="0"/>
        <w:jc w:val="center"/>
        <w:spacing w:before="12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日期：2024年9月</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480" w:after="0" w:line="32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目录</w:t>
      </w:r>
      <w:r/>
    </w:p>
    <w:p>
      <w:pPr>
        <w:ind w:left="0" w:right="0" w:firstLine="0"/>
        <w:jc w:val="both"/>
        <w:spacing w:before="0" w:after="0" w:line="113" w:lineRule="atLeast"/>
        <w:tabs>
          <w:tab w:val="left" w:pos="9185" w:leader="none"/>
        </w:tabs>
        <w:pBdr>
          <w:top w:val="none" w:color="000000" w:sz="4" w:space="0"/>
          <w:left w:val="none" w:color="000000" w:sz="4" w:space="0"/>
          <w:bottom w:val="none" w:color="000000" w:sz="4" w:space="0"/>
          <w:right w:val="none" w:color="000000" w:sz="4" w:space="0"/>
        </w:pBdr>
      </w:pPr>
      <w:r/>
      <w:hyperlink r:id="rId9" w:tooltip="http://jszfcg.jsczt.cn/jszc/onlyoffice/7.2.1-34/web-apps/apps/documenteditor/main/index_loader.html?_dc=7.2.1-34&amp;lang=zh&amp;customer=%20&amp;logo=%20&amp;headerlogo=%2Ffavicon.ico&amp;frameEditorId=iframePage&amp;compact=true&amp;parentOrigin=http://jszfcg.jsczt.cn#_Toc13209" w:history="1">
        <w:r>
          <w:rPr>
            <w:rStyle w:val="802"/>
            <w:rFonts w:ascii="SimSun" w:hAnsi="SimSun" w:eastAsia="SimSun" w:cs="SimSun"/>
            <w:color w:val="000000"/>
            <w:sz w:val="28"/>
          </w:rPr>
          <w:t xml:space="preserve">第一章招标公告</w:t>
        </w:r>
      </w:hyperlink>
      <w:r/>
      <w:r/>
    </w:p>
    <w:p>
      <w:pPr>
        <w:ind w:left="0" w:right="0" w:firstLine="0"/>
        <w:jc w:val="both"/>
        <w:spacing w:before="0" w:after="0" w:line="113" w:lineRule="atLeast"/>
        <w:tabs>
          <w:tab w:val="left" w:pos="9185" w:leader="none"/>
        </w:tabs>
        <w:pBdr>
          <w:top w:val="none" w:color="000000" w:sz="4" w:space="0"/>
          <w:left w:val="none" w:color="000000" w:sz="4" w:space="0"/>
          <w:bottom w:val="none" w:color="000000" w:sz="4" w:space="0"/>
          <w:right w:val="none" w:color="000000" w:sz="4" w:space="0"/>
        </w:pBdr>
      </w:pPr>
      <w:r/>
      <w:hyperlink r:id="rId10" w:tooltip="http://jszfcg.jsczt.cn/jszc/onlyoffice/7.2.1-34/web-apps/apps/documenteditor/main/index_loader.html?_dc=7.2.1-34&amp;lang=zh&amp;customer=%20&amp;logo=%20&amp;headerlogo=%2Ffavicon.ico&amp;frameEditorId=iframePage&amp;compact=true&amp;parentOrigin=http://jszfcg.jsczt.cn#_Toc15713" w:history="1">
        <w:r>
          <w:rPr>
            <w:rStyle w:val="802"/>
            <w:rFonts w:ascii="SimSun" w:hAnsi="SimSun" w:eastAsia="SimSun" w:cs="SimSun"/>
            <w:color w:val="000000"/>
            <w:sz w:val="28"/>
          </w:rPr>
          <w:t xml:space="preserve">第二章投标人须知</w:t>
        </w:r>
      </w:hyperlink>
      <w:r/>
      <w:r/>
    </w:p>
    <w:p>
      <w:pPr>
        <w:ind w:left="0" w:right="0" w:firstLine="0"/>
        <w:jc w:val="both"/>
        <w:spacing w:before="0" w:after="0" w:line="113" w:lineRule="atLeast"/>
        <w:tabs>
          <w:tab w:val="left" w:pos="9185" w:leader="none"/>
        </w:tabs>
        <w:pBdr>
          <w:top w:val="none" w:color="000000" w:sz="4" w:space="0"/>
          <w:left w:val="none" w:color="000000" w:sz="4" w:space="0"/>
          <w:bottom w:val="none" w:color="000000" w:sz="4" w:space="0"/>
          <w:right w:val="none" w:color="000000" w:sz="4" w:space="0"/>
        </w:pBdr>
      </w:pPr>
      <w:r/>
      <w:hyperlink r:id="rId11" w:tooltip="http://jszfcg.jsczt.cn/jszc/onlyoffice/7.2.1-34/web-apps/apps/documenteditor/main/index_loader.html?_dc=7.2.1-34&amp;lang=zh&amp;customer=%20&amp;logo=%20&amp;headerlogo=%2Ffavicon.ico&amp;frameEditorId=iframePage&amp;compact=true&amp;parentOrigin=http://jszfcg.jsczt.cn#_Toc1343" w:history="1">
        <w:r>
          <w:rPr>
            <w:rStyle w:val="802"/>
            <w:rFonts w:ascii="SimSun" w:hAnsi="SimSun" w:eastAsia="SimSun" w:cs="SimSun"/>
            <w:color w:val="000000"/>
            <w:sz w:val="28"/>
          </w:rPr>
          <w:t xml:space="preserve">第三章合同文本</w:t>
        </w:r>
      </w:hyperlink>
      <w:r/>
      <w:r/>
    </w:p>
    <w:p>
      <w:pPr>
        <w:ind w:left="0" w:right="0" w:firstLine="0"/>
        <w:jc w:val="both"/>
        <w:spacing w:before="0" w:after="0" w:line="113" w:lineRule="atLeast"/>
        <w:tabs>
          <w:tab w:val="left" w:pos="9185" w:leader="none"/>
        </w:tabs>
        <w:pBdr>
          <w:top w:val="none" w:color="000000" w:sz="4" w:space="0"/>
          <w:left w:val="none" w:color="000000" w:sz="4" w:space="0"/>
          <w:bottom w:val="none" w:color="000000" w:sz="4" w:space="0"/>
          <w:right w:val="none" w:color="000000" w:sz="4" w:space="0"/>
        </w:pBdr>
      </w:pPr>
      <w:r/>
      <w:hyperlink r:id="rId12" w:tooltip="http://jszfcg.jsczt.cn/jszc/onlyoffice/7.2.1-34/web-apps/apps/documenteditor/main/index_loader.html?_dc=7.2.1-34&amp;lang=zh&amp;customer=%20&amp;logo=%20&amp;headerlogo=%2Ffavicon.ico&amp;frameEditorId=iframePage&amp;compact=true&amp;parentOrigin=http://jszfcg.jsczt.cn#_Toc2506" w:history="1">
        <w:r>
          <w:rPr>
            <w:rStyle w:val="802"/>
            <w:rFonts w:ascii="SimSun" w:hAnsi="SimSun" w:eastAsia="SimSun" w:cs="SimSun"/>
            <w:color w:val="000000"/>
            <w:sz w:val="28"/>
          </w:rPr>
          <w:t xml:space="preserve">第四章项目需求</w:t>
        </w:r>
      </w:hyperlink>
      <w:r/>
      <w:r/>
    </w:p>
    <w:p>
      <w:pPr>
        <w:ind w:left="0" w:right="0" w:firstLine="0"/>
        <w:jc w:val="both"/>
        <w:spacing w:before="0" w:after="0" w:line="113" w:lineRule="atLeast"/>
        <w:tabs>
          <w:tab w:val="left" w:pos="9185" w:leader="none"/>
        </w:tabs>
        <w:pBdr>
          <w:top w:val="none" w:color="000000" w:sz="4" w:space="0"/>
          <w:left w:val="none" w:color="000000" w:sz="4" w:space="0"/>
          <w:bottom w:val="none" w:color="000000" w:sz="4" w:space="0"/>
          <w:right w:val="none" w:color="000000" w:sz="4" w:space="0"/>
        </w:pBdr>
      </w:pPr>
      <w:r/>
      <w:hyperlink r:id="rId13" w:tooltip="http://jszfcg.jsczt.cn/jszc/onlyoffice/7.2.1-34/web-apps/apps/documenteditor/main/index_loader.html?_dc=7.2.1-34&amp;lang=zh&amp;customer=%20&amp;logo=%20&amp;headerlogo=%2Ffavicon.ico&amp;frameEditorId=iframePage&amp;compact=true&amp;parentOrigin=http://jszfcg.jsczt.cn#_Toc32732" w:history="1">
        <w:r>
          <w:rPr>
            <w:rStyle w:val="802"/>
            <w:rFonts w:ascii="SimSun" w:hAnsi="SimSun" w:eastAsia="SimSun" w:cs="SimSun"/>
            <w:color w:val="000000"/>
            <w:sz w:val="28"/>
          </w:rPr>
          <w:t xml:space="preserve">第五章评标方法与评标标准</w:t>
        </w:r>
      </w:hyperlink>
      <w:r/>
      <w:r/>
    </w:p>
    <w:p>
      <w:pPr>
        <w:ind w:left="0" w:right="0" w:firstLine="0"/>
        <w:jc w:val="both"/>
        <w:spacing w:before="0" w:after="0" w:line="113" w:lineRule="atLeast"/>
        <w:tabs>
          <w:tab w:val="left" w:pos="9185" w:leader="none"/>
        </w:tabs>
        <w:pBdr>
          <w:top w:val="none" w:color="000000" w:sz="4" w:space="0"/>
          <w:left w:val="none" w:color="000000" w:sz="4" w:space="0"/>
          <w:bottom w:val="none" w:color="000000" w:sz="4" w:space="0"/>
          <w:right w:val="none" w:color="000000" w:sz="4" w:space="0"/>
        </w:pBdr>
      </w:pPr>
      <w:r/>
      <w:hyperlink r:id="rId14" w:tooltip="http://jszfcg.jsczt.cn/jszc/onlyoffice/7.2.1-34/web-apps/apps/documenteditor/main/index_loader.html?_dc=7.2.1-34&amp;lang=zh&amp;customer=%20&amp;logo=%20&amp;headerlogo=%2Ffavicon.ico&amp;frameEditorId=iframePage&amp;compact=true&amp;parentOrigin=http://jszfcg.jsczt.cn#_Toc4661" w:history="1">
        <w:r>
          <w:rPr>
            <w:rStyle w:val="802"/>
            <w:rFonts w:ascii="SimSun" w:hAnsi="SimSun" w:eastAsia="SimSun" w:cs="SimSun"/>
            <w:color w:val="000000"/>
            <w:sz w:val="28"/>
          </w:rPr>
          <w:t xml:space="preserve">第六章投标文件参考格式</w:t>
        </w:r>
      </w:hyperlink>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642"/>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第一章招标公告</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受南通市第一人民医院的委托，江苏海外集团国际工程咨询有限公司就南通市第一人民医院呼吸机项目[项目编号:JSZC-320600-HWZX-G2024-0564]进行公开招标采购，欢迎符合条件的供应商参加投标。</w:t>
      </w:r>
      <w:r/>
    </w:p>
    <w:p>
      <w:pPr>
        <w:ind w:left="0" w:right="0" w:firstLine="480"/>
        <w:jc w:val="both"/>
        <w:spacing w:before="0" w:after="0" w:line="85"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项目概况</w:t>
      </w:r>
      <w:r/>
    </w:p>
    <w:p>
      <w:pPr>
        <w:ind w:left="0" w:right="0" w:firstLine="480"/>
        <w:jc w:val="both"/>
        <w:spacing w:before="0" w:after="0" w:line="85"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南通市第一人民医院</w:t>
      </w:r>
      <w:r>
        <w:rPr>
          <w:rFonts w:ascii="SimSun" w:hAnsi="SimSun" w:eastAsia="SimSun" w:cs="SimSun"/>
          <w:b/>
          <w:color w:val="000000"/>
          <w:sz w:val="24"/>
        </w:rPr>
        <w:t xml:space="preserve">呼吸机</w:t>
      </w:r>
      <w:r>
        <w:rPr>
          <w:rFonts w:ascii="SimSun" w:hAnsi="SimSun" w:eastAsia="SimSun" w:cs="SimSun"/>
          <w:color w:val="000000"/>
          <w:sz w:val="24"/>
        </w:rPr>
        <w:t xml:space="preserve">的潜在投标人可在</w:t>
      </w:r>
      <w:r>
        <w:rPr>
          <w:rFonts w:ascii="SimSun" w:hAnsi="SimSun" w:eastAsia="SimSun" w:cs="SimSun"/>
          <w:color w:val="000000"/>
          <w:sz w:val="24"/>
          <w:u w:val="single"/>
        </w:rPr>
        <w:t xml:space="preserve"> 苏采云系统内免费下载招标文件</w:t>
      </w:r>
      <w:r>
        <w:rPr>
          <w:rFonts w:ascii="SimSun" w:hAnsi="SimSun" w:eastAsia="SimSun" w:cs="SimSun"/>
          <w:color w:val="000000"/>
          <w:sz w:val="24"/>
        </w:rPr>
        <w:t xml:space="preserve">，并于</w:t>
      </w:r>
      <w:r>
        <w:rPr>
          <w:rFonts w:ascii="SimSun" w:hAnsi="SimSun" w:eastAsia="SimSun" w:cs="SimSun"/>
          <w:color w:val="000000"/>
          <w:sz w:val="24"/>
          <w:u w:val="single"/>
        </w:rPr>
        <w:t xml:space="preserve">2024年10月15日14时00分</w:t>
      </w:r>
      <w:r>
        <w:rPr>
          <w:rFonts w:ascii="SimSun" w:hAnsi="SimSun" w:eastAsia="SimSun" w:cs="SimSun"/>
          <w:color w:val="000000"/>
          <w:sz w:val="24"/>
        </w:rPr>
        <w:t xml:space="preserve">（北京时间）前递交投标文件。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一、项目基本情况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1、项目编号：</w:t>
      </w:r>
      <w:r>
        <w:rPr>
          <w:rFonts w:ascii="SimSun" w:hAnsi="SimSun" w:eastAsia="SimSun" w:cs="SimSun"/>
          <w:b/>
          <w:color w:val="000000"/>
          <w:sz w:val="24"/>
        </w:rPr>
        <w:t xml:space="preserve">JSZC-320600-HWZX-G2024-0564</w:t>
      </w:r>
      <w:r>
        <w:rPr>
          <w:rFonts w:ascii="SimSun" w:hAnsi="SimSun" w:eastAsia="SimSun" w:cs="SimSun"/>
          <w:color w:val="000000"/>
          <w:sz w:val="24"/>
        </w:rPr>
        <w:t xml:space="preserve">，采购代理编号：</w:t>
      </w:r>
      <w:r>
        <w:rPr>
          <w:rFonts w:ascii="SimSun" w:hAnsi="SimSun" w:eastAsia="SimSun" w:cs="SimSun"/>
          <w:b/>
          <w:color w:val="000000"/>
          <w:sz w:val="24"/>
        </w:rPr>
        <w:t xml:space="preserve">0675-246JOC0031007</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2、项目名称：</w:t>
      </w:r>
      <w:r>
        <w:rPr>
          <w:rFonts w:ascii="SimSun" w:hAnsi="SimSun" w:eastAsia="SimSun" w:cs="SimSun"/>
          <w:b/>
          <w:color w:val="000000"/>
          <w:sz w:val="24"/>
        </w:rPr>
        <w:t xml:space="preserve">呼吸机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3、项目预算金额：人民币100万元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4、最高限价：同预算金额（投标人投标报价不得超过上述限价金额，否则将作无效标处理）。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5、采购需求：</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78"/>
        <w:gridCol w:w="2890"/>
        <w:gridCol w:w="1018"/>
        <w:gridCol w:w="1898"/>
      </w:tblGrid>
      <w:tr>
        <w:trPr>
          <w:trHeight w:val="47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9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（万元）</w:t>
            </w:r>
            <w:r/>
          </w:p>
        </w:tc>
      </w:tr>
      <w:tr>
        <w:trPr>
          <w:trHeight w:val="5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呼吸机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w:t>
            </w:r>
            <w:r/>
          </w:p>
        </w:tc>
      </w:tr>
    </w:tbl>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合同履行期限：见项目需求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二、申请人的资格要求：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（一）通用资格要求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1、满足《中华人民共和国政府采购法》第二十二条规定，并提供下列材料：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1.1具有独立承担民事责任的能力（提供法人或者其他组织的营业执照等证明文件，自然人的身份证明）；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1.2具有良好的商业信誉和健全的财务会计制度（提供上一年度的财务状况报告，成立不满一年不需提供）；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1.3有依法缴纳税收和社会保障资金的良好记录（提供投标人参加本次政府采购活动前6个月内</w:t>
      </w:r>
      <w:r>
        <w:rPr>
          <w:rFonts w:ascii="SimSun" w:hAnsi="SimSun" w:eastAsia="SimSun" w:cs="SimSun"/>
          <w:b/>
          <w:color w:val="000000"/>
          <w:sz w:val="24"/>
        </w:rPr>
        <w:t xml:space="preserve">（即2024年4月-2024年9月期间）</w:t>
      </w:r>
      <w:r>
        <w:rPr>
          <w:rFonts w:ascii="SimSun" w:hAnsi="SimSun" w:eastAsia="SimSun" w:cs="SimSun"/>
          <w:color w:val="000000"/>
          <w:sz w:val="24"/>
        </w:rPr>
        <w:t xml:space="preserve">至少一个月缴纳税收及缴纳社会保障资金的证明材料。投标人依法享受缓缴、免缴税收、社会保障资金的提供证明材料）；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1.4具有履行合同所必需的设备和专业技术能力（提供书面声明）；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1.5参加政府采购活动前3年内在经营活动中没有重大违法记录（提供书面声明）。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3、落实政府采购政策需满足的资格要求：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3.1本项目属于</w:t>
      </w:r>
      <w:r>
        <w:rPr>
          <w:rFonts w:ascii="SimSun" w:hAnsi="SimSun" w:eastAsia="SimSun" w:cs="SimSun"/>
          <w:color w:val="000000"/>
          <w:sz w:val="24"/>
          <w:u w:val="single"/>
        </w:rPr>
        <w:t xml:space="preserve">货物类</w:t>
      </w:r>
      <w:r>
        <w:rPr>
          <w:rFonts w:ascii="SimSun" w:hAnsi="SimSun" w:eastAsia="SimSun" w:cs="SimSun"/>
          <w:color w:val="000000"/>
          <w:sz w:val="24"/>
        </w:rPr>
        <w:t xml:space="preserve">采购。根据《政府采购促进中小企业发展管理办法》（财库〔2020〕46号）、《关于做好政府采购支持企业发展有关事项的通知》(苏财购(2020)52号)的要求，本项目小型、微型企业在评标时享受扶持政策。所称小型、微型企业须满足《政府采购促进中小企业发展管理办法》（财库〔2020〕46号）第二条和第四条的规定，采购货物全部由中小企业制造（货物由中小企业生产且使用该中小企业商号或者注册商标），不限制投标人企业规模。（投标人必须提供中小企业声明函（见格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3.2中小微企业划型标准请对照《关于印发中小企业划型标准规定的通知》（工信部联企业〔2011〕300号）（详见格式）。本项目采购标的对应的行业主要为</w:t>
      </w:r>
      <w:r>
        <w:rPr>
          <w:rFonts w:ascii="SimSun" w:hAnsi="SimSun" w:eastAsia="SimSun" w:cs="SimSun"/>
          <w:color w:val="000000"/>
          <w:sz w:val="24"/>
          <w:u w:val="single"/>
        </w:rPr>
        <w:t xml:space="preserve">工业</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4、本项目</w:t>
      </w:r>
      <w:r>
        <w:rPr>
          <w:rFonts w:ascii="SimSun" w:hAnsi="SimSun" w:eastAsia="SimSun" w:cs="SimSun"/>
          <w:color w:val="000000"/>
          <w:sz w:val="24"/>
          <w:u w:val="single"/>
        </w:rPr>
        <w:t xml:space="preserve"> 不接受 </w:t>
      </w:r>
      <w:r>
        <w:rPr>
          <w:rFonts w:ascii="SimSun" w:hAnsi="SimSun" w:eastAsia="SimSun" w:cs="SimSun"/>
          <w:color w:val="000000"/>
          <w:sz w:val="24"/>
        </w:rPr>
        <w:t xml:space="preserve">联合体投标。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5、本项目不</w:t>
      </w:r>
      <w:r>
        <w:rPr>
          <w:rFonts w:ascii="SimSun" w:hAnsi="SimSun" w:eastAsia="SimSun" w:cs="SimSun"/>
          <w:color w:val="000000"/>
          <w:sz w:val="24"/>
          <w:u w:val="single"/>
        </w:rPr>
        <w:t xml:space="preserve">接受</w:t>
      </w:r>
      <w:r>
        <w:rPr>
          <w:rFonts w:ascii="SimSun" w:hAnsi="SimSun" w:eastAsia="SimSun" w:cs="SimSun"/>
          <w:color w:val="000000"/>
          <w:sz w:val="24"/>
        </w:rPr>
        <w:t xml:space="preserve">进口产品投标</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（二）本项目的特定资格要求：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1、中华人民共和国实行安装安全认可证，制造、经营许可，强制性认证、准入证制度的产品、行业，必须提供中华人民共和国有关部门颁发的资质证明文件。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三、获取招标文件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1、时间：</w:t>
      </w:r>
      <w:r>
        <w:rPr>
          <w:rFonts w:ascii="SimSun" w:hAnsi="SimSun" w:eastAsia="SimSun" w:cs="SimSun"/>
          <w:color w:val="000000"/>
          <w:sz w:val="24"/>
          <w:u w:val="single"/>
        </w:rPr>
        <w:t xml:space="preserve">2024年9月24日至2024年9月30日</w:t>
      </w:r>
      <w:r>
        <w:rPr>
          <w:rFonts w:ascii="SimSun" w:hAnsi="SimSun" w:eastAsia="SimSun" w:cs="SimSun"/>
          <w:color w:val="000000"/>
          <w:sz w:val="24"/>
        </w:rPr>
        <w:t xml:space="preserve">，每天上午</w:t>
      </w:r>
      <w:r>
        <w:rPr>
          <w:rFonts w:ascii="SimSun" w:hAnsi="SimSun" w:eastAsia="SimSun" w:cs="SimSun"/>
          <w:color w:val="000000"/>
          <w:sz w:val="24"/>
          <w:u w:val="single"/>
        </w:rPr>
        <w:t xml:space="preserve">9:00</w:t>
      </w:r>
      <w:r>
        <w:rPr>
          <w:rFonts w:ascii="SimSun" w:hAnsi="SimSun" w:eastAsia="SimSun" w:cs="SimSun"/>
          <w:color w:val="000000"/>
          <w:sz w:val="24"/>
        </w:rPr>
        <w:t xml:space="preserve">至</w:t>
      </w:r>
      <w:r>
        <w:rPr>
          <w:rFonts w:ascii="SimSun" w:hAnsi="SimSun" w:eastAsia="SimSun" w:cs="SimSun"/>
          <w:color w:val="000000"/>
          <w:sz w:val="24"/>
          <w:u w:val="single"/>
        </w:rPr>
        <w:t xml:space="preserve">11:00</w:t>
      </w:r>
      <w:r>
        <w:rPr>
          <w:rFonts w:ascii="SimSun" w:hAnsi="SimSun" w:eastAsia="SimSun" w:cs="SimSun"/>
          <w:color w:val="000000"/>
          <w:sz w:val="24"/>
        </w:rPr>
        <w:t xml:space="preserve">，下午</w:t>
      </w:r>
      <w:r>
        <w:rPr>
          <w:rFonts w:ascii="SimSun" w:hAnsi="SimSun" w:eastAsia="SimSun" w:cs="SimSun"/>
          <w:color w:val="000000"/>
          <w:sz w:val="24"/>
          <w:u w:val="single"/>
        </w:rPr>
        <w:t xml:space="preserve">14:00</w:t>
      </w:r>
      <w:r>
        <w:rPr>
          <w:rFonts w:ascii="SimSun" w:hAnsi="SimSun" w:eastAsia="SimSun" w:cs="SimSun"/>
          <w:color w:val="000000"/>
          <w:sz w:val="24"/>
        </w:rPr>
        <w:t xml:space="preserve">至</w:t>
      </w:r>
      <w:r>
        <w:rPr>
          <w:rFonts w:ascii="SimSun" w:hAnsi="SimSun" w:eastAsia="SimSun" w:cs="SimSun"/>
          <w:color w:val="000000"/>
          <w:sz w:val="24"/>
          <w:u w:val="single"/>
        </w:rPr>
        <w:t xml:space="preserve">17:00</w:t>
      </w:r>
      <w:r>
        <w:rPr>
          <w:rFonts w:ascii="SimSun" w:hAnsi="SimSun" w:eastAsia="SimSun" w:cs="SimSun"/>
          <w:color w:val="000000"/>
          <w:sz w:val="24"/>
        </w:rPr>
        <w:t xml:space="preserve">（北京时间，法定节假日除外）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2.地点：网上注册登记成功后系统内免费下载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3.获取方式：本项目采用网上注册登记方式。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3.1潜在供应商访问电子招标响应交易平台的网络地址和方法：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3.2潜在供应商访问“苏采云”系统的网络地址和方法：“苏采云”系统的网址：http://jszfcg.jsczt.cn/。</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3.3“CA数字证书”的获取：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响应供应商需办理“CA 数字证书”，CA办理指南及“苏采云”操作手册可至江苏省政府采购网―办事指南-资料下载中心下载。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通过苏采云系统首页（http://jszfcg.jscz.gov.cn/）的“苏采云控件驱动下载”，选择“政务CA、方正签章控件驱动安装包及安装说明”下载安装，具体安装方法详见下载文件内的《安装说明》。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3.4采购文件（后缀名为“.kedt”）、供应商操作手册及政府采购客户端工具可通过“苏采云”系统--已报名项目--报名详情页面内相应链接进行下载。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3.5采购人或采购代理机构将数据电文形式的采购文件加载至“苏采云”系统，供潜在供应商下载或者查阅。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3.6请潜在供应商提前安装相应的控件（详见《江苏省政府采购管理交易系统（苏采云）供应商操作手册》）并使用谷歌浏览器登录“苏采云”系统参与不见面开评标。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注：如潜在供应商未按上述要求操作，将自行承担所产生的风险。</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四、提交投标文件截止时间、开标时间和地点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1.2024年10月15日14时00分（北京时间）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w:t>
      </w:r>
      <w:r>
        <w:rPr>
          <w:rFonts w:ascii="SimSun" w:hAnsi="SimSun" w:eastAsia="SimSun" w:cs="SimSun"/>
          <w:b/>
          <w:color w:val="000000"/>
          <w:sz w:val="24"/>
        </w:rPr>
        <w:t xml:space="preserve">“苏采云”系统（网址：http://jszfcg.jsczt.cn/）“开标大厅”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文件的解密：开标当天各供应商及时登录不见面开标大厅，投标文件递交截止时间后，采购人将在系统内公布供应商名单，然后通过开标会议区发出投标文件解密的指令，投标供应商在开标室按规定时间自行实施远程解密，</w:t>
      </w:r>
      <w:r>
        <w:rPr>
          <w:rFonts w:ascii="SimSun" w:hAnsi="SimSun" w:eastAsia="SimSun" w:cs="SimSun"/>
          <w:b/>
          <w:color w:val="000000"/>
          <w:sz w:val="24"/>
        </w:rPr>
        <w:t xml:space="preserve">投标供应商解密限定在开标后30分钟之内完成。</w:t>
      </w:r>
      <w:r>
        <w:rPr>
          <w:rFonts w:ascii="SimSun" w:hAnsi="SimSun" w:eastAsia="SimSun" w:cs="SimSun"/>
          <w:color w:val="000000"/>
          <w:sz w:val="24"/>
          <w:u w:val="single"/>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五、公告期限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自本公告发布之日起5个工作日。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六、其他补充事宜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1、本项目不收取投标保证金；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2、本项目支持节能环保产品 (财库[2019]9号)、(财库[2019]18号)、(财库[2019]19号)；支持中小微企业(财库[2020]46号)、(苏财购[2020]52号)、(工信部联企业[2011]300号)；支持监狱企业(财库[2014]68号)；促进残疾人就业(财库[2017]141号)。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3、项目开标活动模式：不见面远程开标模式，供应商在各自地点通过不见面交易系统参加开标会。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七、对本次招标提出询问，请按以下方式联系。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1.采购人信息</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rPr>
          <w:rFonts w:ascii="SimSun" w:hAnsi="SimSun" w:eastAsia="SimSun" w:cs="SimSun"/>
          <w:color w:val="000000"/>
          <w:sz w:val="24"/>
          <w:u w:val="single"/>
        </w:rPr>
        <w:t xml:space="preserve">　南通市第一人民医院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南通市崇川区胜利路666号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rPr>
          <w:rFonts w:ascii="SimSun" w:hAnsi="SimSun" w:eastAsia="SimSun" w:cs="SimSun"/>
          <w:color w:val="000000"/>
          <w:sz w:val="24"/>
          <w:u w:val="single"/>
        </w:rPr>
        <w:t xml:space="preserve">　缪老师0513-81111075</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rPr>
          <w:rFonts w:ascii="SimSun" w:hAnsi="SimSun" w:eastAsia="SimSun" w:cs="SimSun"/>
          <w:color w:val="000000"/>
          <w:sz w:val="24"/>
          <w:u w:val="single"/>
        </w:rPr>
        <w:t xml:space="preserve">　江苏海外集团国际工程咨询有限公司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w:t>
      </w:r>
      <w:r>
        <w:rPr>
          <w:rFonts w:ascii="SimSun" w:hAnsi="SimSun" w:eastAsia="SimSun" w:cs="SimSun"/>
          <w:color w:val="000000"/>
          <w:sz w:val="24"/>
          <w:u w:val="single"/>
        </w:rPr>
        <w:t xml:space="preserve">　南京市建邺区云龙山路56号大唐科技大厦A座高区15楼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rPr>
          <w:rFonts w:ascii="SimSun" w:hAnsi="SimSun" w:eastAsia="SimSun" w:cs="SimSun"/>
          <w:color w:val="000000"/>
          <w:sz w:val="24"/>
          <w:u w:val="single"/>
        </w:rPr>
        <w:t xml:space="preserve">025-84795989、84795467</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3.项目联系方式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w:t>
      </w:r>
      <w:r>
        <w:rPr>
          <w:rFonts w:ascii="SimSun" w:hAnsi="SimSun" w:eastAsia="SimSun" w:cs="SimSun"/>
          <w:color w:val="000000"/>
          <w:sz w:val="24"/>
          <w:u w:val="single"/>
        </w:rPr>
        <w:t xml:space="preserve">肖旭、熊文宇</w:t>
      </w:r>
      <w:r/>
    </w:p>
    <w:p>
      <w:pPr>
        <w:ind w:left="2"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　话：</w:t>
      </w:r>
      <w:r>
        <w:rPr>
          <w:rFonts w:ascii="SimSun" w:hAnsi="SimSun" w:eastAsia="SimSun" w:cs="SimSun"/>
          <w:color w:val="000000"/>
          <w:sz w:val="24"/>
          <w:u w:val="single"/>
        </w:rPr>
        <w:t xml:space="preserve"> 025-84795989、84795467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邮箱：</w:t>
      </w:r>
      <w:r>
        <w:rPr>
          <w:rFonts w:ascii="SimSun" w:hAnsi="SimSun" w:eastAsia="SimSun" w:cs="SimSun"/>
          <w:color w:val="000000"/>
          <w:sz w:val="24"/>
          <w:u w:val="single"/>
        </w:rPr>
        <w:t xml:space="preserve"> xiaoxu@jocite.com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60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642"/>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第二章投标人须知</w:t>
      </w:r>
      <w:r/>
    </w:p>
    <w:p>
      <w:pPr>
        <w:pStyle w:val="646"/>
        <w:ind w:left="0" w:right="0" w:firstLine="436"/>
        <w:jc w:val="both"/>
        <w:spacing w:before="156"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一、总则</w:t>
      </w:r>
      <w:r/>
    </w:p>
    <w:p>
      <w:pPr>
        <w:pStyle w:val="648"/>
        <w:ind w:left="0" w:right="0" w:firstLine="47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1、招标方式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本次招标采取公开招标方式，本招标文件仅适用于招标公告中所述项目。</w:t>
      </w:r>
      <w:r/>
    </w:p>
    <w:p>
      <w:pPr>
        <w:pStyle w:val="648"/>
        <w:ind w:left="0" w:right="0" w:firstLine="47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2、合格的投标人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2.1满足招标公告中投标人的资格要求的规定。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满足本文件实质性条款的规定。</w:t>
      </w:r>
      <w:r/>
    </w:p>
    <w:p>
      <w:pPr>
        <w:pStyle w:val="648"/>
        <w:ind w:left="0" w:right="0" w:firstLine="47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3、适用法律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本次招标及由此产生的合同受中华人民共和国政府采购有关的法律法规制约和保护。</w:t>
      </w:r>
      <w:r/>
    </w:p>
    <w:p>
      <w:pPr>
        <w:pStyle w:val="648"/>
        <w:ind w:left="0" w:right="0" w:firstLine="47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4、投标费用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投标人应自行承担所有与参加投标有关的费用，无论投标过程中的做法和结果如何，江苏海外集团国际工程咨询有限公司（以下简称采购代理机构）在任何情况下均无义务和责任承担这些费用。</w:t>
      </w:r>
      <w:r/>
    </w:p>
    <w:p>
      <w:pPr>
        <w:pStyle w:val="648"/>
        <w:ind w:left="0" w:right="0" w:firstLine="47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5、招标文件的约束力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投标人一旦获取了本招标文件并决定参加投标，即被认为接受了本招标文件的规定和约束。</w:t>
      </w:r>
      <w:r/>
    </w:p>
    <w:p>
      <w:pPr>
        <w:pStyle w:val="646"/>
        <w:ind w:left="0" w:right="0" w:firstLine="436"/>
        <w:jc w:val="both"/>
        <w:spacing w:before="156"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二、招标文件</w:t>
      </w:r>
      <w:r/>
    </w:p>
    <w:p>
      <w:pPr>
        <w:pStyle w:val="648"/>
        <w:ind w:left="0" w:right="0" w:firstLine="47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6、招标文件构成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招标文件由以下部分组成：</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（1）招标公告</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（2）投标人须知</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（3）合同文本</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（4）项目需求</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（5）评标方法与评标标准</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（6）投标文件格式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请仔细检查招标文件是否齐全，如有缺漏请立即与采购代理机构联系解决。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6.3 本项目招标文件如包括多个合同包，则除非特别说明，招标文件所列各项要求均为各合同包通用要求。</w:t>
      </w:r>
      <w:r/>
    </w:p>
    <w:p>
      <w:pPr>
        <w:pStyle w:val="648"/>
        <w:ind w:left="0" w:right="0" w:firstLine="47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7、招标文件的澄清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任何要求对招标文件进行澄清的投标人，均应根据相关法律法规规定按招标公告中的通讯地址，以书面形式向采购代理机构提出，逾期不再受理。采购代理机构将对收到的澄清要求予以答复，并在认为有必要时，将澄清答复在“江苏政府采购网”（http://www.ccgp-jiangsu.gov.cn/）上予以公告，答复中包括所问问题（但不包括问题的来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7.2澄清答复内容为招标文件的组成部分，并对投标人具有约束力。澄清内容可能影响投标文件编制的，采购人或者采购代理机构将顺延递交投标文件的截止时间。</w:t>
      </w:r>
      <w:r/>
    </w:p>
    <w:p>
      <w:pPr>
        <w:pStyle w:val="648"/>
        <w:ind w:left="0" w:right="0" w:firstLine="47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8、招标文件的修改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8.1采购人或采购代理机构可以对已发出的招标文件进行必要的修改。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8.2采购代理机构有权按照法定的要求推迟投标截止时间和开标时间。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修改内容将作为招标文件的组成部分，并对投标人具有约束力。修改内容可能影响投标文件编制的，采购人或者采购代理机构将顺延提交投标文件的截止时间，并将在“江苏政府采购网”（http://www.ccgp-jiangsu.gov.cn/）公布。</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8.4在投标截止日期前，采购单位对招标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r/>
    </w:p>
    <w:p>
      <w:pPr>
        <w:pStyle w:val="646"/>
        <w:ind w:left="0" w:right="0" w:firstLine="481"/>
        <w:jc w:val="both"/>
        <w:spacing w:before="156"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三、投标文件的编制</w:t>
      </w:r>
      <w:r/>
    </w:p>
    <w:p>
      <w:pPr>
        <w:pStyle w:val="648"/>
        <w:ind w:left="0" w:right="0" w:firstLine="47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9、投标文件的语言及度量衡单位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投标人提交的投标文件以及投标人与采购代理机构就有关投标的所有来往通知、函件和文件均应使用简体中文。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除招标文件另有规定外，投标文件所使用的度量衡单位，均须采用国家法定计量单位。</w:t>
      </w:r>
      <w:r/>
    </w:p>
    <w:p>
      <w:pPr>
        <w:pStyle w:val="648"/>
        <w:ind w:left="0" w:right="0" w:firstLine="47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10、投标文件构成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投标人编写的投标文件应包括投标函、开标一览表（含分项报价表）、资格、资信证明文件、技术偏离表、商务偏离表、需求响应描述等内容；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 投标人应将投标文件按顺序装订成册，并编制投标文件资料目录。</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*10.3 投标人如同时参与多个合同包（如有）招标，则应按合同包分别制作投标文件，否则将视为无效投标文件。</w:t>
      </w:r>
      <w:r/>
    </w:p>
    <w:p>
      <w:pPr>
        <w:pStyle w:val="648"/>
        <w:ind w:left="0" w:right="0" w:firstLine="47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11、证明投标人资格及投标符合招标文件规定的其它文件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11.1投标人应按要求提交资格证明文件及投标符合招标文件规定的其它文件。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11.2投标人应提交证明其有资格参加投标和中标后有能力独立履行合同的文件。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11.3投标人除具有履行合同的能力外，还应具备相应的财务、技术方面的能力。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11.4投标人应提交证明货物、服务质量合格以及符合招标文件规定的证明文件。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证明投标人所提供货物和服务都符合招标文件要求的文件应该是鉴定书、样本、说明书、图样和资料，并须提供：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 货物的主要技术数据和性能的详细描述，服务的履约能力、功能需求实现等应以正式印刷的样本、使用手册、说明书、检测报告、或网上公开发布的数据来证实。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②根据招标文件的技术需求逐条说明货物或服务对技术需求的适合性，如有不符之处，应说明其差别之所在；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③对上述②条的说明，请投标人注意：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的技术要求中所提出工艺、材料和货物的标准以及参照的品牌或型号仅起说明作用，并没有任何限制性。投标人可以在投标文件中提出不同的标准、品牌或型号以替代，但应使评标委员会相信这些替代实质上满足或超过招标文件的要求，并且使采购代理机构和采购人满意。采购代理机构和采购人保留拒绝这种替代的权利。</w:t>
      </w:r>
      <w:r/>
    </w:p>
    <w:p>
      <w:pPr>
        <w:pStyle w:val="648"/>
        <w:ind w:left="0" w:right="0" w:firstLine="47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12、开标一览表和分项报价表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投标人应按照招标文件规定格式填报开标一览表与分项报价表。</w:t>
      </w:r>
      <w:r>
        <w:rPr>
          <w:rFonts w:ascii="SimSun" w:hAnsi="SimSun" w:eastAsia="SimSun" w:cs="SimSun"/>
          <w:b/>
          <w:color w:val="000000"/>
          <w:sz w:val="24"/>
          <w:u w:val="single"/>
        </w:rPr>
        <w:t xml:space="preserve">*每项货物、服务等只允许有一个报价，任何有选择的报价将不予接受，将作为无效投标文件处理</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 标的物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采购人需求的货物、服务等。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12.3有关费用处理</w:t>
      </w:r>
      <w:r/>
    </w:p>
    <w:p>
      <w:pPr>
        <w:numPr>
          <w:ilvl w:val="0"/>
          <w:numId w:val="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投标人报价是根据招标文件所确定的供货、服务范围内的全部工作和内容的价格体现，涵盖完成招标文件规定的工作所涉及到的一切费用。</w:t>
      </w:r>
      <w:r/>
    </w:p>
    <w:p>
      <w:pPr>
        <w:numPr>
          <w:ilvl w:val="0"/>
          <w:numId w:val="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招标文件未列明，而投标人认为必需的费用也需列入报价。</w:t>
      </w:r>
      <w:r/>
    </w:p>
    <w:p>
      <w:pPr>
        <w:numPr>
          <w:ilvl w:val="0"/>
          <w:numId w:val="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本报价必须充分考虑所有可能影响到报价的价格因素，一旦投标结束最终成交，合同期内价格未经采购人允许将不予调整。如发生漏、缺、少项，都将被认为是中标人的报价让利行为。</w:t>
      </w:r>
      <w:r/>
    </w:p>
    <w:p>
      <w:pPr>
        <w:numPr>
          <w:ilvl w:val="0"/>
          <w:numId w:val="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其它报价要求：本项目投标报价应包括为完成本项目发生的所有费用。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12.4其它费用处理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招标文件未列明，而投标人认为履行本项目合同所必需的费用也需列入报价。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12.5投标货币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投标文件中的单价和总价无特殊规定的采用人民币报价。招标文件中另有规定的按规定执行。</w:t>
      </w:r>
      <w:r/>
    </w:p>
    <w:p>
      <w:pPr>
        <w:ind w:left="0" w:right="0" w:firstLine="47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13</w:t>
      </w:r>
      <w:r>
        <w:rPr>
          <w:rFonts w:ascii="SimSun" w:hAnsi="SimSun" w:eastAsia="SimSun" w:cs="SimSun"/>
          <w:color w:val="000000"/>
          <w:sz w:val="24"/>
        </w:rPr>
        <w:t xml:space="preserve">、</w:t>
      </w:r>
      <w:r>
        <w:rPr>
          <w:rFonts w:ascii="SimSun" w:hAnsi="SimSun" w:eastAsia="SimSun" w:cs="SimSun"/>
          <w:color w:val="000000"/>
          <w:sz w:val="28"/>
        </w:rPr>
        <w:t xml:space="preserve">技术偏离表、商务偏离表及投标说明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对招标文件中的技术与商务条款要求的偏离项应逐项作出说明，并说明原因；</w:t>
      </w:r>
      <w:r/>
    </w:p>
    <w:p>
      <w:pPr>
        <w:ind w:left="0" w:right="0" w:firstLine="480"/>
        <w:jc w:val="both"/>
        <w:spacing w:before="0" w:after="0" w:line="85" w:lineRule="atLeast"/>
        <w:tabs>
          <w:tab w:val="left" w:pos="10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提供本项目评分标准中要求的案例证明材料；</w:t>
      </w:r>
      <w:r/>
    </w:p>
    <w:p>
      <w:pPr>
        <w:ind w:left="0" w:right="0" w:firstLine="480"/>
        <w:jc w:val="both"/>
        <w:spacing w:before="0" w:after="0" w:line="85" w:lineRule="atLeast"/>
        <w:tabs>
          <w:tab w:val="left" w:pos="10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13.3 详细阐述项目实施方案和服务计划；</w:t>
      </w:r>
      <w:r/>
    </w:p>
    <w:p>
      <w:pPr>
        <w:ind w:left="0" w:right="0" w:firstLine="480"/>
        <w:jc w:val="both"/>
        <w:spacing w:before="0" w:after="0" w:line="85" w:lineRule="atLeast"/>
        <w:tabs>
          <w:tab w:val="left" w:pos="10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13.4 投标人认为需要的其他技术文件或说明。</w:t>
      </w:r>
      <w:r/>
    </w:p>
    <w:p>
      <w:pPr>
        <w:pStyle w:val="648"/>
        <w:ind w:left="0" w:right="0" w:firstLine="47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14、服务承诺及服务机构、人员的情况介绍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投标人的服务承诺应不低于招标文件中商务要求的标准。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提供投标人有关服务的管理制度、服务机构的分布情况、服务人员的数量、素质、技术水平及服务的反应能力和相关证明材料。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 投标人需根据招标文件要求提供培训计划。</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14.4 投标人需根据招标文件要求提供所投标的的主要组成部分、功能设计、实现思路及关键技术等。</w:t>
      </w:r>
      <w:r/>
    </w:p>
    <w:p>
      <w:pPr>
        <w:pStyle w:val="648"/>
        <w:ind w:left="0" w:right="0" w:firstLine="47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15、投标函和开标一览表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投标人应按照招标文件中提供的格式完整、正确填写投标函、开标一览表。</w:t>
      </w:r>
      <w:r/>
    </w:p>
    <w:p>
      <w:pPr>
        <w:pStyle w:val="648"/>
        <w:ind w:left="0" w:right="0" w:firstLine="47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16、投标保证金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本项目无需递交投标保证金。</w:t>
      </w:r>
      <w:r/>
    </w:p>
    <w:p>
      <w:pPr>
        <w:pStyle w:val="648"/>
        <w:ind w:left="0" w:right="0" w:firstLine="47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17、投标有效期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 </w:t>
      </w:r>
      <w:r>
        <w:rPr>
          <w:rFonts w:ascii="SimSun" w:hAnsi="SimSun" w:eastAsia="SimSun" w:cs="SimSun"/>
          <w:b/>
          <w:color w:val="000000"/>
          <w:sz w:val="24"/>
          <w:u w:val="single"/>
        </w:rPr>
        <w:t xml:space="preserve">*投标有效期为采购代理机构规定的开标之日后90日历天。投标有效期比规定短的将被视为非响应性投标而予以拒绝。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 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p>
    <w:p>
      <w:pPr>
        <w:pStyle w:val="648"/>
        <w:ind w:left="0" w:right="0" w:firstLine="47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18、投标文件签署</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 投标人需按照文件要求签字或盖章。</w:t>
      </w:r>
      <w:r/>
    </w:p>
    <w:p>
      <w:pPr>
        <w:pStyle w:val="646"/>
        <w:ind w:left="0" w:right="0" w:firstLine="436"/>
        <w:jc w:val="both"/>
        <w:spacing w:before="156"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四、投标文件的递交</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19、投标文件的递交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 电子投标文件的递交投标人应当按照《操作手册》规定，在投标截止时间前制作并上传电子投标文件。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19.2政府采购管理交易系统（苏采云）相关要求是本采购文件的组成部分。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19.3投标人应对 CA 证书妥善保管，如被他人盗用投标，因此带来的结果均由投标人自行承担。</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19.4投标人应当对采购文件提出的要求和条件作出实质性响应，并在电子投标系统逐条应答。</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19.5投标人应对要求提供的资格证明文件（如资质证书、资格证书）、技术资料（如白皮书、彩页、手册、检测报告等）扫描上传至投标系统。</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19.6投标人应当在采购文件要求提交投标文件的截止时间前，将投标文件提交至“苏采云”系统，逾期提交的投标文件，“苏采云”系统将自动拒收。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19.7各投标人应在规定时间内凭CA证书进行网上解密。</w:t>
      </w:r>
      <w:r/>
    </w:p>
    <w:p>
      <w:pPr>
        <w:pStyle w:val="648"/>
        <w:ind w:left="0" w:right="0" w:firstLine="47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20、投标截止日期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 投标人上传电子投标文件的时间不得迟于招标公告中规定的投标截止时间。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投标人应充分考虑到网络环境、网络带宽等风险因素，如因投标人自身原因造成的电子投标文件上传不成功由投标人自行承担全部责任。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 代理机构可以按照规定，通过修改采购文件延长投标截止日期，在此情况下，投标人的所有权利和义务以及投标人受制的截止日期均应以延长后新的截止日期为准。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21、迟交的投标文件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*21.1 苏采云系统将拒绝并退回在其规定的投标截止时间后收到的任何投标文件。</w:t>
      </w:r>
      <w:r/>
    </w:p>
    <w:p>
      <w:pPr>
        <w:pStyle w:val="648"/>
        <w:ind w:left="0" w:right="0" w:firstLine="47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22、投标文件的修改和撤回</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 投标文件的撤回</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22.1.1 电子投标文件的撤回</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投标人可在投标截止时间前，撤回其电子投标文件，具体操作方法见《操作手册》。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22.1.2 投标人撤回电子投标文件，则认为其不再参与本项目投标活动。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 投标文件的修改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投标人可在投标截止时间前，对其电子投标文件进行修改，具体操作方法见《操作手册》。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 在投标截止时间之后，投标人不得对其电子投标文件作任何修改。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22.4 在投标截止时间至采购文件中规定的投标有效期满之间的这段时间内，投标人不得撤回其投标。</w:t>
      </w:r>
      <w:r/>
    </w:p>
    <w:p>
      <w:pPr>
        <w:pStyle w:val="646"/>
        <w:ind w:left="0" w:right="0" w:firstLine="436"/>
        <w:jc w:val="both"/>
        <w:spacing w:before="156"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五、开标与评标</w:t>
      </w:r>
      <w:r/>
    </w:p>
    <w:p>
      <w:pPr>
        <w:pStyle w:val="648"/>
        <w:ind w:left="0" w:right="0" w:firstLine="47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23、开标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 代理机构将在招标公告中规定的时间和地点组织公开开标。投标人应当按照《操作手册》规定，参加开标活动。投标人未参加开标的，视同认可开标结果。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w:t>
      </w:r>
      <w:r>
        <w:rPr>
          <w:rFonts w:ascii="SimSun" w:hAnsi="SimSun" w:eastAsia="SimSun" w:cs="SimSun"/>
          <w:b/>
          <w:color w:val="000000"/>
          <w:sz w:val="24"/>
        </w:rPr>
        <w:t xml:space="preserve">开标仪式由代理机构组织。“政府采购管理交易系统（苏采云）”将自动对项目进行开标，并宣读各投标人的《开标一览表》。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 投标人在开标过程中涉及到的投标文件解密、开标结果确认等工作，应按照《操作手册》规定执行。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23.4 </w:t>
      </w:r>
      <w:r>
        <w:rPr>
          <w:rFonts w:ascii="SimSun" w:hAnsi="SimSun" w:eastAsia="SimSun" w:cs="SimSun"/>
          <w:b/>
          <w:color w:val="000000"/>
          <w:sz w:val="24"/>
          <w:u w:val="single"/>
        </w:rPr>
        <w:t xml:space="preserve">*投标人在报价时不允许采用选择性报价，否则将被视为无效投标</w:t>
      </w:r>
      <w:r>
        <w:rPr>
          <w:rFonts w:ascii="SimSun" w:hAnsi="SimSun" w:eastAsia="SimSun" w:cs="SimSun"/>
          <w:color w:val="000000"/>
          <w:sz w:val="24"/>
        </w:rPr>
        <w:t xml:space="preserve">。</w:t>
      </w:r>
      <w:r/>
    </w:p>
    <w:p>
      <w:pPr>
        <w:ind w:left="0" w:right="0" w:firstLine="47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24、评标委员会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 开标后，由评标委员会（以下简称评委会）进行评标。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 评委会由行业专家、采购人代表组成，且人员构成符合有关规定。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24.3评委会应以科学、公正的态度参加评审工作并推荐中标候选人。评审专家在评审过程中不受任何干扰，独立、负责地提出评审意见，并对自己的评审意见承担责任。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24.4评委会将对投标人的商业、技术秘密予以保密。</w:t>
      </w:r>
      <w:r/>
    </w:p>
    <w:p>
      <w:pPr>
        <w:pStyle w:val="648"/>
        <w:ind w:left="0" w:right="0" w:firstLine="47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25．评标过程的保密与公正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25.1公开开标后，直至向中标的投标人授予合同时止，凡是与审查、澄清、评价和比较投标的有关资料以及授标建议等，均不得向投标人或与评标无关的其他人员透露。</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 </w:t>
      </w:r>
      <w:r>
        <w:rPr>
          <w:rFonts w:ascii="SimSun" w:hAnsi="SimSun" w:eastAsia="SimSun" w:cs="SimSun"/>
          <w:b/>
          <w:color w:val="000000"/>
          <w:sz w:val="24"/>
          <w:u w:val="single"/>
        </w:rPr>
        <w:t xml:space="preserve">*在评标过程中，如果投标人试图向采购代理机构和参与评标的人员施加任何影响以获取中标，都将会导致其投标被拒绝。</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 采购人、采购代理机构和评标委员会不向未中标的投标人解释未中标原因，也不公布评标过程中的相关细节。</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25.4 采用综合评分法的项目，未中标的投标人可于评标结束后，向采购代理机构查询自己的评审得分及排序情况。</w:t>
      </w:r>
      <w:r/>
    </w:p>
    <w:p>
      <w:pPr>
        <w:pStyle w:val="648"/>
        <w:ind w:left="0" w:right="0" w:firstLine="47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26．投标的澄清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26.1评标期间，为有助于对投标文件的审查、评价和比较，评委会有权以电子函件形式要求投标人对其投标文件进行澄清，但并非对每个投标人都作澄清要求。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投标人的澄清、说明或者补正不得超出投标文件的范围或者改变投标文件的实质性内容。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 接到评委会澄清要求的投标人如未按规定做出澄清，其风险由投标人自行承担。</w:t>
      </w:r>
      <w:r/>
    </w:p>
    <w:p>
      <w:pPr>
        <w:pStyle w:val="648"/>
        <w:ind w:left="0" w:right="0" w:firstLine="47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27、对投标文件的初审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27.1投标文件初审分为资格性检查和符合性检查。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资格性检查：依据法律法规和招标文件的规定，由采购人对投标文件中的资格证明文件进行审查，并将资格审查的结论向评委会进行反馈。</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在进行资格性审查的同时，将在“信用中国”网站（www.creditchina.gov.cn）、对投标人是否被列入失信被执行人、重大税收违法案件当事人名单、政府采购严重失信行为记录名单情况进行查询，以确定投标人是否具备投标资格。查询结果留存并归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接受联合体的项目，两个以上的自然人、法人或者其他组织组成一个联合体，以一个投标人的身份共同参加政府采购活动的,联合体成员存在不良信用记录的，视同联合体存在不良应用记录。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符合性检查：依据招标文件的规定，由评委会从投标文件的有效性、完整性和对招标文件的响应程度进行审查，以确定是否对招标文件的实质性要求作出响应。</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77"/>
        <w:gridCol w:w="4677"/>
      </w:tblGrid>
      <w:tr>
        <w:trPr/>
        <w:tc>
          <w:tcPr>
            <w:tcBorders>
              <w:top w:val="single" w:color="000000" w:sz="7" w:space="0"/>
              <w:left w:val="single" w:color="000000" w:sz="7" w:space="0"/>
              <w:bottom w:val="single" w:color="000000" w:sz="7" w:space="0"/>
              <w:right w:val="single" w:color="000000" w:sz="7" w:space="0"/>
            </w:tcBorders>
            <w:tcMar>
              <w:left w:w="0" w:type="dxa"/>
              <w:top w:w="0" w:type="dxa"/>
              <w:right w:w="0" w:type="dxa"/>
              <w:bottom w:w="0" w:type="dxa"/>
            </w:tcMar>
            <w:tcW w:w="46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符合性审查因素</w:t>
            </w:r>
            <w:r/>
          </w:p>
        </w:tc>
        <w:tc>
          <w:tcPr>
            <w:tcBorders>
              <w:top w:val="single" w:color="000000" w:sz="7" w:space="0"/>
              <w:left w:val="single" w:color="000000" w:sz="7" w:space="0"/>
              <w:bottom w:val="single" w:color="000000" w:sz="7" w:space="0"/>
              <w:right w:val="single" w:color="000000" w:sz="7" w:space="0"/>
            </w:tcBorders>
            <w:tcMar>
              <w:left w:w="0" w:type="dxa"/>
              <w:top w:w="0" w:type="dxa"/>
              <w:right w:w="0" w:type="dxa"/>
              <w:bottom w:w="0" w:type="dxa"/>
            </w:tcMar>
            <w:tcW w:w="46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审查标准</w:t>
            </w:r>
            <w:r/>
          </w:p>
        </w:tc>
      </w:tr>
      <w:tr>
        <w:trPr/>
        <w:tc>
          <w:tcPr>
            <w:tcBorders>
              <w:top w:val="single" w:color="000000" w:sz="7" w:space="0"/>
              <w:left w:val="single" w:color="000000" w:sz="7" w:space="0"/>
              <w:bottom w:val="single" w:color="000000" w:sz="7" w:space="0"/>
              <w:right w:val="single" w:color="000000" w:sz="7" w:space="0"/>
            </w:tcBorders>
            <w:tcMar>
              <w:left w:w="0" w:type="dxa"/>
              <w:top w:w="0" w:type="dxa"/>
              <w:right w:w="0" w:type="dxa"/>
              <w:bottom w:w="0" w:type="dxa"/>
            </w:tcMar>
            <w:tcW w:w="467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法定代表人身份证明或授权委托书</w:t>
            </w:r>
            <w:r/>
          </w:p>
        </w:tc>
        <w:tc>
          <w:tcPr>
            <w:tcBorders>
              <w:top w:val="single" w:color="000000" w:sz="7" w:space="0"/>
              <w:left w:val="single" w:color="000000" w:sz="7" w:space="0"/>
              <w:bottom w:val="single" w:color="000000" w:sz="7" w:space="0"/>
              <w:right w:val="single" w:color="000000" w:sz="7" w:space="0"/>
            </w:tcBorders>
            <w:tcMar>
              <w:left w:w="0" w:type="dxa"/>
              <w:top w:w="0" w:type="dxa"/>
              <w:right w:w="0" w:type="dxa"/>
              <w:bottom w:w="0" w:type="dxa"/>
            </w:tcMar>
            <w:tcW w:w="467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符合招标文件要求</w:t>
            </w:r>
            <w:r/>
          </w:p>
        </w:tc>
      </w:tr>
      <w:tr>
        <w:trPr/>
        <w:tc>
          <w:tcPr>
            <w:tcBorders>
              <w:top w:val="single" w:color="000000" w:sz="7" w:space="0"/>
              <w:left w:val="single" w:color="000000" w:sz="7" w:space="0"/>
              <w:bottom w:val="single" w:color="000000" w:sz="7" w:space="0"/>
              <w:right w:val="single" w:color="000000" w:sz="7" w:space="0"/>
            </w:tcBorders>
            <w:tcMar>
              <w:left w:w="0" w:type="dxa"/>
              <w:top w:w="0" w:type="dxa"/>
              <w:right w:w="0" w:type="dxa"/>
              <w:bottom w:w="0" w:type="dxa"/>
            </w:tcMar>
            <w:tcW w:w="467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投标文件签署、盖章齐全完整</w:t>
            </w:r>
            <w:r/>
          </w:p>
        </w:tc>
        <w:tc>
          <w:tcPr>
            <w:tcBorders>
              <w:top w:val="single" w:color="000000" w:sz="7" w:space="0"/>
              <w:left w:val="single" w:color="000000" w:sz="7" w:space="0"/>
              <w:bottom w:val="single" w:color="000000" w:sz="7" w:space="0"/>
              <w:right w:val="single" w:color="000000" w:sz="7" w:space="0"/>
            </w:tcBorders>
            <w:tcMar>
              <w:left w:w="0" w:type="dxa"/>
              <w:top w:w="0" w:type="dxa"/>
              <w:right w:w="0" w:type="dxa"/>
              <w:bottom w:w="0" w:type="dxa"/>
            </w:tcMar>
            <w:tcW w:w="467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符合招标文件要求</w:t>
            </w:r>
            <w:r/>
          </w:p>
        </w:tc>
      </w:tr>
      <w:tr>
        <w:trPr/>
        <w:tc>
          <w:tcPr>
            <w:tcBorders>
              <w:top w:val="single" w:color="000000" w:sz="7" w:space="0"/>
              <w:left w:val="single" w:color="000000" w:sz="7" w:space="0"/>
              <w:bottom w:val="single" w:color="000000" w:sz="7" w:space="0"/>
              <w:right w:val="single" w:color="000000" w:sz="7" w:space="0"/>
            </w:tcBorders>
            <w:tcMar>
              <w:left w:w="0" w:type="dxa"/>
              <w:top w:w="0" w:type="dxa"/>
              <w:right w:w="0" w:type="dxa"/>
              <w:bottom w:w="0" w:type="dxa"/>
            </w:tcMar>
            <w:tcW w:w="467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投标有效期</w:t>
            </w:r>
            <w:r/>
          </w:p>
        </w:tc>
        <w:tc>
          <w:tcPr>
            <w:tcBorders>
              <w:top w:val="single" w:color="000000" w:sz="7" w:space="0"/>
              <w:left w:val="single" w:color="000000" w:sz="7" w:space="0"/>
              <w:bottom w:val="single" w:color="000000" w:sz="7" w:space="0"/>
              <w:right w:val="single" w:color="000000" w:sz="7" w:space="0"/>
            </w:tcBorders>
            <w:tcMar>
              <w:left w:w="0" w:type="dxa"/>
              <w:top w:w="0" w:type="dxa"/>
              <w:right w:w="0" w:type="dxa"/>
              <w:bottom w:w="0" w:type="dxa"/>
            </w:tcMar>
            <w:tcW w:w="467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符合招标文件要求</w:t>
            </w:r>
            <w:r/>
          </w:p>
        </w:tc>
      </w:tr>
      <w:tr>
        <w:trPr/>
        <w:tc>
          <w:tcPr>
            <w:tcBorders>
              <w:top w:val="single" w:color="000000" w:sz="7" w:space="0"/>
              <w:left w:val="single" w:color="000000" w:sz="7" w:space="0"/>
              <w:bottom w:val="single" w:color="000000" w:sz="7" w:space="0"/>
              <w:right w:val="single" w:color="000000" w:sz="7" w:space="0"/>
            </w:tcBorders>
            <w:tcMar>
              <w:left w:w="0" w:type="dxa"/>
              <w:top w:w="0" w:type="dxa"/>
              <w:right w:w="0" w:type="dxa"/>
              <w:bottom w:w="0" w:type="dxa"/>
            </w:tcMar>
            <w:tcW w:w="467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项目需求中的实质性要求</w:t>
            </w:r>
            <w:r/>
          </w:p>
        </w:tc>
        <w:tc>
          <w:tcPr>
            <w:tcBorders>
              <w:top w:val="single" w:color="000000" w:sz="7" w:space="0"/>
              <w:left w:val="single" w:color="000000" w:sz="7" w:space="0"/>
              <w:bottom w:val="single" w:color="000000" w:sz="7" w:space="0"/>
              <w:right w:val="single" w:color="000000" w:sz="7" w:space="0"/>
            </w:tcBorders>
            <w:tcMar>
              <w:left w:w="0" w:type="dxa"/>
              <w:top w:w="0" w:type="dxa"/>
              <w:right w:w="0" w:type="dxa"/>
              <w:bottom w:w="0" w:type="dxa"/>
            </w:tcMar>
            <w:tcW w:w="467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符合招标文件要求</w:t>
            </w:r>
            <w:r/>
          </w:p>
        </w:tc>
      </w:tr>
      <w:tr>
        <w:trPr/>
        <w:tc>
          <w:tcPr>
            <w:tcBorders>
              <w:top w:val="single" w:color="000000" w:sz="7" w:space="0"/>
              <w:left w:val="single" w:color="000000" w:sz="7" w:space="0"/>
              <w:bottom w:val="single" w:color="000000" w:sz="7" w:space="0"/>
              <w:right w:val="single" w:color="000000" w:sz="7" w:space="0"/>
            </w:tcBorders>
            <w:tcMar>
              <w:left w:w="0" w:type="dxa"/>
              <w:top w:w="0" w:type="dxa"/>
              <w:right w:w="0" w:type="dxa"/>
              <w:bottom w:w="0" w:type="dxa"/>
            </w:tcMar>
            <w:tcW w:w="467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其他实质性要求</w:t>
            </w:r>
            <w:r/>
          </w:p>
        </w:tc>
        <w:tc>
          <w:tcPr>
            <w:tcBorders>
              <w:top w:val="single" w:color="000000" w:sz="7" w:space="0"/>
              <w:left w:val="single" w:color="000000" w:sz="7" w:space="0"/>
              <w:bottom w:val="single" w:color="000000" w:sz="7" w:space="0"/>
              <w:right w:val="single" w:color="000000" w:sz="7" w:space="0"/>
            </w:tcBorders>
            <w:tcMar>
              <w:left w:w="0" w:type="dxa"/>
              <w:top w:w="0" w:type="dxa"/>
              <w:right w:w="0" w:type="dxa"/>
              <w:bottom w:w="0" w:type="dxa"/>
            </w:tcMar>
            <w:tcW w:w="467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符合招标文件要求</w:t>
            </w:r>
            <w:r/>
          </w:p>
        </w:tc>
      </w:tr>
    </w:tbl>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 未通过资格审查或符合性审查的投标人，将现场告知投标人未通过资格审查或符合性审查的原因，评审结束后，将不再告知未通过资格审查或符合性审查的原因。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27.3在详细评标之前，评委会将首先审查每份投标文件是否实质性响应了招标文件的要求。实质性响应的投标应该是与招标文件要求的全部实质性条款、条件和规格相符，没有重大偏离或保留的投标。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三分之二及以上成员的认定。评委决定投标文件的响应性只根据投标文件本身的内容，而不寻求外部的证据。</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*27.3如果投标文件实质上没有响应招标文件的要求，评委会将予以拒绝，投标人不得通过修改或撤销不合要求的偏离或保留而使其投标成为实质性响应的投标。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27.4评委会将对确定为实质性响应的投标进行进一步审核，看其是否有计算上或累加上的算术错误，修正错误的原则如下：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（1）投标文件中开标一览表（报价表）内容与投标文件中相应内容不一致的，以开标一览表（报价表）为准；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（2）大写金额和小写金额不一致的，以大写金额为准；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（3）单价金额小数点或者百分比有明显错位的，以开标一览表的总价为准，并修改单价；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（4）总价金额与按单价汇总金额不一致的，以单价金额计算结果为准。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*同时出现两种以上不一致的，按照前款规定的顺序修正。</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27.5相同品牌产品投标的评审（货物项目适用）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非单一产品采购项目，确定核心产品的方法在招标文件技术需求中载明。多家投标人提供的核心产品品牌相同的，按前两款规定处理。（本项目不适用）</w:t>
      </w:r>
      <w:r/>
    </w:p>
    <w:p>
      <w:pPr>
        <w:pStyle w:val="648"/>
        <w:ind w:left="0" w:right="0" w:firstLine="48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single"/>
        </w:rPr>
        <w:t xml:space="preserve">*28、无效投标条款和废标条款</w:t>
      </w:r>
      <w:r/>
    </w:p>
    <w:p>
      <w:pPr>
        <w:ind w:left="549"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28.1无效投标条款</w:t>
      </w:r>
      <w:r/>
    </w:p>
    <w:p>
      <w:pPr>
        <w:ind w:left="0" w:right="0" w:firstLine="36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（1）投标文件未按招标文件要求签署、盖章的；</w:t>
      </w:r>
      <w:r/>
    </w:p>
    <w:p>
      <w:pPr>
        <w:ind w:left="0" w:right="0" w:firstLine="36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（2）在报价时采用选择性报价；</w:t>
      </w:r>
      <w:r/>
    </w:p>
    <w:p>
      <w:pPr>
        <w:ind w:left="0" w:right="0" w:firstLine="36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（3）不具备招标文件中规定的资格要求或投标文件未按招标文件规定提供资格证明文件的；</w:t>
      </w:r>
      <w:r/>
    </w:p>
    <w:p>
      <w:pPr>
        <w:ind w:left="0" w:right="0" w:firstLine="36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（4）报价超过招标文件中规定的预算金额或者最高限价的；</w:t>
      </w:r>
      <w:r/>
    </w:p>
    <w:p>
      <w:pPr>
        <w:ind w:left="0" w:right="0" w:firstLine="36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（5）投标文件含有采购人不能接受的附加条件的；</w:t>
      </w:r>
      <w:r/>
    </w:p>
    <w:p>
      <w:pPr>
        <w:ind w:left="0" w:right="0" w:firstLine="36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（6）未通过符合性审查的。</w:t>
      </w:r>
      <w:r/>
    </w:p>
    <w:p>
      <w:pPr>
        <w:ind w:left="0" w:right="0" w:firstLine="36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（7）投标人未成功解密电子投标文件的。</w:t>
      </w:r>
      <w:r/>
    </w:p>
    <w:p>
      <w:pPr>
        <w:ind w:left="0" w:right="0" w:firstLine="36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（8） 投标人未按照采购文件要求上传电子投标文件的。</w:t>
      </w:r>
      <w:r/>
    </w:p>
    <w:p>
      <w:pPr>
        <w:ind w:left="0" w:right="0" w:firstLine="36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（9）不符合法律、法规及招标文件中规定的其他实质性要求的（本招标文件中加注“*”或“★”号部分均为实质性要求和条件）；</w:t>
      </w:r>
      <w:r/>
    </w:p>
    <w:p>
      <w:pPr>
        <w:ind w:left="0" w:right="0" w:firstLine="36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（10）经查询，投标人被“信用中国”网站（www.creditchina.gov.cn）列入失信被执行人或重大税收违法案件当事人名单或政府采购严重失信行为记录名单的；</w:t>
      </w:r>
      <w:r/>
    </w:p>
    <w:p>
      <w:pPr>
        <w:ind w:left="0" w:right="0" w:firstLine="36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11）评标委员会认为投标人的报价明显低于其他通过符合性审查投标人的报价，有可能影响产品（或服务）质量或者不能诚信履约的，要求其在评标现场合理的时间内提供书面说明，并在必要时提交相关证明材料后，投标人不能证明其报价合理性的；</w:t>
      </w:r>
      <w:r/>
    </w:p>
    <w:p>
      <w:pPr>
        <w:ind w:left="0" w:right="0" w:firstLine="36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（12）其他法律、法规及本招标文件规定的属无效投标的情形。</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*28.2废标条款：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（1）符合专业条件的投标人或者对招标文件作实质响应的投标人不足三家的；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（2）出现影响采购公正的违法、违规行为的；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（3）投标人的报价均超过了采购预算，采购人不能支付的；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（4）因重大变故，采购任务取消的。</w:t>
      </w:r>
      <w:r/>
    </w:p>
    <w:p>
      <w:pPr>
        <w:ind w:left="7" w:right="0" w:firstLine="47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 投标截止时间结束后参加投标的投标人不足三家的处理：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28.3.1对于公开招标数额标准以上的采购项目，投标截止后投标人不足3家或者通过资格审查或符合性审查的投标人不足3家的，除采购任务取消情形外，按照以下方式处理：</w:t>
      </w:r>
      <w:r/>
    </w:p>
    <w:p>
      <w:pPr>
        <w:ind w:left="7" w:right="0" w:firstLine="47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（1）招标文件存在不合理条款或者招标程序不符合规定的，采购人将在改正后依法重新招标；</w:t>
      </w:r>
      <w:r/>
    </w:p>
    <w:p>
      <w:pPr>
        <w:ind w:left="7" w:right="0" w:firstLine="47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（2）招标文件没有不合理条款、招标程序符合规定，需要采用其他采购方式采购的，采购人将在依法报财政部门批准后，重新组织采购。</w:t>
      </w:r>
      <w:r/>
    </w:p>
    <w:p>
      <w:pPr>
        <w:pStyle w:val="646"/>
        <w:ind w:left="0" w:right="0" w:firstLine="436"/>
        <w:jc w:val="both"/>
        <w:spacing w:before="156"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六、定标</w:t>
      </w:r>
      <w:r/>
    </w:p>
    <w:p>
      <w:pPr>
        <w:pStyle w:val="648"/>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29、确定中标单位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评委会根据本招标文件规定评分办法与评分标准综合打分，并按综合得分由高到低顺序向项目采购人推荐3名中标候选人。中标人拒绝与采购人签订合同的，采购人可以按照评审报告推荐的中标候选人名单排序，确定下一候选人为中标人，也可以重新开展政府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 采购人根据评委会推荐的中标候选人按规定确定中标人。评标结果按评审后得分由高到低顺序排列。得分相同的，按投标报价由低到高顺序排列。投标报价相同的并列。投标文件满足招标文件全部实质性要求，且按照评审因素的量化指标评审得分最高的投标人为排名第一的中标候选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29.3评审结束后，中标人名单将在</w:t>
      </w:r>
      <w:r>
        <w:rPr>
          <w:rFonts w:ascii="SimSun" w:hAnsi="SimSun" w:eastAsia="SimSun" w:cs="SimSun"/>
          <w:color w:val="000000"/>
          <w:sz w:val="24"/>
          <w:u w:val="single"/>
        </w:rPr>
        <w:t xml:space="preserve">“江苏政府采购网”（http://www.ccgp-jiangsu.gov.cn/）</w:t>
      </w:r>
      <w:r>
        <w:rPr>
          <w:rFonts w:ascii="SimSun" w:hAnsi="SimSun" w:eastAsia="SimSun" w:cs="SimSun"/>
          <w:color w:val="000000"/>
          <w:sz w:val="24"/>
        </w:rPr>
        <w:t xml:space="preserve">进行公示，公告期限为1个工作日。</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*29.4若有充分证据证明，中标候选人出现下列情况之一的，一经查实，采购人有权提请评委会或财政部门重新确定其中标资格：</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（1）提供虚假材料谋取中标的；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（2）与评审专家、采购人、其他投标人或者采购代理机构工作人员恶意串通的；</w:t>
      </w:r>
      <w:r/>
    </w:p>
    <w:p>
      <w:pPr>
        <w:ind w:left="48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（3）向评审专家、采购人或采购代理机构工作人员行贿或者提供其他不正</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当利益的；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（4）不满足本招标文件规定的实质性要求，但在评标过程中又未被评委会发现的；</w:t>
      </w:r>
      <w:r/>
    </w:p>
    <w:p>
      <w:pPr>
        <w:ind w:left="48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（5）有下列情形之一的，视为投标人串通投标，投标无效：</w:t>
      </w:r>
      <w:r/>
    </w:p>
    <w:p>
      <w:pPr>
        <w:ind w:left="48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①不同投标人的投标文件由同一单位或者个人编制；</w:t>
      </w:r>
      <w:r/>
    </w:p>
    <w:p>
      <w:pPr>
        <w:ind w:left="48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②不同投标人委托同一单位或者个人办理投标事宜；</w:t>
      </w:r>
      <w:r/>
    </w:p>
    <w:p>
      <w:pPr>
        <w:ind w:left="48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③不同投标人的投标文件载明的项目管理成员或者联系人员为同一人；</w:t>
      </w:r>
      <w:r/>
    </w:p>
    <w:p>
      <w:pPr>
        <w:ind w:left="48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④不同投标人的投标文件异常一致或者投标报价呈规律性差异；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（6）不符合法律、法规的规定的其他情形。</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不符合法定中标条件的，采购人可按评委会推荐的中标候选人名单排序，确定下一候选人为中标人，也可以重新开展政府采购活动。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30、质疑处理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30.1提出质疑的投标人（以下简称质疑投标人）应当是参与所质疑项目采购活动的投标人。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30.2投标人认为招标文件、采购过程、中标或者成交结果使自己的权益受到损害的，可以在知道或者应知其权益受到损害之日起7个工作日内，以书面形式按招标文件要求向采购人、采购代理机构提出质疑。上述投标人应知其权益受到损害之日，是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30.2.1对可以质疑的招标文件提出质疑的，为收到招标文件之日或者招标文件公告期限届满之日；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30.2.2对采购过程提出质疑的，为各采购程序环节结束之日；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30.2.3对中标结果提出质疑的，为中标结果公告期限届满之日。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30.3本项目要求投标人（或潜在投标人）在法定质疑期内一次性提出针对同一采购程序环节的质疑。投标人如在法定期限内对同一采购程序环节提出多次质疑的，采购代理机构、采购人将只对投标人第一次质疑作出答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30.4 投标人提出质疑应当提交质疑函和必要的证明材料。质疑函须按照中国政府采购网（http://www.ccgp.gov.cn/）提供的质疑函范本要求的格式和内容进行填写。投标人如组成联合体参加投标，则要求签字、盖章、加盖公章之处，联合体各方均须按要求签字、盖章、加盖公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投标人为自然人的，应当由本人签字；投标人为法人或者其他组织的，应当由法定代表人、主要负责人，或者其授权代表签字或者盖章，并加盖公章。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30.5质疑函及证明材料应在法定质疑期内采用书面形式递交至下列地址：</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采购代理机构：江苏海外集团国际工程咨询有限公司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联系人：肖旭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联系电话：025-84795989</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地址：南京市建邺区云龙山路56号大唐科技大厦A座高区15楼</w:t>
      </w:r>
      <w:r/>
    </w:p>
    <w:p>
      <w:pPr>
        <w:ind w:left="0" w:right="0" w:firstLine="3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30.6投标人提出书面质疑必须有理、有据，不得捏造事实、提供虚假材料进行恶意质疑。否则，一经查实，采购人、采购代理机构有权依据政府采购的有关规定，报请政府采购监管部门对该投标人进行相应的行政处罚和记录该投标人的失信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31、中标通知书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31.l 采购代理机构将在中标公告发布的同时向中标人发出中标通知书。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31.2中标通知书将是合同的一个组成部分。对采购人和中标人均具有法律效力。中标通知书发出后，采购人改变中标结果的，或者中标人放弃中标项目的，应当依法承担法律责任。</w:t>
      </w:r>
      <w:r/>
    </w:p>
    <w:p>
      <w:pPr>
        <w:pStyle w:val="646"/>
        <w:ind w:left="0" w:right="0" w:firstLine="481"/>
        <w:jc w:val="both"/>
        <w:spacing w:before="156" w:after="156"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七、授予合同</w:t>
      </w:r>
      <w:r/>
    </w:p>
    <w:p>
      <w:pPr>
        <w:ind w:left="0" w:right="0" w:firstLine="480"/>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32. 签订合同</w:t>
      </w:r>
      <w:r/>
    </w:p>
    <w:p>
      <w:pPr>
        <w:ind w:left="0" w:right="0" w:firstLine="480"/>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32.l中标人应按中标通知书规定的时间、地点,按照招标文件确定的事项与采购人签订政府采购合同，且不得迟于中标通知书发出之日起三十日内，否则由此给采购人造成损失的，中标人还应承担赔偿责任。</w:t>
      </w:r>
      <w:r/>
    </w:p>
    <w:p>
      <w:pPr>
        <w:ind w:left="0" w:right="0" w:firstLine="480"/>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32.2 招标文件、中标人的投标文件及招标过程中有关澄清、承诺文件均应作为合同附件。</w:t>
      </w:r>
      <w:r/>
    </w:p>
    <w:p>
      <w:pPr>
        <w:ind w:left="0" w:right="0" w:firstLine="480"/>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 签订合同后，</w:t>
      </w:r>
      <w:r>
        <w:rPr>
          <w:rFonts w:ascii="SimSun" w:hAnsi="SimSun" w:eastAsia="SimSun" w:cs="SimSun"/>
          <w:b/>
          <w:color w:val="000000"/>
          <w:sz w:val="24"/>
          <w:u w:val="single"/>
        </w:rPr>
        <w:t xml:space="preserve">*中标人不得将货物、服务进行转包</w:t>
      </w:r>
      <w:r>
        <w:rPr>
          <w:rFonts w:ascii="SimSun" w:hAnsi="SimSun" w:eastAsia="SimSun" w:cs="SimSun"/>
          <w:color w:val="000000"/>
          <w:sz w:val="24"/>
        </w:rPr>
        <w:t xml:space="preserve">。未经采购人同意，中标人也不得采用分包的形式履行合同，否则采购人有权终止合同。转包或分包造成采购人损失的，中标人应承担相应赔偿责任。</w:t>
      </w:r>
      <w:r/>
    </w:p>
    <w:p>
      <w:pPr>
        <w:ind w:left="0" w:right="0" w:firstLine="480"/>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33、货物、服务的追加、减少和添购。</w:t>
      </w:r>
      <w:r/>
    </w:p>
    <w:p>
      <w:pPr>
        <w:ind w:left="0" w:right="0" w:firstLine="480"/>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33.1政府采购合同履行中，需追加与合同标的相同的货物、服务的，在不改变价格水平、合同及其他条款的前提下，采购人可以与中标人协商签订补充合同，但所有补充合同的采购金额不得超过原合同采购金额的百分之十。</w:t>
      </w:r>
      <w:r/>
    </w:p>
    <w:p>
      <w:pPr>
        <w:ind w:left="0" w:right="0" w:firstLine="480"/>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u w:val="none"/>
        </w:rPr>
        <w:t xml:space="preserve">34</w:t>
      </w:r>
      <w:r>
        <w:rPr>
          <w:rFonts w:ascii="SimSun" w:hAnsi="SimSun" w:eastAsia="SimSun" w:cs="SimSun"/>
          <w:color w:val="000000"/>
          <w:sz w:val="30"/>
        </w:rPr>
        <w:t xml:space="preserve">、政府采购履约资金扶持政策</w:t>
      </w:r>
      <w:r/>
    </w:p>
    <w:p>
      <w:pPr>
        <w:ind w:left="0" w:right="0" w:firstLine="480"/>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p>
    <w:p>
      <w:pPr>
        <w:ind w:left="0" w:right="0" w:firstLine="480"/>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35、电子投标文件要求</w:t>
      </w:r>
      <w:r/>
    </w:p>
    <w:p>
      <w:pPr>
        <w:ind w:left="0" w:right="0" w:firstLine="480"/>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35.1电子招标投标交易平台（即“苏采云”系统，网址：http://jszfcg.jsczt.cn/）相关要求是本采购文件的组成部分。</w:t>
      </w:r>
      <w:r/>
    </w:p>
    <w:p>
      <w:pPr>
        <w:ind w:left="0" w:right="0" w:firstLine="480"/>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35.2投标人应对 CA 证书妥善保管，如被他人盗用投标，因此带来的结果均由投标人自行承担。</w:t>
      </w:r>
      <w:r/>
    </w:p>
    <w:p>
      <w:pPr>
        <w:ind w:left="0" w:right="0" w:firstLine="480"/>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35.3投标人应当对采购文件提出的要求和条件作出实质性响应，并在电子投标系统逐条应答。</w:t>
      </w:r>
      <w:r/>
    </w:p>
    <w:p>
      <w:pPr>
        <w:ind w:left="0" w:right="0" w:firstLine="480"/>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35.4投标人应对要求提供的资格证明文件（如资质证书、资格证书）、技术资料（如白皮书、彩页、手册、检测报告等）扫描上传至投标系统。</w:t>
      </w:r>
      <w:r/>
    </w:p>
    <w:p>
      <w:pPr>
        <w:ind w:left="0" w:right="0" w:firstLine="480"/>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36、中标服务费</w:t>
      </w:r>
      <w:r/>
    </w:p>
    <w:p>
      <w:pPr>
        <w:ind w:left="0" w:right="0" w:firstLine="426"/>
        <w:jc w:val="both"/>
        <w:spacing w:before="0" w:after="120" w:line="8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领取中标通知书前</w:t>
      </w:r>
      <w:r>
        <w:rPr>
          <w:rFonts w:ascii="SimSun" w:hAnsi="SimSun" w:eastAsia="SimSun" w:cs="SimSun"/>
          <w:color w:val="000000"/>
          <w:sz w:val="24"/>
        </w:rPr>
        <w:t xml:space="preserve">，中标人参照《招标代理服务收费管理暂行办法》（计价格[2002]1980号和发改价格[2011]534号规定收费标准的65%收取，向采购代理机构一次性缴纳中标服务费。</w:t>
      </w:r>
      <w:r/>
    </w:p>
    <w:p>
      <w:pPr>
        <w:ind w:left="0" w:right="0" w:firstLine="425"/>
        <w:jc w:val="both"/>
        <w:spacing w:before="0" w:after="12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银行信息：</w:t>
      </w:r>
      <w:r/>
    </w:p>
    <w:p>
      <w:pPr>
        <w:ind w:left="0" w:right="0" w:firstLine="425"/>
        <w:jc w:val="both"/>
        <w:spacing w:before="0" w:after="12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户名：江苏海外集团国际工程咨询有限公司</w:t>
      </w:r>
      <w:r/>
    </w:p>
    <w:p>
      <w:pPr>
        <w:ind w:left="0" w:right="0" w:firstLine="425"/>
        <w:jc w:val="both"/>
        <w:spacing w:before="0" w:after="12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开户银行：交行江苏省分行营业部</w:t>
      </w:r>
      <w:r/>
    </w:p>
    <w:p>
      <w:pPr>
        <w:ind w:left="0" w:right="0" w:firstLine="425"/>
        <w:jc w:val="both"/>
        <w:spacing w:before="0" w:after="12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账号：320006607010141124109</w:t>
        <w:br w:type="page" w:clear="all"/>
      </w:r>
      <w:r/>
    </w:p>
    <w:p>
      <w:pPr>
        <w:ind w:left="0" w:right="0" w:firstLine="425"/>
        <w:jc w:val="both"/>
        <w:spacing w:before="0" w:after="120" w:line="8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pStyle w:val="642"/>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第三章合同文本</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以下为中标后签定本项目合同的通用条款，采购人与中标人应按此签订采购合同。中标人不得提出实质性的修改，关于专用条款将由采购人与中标人结合本项目具体情况协商后签订。</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u w:val="none"/>
        </w:rPr>
        <w:t xml:space="preserve">医疗设备合同</w:t>
      </w:r>
      <w:r/>
    </w:p>
    <w:p>
      <w:pPr>
        <w:ind w:left="5565" w:right="0" w:hanging="556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经公司在江苏政府采购网公开招标,招标编号:,</w:t>
      </w:r>
      <w:r/>
    </w:p>
    <w:p>
      <w:pPr>
        <w:ind w:left="5565" w:right="0" w:hanging="556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招标项目:      合同编号：</w:t>
      </w:r>
      <w:r/>
    </w:p>
    <w:p>
      <w:pPr>
        <w:ind w:left="5565" w:right="0" w:hanging="556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5565" w:right="0" w:hanging="556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甲方：南通市第一人民医院                         乙方：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ab/>
        <w:t xml:space="preserve">甲乙双方根据《中华人民共和国民法典》的相关规定,在平等互利、协商一致的基础上，就乙方销售给甲方设备，特订立本合同。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一、设备名称、型号、数量和价格货币:人民币(元)</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06"/>
        <w:gridCol w:w="2705"/>
        <w:gridCol w:w="675"/>
        <w:gridCol w:w="2702"/>
        <w:gridCol w:w="338"/>
        <w:gridCol w:w="451"/>
        <w:gridCol w:w="450"/>
        <w:gridCol w:w="61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05" w:type="dxa"/>
            <w:vAlign w:val="bottom"/>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75" w:type="dxa"/>
            <w:vAlign w:val="bottom"/>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品牌规格型号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02" w:type="dxa"/>
            <w:vAlign w:val="bottom"/>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生产厂家</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38" w:type="dxa"/>
            <w:vAlign w:val="bottom"/>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51" w:type="dxa"/>
            <w:vAlign w:val="bottom"/>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50" w:type="dxa"/>
            <w:vAlign w:val="bottom"/>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10" w:type="dxa"/>
            <w:vAlign w:val="bottom"/>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成交总价</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0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70"/>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8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总计（大写）：人民币</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（小写）：</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二、设备详细配置清单、售后服务承诺书见附件。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三、付款方式：合同签订后一个月支付合同总额的30%计人民币</w:t>
      </w:r>
      <w:r>
        <w:rPr>
          <w:rFonts w:ascii="SimSun" w:hAnsi="SimSun" w:eastAsia="SimSun" w:cs="SimSun"/>
          <w:b/>
          <w:color w:val="000000"/>
          <w:sz w:val="21"/>
        </w:rPr>
        <w:t xml:space="preserve"> 元，</w:t>
      </w:r>
      <w:r>
        <w:rPr>
          <w:rFonts w:ascii="SimSun" w:hAnsi="SimSun" w:eastAsia="SimSun" w:cs="SimSun"/>
          <w:color w:val="000000"/>
          <w:sz w:val="21"/>
        </w:rPr>
        <w:t xml:space="preserve">货到验收合格后六个月支付合同总额的60%计人民币</w:t>
      </w:r>
      <w:r>
        <w:rPr>
          <w:rFonts w:ascii="SimSun" w:hAnsi="SimSun" w:eastAsia="SimSun" w:cs="SimSun"/>
          <w:b/>
          <w:color w:val="000000"/>
          <w:sz w:val="21"/>
        </w:rPr>
        <w:t xml:space="preserve"> 元</w:t>
      </w:r>
      <w:r>
        <w:rPr>
          <w:rFonts w:ascii="SimSun" w:hAnsi="SimSun" w:eastAsia="SimSun" w:cs="SimSun"/>
          <w:color w:val="000000"/>
          <w:sz w:val="21"/>
        </w:rPr>
        <w:t xml:space="preserve">,验收合格后一年期且设备正常运行支付余款。成交总价已经含税，甲方要求乙方应当在付款前提交正式税务发票。否则，甲方有权拒绝付款。</w:t>
      </w:r>
      <w:r/>
    </w:p>
    <w:p>
      <w:pPr>
        <w:numPr>
          <w:ilvl w:val="0"/>
          <w:numId w:val="6"/>
        </w:numPr>
        <w:spacing w:before="0" w:after="0" w:line="85" w:lineRule="atLeast"/>
        <w:tabs>
          <w:tab w:val="left" w:pos="4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交货期：乙方在合同生效之日起</w:t>
      </w:r>
      <w:r>
        <w:rPr>
          <w:rFonts w:ascii="SimSun" w:hAnsi="SimSun" w:eastAsia="SimSun" w:cs="SimSun"/>
          <w:b/>
          <w:color w:val="000000"/>
          <w:sz w:val="21"/>
        </w:rPr>
        <w:t xml:space="preserve"> 天</w:t>
      </w:r>
      <w:r>
        <w:rPr>
          <w:rFonts w:ascii="SimSun" w:hAnsi="SimSun" w:eastAsia="SimSun" w:cs="SimSun"/>
          <w:color w:val="000000"/>
          <w:sz w:val="21"/>
        </w:rPr>
        <w:t xml:space="preserve">内将设备运抵甲方指定地点。</w:t>
      </w:r>
      <w:r/>
    </w:p>
    <w:p>
      <w:pPr>
        <w:numPr>
          <w:ilvl w:val="0"/>
          <w:numId w:val="6"/>
        </w:numPr>
        <w:spacing w:before="0" w:after="0" w:line="85" w:lineRule="atLeast"/>
        <w:tabs>
          <w:tab w:val="left" w:pos="4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交货地点：南通市第一人民医院内甲方指定地点。</w:t>
      </w:r>
      <w:r/>
    </w:p>
    <w:p>
      <w:pPr>
        <w:numPr>
          <w:ilvl w:val="0"/>
          <w:numId w:val="6"/>
        </w:numPr>
        <w:spacing w:before="0" w:after="0" w:line="85" w:lineRule="atLeast"/>
        <w:tabs>
          <w:tab w:val="left" w:pos="4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质保期：上述设备免费保修</w:t>
      </w:r>
      <w:r>
        <w:rPr>
          <w:rFonts w:ascii="SimSun" w:hAnsi="SimSun" w:eastAsia="SimSun" w:cs="SimSun"/>
          <w:b/>
          <w:color w:val="000000"/>
          <w:sz w:val="21"/>
        </w:rPr>
        <w:t xml:space="preserve"> 年</w:t>
      </w:r>
      <w:r>
        <w:rPr>
          <w:rFonts w:ascii="SimSun" w:hAnsi="SimSun" w:eastAsia="SimSun" w:cs="SimSun"/>
          <w:color w:val="000000"/>
          <w:sz w:val="21"/>
        </w:rPr>
        <w:t xml:space="preserve">；乙方应按生产厂家的保修规定和投标文件说明的服务承诺做好免费保修等服务；保修期内免收材料及人工等一切费用。保修期满后，维修方须终身提供维修服务且只收取维修材料成本费，免收其它一切费用。</w:t>
      </w:r>
      <w:r/>
    </w:p>
    <w:p>
      <w:pPr>
        <w:numPr>
          <w:ilvl w:val="0"/>
          <w:numId w:val="6"/>
        </w:numPr>
        <w:spacing w:before="0" w:after="0" w:line="85" w:lineRule="atLeast"/>
        <w:tabs>
          <w:tab w:val="left" w:pos="4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资质、质量要求及技术标准：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1．特别提醒条款：</w:t>
      </w:r>
      <w:r>
        <w:rPr>
          <w:rFonts w:ascii="SimSun" w:hAnsi="SimSun" w:eastAsia="SimSun" w:cs="SimSun"/>
          <w:b/>
          <w:color w:val="000000"/>
          <w:sz w:val="21"/>
        </w:rPr>
        <w:t xml:space="preserve">a、所提供医疗器械产品注册证必须真实有效；b、所提供设备上的中文品名、型号及产品说明书所注适用范围必须与医疗器械产品注册证所标明的完全一致；c、国产医疗设备上的铭牌必须标注医疗器械注册证号。d、发票上所列品名与型号必须与合同所列品名与型号完全一致；e、甲方所购设备及设备相关应用软件享有应用软件使用权，操作系统及数据库完善和稳定升级，新增功能软件除外。f、其他未提及事项必须符合国家食品药品监督管理局的相关规定。以上条款必须满足，否则由此引起的一切责任由乙方负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2．乙方保证向甲方提供的设备满足中国国家标准或相关行业标准。根据国家规定，如需要提供相关认证证书和标记的设备及有关配置，必须提供上述证书和标记。</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3．乙方保证所供设备型号是最新的技术成熟之产品，且是用上等材料和工艺制成，并严格保持原包装，使用安全可靠，否则造成的一切损失由乙方负全部责任。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4．乙方所供设备如验收不合格，根据甲方的要求，乙方必须无条件换货或退货，由此引起的一切损失由乙方承担。</w:t>
      </w:r>
      <w:r/>
    </w:p>
    <w:p>
      <w:pPr>
        <w:numPr>
          <w:ilvl w:val="0"/>
          <w:numId w:val="6"/>
        </w:numPr>
        <w:spacing w:before="0" w:after="0" w:line="85" w:lineRule="atLeast"/>
        <w:tabs>
          <w:tab w:val="left" w:pos="4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设备到货、安装和验收要求：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1．乙方确保设备安全无损地运抵甲方指定现场，并承担设备的运费、保险费、装卸费等费用。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设备到货时间，请乙方提前一周通知甲方，以便甲方安排好接收工作，乙方人员需到现场一起接收，并负责送到甲方指定位置。设备到货后，甲方及时通知乙方，乙方接到通知一周内到达现场，负责设备的免费安装和调试并做好培训工作。甲乙双方根据配置清单对设备进行开箱清点检查，如果发现数量不足或有质量、技术等问题，乙方应在15天内按照甲方的要求，采取补足、更换或退货等处理措施，并承担由此发生的一切损失和费用。由于乙方原因未能如期交货，对甲方医疗业务造成不良影响的，甲方有权就此向乙方索赔。设备安装时，乙方必须事先与甲方医院设备处</w:t>
      </w:r>
      <w:r>
        <w:rPr>
          <w:rFonts w:ascii="SimSun" w:hAnsi="SimSun" w:eastAsia="SimSun" w:cs="SimSun"/>
          <w:color w:val="000000"/>
          <w:sz w:val="21"/>
        </w:rPr>
        <w:t xml:space="preserve">联系，并与设备处工程师共同参与安装及验收，否则引起的一切责任由乙方承担。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3．如乙方提供的设备设有维修软件密码，乙方应保证无条件地为甲方永久免费打开。</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4．设备安装、调试、培训结束，甲方对设备试用后进行验收（时间由甲、乙双方商定），乙方免费派工程师到达现场协助验收工作，填好相应的安装、调试、培训及验收等相关表格并签字。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5．乙方应派专业技术人员在现场对甲方医院使用人员进行培训指导，在使用一段时间后可根据医院及科室的要求另行安排培训计划。</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6．保修期自甲方医院验收合格之日算起，保修期外只收配件费，免收人工费。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7．乙方提供设备安装和维修所需的专业工具和辅助材料。</w:t>
      </w:r>
      <w:r/>
    </w:p>
    <w:p>
      <w:pPr>
        <w:numPr>
          <w:ilvl w:val="0"/>
          <w:numId w:val="6"/>
        </w:numPr>
        <w:spacing w:before="0" w:after="0" w:line="85" w:lineRule="atLeast"/>
        <w:tabs>
          <w:tab w:val="left" w:pos="4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售后服务要求：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1．确保设备保修期内开机率为95%，如设备故障停机率超过5%（一年按365天计算，每年18天），每超过一天，保修期延长两周。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2．如设备发生故障，乙方在接到甲方报修电话后</w:t>
      </w:r>
      <w:r>
        <w:rPr>
          <w:rFonts w:ascii="SimSun" w:hAnsi="SimSun" w:eastAsia="SimSun" w:cs="SimSun"/>
          <w:b/>
          <w:color w:val="000000"/>
          <w:sz w:val="21"/>
        </w:rPr>
        <w:t xml:space="preserve">小时</w:t>
      </w:r>
      <w:r>
        <w:rPr>
          <w:rFonts w:ascii="SimSun" w:hAnsi="SimSun" w:eastAsia="SimSun" w:cs="SimSun"/>
          <w:color w:val="000000"/>
          <w:sz w:val="21"/>
        </w:rPr>
        <w:t xml:space="preserve">内予以响应，否则甲方可自行采取必要的措施，由此产生的风险和费用由乙方承担。如有特殊情况，乙方应立即电话通知甲方不能响应的原因，在获得甲方同意后，方可推迟响应时间。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无论在保修期内还是保修期外，乙方必须上门维修，乙方工程师来甲方医院维修本设备，必须事先与甲方医院设备处取得联系；在维修过程中与甲方工程师共同完成维修工作。否则由此引起的一切责任由乙方负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4．乙方免费提供全套技术资料（维修说明书包括详细电路图、操作说明书及光盘），如技术资料不全，甲方有权不支付货款。</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十、技术培训：</w:t>
      </w:r>
      <w:r/>
    </w:p>
    <w:p>
      <w:pPr>
        <w:ind w:left="0" w:right="0" w:firstLine="52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在安装过程中或安装结束后，乙方工程师或有关人员有义务对甲方工程师和操作人员进行现场维修、保养、操作培训，解答甲方人员提出的问题。</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十一、双方的违约责任：</w:t>
      </w:r>
      <w:r/>
    </w:p>
    <w:p>
      <w:pPr>
        <w:ind w:left="0" w:right="0" w:firstLine="52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1．如果乙方没有按照合同规定的时间内交货（不可抗力除外），甲方可要求乙方支付违约金。违约金按设备全款每日0.5%计收。违约时间不超过30天，逾期甲方有权解除合同</w:t>
      </w:r>
      <w:r>
        <w:rPr>
          <w:rFonts w:ascii="SimSun" w:hAnsi="SimSun" w:eastAsia="SimSun" w:cs="SimSun"/>
          <w:color w:val="000000"/>
          <w:sz w:val="21"/>
          <w:u w:val="none"/>
        </w:rPr>
        <w:t xml:space="preserve">，同时乙方向甲方支付设备全款</w:t>
      </w:r>
      <w:r>
        <w:rPr>
          <w:rFonts w:ascii="SimSun" w:hAnsi="SimSun" w:eastAsia="SimSun" w:cs="SimSun"/>
          <w:color w:val="000000"/>
          <w:sz w:val="21"/>
        </w:rPr>
        <w:t xml:space="preserve">10%</w:t>
      </w:r>
      <w:r>
        <w:rPr>
          <w:rFonts w:ascii="SimSun" w:hAnsi="SimSun" w:eastAsia="SimSun" w:cs="SimSun"/>
          <w:color w:val="000000"/>
          <w:sz w:val="21"/>
          <w:u w:val="none"/>
        </w:rPr>
        <w:t xml:space="preserve">的违约金。</w:t>
      </w:r>
      <w:r/>
    </w:p>
    <w:p>
      <w:pPr>
        <w:ind w:left="0" w:right="0" w:firstLine="52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如果甲方没有按照合同约定履行支付义务（不可抗力除外），乙方可要求甲方支付违约金。违约金按设备全款每日0.5%计收。违约时间不超过30天，逾期乙方有权解除合同，同时甲方向乙方支付设备全款10%的违约金。（如因甲方财务安排方面原因，可酌情延后付款）</w:t>
      </w:r>
      <w:r/>
    </w:p>
    <w:p>
      <w:pPr>
        <w:ind w:left="0" w:right="0" w:firstLine="52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3．乙方所交物品品种、数量、规格、质量不符合国家法律法规和合同规定的，由乙方负责包修、包换或退货，并承担由此而支付的实际费用。给甲方造成损失的，乙方应当全额赔偿。</w:t>
      </w:r>
      <w:r/>
    </w:p>
    <w:p>
      <w:pPr>
        <w:ind w:left="0" w:right="0" w:firstLine="52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甲乙双方任何一方由于不可抗力原因不能履行合同时，应及时向对方通报不能履行或不能完全履行的理由，以减轻可能给对方造成的损失，在取得有关机构证明后，允许延期履行、部分履行或不履行合同，并根据情况可部分或全部免予承担违约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十二、争议的解决：</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1．因货物的质量问题发生争议，由法律及有关规章规定的技术单位进行质量鉴定，双方无条件服从该鉴定的结论；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2．本合同在履行过程中如发生争议由双方协商解决，如协商不成则提交合同签订地人民法院裁决。</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本合同一式四份，甲方执三份，乙方执一份。</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3．本合同于签订之日起生效。</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4.合同附件是合同不可分割的组成部分,与合同具有同等的法律效力。</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协议签署地点:南通市崇川区。</w:t>
      </w:r>
      <w:r/>
    </w:p>
    <w:p>
      <w:pPr>
        <w:ind w:left="5565" w:right="0" w:hanging="556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甲方：南通市第一人民医院乙方：</w:t>
      </w:r>
      <w:r/>
    </w:p>
    <w:p>
      <w:pPr>
        <w:ind w:left="5565" w:right="0" w:hanging="556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地址：南通市崇川区胜利路666号地址：</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甲方代表（签字）：乙方代表（签字）：</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                                  联系电话： </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使用科室：开户行：账号：</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日期____年__月__日日期____年__月__日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附件1：设备详细配置清单</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附件2：、售后服务承诺书</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第四章项目需求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一、技术需求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（一）基本性能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1、适用于成人、小儿和婴幼儿进行通气辅助及呼吸支持的呼吸机。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2、电动电控呼吸机，涡轮驱动产生空气气源。</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3、采用≥12英寸彩色TFT触摸控制屏，分辨率≥1280*800。</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4、不小于120分钟内置后备可充电电池，电池总剩余电量能显示在屏幕上。</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5、吸气安全阀组件可拆卸，并能高温高压蒸汽消毒（134℃）。</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6、呼气阀组件一体化设计可拆卸，内置金属膜片压差流量传感器，并能高温高压蒸汽消毒（134℃）。</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（二）呼吸模式及功能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1、常规模式：容量控制、同步间歇指令通气、持续气道正压通气和压力支持CPAP/PSV</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2、高级模式：双相气道正压通气、压力调节容量控制通气、压力释放通气、心肺复苏通气模式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3、无创通气模式，包含P-A/C、P-SIMV、CPAP/PSV、DuoLevel、APRV 和 PSV-S/T等模式。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▲4、高流速氧疗功能，氧疗流速不低于80L/min，并具有氧疗计时功能。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5、具有动态肺视图，图形化实时显示肺力学参数。</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6、具备低流速P-V工具，帮助确定最佳PEEP设置值。</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（三）设置参数</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1、潮气量：20ml-2000ml</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2、呼吸频率：1-100次/min</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3、SIMV频率：1-60次/min</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4、吸/呼比：1:10-4:1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5、最大峰值流速：≥210L/min</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6、吸气压力： 5-80 cmH2O</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7、压力支持：0-80cmH2O</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（四）监测参数</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1、气道压力参数：呼气末正压PEEP、气道峰压、平台压、平均压。</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2、分钟通气量参数：总的分钟呼出通气量、自主呼吸分钟呼出通气量、泄漏的分钟通气量、气体泄漏百分比。</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▲3、潮气量参数：吸入潮气量、呼出潮气量、单位理想体重输送的潮气量（例如TVe/IBW或VT/PBW）。</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4、呼吸频率参数：总呼吸频率、自主呼吸频率、机控呼吸频率。</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156"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二、商务需求</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21"/>
        <w:gridCol w:w="1359"/>
        <w:gridCol w:w="6094"/>
      </w:tblGrid>
      <w:tr>
        <w:trPr>
          <w:trHeight w:val="52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5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商务和服务项目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0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商务和服务要求</w:t>
            </w:r>
            <w:r/>
          </w:p>
        </w:tc>
      </w:tr>
      <w:tr>
        <w:trPr>
          <w:trHeight w:val="5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买方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9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南通市第一人民医院</w:t>
            </w:r>
            <w:r/>
          </w:p>
        </w:tc>
      </w:tr>
      <w:tr>
        <w:trPr>
          <w:trHeight w:val="5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卖方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9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待定</w:t>
            </w:r>
            <w:r/>
          </w:p>
        </w:tc>
      </w:tr>
      <w:tr>
        <w:trPr>
          <w:trHeight w:val="5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检验方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9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买方和/或买方委托的监理单位及有关管理部门</w:t>
            </w:r>
            <w:r/>
          </w:p>
        </w:tc>
      </w:tr>
      <w:tr>
        <w:trPr>
          <w:trHeight w:val="5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★交货期/交货地点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9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交货期：合同签订之日起30日内</w:t>
            </w:r>
            <w:r/>
          </w:p>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交货地点：南通市第一人民医院指定地点</w:t>
            </w:r>
            <w:r/>
          </w:p>
        </w:tc>
      </w:tr>
      <w:tr>
        <w:trPr>
          <w:trHeight w:val="4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★保修期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9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1.氧电池质保3年，其他质保5年，终身维护。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2.计算时间以签署验收合格文件之日为准。鼓励供应商延长质保期，评标时将考虑此因素。</w:t>
            </w:r>
            <w:r/>
          </w:p>
        </w:tc>
      </w:tr>
      <w:tr>
        <w:trPr>
          <w:trHeight w:val="4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售后服务承诺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94" w:type="dxa"/>
            <w:vAlign w:val="center"/>
            <w:textDirection w:val="lrTb"/>
            <w:noWrap w:val="false"/>
          </w:tcPr>
          <w:p>
            <w:pPr>
              <w:ind w:left="0" w:right="0" w:firstLine="0"/>
              <w:jc w:val="both"/>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（1）投标文件中应明确负责本项目的合格的维修保养单位，应有相当规模的备件库以满足日常检验及应急修理的需要。确保在接到买方通知后48小时内，将所需配件送达。</w:t>
            </w:r>
            <w:r/>
          </w:p>
          <w:p>
            <w:pPr>
              <w:ind w:left="0" w:right="0" w:firstLine="0"/>
              <w:jc w:val="both"/>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（2）确保设备保修期内开机率为95%，如设备故障停机率超过5%（一年按365天计算，每年18天），每超过一天，保修期延长两周。</w:t>
            </w:r>
            <w:r/>
          </w:p>
          <w:p>
            <w:pPr>
              <w:ind w:left="0" w:right="0" w:firstLine="0"/>
              <w:jc w:val="both"/>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（3）如设备发生故障，卖方在接到买方报修电话后 2 小时内予以响应，否则买方可自行采取必要的措施，由此产生的风险和费用由卖方承担。如有特殊情况，卖方应立即电话通知买方不能响应的原因，在获得买方同意后，方可推迟响应时间。</w:t>
            </w:r>
            <w:r/>
          </w:p>
          <w:p>
            <w:pPr>
              <w:ind w:left="0" w:right="0" w:firstLine="0"/>
              <w:jc w:val="both"/>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（4）确保设备保修期内开机率为95%，如设备故障停机率超过5%（一年按365天计算，每年18天），每超过一天，保修期延长两周。</w:t>
            </w:r>
            <w:r/>
          </w:p>
          <w:p>
            <w:pPr>
              <w:ind w:left="0" w:right="0" w:firstLine="0"/>
              <w:jc w:val="both"/>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（5）如卖方提供的设备设有维修软件密码，卖方应保证无条件地为买方永久免费打开。</w:t>
            </w:r>
            <w:r/>
          </w:p>
          <w:p>
            <w:pPr>
              <w:ind w:left="0" w:right="0" w:firstLine="0"/>
              <w:jc w:val="both"/>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（6）在质保期满后，出现设备故障时，卖方仍需做好售后服务，并在上述时限内及要求赶到现场及时处理解决，以优于市场的价格收取配件费，免收人工费。</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培训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9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卖方负责对买方的操作、维修人员在项目所在地进行业务培训。培训应达到能熟练操作，并能排除常见故障的标准；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验收方式及标准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9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（1）货物验收标准：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1）招标文件技术规格书中明确的标准和技术要求；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2）与合同货物有关的最新版本的中华人民共和国国家/国际标准和部颁标准；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3）卖方随投标文件提供货物制造国的制造及验收的官方标准或货物验收大纲，经买方确认后，将作为对货物的验收依据之一。</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4）卖方在澄清投标文件时作出的承诺，经买方确认后，将作为对货物的验收依据之一。</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（2）货物性能考核指标：</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不得低于上述货物验收标准中的指标。具体指标签订合同时根据招标文件和投标文件确定。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（3）其他说明：如发现存在虚假应标等情况，将不予验收并取消后续供货计划安排。</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交货地点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9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南通市第一人民医院（医院指定的安装地点）</w:t>
            </w:r>
            <w:r/>
          </w:p>
        </w:tc>
      </w:tr>
      <w:tr>
        <w:trPr>
          <w:trHeight w:val="5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设备安装调试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9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卖方应派有经验、有资格的人员（应有证明文件）及时对货物及全系统进行调试。若在合同规定的日期前未完成调试，或买方对调试情况不满意，则买方有权要求货物原制造厂派员前来调试，卖方不得拒绝，所发生的费用由卖方承担。</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w:t>
            </w:r>
            <w:r>
              <w:rPr>
                <w:rFonts w:ascii="SimSun" w:hAnsi="SimSun" w:eastAsia="SimSun" w:cs="SimSun"/>
                <w:color w:val="000000"/>
                <w:sz w:val="24"/>
              </w:rPr>
              <w:t xml:space="preserve">付款方式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9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合同签订后货到验收合格后3个月支付合同总额的90%，验收合格满一年且设备正常运行支付合同总额的10%。</w:t>
            </w:r>
            <w:r/>
          </w:p>
        </w:tc>
      </w:tr>
    </w:tbl>
    <w:p>
      <w:pPr>
        <w:ind w:left="0" w:right="0" w:firstLine="241"/>
        <w:spacing w:before="156"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*注: 商务需求中所有指标必须全部响应，任意一项不满足将判定为无效投标</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三、项目其它要求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1、投标文件整体编制：投标文件应编制规范，内容齐全，所有招标文件要求内容无缺漏，条理清晰、编制有详细的总目录、章节目录和细目等便于评委查询。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2、产品质量、功能、技术先进性：本次投标产品应有完善的质量保证措施，参数满足招标文件要求，制造工艺成熟，技术先进，功能齐备。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常用零配件保障措施：投标人应有完善的零配件保障措施，可以有效应对设备日常维保及损坏维修需要。确保设备在出现故障后，有效保障投标人在采购人规定的时间内完成修复工作，并使设备在寿命周期内正常稳定运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增值服务或优惠内容：投标人可针对本项目提出针对性的增值服务或优惠内容，服务应考虑周到，对采购人具备实际价值（例如：可有效降低设备使用成本、优化设备使用效率或提升日常服务体验等，具体由投标人自选考虑）。</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四、履约保证金：本项目不收取履约保证金</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p>
      <w:pPr>
        <w:ind w:left="0" w:right="0" w:firstLine="1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p>
      <w:pPr>
        <w:pStyle w:val="642"/>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第五章评标方法与评标标准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一、评标方法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评委会将对确定为实质性响应招标文件要求的投标文件进行评价和比较，评标</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采用综合评分法。</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二、评标标准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本项目采用综合评分法确定中标候选人。评标委员会将按下列评分办法和标准进行评分，总分值为100分。</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340"/>
        <w:gridCol w:w="7368"/>
      </w:tblGrid>
      <w:tr>
        <w:trPr>
          <w:trHeight w:val="26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评审因素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3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评审标准</w:t>
            </w:r>
            <w:r/>
          </w:p>
        </w:tc>
      </w:tr>
      <w:tr>
        <w:trPr>
          <w:trHeight w:val="1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价格部分</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6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价格分采用低价优先法计算，即满足招标文件要求且投标价格最低的投标报价为评标基准价，其价格分为满分30分。其他投标人的价格分按照下列公式计算：投标报价得分=（评标基准价/投标报价）×30。</w:t>
            </w:r>
            <w:r/>
          </w:p>
        </w:tc>
      </w:tr>
      <w:tr>
        <w:trPr>
          <w:trHeight w:val="7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技术响应</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68" w:type="dxa"/>
            <w:vAlign w:val="center"/>
            <w:textDirection w:val="lrTb"/>
            <w:noWrap w:val="false"/>
          </w:tcPr>
          <w:p>
            <w:pPr>
              <w:ind w:left="0" w:right="0" w:firstLine="0"/>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完全响应采购文件要求得满分35分，正偏离不加分；加“★”指标为关键指标，有一项负偏离，投标将被否决；加“▲”指标为重要指标，有一项负偏离扣5分；未加“★”或“▲”指标为一般指标，每有一项负偏离扣2分，扣完为止。</w:t>
            </w:r>
            <w:r/>
          </w:p>
        </w:tc>
      </w:tr>
      <w:tr>
        <w:trPr>
          <w:trHeight w:val="2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所投产品的质量评价及产品配置与功能先进性（10分）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68" w:type="dxa"/>
            <w:vAlign w:val="center"/>
            <w:textDirection w:val="lrTb"/>
            <w:noWrap w:val="false"/>
          </w:tcPr>
          <w:p>
            <w:pPr>
              <w:ind w:left="0" w:right="0" w:firstLine="0"/>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1、产品配置综合评价：5分</w:t>
            </w:r>
            <w:r/>
          </w:p>
          <w:p>
            <w:pPr>
              <w:ind w:left="0" w:right="0" w:firstLine="0"/>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根据供应商提供的佐证材料综合评审，投标产品配置优于采购文件要求得5分，投标产品配置符合采购文件要求的得3分，投标产品配置部分符合招标文件要求的得1分。其余情况不得分。</w:t>
            </w:r>
            <w:r/>
          </w:p>
          <w:p>
            <w:pPr>
              <w:ind w:left="0" w:right="0" w:firstLine="0"/>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2、产品功能评价：5分</w:t>
            </w:r>
            <w:r/>
          </w:p>
          <w:p>
            <w:pPr>
              <w:ind w:left="0" w:right="0" w:firstLine="0"/>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根据供应商所投产品功能综合评审，产品功能优于采购文件要求得5分，产品功能符合采购文件要求的得3分，投标产品功能部分符合采购文件要求的得1分。其余情况不得分。</w:t>
            </w:r>
            <w:r/>
          </w:p>
        </w:tc>
      </w:tr>
      <w:tr>
        <w:trPr>
          <w:trHeight w:val="2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68" w:type="dxa"/>
            <w:vAlign w:val="center"/>
            <w:textDirection w:val="lrTb"/>
            <w:noWrap w:val="false"/>
          </w:tcPr>
          <w:p>
            <w:pPr>
              <w:ind w:left="0" w:right="0" w:firstLine="0"/>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1、设备到货、安装、调试方案：5分</w:t>
            </w:r>
            <w:r/>
          </w:p>
          <w:p>
            <w:pPr>
              <w:ind w:left="0" w:right="0" w:firstLine="0"/>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提供设备到货运输、安装、调试方案。方案完整详实、科学合理、具备针对性且切实可行、满足采购人实际需求的得5分；方案基本完整、较为科学合理，基本满足采购人实际需求的得3分；方案完整性、合理性、针对性、可行性有所欠缺，与采购人实际需求存在差距得1分。其余情况不得分。</w:t>
            </w:r>
            <w:r/>
          </w:p>
          <w:p>
            <w:pPr>
              <w:ind w:left="0" w:right="0" w:firstLine="0"/>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2、人员培训方案：5分</w:t>
            </w:r>
            <w:r/>
          </w:p>
          <w:p>
            <w:pPr>
              <w:ind w:left="0" w:right="0" w:firstLine="0"/>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提供人员操作培训、维修保养培训、以及相关科研教育等进阶培训、学习会议方案。方案完整详实、科学合理、具备针对性且切实可行、满足采购人实际需求的得5分；方案基本完整、较为科学合理，基本满足采购人实际需求的得3分；方案完整性、合理性、针对性、可行性有所欠缺，与采购人实际需求存在差距得1分。其余情况不得分。</w:t>
            </w:r>
            <w:r/>
          </w:p>
          <w:p>
            <w:pPr>
              <w:ind w:left="0" w:right="0" w:firstLine="0"/>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3、售后服务实施方案：5分</w:t>
            </w:r>
            <w:r/>
          </w:p>
          <w:p>
            <w:pPr>
              <w:ind w:left="0" w:right="0" w:firstLine="0"/>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供应商质保期内售后服务（响应时间，回访巡检方案、故障解决措施、技术人员保障、备品配件价格等）、本地化服务方案（服务网点、维修网点设置情况以及技术人员安排情况）等服务内容。方案完整详实、科学合理、具备针对性且切实可行、满足采购人实际需求的得5分；方案基本完整、较为科学合理，基本满足采购人实际需求的得3分；方案完整性、合理性、针对性、可行性有所欠缺，与采购人实际需求存在差距得1分。其余情况不得分。</w:t>
            </w:r>
            <w:r/>
          </w:p>
        </w:tc>
      </w:tr>
      <w:tr>
        <w:trPr>
          <w:trHeight w:val="7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所投产品的业绩</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6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提供自2021年01月01日至今与本次所投产品同型号的设备案例，每提供一份得2分，本项最高得10分。（提供合同复印件，时间以合同签订时间为准，不提供或提供不全不得分）</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1、促进中小企业发展政策</w:t>
      </w:r>
      <w:r/>
    </w:p>
    <w:p>
      <w:pPr>
        <w:ind w:left="0" w:right="0" w:firstLine="480"/>
        <w:jc w:val="both"/>
        <w:spacing w:before="0" w:after="0" w:line="85" w:lineRule="atLeast"/>
        <w:tabs>
          <w:tab w:val="left" w:pos="8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①本项目为非专门面向中小微企业的项目，对</w:t>
      </w:r>
      <w:r>
        <w:rPr>
          <w:rFonts w:ascii="SimSun" w:hAnsi="SimSun" w:eastAsia="SimSun" w:cs="SimSun"/>
          <w:b/>
          <w:color w:val="000000"/>
          <w:sz w:val="24"/>
        </w:rPr>
        <w:t xml:space="preserve">小型和微型企业</w:t>
      </w:r>
      <w:r>
        <w:rPr>
          <w:rFonts w:ascii="SimSun" w:hAnsi="SimSun" w:eastAsia="SimSun" w:cs="SimSun"/>
          <w:color w:val="000000"/>
          <w:sz w:val="24"/>
        </w:rPr>
        <w:t xml:space="preserve">产品价格给予10%的扣除，用扣除后的价格参与评审(提供中小企业声明函，格式《政府采购促进中小企业发展管理办法》财库【2020】46号。企业标准请参照《关于印发中小企业划型标准规定的通知》（工信部联企业【2011】300号）文件规定自行填写，联合体投标时，如果满足要求，需要分别提供,否则不考虑价格扣除）。</w:t>
      </w:r>
      <w:r/>
    </w:p>
    <w:p>
      <w:pPr>
        <w:ind w:left="0" w:right="0" w:firstLine="480"/>
        <w:jc w:val="both"/>
        <w:spacing w:before="0" w:after="0" w:line="85" w:lineRule="atLeast"/>
        <w:tabs>
          <w:tab w:val="left" w:pos="8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在政府采购活动中，投标人提供的货物、工程或者服务符合下列情形的，享受价格扣除：</w:t>
      </w:r>
      <w:r/>
    </w:p>
    <w:p>
      <w:pPr>
        <w:numPr>
          <w:ilvl w:val="0"/>
          <w:numId w:val="7"/>
        </w:numPr>
        <w:jc w:val="both"/>
        <w:spacing w:before="0" w:after="0" w:line="85" w:lineRule="atLeast"/>
        <w:tabs>
          <w:tab w:val="left" w:pos="8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在货物采购项目中，货物由小微企业制造，即货物由小微企业生产且使用该小微企业商号或者注册商标；</w:t>
      </w:r>
      <w:r/>
    </w:p>
    <w:p>
      <w:pPr>
        <w:numPr>
          <w:ilvl w:val="0"/>
          <w:numId w:val="7"/>
        </w:numPr>
        <w:jc w:val="both"/>
        <w:spacing w:before="0" w:after="0" w:line="85" w:lineRule="atLeast"/>
        <w:tabs>
          <w:tab w:val="left" w:pos="8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在服务采购项目中，服务由小微企业承接，即提供服务的人员为小微企业依照《中华人民共和国劳动合同法》订立劳动合同的从业人员。</w:t>
      </w:r>
      <w:r/>
    </w:p>
    <w:p>
      <w:pPr>
        <w:ind w:left="0" w:right="0" w:firstLine="480"/>
        <w:jc w:val="both"/>
        <w:spacing w:before="0" w:after="0" w:line="85" w:lineRule="atLeast"/>
        <w:tabs>
          <w:tab w:val="left" w:pos="8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货物采购项目中，投标人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接受大中型企业与小微企业组成联合体或者允许大中型企业向一家或者多家小微企业分包的采购项目，对于联合协议或者分包意向协议约定小微企业的合同份额占到合同总金额30%以上的，采购人、采购代理机构应当对联合体或者大中型企业的报价给予4%的扣除，用扣除后的价格参加评审。组成联合</w:t>
      </w:r>
      <w:r>
        <w:rPr>
          <w:rFonts w:ascii="SimSun" w:hAnsi="SimSun" w:eastAsia="SimSun" w:cs="SimSun"/>
          <w:color w:val="000000"/>
          <w:sz w:val="24"/>
        </w:rPr>
        <w:t xml:space="preserve">体或者接受分包的小微企业与联合体内其他企业、分包企业之间存在直接控股、管理关系的，不享受价格扣除优惠政策。</w:t>
      </w:r>
      <w:r/>
    </w:p>
    <w:p>
      <w:pPr>
        <w:ind w:left="0" w:right="0" w:firstLine="480"/>
        <w:jc w:val="both"/>
        <w:spacing w:before="0" w:after="0" w:line="85" w:lineRule="atLeast"/>
        <w:tabs>
          <w:tab w:val="left" w:pos="8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r/>
    </w:p>
    <w:p>
      <w:pPr>
        <w:ind w:left="0" w:right="0" w:firstLine="480"/>
        <w:jc w:val="both"/>
        <w:spacing w:before="0" w:after="0" w:line="85" w:lineRule="atLeast"/>
        <w:tabs>
          <w:tab w:val="left" w:pos="8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r/>
    </w:p>
    <w:p>
      <w:pPr>
        <w:ind w:left="0" w:right="0" w:firstLine="480"/>
        <w:jc w:val="both"/>
        <w:spacing w:before="0" w:after="0" w:line="85" w:lineRule="atLeast"/>
        <w:tabs>
          <w:tab w:val="left" w:pos="8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④残疾人福利单位、监狱企业属于小型、微型企业的，不重复享受政策。</w:t>
      </w:r>
      <w:r/>
    </w:p>
    <w:p>
      <w:pPr>
        <w:ind w:left="0" w:right="0" w:firstLine="480"/>
        <w:jc w:val="both"/>
        <w:spacing w:before="0" w:after="0" w:line="85" w:lineRule="atLeast"/>
        <w:tabs>
          <w:tab w:val="left" w:pos="8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2、根据财政部、国家发改委《节能产品政府采购实施意见》，投标产品属于《节能产品政府采购清单》（最新一期）内的政府采购的节能产品，对相应产品的价格给予1%的扣除，用扣除后的价格参与评审。</w:t>
      </w:r>
      <w:r/>
    </w:p>
    <w:p>
      <w:pPr>
        <w:ind w:left="0" w:right="0" w:firstLine="480"/>
        <w:jc w:val="both"/>
        <w:spacing w:before="0" w:after="0" w:line="85" w:lineRule="atLeast"/>
        <w:tabs>
          <w:tab w:val="left" w:pos="8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根据投标人填制的《节能产品报价表》（格式自拟），计算其所投节能产品享受价格折扣部分的多少，如未提供或价格数据不全（必须包括产品名称、单价数量明细和汇总报价），评委会将仅按可明确进行价格扣除的内容进行扣除。</w:t>
      </w:r>
      <w:r/>
    </w:p>
    <w:p>
      <w:pPr>
        <w:ind w:left="0" w:right="0" w:firstLine="480"/>
        <w:jc w:val="both"/>
        <w:spacing w:before="0" w:after="0" w:line="85" w:lineRule="atLeast"/>
        <w:tabs>
          <w:tab w:val="left" w:pos="8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投标产品如为节能产品的，投标人需提供产品及型号所在清单页的复印件并用标识标明，如未提供，评委会将仅按可明确进行价格扣除的内容进行扣除。</w:t>
      </w:r>
      <w:r/>
    </w:p>
    <w:p>
      <w:pPr>
        <w:ind w:left="0" w:right="0" w:firstLine="480"/>
        <w:jc w:val="both"/>
        <w:spacing w:before="0" w:after="0" w:line="85" w:lineRule="atLeast"/>
        <w:tabs>
          <w:tab w:val="left" w:pos="8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3、根据财政部、国家环保总局《关于环境标志产品政府采购实施的意见》，投标产品属于《环境标志产品政府采购清单》（最新一期）内的产品），对相应产品的价格给予1%的扣除，用扣除后的价格参与评审。</w:t>
      </w:r>
      <w:r/>
    </w:p>
    <w:p>
      <w:pPr>
        <w:ind w:left="0" w:right="0" w:firstLine="480"/>
        <w:jc w:val="both"/>
        <w:spacing w:before="0" w:after="0" w:line="85" w:lineRule="atLeast"/>
        <w:tabs>
          <w:tab w:val="left" w:pos="8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根据投标人填制的《环境标志产品报价表》（格式自拟），计算其所投环境标志产品享受价格折扣部分的多少，如未提供或价格数据不全（必须包括产品名称、单价数量明细和汇总报价），评委会将仅按可明确进行价格扣除的内容进行扣除。</w:t>
      </w:r>
      <w:r/>
    </w:p>
    <w:p>
      <w:pPr>
        <w:ind w:left="0" w:right="0" w:firstLine="480"/>
        <w:jc w:val="both"/>
        <w:spacing w:before="0" w:after="0" w:line="85" w:lineRule="atLeast"/>
        <w:tabs>
          <w:tab w:val="left" w:pos="8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投标产品如为环境标志产品的，投标人需提供产品及型号所在清单页的复印件并用标识标明，如未提供，评委会将仅按可明确进行价格扣除的内容进行扣除。</w:t>
        <w:br w:type="page" w:clear="all"/>
      </w:r>
      <w:r/>
    </w:p>
    <w:p>
      <w:pPr>
        <w:ind w:left="0" w:right="0" w:firstLine="480"/>
        <w:jc w:val="both"/>
        <w:spacing w:before="0" w:after="0" w:line="85" w:lineRule="atLeast"/>
        <w:tabs>
          <w:tab w:val="left" w:pos="8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642"/>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第六章投标文件参考格式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一、投标格式</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评分索引表</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格式一：投标函</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格式二：开标一览表</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格式三：分项报价表</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格式四：技术参数偏离表</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格式五：商务条款偏离表</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格式六：质保期满后三年期的备品备件明细表（货物项目适用）</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格式七：技术/服务方案及承诺</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格式八：投标货物的制造、检验、测试、验收标准（货物项目适用）</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格式九：业绩表</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格式十：中小企业声明函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格式十一：其他声明函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格式十二：招标文件要求提供的其他材料或投标人认为需提供的材料</w:t>
      </w:r>
      <w:r/>
    </w:p>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格式十三：法定代表人授权书</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二、资格证明文件</w:t>
      </w:r>
      <w:r/>
    </w:p>
    <w:p>
      <w:pPr>
        <w:ind w:left="0" w:right="0" w:firstLine="0"/>
        <w:jc w:val="both"/>
        <w:spacing w:before="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评分索引表</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21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投标人名称（加盖公章）：</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297"/>
        <w:gridCol w:w="1818"/>
        <w:gridCol w:w="1819"/>
      </w:tblGrid>
      <w:tr>
        <w:trPr>
          <w:trHeight w:val="54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97" w:type="dxa"/>
            <w:vAlign w:val="center"/>
            <w:textDirection w:val="lrTb"/>
            <w:noWrap w:val="false"/>
          </w:tcPr>
          <w:p>
            <w:pPr>
              <w:ind w:left="420" w:right="0" w:firstLine="0"/>
              <w:jc w:val="center"/>
              <w:spacing w:before="0" w:after="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详细评分办法中的各个打分项目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在投标文件中的页码位置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r>
      <w:tr>
        <w:trPr>
          <w:trHeight w:val="5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97" w:type="dxa"/>
            <w:vAlign w:val="top"/>
            <w:textDirection w:val="lrTb"/>
            <w:noWrap w:val="false"/>
          </w:tcPr>
          <w:p>
            <w:pPr>
              <w:ind w:left="420" w:right="0" w:firstLine="0"/>
              <w:jc w:val="both"/>
              <w:spacing w:before="0" w:after="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5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97" w:type="dxa"/>
            <w:vAlign w:val="top"/>
            <w:textDirection w:val="lrTb"/>
            <w:noWrap w:val="false"/>
          </w:tcPr>
          <w:p>
            <w:pPr>
              <w:ind w:left="420" w:right="0" w:firstLine="0"/>
              <w:spacing w:before="0" w:after="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97" w:type="dxa"/>
            <w:vAlign w:val="top"/>
            <w:textDirection w:val="lrTb"/>
            <w:noWrap w:val="false"/>
          </w:tcPr>
          <w:p>
            <w:pPr>
              <w:ind w:left="420" w:right="0" w:firstLine="0"/>
              <w:spacing w:before="0" w:after="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97" w:type="dxa"/>
            <w:vAlign w:val="top"/>
            <w:textDirection w:val="lrTb"/>
            <w:noWrap w:val="false"/>
          </w:tcPr>
          <w:p>
            <w:pPr>
              <w:ind w:left="420" w:right="0" w:firstLine="0"/>
              <w:spacing w:before="0" w:after="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97" w:type="dxa"/>
            <w:vAlign w:val="top"/>
            <w:textDirection w:val="lrTb"/>
            <w:noWrap w:val="false"/>
          </w:tcPr>
          <w:p>
            <w:pPr>
              <w:ind w:left="420" w:right="0" w:firstLine="0"/>
              <w:spacing w:before="0" w:after="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97" w:type="dxa"/>
            <w:vAlign w:val="top"/>
            <w:textDirection w:val="lrTb"/>
            <w:noWrap w:val="false"/>
          </w:tcPr>
          <w:p>
            <w:pPr>
              <w:ind w:left="420" w:right="0" w:firstLine="0"/>
              <w:spacing w:before="0" w:after="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97" w:type="dxa"/>
            <w:vAlign w:val="top"/>
            <w:textDirection w:val="lrTb"/>
            <w:noWrap w:val="false"/>
          </w:tcPr>
          <w:p>
            <w:pPr>
              <w:ind w:left="420" w:right="0" w:firstLine="0"/>
              <w:spacing w:before="0" w:after="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97" w:type="dxa"/>
            <w:vAlign w:val="top"/>
            <w:textDirection w:val="lrTb"/>
            <w:noWrap w:val="false"/>
          </w:tcPr>
          <w:p>
            <w:pPr>
              <w:ind w:left="420" w:right="0" w:firstLine="0"/>
              <w:spacing w:before="0" w:after="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97" w:type="dxa"/>
            <w:vAlign w:val="top"/>
            <w:textDirection w:val="lrTb"/>
            <w:noWrap w:val="false"/>
          </w:tcPr>
          <w:p>
            <w:pPr>
              <w:ind w:left="420" w:right="0" w:firstLine="0"/>
              <w:spacing w:before="0" w:after="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97" w:type="dxa"/>
            <w:vAlign w:val="top"/>
            <w:textDirection w:val="lrTb"/>
            <w:noWrap w:val="false"/>
          </w:tcPr>
          <w:p>
            <w:pPr>
              <w:ind w:left="420" w:right="0" w:firstLine="0"/>
              <w:spacing w:before="0" w:after="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97" w:type="dxa"/>
            <w:vAlign w:val="top"/>
            <w:textDirection w:val="lrTb"/>
            <w:noWrap w:val="false"/>
          </w:tcPr>
          <w:p>
            <w:pPr>
              <w:ind w:left="420" w:right="0" w:firstLine="0"/>
              <w:spacing w:before="0" w:after="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97" w:type="dxa"/>
            <w:vAlign w:val="top"/>
            <w:textDirection w:val="lrTb"/>
            <w:noWrap w:val="false"/>
          </w:tcPr>
          <w:p>
            <w:pPr>
              <w:ind w:left="420" w:right="0" w:firstLine="0"/>
              <w:spacing w:before="0" w:after="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97" w:type="dxa"/>
            <w:vAlign w:val="top"/>
            <w:textDirection w:val="lrTb"/>
            <w:noWrap w:val="false"/>
          </w:tcPr>
          <w:p>
            <w:pPr>
              <w:ind w:left="420" w:right="0" w:firstLine="0"/>
              <w:spacing w:before="0" w:after="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97" w:type="dxa"/>
            <w:vAlign w:val="top"/>
            <w:textDirection w:val="lrTb"/>
            <w:noWrap w:val="false"/>
          </w:tcPr>
          <w:p>
            <w:pPr>
              <w:ind w:left="420" w:right="0" w:firstLine="0"/>
              <w:spacing w:before="0" w:after="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97" w:type="dxa"/>
            <w:vAlign w:val="top"/>
            <w:textDirection w:val="lrTb"/>
            <w:noWrap w:val="false"/>
          </w:tcPr>
          <w:p>
            <w:pPr>
              <w:ind w:left="0" w:right="0" w:firstLine="480"/>
              <w:spacing w:before="0" w:after="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97" w:type="dxa"/>
            <w:vAlign w:val="top"/>
            <w:textDirection w:val="lrTb"/>
            <w:noWrap w:val="false"/>
          </w:tcPr>
          <w:p>
            <w:pPr>
              <w:ind w:left="0" w:right="0" w:firstLine="480"/>
              <w:spacing w:before="0" w:after="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注：行数应根据实际内容自行增减</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格式一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投标函</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致：江苏海外集团国际工程咨询有限公司</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根据贵方为</w:t>
      </w:r>
      <w:r>
        <w:rPr>
          <w:rFonts w:ascii="SimSun" w:hAnsi="SimSun" w:eastAsia="SimSun" w:cs="SimSun"/>
          <w:i/>
          <w:color w:val="000000"/>
          <w:sz w:val="24"/>
          <w:u w:val="single"/>
        </w:rPr>
        <w:t xml:space="preserve">（项目名称）</w:t>
      </w:r>
      <w:r>
        <w:rPr>
          <w:rFonts w:ascii="SimSun" w:hAnsi="SimSun" w:eastAsia="SimSun" w:cs="SimSun"/>
          <w:color w:val="000000"/>
          <w:sz w:val="24"/>
        </w:rPr>
        <w:t xml:space="preserve">项目招标采购货物及服务的投标邀请</w:t>
      </w:r>
      <w:r>
        <w:rPr>
          <w:rFonts w:ascii="SimSun" w:hAnsi="SimSun" w:eastAsia="SimSun" w:cs="SimSun"/>
          <w:i/>
          <w:color w:val="000000"/>
          <w:sz w:val="24"/>
          <w:u w:val="single"/>
        </w:rPr>
        <w:t xml:space="preserve">（项目编号：采购代理编号：）</w:t>
      </w:r>
      <w:r>
        <w:rPr>
          <w:rFonts w:ascii="SimSun" w:hAnsi="SimSun" w:eastAsia="SimSun" w:cs="SimSun"/>
          <w:color w:val="000000"/>
          <w:sz w:val="24"/>
        </w:rPr>
        <w:t xml:space="preserve">，投标人代表</w:t>
      </w:r>
      <w:r>
        <w:rPr>
          <w:rFonts w:ascii="SimSun" w:hAnsi="SimSun" w:eastAsia="SimSun" w:cs="SimSun"/>
          <w:i/>
          <w:color w:val="000000"/>
          <w:sz w:val="24"/>
          <w:u w:val="single"/>
        </w:rPr>
        <w:t xml:space="preserve">（姓名、职务）</w:t>
      </w:r>
      <w:r>
        <w:rPr>
          <w:rFonts w:ascii="SimSun" w:hAnsi="SimSun" w:eastAsia="SimSun" w:cs="SimSun"/>
          <w:color w:val="000000"/>
          <w:sz w:val="24"/>
        </w:rPr>
        <w:t xml:space="preserve">经正式授权并代表投标人</w:t>
      </w:r>
      <w:r>
        <w:rPr>
          <w:rFonts w:ascii="SimSun" w:hAnsi="SimSun" w:eastAsia="SimSun" w:cs="SimSun"/>
          <w:i/>
          <w:color w:val="000000"/>
          <w:sz w:val="24"/>
          <w:u w:val="single"/>
        </w:rPr>
        <w:t xml:space="preserve">（投标人名称、地址）</w:t>
      </w:r>
      <w:r>
        <w:rPr>
          <w:rFonts w:ascii="SimSun" w:hAnsi="SimSun" w:eastAsia="SimSun" w:cs="SimSun"/>
          <w:color w:val="000000"/>
          <w:sz w:val="24"/>
        </w:rPr>
        <w:t xml:space="preserve">提交投标文件。</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据此函，签字代表宣布同意如下：</w:t>
      </w:r>
      <w:r/>
    </w:p>
    <w:p>
      <w:pPr>
        <w:ind w:left="42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1、所附投标价格表中规定的应提交和交付的货物及服务的投标总价为</w:t>
      </w:r>
      <w:r>
        <w:rPr>
          <w:rFonts w:ascii="SimSun" w:hAnsi="SimSun" w:eastAsia="SimSun" w:cs="SimSun"/>
          <w:i/>
          <w:color w:val="000000"/>
          <w:sz w:val="24"/>
          <w:u w:val="single"/>
        </w:rPr>
        <w:t xml:space="preserve">（注明币种，并用文字和数字表示的投标总价）</w:t>
      </w:r>
      <w:r>
        <w:rPr>
          <w:rFonts w:ascii="SimSun" w:hAnsi="SimSun" w:eastAsia="SimSun" w:cs="SimSun"/>
          <w:color w:val="000000"/>
          <w:sz w:val="24"/>
        </w:rPr>
        <w:t xml:space="preserve">。</w:t>
      </w:r>
      <w:r/>
    </w:p>
    <w:p>
      <w:pPr>
        <w:ind w:left="42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2、投标人将按招标文件的规定履行合同责任和义务。</w:t>
      </w:r>
      <w:r/>
    </w:p>
    <w:p>
      <w:pPr>
        <w:ind w:left="42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3、投标人已详细审查全部招标文件，包括有关澄清和修改说明（如果有的话）。我们完全理解并同意放弃对这方面有不明及误解的权力。</w:t>
      </w:r>
      <w:r/>
    </w:p>
    <w:p>
      <w:pPr>
        <w:ind w:left="42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4、本投标有效期为自开标日起</w:t>
      </w:r>
      <w:r>
        <w:rPr>
          <w:rFonts w:ascii="SimSun" w:hAnsi="SimSun" w:eastAsia="SimSun" w:cs="SimSun"/>
          <w:color w:val="000000"/>
          <w:sz w:val="24"/>
          <w:u w:val="single"/>
        </w:rPr>
        <w:t xml:space="preserve">  90 </w:t>
      </w:r>
      <w:r>
        <w:rPr>
          <w:rFonts w:ascii="SimSun" w:hAnsi="SimSun" w:eastAsia="SimSun" w:cs="SimSun"/>
          <w:color w:val="000000"/>
          <w:sz w:val="24"/>
        </w:rPr>
        <w:t xml:space="preserve">个日历日。在这期间，本投标文件将始终对我方具有约束力。如果中标，本次招标文件和本投标文件（含承诺书）将作为买卖合用的附件。</w:t>
      </w:r>
      <w:r/>
    </w:p>
    <w:p>
      <w:pPr>
        <w:ind w:left="42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5、我方愿意向采购人提供任何与本次招标有关的其他资料。</w:t>
      </w:r>
      <w:r/>
    </w:p>
    <w:p>
      <w:pPr>
        <w:ind w:left="42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6、我方愿意履行自己在投标文件中的全部承诺和责任。</w:t>
      </w:r>
      <w:r/>
    </w:p>
    <w:p>
      <w:pPr>
        <w:ind w:left="42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7、我方愿意遵守招标文件中对投标者的所有规定。</w:t>
      </w:r>
      <w:r/>
    </w:p>
    <w:p>
      <w:pPr>
        <w:ind w:left="42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8、我方承诺不以任何形式向评标委员会成员和参与评标的有关工作人员探听对投标文件的评审和比较、中标候选人的推荐情况以及与评标有关的其他情况。</w:t>
      </w:r>
      <w:r/>
    </w:p>
    <w:p>
      <w:pPr>
        <w:ind w:left="42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我方完全理解采购代理机构和采购人有保留在授标之前任何时候接受或拒绝任何投标，以及宣布招标程序无效或拒绝所有投标的权力。我方完全理解采购代理机构和采购人无向未中标人解释未中标理由的义务。</w:t>
      </w:r>
      <w:r/>
    </w:p>
    <w:p>
      <w:pPr>
        <w:ind w:left="42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10、在规定的开标时间后，我方如在投标有效期内撤回投标，将无条件同意贵方没收投标保证金。</w:t>
      </w:r>
      <w:r/>
    </w:p>
    <w:p>
      <w:pPr>
        <w:ind w:left="42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11、我方承诺，与采购人聘请的为此项目提供咨询服务的公司及任何附属机构均无关联，我方不是采购人的附属机构。</w:t>
      </w:r>
      <w:r/>
    </w:p>
    <w:p>
      <w:pPr>
        <w:ind w:left="42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12、投标人同意提供按照贵方可能要求的与其投标有关的一切数据或资料，完全理解贵方不一定接受最低价的投标或收到的任何投标。</w:t>
      </w:r>
      <w:r/>
    </w:p>
    <w:p>
      <w:pPr>
        <w:ind w:left="42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13、其他说明：</w:t>
      </w:r>
      <w:r/>
    </w:p>
    <w:p>
      <w:pPr>
        <w:ind w:left="42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14、与本投标有关的一切正式往来信函请寄：</w:t>
      </w:r>
      <w:r/>
    </w:p>
    <w:p>
      <w:pPr>
        <w:ind w:left="42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地址传真</w:t>
      </w:r>
      <w:r/>
    </w:p>
    <w:p>
      <w:pPr>
        <w:ind w:left="42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电话电子函件</w:t>
      </w:r>
      <w:r/>
    </w:p>
    <w:p>
      <w:pPr>
        <w:ind w:left="42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投标人代表（签字）</w:t>
      </w:r>
      <w:r/>
    </w:p>
    <w:p>
      <w:pPr>
        <w:ind w:left="42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投标人名称（盖章）</w:t>
      </w:r>
      <w:r/>
    </w:p>
    <w:p>
      <w:pPr>
        <w:ind w:left="42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5"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格式二：</w:t>
      </w:r>
      <w:r>
        <w:rPr>
          <w:rFonts w:ascii="SimSun" w:hAnsi="SimSun" w:eastAsia="SimSun" w:cs="SimSun"/>
          <w:b/>
          <w:color w:val="000000"/>
          <w:sz w:val="24"/>
        </w:rPr>
        <w:t xml:space="preserve">开标一览表</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采购代理编号：                  包号：        </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10"/>
        <w:gridCol w:w="2539"/>
        <w:gridCol w:w="3026"/>
        <w:gridCol w:w="1406"/>
      </w:tblGrid>
      <w:tr>
        <w:trPr>
          <w:trHeight w:val="420"/>
        </w:trPr>
        <w:tc>
          <w:tcPr>
            <w:tcBorders>
              <w:top w:val="single" w:color="000000" w:sz="8" w:space="0"/>
              <w:left w:val="single" w:color="000000" w:sz="8" w:space="0"/>
              <w:bottom w:val="single" w:color="000000" w:sz="8" w:space="0"/>
              <w:right w:val="single" w:color="000000" w:sz="8" w:space="0"/>
            </w:tcBorders>
            <w:tcMar>
              <w:left w:w="30" w:type="dxa"/>
              <w:top w:w="0" w:type="dxa"/>
              <w:right w:w="30" w:type="dxa"/>
              <w:bottom w:w="0" w:type="dxa"/>
            </w:tcMar>
            <w:tcW w:w="7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30" w:type="dxa"/>
              <w:top w:w="0" w:type="dxa"/>
              <w:right w:w="30" w:type="dxa"/>
              <w:bottom w:w="0" w:type="dxa"/>
            </w:tcMar>
            <w:tcW w:w="25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内容</w:t>
            </w:r>
            <w:r/>
          </w:p>
        </w:tc>
        <w:tc>
          <w:tcPr>
            <w:tcBorders>
              <w:top w:val="single" w:color="000000" w:sz="8" w:space="0"/>
              <w:left w:val="none" w:color="000000" w:sz="4" w:space="0"/>
              <w:bottom w:val="single" w:color="000000" w:sz="8" w:space="0"/>
              <w:right w:val="single" w:color="000000" w:sz="8" w:space="0"/>
            </w:tcBorders>
            <w:tcMar>
              <w:left w:w="30" w:type="dxa"/>
              <w:top w:w="0" w:type="dxa"/>
              <w:right w:w="30" w:type="dxa"/>
              <w:bottom w:w="0" w:type="dxa"/>
            </w:tcMar>
            <w:tcW w:w="30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价格</w:t>
            </w:r>
            <w:r/>
          </w:p>
        </w:tc>
        <w:tc>
          <w:tcPr>
            <w:tcBorders>
              <w:top w:val="single" w:color="000000" w:sz="8" w:space="0"/>
              <w:left w:val="none" w:color="000000" w:sz="4" w:space="0"/>
              <w:bottom w:val="single" w:color="000000" w:sz="8" w:space="0"/>
              <w:right w:val="single" w:color="000000" w:sz="8" w:space="0"/>
            </w:tcBorders>
            <w:tcMar>
              <w:left w:w="30" w:type="dxa"/>
              <w:top w:w="0" w:type="dxa"/>
              <w:right w:w="30" w:type="dxa"/>
              <w:bottom w:w="0" w:type="dxa"/>
            </w:tcMar>
            <w:tcW w:w="14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1167"/>
        </w:trPr>
        <w:tc>
          <w:tcPr>
            <w:tcBorders>
              <w:top w:val="none" w:color="000000" w:sz="4" w:space="0"/>
              <w:left w:val="single" w:color="000000" w:sz="8" w:space="0"/>
              <w:bottom w:val="single" w:color="000000" w:sz="8" w:space="0"/>
              <w:right w:val="single" w:color="000000" w:sz="8" w:space="0"/>
            </w:tcBorders>
            <w:tcMar>
              <w:left w:w="30" w:type="dxa"/>
              <w:top w:w="0" w:type="dxa"/>
              <w:right w:w="30" w:type="dxa"/>
              <w:bottom w:w="0" w:type="dxa"/>
            </w:tcMar>
            <w:tcW w:w="7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0" w:type="dxa"/>
              <w:top w:w="0" w:type="dxa"/>
              <w:right w:w="30" w:type="dxa"/>
              <w:bottom w:w="0" w:type="dxa"/>
            </w:tcMar>
            <w:tcW w:w="25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0" w:type="dxa"/>
              <w:top w:w="0" w:type="dxa"/>
              <w:right w:w="30" w:type="dxa"/>
              <w:bottom w:w="0" w:type="dxa"/>
            </w:tcMar>
            <w:tcW w:w="30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小写（人民币：万元）</w:t>
            </w:r>
            <w:r/>
          </w:p>
        </w:tc>
        <w:tc>
          <w:tcPr>
            <w:tcBorders>
              <w:top w:val="none" w:color="000000" w:sz="4" w:space="0"/>
              <w:left w:val="none" w:color="000000" w:sz="4" w:space="0"/>
              <w:bottom w:val="single" w:color="000000" w:sz="8" w:space="0"/>
              <w:right w:val="single" w:color="000000" w:sz="8" w:space="0"/>
            </w:tcBorders>
            <w:tcMar>
              <w:left w:w="30" w:type="dxa"/>
              <w:top w:w="0" w:type="dxa"/>
              <w:right w:w="30" w:type="dxa"/>
              <w:bottom w:w="0" w:type="dxa"/>
            </w:tcMar>
            <w:tcW w:w="14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13"/>
        </w:trPr>
        <w:tc>
          <w:tcPr>
            <w:gridSpan w:val="4"/>
            <w:tcBorders>
              <w:top w:val="none" w:color="000000" w:sz="4" w:space="0"/>
              <w:left w:val="single" w:color="000000" w:sz="8" w:space="0"/>
              <w:bottom w:val="single" w:color="000000" w:sz="8" w:space="0"/>
              <w:right w:val="single" w:color="000000" w:sz="8" w:space="0"/>
            </w:tcBorders>
            <w:tcMar>
              <w:left w:w="30" w:type="dxa"/>
              <w:top w:w="0" w:type="dxa"/>
              <w:right w:w="30" w:type="dxa"/>
              <w:bottom w:w="0" w:type="dxa"/>
            </w:tcMar>
            <w:tcW w:w="768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投标总价：大写（人民币：元）</w:t>
            </w:r>
            <w:r/>
          </w:p>
        </w:tc>
      </w:tr>
      <w:tr>
        <w:trPr>
          <w:trHeight w:val="702"/>
        </w:trPr>
        <w:tc>
          <w:tcPr>
            <w:gridSpan w:val="4"/>
            <w:tcBorders>
              <w:top w:val="none" w:color="000000" w:sz="4" w:space="0"/>
              <w:left w:val="single" w:color="000000" w:sz="8" w:space="0"/>
              <w:bottom w:val="single" w:color="000000" w:sz="8" w:space="0"/>
              <w:right w:val="single" w:color="000000" w:sz="8" w:space="0"/>
            </w:tcBorders>
            <w:tcMar>
              <w:left w:w="30" w:type="dxa"/>
              <w:top w:w="0" w:type="dxa"/>
              <w:right w:w="30" w:type="dxa"/>
              <w:bottom w:w="0" w:type="dxa"/>
            </w:tcMar>
            <w:tcW w:w="768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所投产品制造商/服务承接企业是否为小微企业或其他享受政府采购扶持政策的企业:（是/否）</w:t>
            </w:r>
            <w:r/>
          </w:p>
        </w:tc>
      </w:tr>
      <w:tr>
        <w:trPr>
          <w:trHeight w:val="630"/>
        </w:trPr>
        <w:tc>
          <w:tcPr>
            <w:gridSpan w:val="4"/>
            <w:tcBorders>
              <w:top w:val="none" w:color="000000" w:sz="4" w:space="0"/>
              <w:left w:val="single" w:color="000000" w:sz="8" w:space="0"/>
              <w:bottom w:val="single" w:color="000000" w:sz="8" w:space="0"/>
              <w:right w:val="single" w:color="000000" w:sz="8" w:space="0"/>
            </w:tcBorders>
            <w:tcMar>
              <w:left w:w="30" w:type="dxa"/>
              <w:top w:w="0" w:type="dxa"/>
              <w:right w:w="30" w:type="dxa"/>
              <w:bottom w:w="0" w:type="dxa"/>
            </w:tcMar>
            <w:tcW w:w="768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交货期：</w:t>
            </w:r>
            <w:r/>
          </w:p>
        </w:tc>
      </w:tr>
      <w:tr>
        <w:trPr>
          <w:trHeight w:val="610"/>
        </w:trPr>
        <w:tc>
          <w:tcPr>
            <w:gridSpan w:val="4"/>
            <w:tcBorders>
              <w:top w:val="none" w:color="000000" w:sz="4" w:space="0"/>
              <w:left w:val="single" w:color="000000" w:sz="8" w:space="0"/>
              <w:bottom w:val="single" w:color="000000" w:sz="8" w:space="0"/>
              <w:right w:val="single" w:color="000000" w:sz="8" w:space="0"/>
            </w:tcBorders>
            <w:tcMar>
              <w:left w:w="30" w:type="dxa"/>
              <w:top w:w="0" w:type="dxa"/>
              <w:right w:w="30" w:type="dxa"/>
              <w:bottom w:w="0" w:type="dxa"/>
            </w:tcMar>
            <w:tcW w:w="768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优惠条件：（如果有的话）</w:t>
            </w:r>
            <w:r/>
          </w:p>
        </w:tc>
      </w:tr>
    </w:tbl>
    <w:p>
      <w:pPr>
        <w:ind w:left="598" w:right="-5" w:firstLine="40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5" w:firstLine="43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投标人名称（盖章）：</w:t>
      </w:r>
      <w:r/>
    </w:p>
    <w:p>
      <w:pPr>
        <w:ind w:left="0" w:right="0" w:firstLine="43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投标人代表（签字）：</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ab/>
        <w:t xml:space="preserve">日期：     </w:t>
      </w:r>
      <w:r/>
    </w:p>
    <w:p>
      <w:pPr>
        <w:ind w:left="840" w:right="0" w:hanging="840"/>
        <w:jc w:val="both"/>
        <w:spacing w:before="0" w:after="120" w:line="71" w:lineRule="atLeast"/>
        <w:tabs>
          <w:tab w:val="left" w:pos="8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12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此表的投标总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格式三：                   </w:t>
      </w:r>
      <w:r>
        <w:rPr>
          <w:rFonts w:ascii="SimSun" w:hAnsi="SimSun" w:eastAsia="SimSun" w:cs="SimSun"/>
          <w:b/>
          <w:color w:val="000000"/>
          <w:sz w:val="24"/>
        </w:rPr>
        <w:t xml:space="preserve"> 分项报价表</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采购代理编号：                  包号：          金额单位：人民币万元</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95"/>
        <w:gridCol w:w="1278"/>
        <w:gridCol w:w="1127"/>
        <w:gridCol w:w="590"/>
        <w:gridCol w:w="631"/>
        <w:gridCol w:w="640"/>
        <w:gridCol w:w="632"/>
        <w:gridCol w:w="1278"/>
        <w:gridCol w:w="974"/>
      </w:tblGrid>
      <w:tr>
        <w:trPr>
          <w:trHeight w:val="65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78"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7"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品牌及型号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90"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31"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40"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32"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78"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制造商/产地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74"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6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7"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0"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0"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2"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4"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7"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0"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0"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2"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4"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7"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0"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0"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2"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4"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7"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0"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0"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2"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4"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7"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0"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0"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2"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4"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7"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0"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0"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2"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4"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7"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0"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0"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2"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4"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7"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0"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0"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2"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4"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7"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0"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0"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2"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4"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7"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0"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0"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2"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4"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7"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0"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0"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2"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4"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right"/>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525" w:right="-5" w:hanging="525"/>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0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投标人代表（签字）：</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ab/>
        <w:t xml:space="preserve">日期：     </w:t>
      </w:r>
      <w:r/>
    </w:p>
    <w:p>
      <w:pPr>
        <w:ind w:left="0" w:right="0" w:firstLine="0"/>
        <w:jc w:val="both"/>
        <w:spacing w:before="0" w:after="120" w:line="71" w:lineRule="atLeast"/>
        <w:tabs>
          <w:tab w:val="left" w:pos="8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0"/>
        <w:jc w:val="both"/>
        <w:spacing w:before="0" w:after="120" w:line="71" w:lineRule="atLeast"/>
        <w:tabs>
          <w:tab w:val="left" w:pos="8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1、“分项报价表”中“合计”金额应当与“开标一览表”中“投标总价”金额一致。</w:t>
      </w:r>
      <w:r/>
    </w:p>
    <w:p>
      <w:pPr>
        <w:ind w:left="0" w:right="0" w:firstLine="0"/>
        <w:jc w:val="both"/>
        <w:spacing w:before="0" w:after="120" w:line="71" w:lineRule="atLeast"/>
        <w:tabs>
          <w:tab w:val="left" w:pos="8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2、涉及小型、微型、节能产品、环境标志等享受政府采购扶持政策的项目，需在备注中分别明确注明。</w:t>
        <w:br w:type="page" w:clear="all"/>
      </w:r>
      <w:r/>
    </w:p>
    <w:p>
      <w:pPr>
        <w:ind w:left="0" w:right="0" w:firstLine="0"/>
        <w:jc w:val="both"/>
        <w:spacing w:before="0" w:after="120" w:line="71" w:lineRule="atLeast"/>
        <w:tabs>
          <w:tab w:val="left" w:pos="8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12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格式四：技术参数偏离表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p>
      <w:pPr>
        <w:ind w:left="42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采购代理编号： 包号：</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03"/>
        <w:gridCol w:w="1938"/>
        <w:gridCol w:w="1818"/>
        <w:gridCol w:w="1237"/>
        <w:gridCol w:w="1335"/>
      </w:tblGrid>
      <w:tr>
        <w:trPr>
          <w:trHeight w:val="93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38"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招标文件的技术条款</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18"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投标文件的技术条款</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37"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5"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tc>
      </w:tr>
      <w:tr>
        <w:trPr>
          <w:trHeight w:val="8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8"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8"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7"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5"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8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8"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8"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7"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5"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8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8"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8"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7"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5"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8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8"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8"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7"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5"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8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8"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8"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7"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5"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8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8"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8"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7"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5"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85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8"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8"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7"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5"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bl>
    <w:p>
      <w:pPr>
        <w:ind w:left="0" w:right="0" w:firstLine="144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投标人代表（签字）：</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p>
    <w:p>
      <w:pPr>
        <w:ind w:left="42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241"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投标人须对照招标文件第四章项目需求中所列技术需求，逐条说明所提供货物和服务已对招标文件的技术规格做出了实质性的响应，并申明与技术规格条文的偏差和例外。特别对有具体参数要求的指标，投标人必须提供所投设备的具体参数值，而不应以“全部符合”等字样来响应，否则将承担其投标被否决的风险。</w:t>
      </w:r>
      <w:r/>
    </w:p>
    <w:p>
      <w:pPr>
        <w:ind w:left="241"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提供相关证明材料的，需在“说明”中标注证明材料在投标文件中的页码。</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格式五：商务条款偏离表   </w:t>
      </w:r>
      <w:r/>
    </w:p>
    <w:p>
      <w:pPr>
        <w:ind w:left="42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p>
      <w:pPr>
        <w:ind w:left="42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采购代理编号：包号：</w:t>
      </w:r>
      <w:r/>
    </w:p>
    <w:p>
      <w:pPr>
        <w:ind w:left="42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18"/>
        <w:gridCol w:w="2079"/>
        <w:gridCol w:w="2079"/>
        <w:gridCol w:w="1240"/>
        <w:gridCol w:w="1230"/>
      </w:tblGrid>
      <w:tr>
        <w:trPr>
          <w:trHeight w:val="82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79"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招标文件的</w:t>
            </w:r>
            <w:r/>
          </w:p>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商务条款</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79"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投标文件的</w:t>
            </w:r>
            <w:r/>
          </w:p>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商务条款</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40"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30"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tc>
      </w:tr>
      <w:tr>
        <w:trPr>
          <w:trHeight w:val="7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9"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9"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0"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0"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7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9"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9"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0"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0"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7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9"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9"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0"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0"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7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9"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9"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0"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0"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7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9"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9"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0"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0"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7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9"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9"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0"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0"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7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9"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9"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0"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0"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7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9"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9"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0"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0"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7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9"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9"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0"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0"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7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9"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9"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0"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0"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bl>
    <w:p>
      <w:pPr>
        <w:ind w:left="0" w:right="0" w:firstLine="43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投标人代表（签字）：</w:t>
      </w:r>
      <w:r/>
    </w:p>
    <w:p>
      <w:pPr>
        <w:ind w:left="0" w:right="0" w:firstLine="60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241"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注：1、投标人须对照招标文件第四章项目需求中所列商务需求逐条作出响应，而不应以“全部符合”等字样来响应。</w:t>
      </w:r>
      <w:r/>
    </w:p>
    <w:p>
      <w:pPr>
        <w:ind w:left="241"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2、其他商务偏离也须在上表中逐条列明。</w:t>
      </w:r>
      <w:r/>
    </w:p>
    <w:p>
      <w:pPr>
        <w:ind w:left="241"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3、如投标文件不符合上述要求，投标人将承担其投标被拒绝的风险。</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格式六：质保期满后三年期的备品备件明细表</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（如果有）</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8"/>
        <w:gridCol w:w="1635"/>
        <w:gridCol w:w="1890"/>
        <w:gridCol w:w="1155"/>
        <w:gridCol w:w="1155"/>
        <w:gridCol w:w="2205"/>
      </w:tblGrid>
      <w:tr>
        <w:trPr>
          <w:trHeight w:val="60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8" w:type="dxa"/>
            <w:vAlign w:val="center"/>
            <w:textDirection w:val="lrTb"/>
            <w:noWrap w:val="false"/>
          </w:tcPr>
          <w:p>
            <w:pPr>
              <w:ind w:left="0" w:right="-5"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35" w:type="dxa"/>
            <w:vAlign w:val="center"/>
            <w:textDirection w:val="lrTb"/>
            <w:noWrap w:val="false"/>
          </w:tcPr>
          <w:p>
            <w:pPr>
              <w:ind w:left="0" w:right="-5" w:firstLine="0"/>
              <w:jc w:val="center"/>
              <w:spacing w:before="0" w:after="0" w:line="499" w:lineRule="atLeast"/>
              <w:tabs>
                <w:tab w:val="left" w:pos="9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备品备件</w:t>
            </w:r>
            <w:r/>
          </w:p>
          <w:p>
            <w:pPr>
              <w:ind w:left="0" w:right="-5" w:firstLine="0"/>
              <w:jc w:val="center"/>
              <w:spacing w:before="0" w:after="0" w:line="499" w:lineRule="atLeast"/>
              <w:tabs>
                <w:tab w:val="left" w:pos="9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90" w:type="dxa"/>
            <w:vAlign w:val="center"/>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型号及规格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55" w:type="dxa"/>
            <w:vAlign w:val="center"/>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55" w:type="dxa"/>
            <w:vAlign w:val="center"/>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w:t>
            </w:r>
            <w:r/>
          </w:p>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(万元)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05" w:type="dxa"/>
            <w:vAlign w:val="center"/>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(如外购请注明产地、制造商)</w:t>
            </w:r>
            <w:r/>
          </w:p>
        </w:tc>
      </w:tr>
      <w:tr>
        <w:trPr>
          <w:trHeight w:val="6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8" w:type="dxa"/>
            <w:vAlign w:val="top"/>
            <w:textDirection w:val="lrTb"/>
            <w:noWrap w:val="false"/>
          </w:tcPr>
          <w:p>
            <w:pPr>
              <w:ind w:left="0" w:right="-5"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5" w:type="dxa"/>
            <w:vAlign w:val="top"/>
            <w:textDirection w:val="lrTb"/>
            <w:noWrap w:val="false"/>
          </w:tcPr>
          <w:p>
            <w:pPr>
              <w:ind w:left="0" w:right="-5" w:firstLine="0"/>
              <w:jc w:val="both"/>
              <w:spacing w:before="0" w:after="0" w:line="499" w:lineRule="atLeast"/>
              <w:tabs>
                <w:tab w:val="left" w:pos="97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0"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5"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5"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5" w:type="dxa"/>
            <w:vAlign w:val="top"/>
            <w:textDirection w:val="lrTb"/>
            <w:noWrap w:val="false"/>
          </w:tcPr>
          <w:p>
            <w:pPr>
              <w:ind w:left="0" w:right="-5"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tc>
      </w:tr>
      <w:tr>
        <w:trPr>
          <w:trHeight w:val="6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8" w:type="dxa"/>
            <w:vAlign w:val="top"/>
            <w:textDirection w:val="lrTb"/>
            <w:noWrap w:val="false"/>
          </w:tcPr>
          <w:p>
            <w:pPr>
              <w:ind w:left="0" w:right="-5"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5" w:type="dxa"/>
            <w:vAlign w:val="top"/>
            <w:textDirection w:val="lrTb"/>
            <w:noWrap w:val="false"/>
          </w:tcPr>
          <w:p>
            <w:pPr>
              <w:ind w:left="0" w:right="-5" w:firstLine="0"/>
              <w:jc w:val="both"/>
              <w:spacing w:before="0" w:after="0" w:line="499" w:lineRule="atLeast"/>
              <w:tabs>
                <w:tab w:val="left" w:pos="97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0"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5"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5"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5" w:type="dxa"/>
            <w:vAlign w:val="top"/>
            <w:textDirection w:val="lrTb"/>
            <w:noWrap w:val="false"/>
          </w:tcPr>
          <w:p>
            <w:pPr>
              <w:ind w:left="0" w:right="-5"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tc>
      </w:tr>
      <w:tr>
        <w:trPr>
          <w:trHeight w:val="6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8" w:type="dxa"/>
            <w:vAlign w:val="top"/>
            <w:textDirection w:val="lrTb"/>
            <w:noWrap w:val="false"/>
          </w:tcPr>
          <w:p>
            <w:pPr>
              <w:ind w:left="0" w:right="-5"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5" w:type="dxa"/>
            <w:vAlign w:val="top"/>
            <w:textDirection w:val="lrTb"/>
            <w:noWrap w:val="false"/>
          </w:tcPr>
          <w:p>
            <w:pPr>
              <w:ind w:left="0" w:right="-5" w:firstLine="0"/>
              <w:jc w:val="both"/>
              <w:spacing w:before="0" w:after="0" w:line="499" w:lineRule="atLeast"/>
              <w:tabs>
                <w:tab w:val="left" w:pos="97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0"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5"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5"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5" w:type="dxa"/>
            <w:vAlign w:val="top"/>
            <w:textDirection w:val="lrTb"/>
            <w:noWrap w:val="false"/>
          </w:tcPr>
          <w:p>
            <w:pPr>
              <w:ind w:left="0" w:right="-5"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tc>
      </w:tr>
      <w:tr>
        <w:trPr>
          <w:trHeight w:val="6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8" w:type="dxa"/>
            <w:vAlign w:val="top"/>
            <w:textDirection w:val="lrTb"/>
            <w:noWrap w:val="false"/>
          </w:tcPr>
          <w:p>
            <w:pPr>
              <w:ind w:left="0" w:right="-5"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5" w:type="dxa"/>
            <w:vAlign w:val="top"/>
            <w:textDirection w:val="lrTb"/>
            <w:noWrap w:val="false"/>
          </w:tcPr>
          <w:p>
            <w:pPr>
              <w:ind w:left="0" w:right="-5" w:firstLine="0"/>
              <w:jc w:val="both"/>
              <w:spacing w:before="0" w:after="0" w:line="499" w:lineRule="atLeast"/>
              <w:tabs>
                <w:tab w:val="left" w:pos="97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0"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5"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5"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5" w:type="dxa"/>
            <w:vAlign w:val="top"/>
            <w:textDirection w:val="lrTb"/>
            <w:noWrap w:val="false"/>
          </w:tcPr>
          <w:p>
            <w:pPr>
              <w:ind w:left="0" w:right="-5"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tc>
      </w:tr>
      <w:tr>
        <w:trPr>
          <w:trHeight w:val="6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8" w:type="dxa"/>
            <w:vAlign w:val="top"/>
            <w:textDirection w:val="lrTb"/>
            <w:noWrap w:val="false"/>
          </w:tcPr>
          <w:p>
            <w:pPr>
              <w:ind w:left="0" w:right="-5"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5" w:type="dxa"/>
            <w:vAlign w:val="top"/>
            <w:textDirection w:val="lrTb"/>
            <w:noWrap w:val="false"/>
          </w:tcPr>
          <w:p>
            <w:pPr>
              <w:ind w:left="0" w:right="-5" w:firstLine="0"/>
              <w:jc w:val="both"/>
              <w:spacing w:before="0" w:after="0" w:line="499" w:lineRule="atLeast"/>
              <w:tabs>
                <w:tab w:val="left" w:pos="97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0"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5"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5"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5" w:type="dxa"/>
            <w:vAlign w:val="top"/>
            <w:textDirection w:val="lrTb"/>
            <w:noWrap w:val="false"/>
          </w:tcPr>
          <w:p>
            <w:pPr>
              <w:ind w:left="0" w:right="-5"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tc>
      </w:tr>
      <w:tr>
        <w:trPr>
          <w:trHeight w:val="6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8" w:type="dxa"/>
            <w:vAlign w:val="top"/>
            <w:textDirection w:val="lrTb"/>
            <w:noWrap w:val="false"/>
          </w:tcPr>
          <w:p>
            <w:pPr>
              <w:ind w:left="0" w:right="-5"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5" w:type="dxa"/>
            <w:vAlign w:val="top"/>
            <w:textDirection w:val="lrTb"/>
            <w:noWrap w:val="false"/>
          </w:tcPr>
          <w:p>
            <w:pPr>
              <w:ind w:left="0" w:right="-5" w:firstLine="0"/>
              <w:jc w:val="both"/>
              <w:spacing w:before="0" w:after="0" w:line="499" w:lineRule="atLeast"/>
              <w:tabs>
                <w:tab w:val="left" w:pos="97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0"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5"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5"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5" w:type="dxa"/>
            <w:vAlign w:val="top"/>
            <w:textDirection w:val="lrTb"/>
            <w:noWrap w:val="false"/>
          </w:tcPr>
          <w:p>
            <w:pPr>
              <w:ind w:left="0" w:right="-5"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tc>
      </w:tr>
      <w:tr>
        <w:trPr>
          <w:trHeight w:val="6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8" w:type="dxa"/>
            <w:vAlign w:val="top"/>
            <w:textDirection w:val="lrTb"/>
            <w:noWrap w:val="false"/>
          </w:tcPr>
          <w:p>
            <w:pPr>
              <w:ind w:left="0" w:right="-5"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5" w:type="dxa"/>
            <w:vAlign w:val="top"/>
            <w:textDirection w:val="lrTb"/>
            <w:noWrap w:val="false"/>
          </w:tcPr>
          <w:p>
            <w:pPr>
              <w:ind w:left="0" w:right="-5" w:firstLine="0"/>
              <w:jc w:val="both"/>
              <w:spacing w:before="0" w:after="0" w:line="499" w:lineRule="atLeast"/>
              <w:tabs>
                <w:tab w:val="left" w:pos="97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0"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5"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5"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5" w:type="dxa"/>
            <w:vAlign w:val="top"/>
            <w:textDirection w:val="lrTb"/>
            <w:noWrap w:val="false"/>
          </w:tcPr>
          <w:p>
            <w:pPr>
              <w:ind w:left="0" w:right="-5"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tc>
      </w:tr>
      <w:tr>
        <w:trPr>
          <w:trHeight w:val="6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8" w:type="dxa"/>
            <w:vAlign w:val="top"/>
            <w:textDirection w:val="lrTb"/>
            <w:noWrap w:val="false"/>
          </w:tcPr>
          <w:p>
            <w:pPr>
              <w:ind w:left="0" w:right="-5"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5" w:type="dxa"/>
            <w:vAlign w:val="top"/>
            <w:textDirection w:val="lrTb"/>
            <w:noWrap w:val="false"/>
          </w:tcPr>
          <w:p>
            <w:pPr>
              <w:ind w:left="0" w:right="-5" w:firstLine="0"/>
              <w:jc w:val="both"/>
              <w:spacing w:before="0" w:after="0" w:line="499" w:lineRule="atLeast"/>
              <w:tabs>
                <w:tab w:val="left" w:pos="97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0"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5"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5"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5" w:type="dxa"/>
            <w:vAlign w:val="top"/>
            <w:textDirection w:val="lrTb"/>
            <w:noWrap w:val="false"/>
          </w:tcPr>
          <w:p>
            <w:pPr>
              <w:ind w:left="0" w:right="-5"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tc>
      </w:tr>
      <w:tr>
        <w:trPr>
          <w:trHeight w:val="6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8" w:type="dxa"/>
            <w:vAlign w:val="top"/>
            <w:textDirection w:val="lrTb"/>
            <w:noWrap w:val="false"/>
          </w:tcPr>
          <w:p>
            <w:pPr>
              <w:ind w:left="0" w:right="-5"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5" w:type="dxa"/>
            <w:vAlign w:val="top"/>
            <w:textDirection w:val="lrTb"/>
            <w:noWrap w:val="false"/>
          </w:tcPr>
          <w:p>
            <w:pPr>
              <w:ind w:left="0" w:right="-5" w:firstLine="0"/>
              <w:jc w:val="both"/>
              <w:spacing w:before="0" w:after="0" w:line="499" w:lineRule="atLeast"/>
              <w:tabs>
                <w:tab w:val="left" w:pos="97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0"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5"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5"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5" w:type="dxa"/>
            <w:vAlign w:val="top"/>
            <w:textDirection w:val="lrTb"/>
            <w:noWrap w:val="false"/>
          </w:tcPr>
          <w:p>
            <w:pPr>
              <w:ind w:left="0" w:right="-5"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tc>
      </w:tr>
      <w:tr>
        <w:trPr>
          <w:trHeight w:val="6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8" w:type="dxa"/>
            <w:vAlign w:val="top"/>
            <w:textDirection w:val="lrTb"/>
            <w:noWrap w:val="false"/>
          </w:tcPr>
          <w:p>
            <w:pPr>
              <w:ind w:left="0" w:right="-5"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5" w:type="dxa"/>
            <w:vAlign w:val="top"/>
            <w:textDirection w:val="lrTb"/>
            <w:noWrap w:val="false"/>
          </w:tcPr>
          <w:p>
            <w:pPr>
              <w:ind w:left="0" w:right="-5" w:firstLine="0"/>
              <w:jc w:val="both"/>
              <w:spacing w:before="0" w:after="0" w:line="499" w:lineRule="atLeast"/>
              <w:tabs>
                <w:tab w:val="left" w:pos="97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0"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5"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5"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5" w:type="dxa"/>
            <w:vAlign w:val="top"/>
            <w:textDirection w:val="lrTb"/>
            <w:noWrap w:val="false"/>
          </w:tcPr>
          <w:p>
            <w:pPr>
              <w:ind w:left="0" w:right="-5"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tc>
      </w:tr>
      <w:tr>
        <w:trPr>
          <w:trHeight w:val="6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8" w:type="dxa"/>
            <w:vAlign w:val="top"/>
            <w:textDirection w:val="lrTb"/>
            <w:noWrap w:val="false"/>
          </w:tcPr>
          <w:p>
            <w:pPr>
              <w:ind w:left="0" w:right="-5"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5" w:type="dxa"/>
            <w:vAlign w:val="top"/>
            <w:textDirection w:val="lrTb"/>
            <w:noWrap w:val="false"/>
          </w:tcPr>
          <w:p>
            <w:pPr>
              <w:ind w:left="0" w:right="-5" w:firstLine="0"/>
              <w:jc w:val="both"/>
              <w:spacing w:before="0" w:after="0" w:line="499" w:lineRule="atLeast"/>
              <w:tabs>
                <w:tab w:val="left" w:pos="97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0"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5"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5"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5" w:type="dxa"/>
            <w:vAlign w:val="top"/>
            <w:textDirection w:val="lrTb"/>
            <w:noWrap w:val="false"/>
          </w:tcPr>
          <w:p>
            <w:pPr>
              <w:ind w:left="0" w:right="-5"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tc>
      </w:tr>
      <w:tr>
        <w:trPr>
          <w:trHeight w:val="6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8" w:type="dxa"/>
            <w:vAlign w:val="top"/>
            <w:textDirection w:val="lrTb"/>
            <w:noWrap w:val="false"/>
          </w:tcPr>
          <w:p>
            <w:pPr>
              <w:ind w:left="0" w:right="-5"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5" w:type="dxa"/>
            <w:vAlign w:val="top"/>
            <w:textDirection w:val="lrTb"/>
            <w:noWrap w:val="false"/>
          </w:tcPr>
          <w:p>
            <w:pPr>
              <w:ind w:left="0" w:right="-5" w:firstLine="0"/>
              <w:jc w:val="both"/>
              <w:spacing w:before="0" w:after="0" w:line="499" w:lineRule="atLeast"/>
              <w:tabs>
                <w:tab w:val="left" w:pos="97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0"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5"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5"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5" w:type="dxa"/>
            <w:vAlign w:val="top"/>
            <w:textDirection w:val="lrTb"/>
            <w:noWrap w:val="false"/>
          </w:tcPr>
          <w:p>
            <w:pPr>
              <w:ind w:left="0" w:right="-5"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tc>
      </w:tr>
    </w:tbl>
    <w:p>
      <w:pPr>
        <w:ind w:left="525" w:right="-5" w:hanging="525"/>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ab/>
      </w:r>
      <w:r/>
    </w:p>
    <w:p>
      <w:pPr>
        <w:ind w:left="0" w:right="-5"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投标人代表（签字）：</w:t>
      </w:r>
      <w:r/>
    </w:p>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p>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5"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格式七：技术/服务方案及承诺</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5100" w:right="0" w:firstLine="425"/>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5100" w:right="0" w:firstLine="425"/>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5100" w:right="0" w:firstLine="425"/>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5100" w:right="0" w:firstLine="425"/>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5100" w:right="0" w:firstLine="425"/>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5100" w:right="0" w:firstLine="425"/>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5100" w:right="0" w:firstLine="425"/>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5100" w:right="0" w:firstLine="425"/>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5100" w:right="0" w:firstLine="425"/>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5100" w:right="0" w:firstLine="425"/>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5100" w:right="0" w:firstLine="425"/>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5100" w:right="0" w:firstLine="425"/>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0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投标人代表（签字）：</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ab/>
        <w:t xml:space="preserve">日期：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5"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格式八：投标货物的制造、检验、测试、验收标准 </w:t>
      </w:r>
      <w:r>
        <w:rPr>
          <w:rFonts w:ascii="SimSun" w:hAnsi="SimSun" w:eastAsia="SimSun" w:cs="SimSun"/>
          <w:b/>
          <w:color w:val="000000"/>
          <w:sz w:val="24"/>
        </w:rPr>
        <w:t xml:space="preserve"> （如果有）</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40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投标人代表（签字）：</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ab/>
        <w:t xml:space="preserve">日期：     </w:t>
      </w:r>
      <w:r/>
    </w:p>
    <w:p>
      <w:pPr>
        <w:ind w:left="5100" w:right="-5" w:firstLine="425"/>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格式九：业绩表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9"/>
        <w:gridCol w:w="1085"/>
        <w:gridCol w:w="1867"/>
        <w:gridCol w:w="228"/>
        <w:gridCol w:w="934"/>
        <w:gridCol w:w="2281"/>
        <w:gridCol w:w="912"/>
        <w:gridCol w:w="1498"/>
      </w:tblGrid>
      <w:tr>
        <w:trPr>
          <w:trHeight w:val="840"/>
        </w:trPr>
        <w:tc>
          <w:tcPr>
            <w:tcBorders>
              <w:top w:val="single" w:color="000000" w:sz="8" w:space="0"/>
              <w:left w:val="single" w:color="000000" w:sz="8" w:space="0"/>
              <w:bottom w:val="single" w:color="000000" w:sz="8" w:space="0"/>
              <w:right w:val="single" w:color="000000" w:sz="8" w:space="0"/>
            </w:tcBorders>
            <w:tcMar>
              <w:left w:w="20" w:type="dxa"/>
              <w:top w:w="20" w:type="dxa"/>
              <w:right w:w="20" w:type="dxa"/>
              <w:bottom w:w="0" w:type="dxa"/>
            </w:tcMar>
            <w:tcW w:w="5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20" w:type="dxa"/>
              <w:top w:w="20" w:type="dxa"/>
              <w:right w:w="20" w:type="dxa"/>
              <w:bottom w:w="0" w:type="dxa"/>
            </w:tcMar>
            <w:tcW w:w="108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20" w:type="dxa"/>
              <w:top w:w="20" w:type="dxa"/>
              <w:right w:w="20" w:type="dxa"/>
              <w:bottom w:w="0" w:type="dxa"/>
            </w:tcMar>
            <w:tcW w:w="186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供货设备清单</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（品牌、型号）</w:t>
            </w:r>
            <w:r/>
          </w:p>
        </w:tc>
        <w:tc>
          <w:tcPr>
            <w:tcBorders>
              <w:top w:val="single" w:color="000000" w:sz="8" w:space="0"/>
              <w:left w:val="none" w:color="000000" w:sz="4" w:space="0"/>
              <w:bottom w:val="single" w:color="000000" w:sz="8" w:space="0"/>
              <w:right w:val="single" w:color="000000" w:sz="8" w:space="0"/>
            </w:tcBorders>
            <w:tcMar>
              <w:left w:w="20" w:type="dxa"/>
              <w:top w:w="20" w:type="dxa"/>
              <w:right w:w="20" w:type="dxa"/>
              <w:bottom w:w="0" w:type="dxa"/>
            </w:tcMar>
            <w:tcW w:w="2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20" w:type="dxa"/>
              <w:top w:w="20" w:type="dxa"/>
              <w:right w:w="20"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签约</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tc>
        <w:tc>
          <w:tcPr>
            <w:tcBorders>
              <w:top w:val="single" w:color="000000" w:sz="8" w:space="0"/>
              <w:left w:val="none" w:color="000000" w:sz="4" w:space="0"/>
              <w:bottom w:val="single" w:color="000000" w:sz="8" w:space="0"/>
              <w:right w:val="single" w:color="000000" w:sz="8" w:space="0"/>
            </w:tcBorders>
            <w:tcMar>
              <w:left w:w="20" w:type="dxa"/>
              <w:top w:w="20" w:type="dxa"/>
              <w:right w:w="20" w:type="dxa"/>
              <w:bottom w:w="0" w:type="dxa"/>
            </w:tcMar>
            <w:tcW w:w="22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同类或相似货物合同价</w:t>
            </w:r>
            <w:r/>
          </w:p>
        </w:tc>
        <w:tc>
          <w:tcPr>
            <w:tcBorders>
              <w:top w:val="single" w:color="000000" w:sz="8" w:space="0"/>
              <w:left w:val="none" w:color="000000" w:sz="4" w:space="0"/>
              <w:bottom w:val="single" w:color="000000" w:sz="8" w:space="0"/>
              <w:right w:val="single" w:color="000000" w:sz="8" w:space="0"/>
            </w:tcBorders>
            <w:tcMar>
              <w:left w:w="20" w:type="dxa"/>
              <w:top w:w="20" w:type="dxa"/>
              <w:right w:w="20" w:type="dxa"/>
              <w:bottom w:w="0" w:type="dxa"/>
            </w:tcMar>
            <w:tcW w:w="9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业主名称</w:t>
            </w:r>
            <w:r/>
          </w:p>
        </w:tc>
        <w:tc>
          <w:tcPr>
            <w:tcBorders>
              <w:top w:val="single" w:color="000000" w:sz="8" w:space="0"/>
              <w:left w:val="none" w:color="000000" w:sz="4" w:space="0"/>
              <w:bottom w:val="single" w:color="000000" w:sz="8" w:space="0"/>
              <w:right w:val="single" w:color="000000" w:sz="8" w:space="0"/>
            </w:tcBorders>
            <w:tcMar>
              <w:left w:w="20" w:type="dxa"/>
              <w:top w:w="20" w:type="dxa"/>
              <w:right w:w="20" w:type="dxa"/>
              <w:bottom w:w="0" w:type="dxa"/>
            </w:tcMar>
            <w:tcW w:w="149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电话</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传真</w:t>
            </w:r>
            <w:r/>
          </w:p>
        </w:tc>
      </w:tr>
      <w:tr>
        <w:trPr>
          <w:trHeight w:val="499"/>
        </w:trPr>
        <w:tc>
          <w:tcPr>
            <w:tcBorders>
              <w:top w:val="none" w:color="000000" w:sz="4" w:space="0"/>
              <w:left w:val="single" w:color="000000" w:sz="8" w:space="0"/>
              <w:bottom w:val="single" w:color="000000" w:sz="8" w:space="0"/>
              <w:right w:val="single" w:color="000000" w:sz="8" w:space="0"/>
            </w:tcBorders>
            <w:tcMar>
              <w:left w:w="20" w:type="dxa"/>
              <w:top w:w="20" w:type="dxa"/>
              <w:right w:w="20" w:type="dxa"/>
              <w:bottom w:w="0" w:type="dxa"/>
            </w:tcMar>
            <w:tcW w:w="549"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20" w:type="dxa"/>
              <w:top w:w="20" w:type="dxa"/>
              <w:right w:w="20" w:type="dxa"/>
              <w:bottom w:w="0" w:type="dxa"/>
            </w:tcMar>
            <w:tcW w:w="1085" w:type="dxa"/>
            <w:vAlign w:val="bottom"/>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20" w:type="dxa"/>
              <w:top w:w="20" w:type="dxa"/>
              <w:right w:w="20" w:type="dxa"/>
              <w:bottom w:w="0" w:type="dxa"/>
            </w:tcMar>
            <w:tcW w:w="1867" w:type="dxa"/>
            <w:vAlign w:val="bottom"/>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20" w:type="dxa"/>
              <w:top w:w="20" w:type="dxa"/>
              <w:right w:w="20" w:type="dxa"/>
              <w:bottom w:w="0" w:type="dxa"/>
            </w:tcMar>
            <w:tcW w:w="228" w:type="dxa"/>
            <w:vAlign w:val="bottom"/>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0" w:type="dxa"/>
              <w:top w:w="20" w:type="dxa"/>
              <w:right w:w="20" w:type="dxa"/>
              <w:bottom w:w="0" w:type="dxa"/>
            </w:tcMar>
            <w:tcW w:w="934" w:type="dxa"/>
            <w:vAlign w:val="bottom"/>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20" w:type="dxa"/>
              <w:top w:w="20" w:type="dxa"/>
              <w:right w:w="20" w:type="dxa"/>
              <w:bottom w:w="0" w:type="dxa"/>
            </w:tcMar>
            <w:tcW w:w="2281" w:type="dxa"/>
            <w:vAlign w:val="bottom"/>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20" w:type="dxa"/>
              <w:top w:w="20" w:type="dxa"/>
              <w:right w:w="20" w:type="dxa"/>
              <w:bottom w:w="0" w:type="dxa"/>
            </w:tcMar>
            <w:tcW w:w="912" w:type="dxa"/>
            <w:vAlign w:val="bottom"/>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20" w:type="dxa"/>
              <w:top w:w="20" w:type="dxa"/>
              <w:right w:w="20" w:type="dxa"/>
              <w:bottom w:w="0" w:type="dxa"/>
            </w:tcMar>
            <w:tcW w:w="1498" w:type="dxa"/>
            <w:vAlign w:val="bottom"/>
            <w:textDirection w:val="lrTb"/>
            <w:noWrap/>
          </w:tcPr>
          <w:p>
            <w:pPr>
              <w:spacing w:before="0" w:after="0" w:line="57" w:lineRule="atLeast"/>
            </w:pPr>
            <w:r/>
          </w:p>
        </w:tc>
      </w:tr>
      <w:tr>
        <w:trPr>
          <w:trHeight w:val="499"/>
        </w:trPr>
        <w:tc>
          <w:tcPr>
            <w:tcBorders>
              <w:top w:val="none" w:color="000000" w:sz="4" w:space="0"/>
              <w:left w:val="single" w:color="000000" w:sz="8" w:space="0"/>
              <w:bottom w:val="single" w:color="000000" w:sz="8" w:space="0"/>
              <w:right w:val="single" w:color="000000" w:sz="8" w:space="0"/>
            </w:tcBorders>
            <w:tcMar>
              <w:left w:w="20" w:type="dxa"/>
              <w:top w:w="20" w:type="dxa"/>
              <w:right w:w="20" w:type="dxa"/>
              <w:bottom w:w="0" w:type="dxa"/>
            </w:tcMar>
            <w:tcW w:w="549"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20" w:type="dxa"/>
              <w:top w:w="20" w:type="dxa"/>
              <w:right w:w="20" w:type="dxa"/>
              <w:bottom w:w="0" w:type="dxa"/>
            </w:tcMar>
            <w:tcW w:w="1085" w:type="dxa"/>
            <w:vAlign w:val="bottom"/>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20" w:type="dxa"/>
              <w:top w:w="20" w:type="dxa"/>
              <w:right w:w="20" w:type="dxa"/>
              <w:bottom w:w="0" w:type="dxa"/>
            </w:tcMar>
            <w:tcW w:w="1867" w:type="dxa"/>
            <w:vAlign w:val="bottom"/>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20" w:type="dxa"/>
              <w:top w:w="20" w:type="dxa"/>
              <w:right w:w="20" w:type="dxa"/>
              <w:bottom w:w="0" w:type="dxa"/>
            </w:tcMar>
            <w:tcW w:w="228" w:type="dxa"/>
            <w:vAlign w:val="bottom"/>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0" w:type="dxa"/>
              <w:top w:w="20" w:type="dxa"/>
              <w:right w:w="20" w:type="dxa"/>
              <w:bottom w:w="0" w:type="dxa"/>
            </w:tcMar>
            <w:tcW w:w="934" w:type="dxa"/>
            <w:vAlign w:val="bottom"/>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20" w:type="dxa"/>
              <w:top w:w="20" w:type="dxa"/>
              <w:right w:w="20" w:type="dxa"/>
              <w:bottom w:w="0" w:type="dxa"/>
            </w:tcMar>
            <w:tcW w:w="2281" w:type="dxa"/>
            <w:vAlign w:val="bottom"/>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20" w:type="dxa"/>
              <w:top w:w="20" w:type="dxa"/>
              <w:right w:w="20" w:type="dxa"/>
              <w:bottom w:w="0" w:type="dxa"/>
            </w:tcMar>
            <w:tcW w:w="912" w:type="dxa"/>
            <w:vAlign w:val="bottom"/>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20" w:type="dxa"/>
              <w:top w:w="20" w:type="dxa"/>
              <w:right w:w="20" w:type="dxa"/>
              <w:bottom w:w="0" w:type="dxa"/>
            </w:tcMar>
            <w:tcW w:w="1498" w:type="dxa"/>
            <w:vAlign w:val="bottom"/>
            <w:textDirection w:val="lrTb"/>
            <w:noWrap/>
          </w:tcPr>
          <w:p>
            <w:pPr>
              <w:spacing w:before="0" w:after="0" w:line="57" w:lineRule="atLeast"/>
            </w:pPr>
            <w:r/>
          </w:p>
        </w:tc>
      </w:tr>
      <w:tr>
        <w:trPr>
          <w:trHeight w:val="499"/>
        </w:trPr>
        <w:tc>
          <w:tcPr>
            <w:tcBorders>
              <w:top w:val="none" w:color="000000" w:sz="4" w:space="0"/>
              <w:left w:val="single" w:color="000000" w:sz="8" w:space="0"/>
              <w:bottom w:val="single" w:color="000000" w:sz="8" w:space="0"/>
              <w:right w:val="single" w:color="000000" w:sz="8" w:space="0"/>
            </w:tcBorders>
            <w:tcMar>
              <w:left w:w="20" w:type="dxa"/>
              <w:top w:w="20" w:type="dxa"/>
              <w:right w:w="20" w:type="dxa"/>
              <w:bottom w:w="0" w:type="dxa"/>
            </w:tcMar>
            <w:tcW w:w="549"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20" w:type="dxa"/>
              <w:top w:w="20" w:type="dxa"/>
              <w:right w:w="20" w:type="dxa"/>
              <w:bottom w:w="0" w:type="dxa"/>
            </w:tcMar>
            <w:tcW w:w="1085" w:type="dxa"/>
            <w:vAlign w:val="bottom"/>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20" w:type="dxa"/>
              <w:top w:w="20" w:type="dxa"/>
              <w:right w:w="20" w:type="dxa"/>
              <w:bottom w:w="0" w:type="dxa"/>
            </w:tcMar>
            <w:tcW w:w="1867" w:type="dxa"/>
            <w:vAlign w:val="bottom"/>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20" w:type="dxa"/>
              <w:top w:w="20" w:type="dxa"/>
              <w:right w:w="20" w:type="dxa"/>
              <w:bottom w:w="0" w:type="dxa"/>
            </w:tcMar>
            <w:tcW w:w="228" w:type="dxa"/>
            <w:vAlign w:val="bottom"/>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0" w:type="dxa"/>
              <w:top w:w="20" w:type="dxa"/>
              <w:right w:w="20" w:type="dxa"/>
              <w:bottom w:w="0" w:type="dxa"/>
            </w:tcMar>
            <w:tcW w:w="934" w:type="dxa"/>
            <w:vAlign w:val="bottom"/>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20" w:type="dxa"/>
              <w:top w:w="20" w:type="dxa"/>
              <w:right w:w="20" w:type="dxa"/>
              <w:bottom w:w="0" w:type="dxa"/>
            </w:tcMar>
            <w:tcW w:w="2281" w:type="dxa"/>
            <w:vAlign w:val="bottom"/>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20" w:type="dxa"/>
              <w:top w:w="20" w:type="dxa"/>
              <w:right w:w="20" w:type="dxa"/>
              <w:bottom w:w="0" w:type="dxa"/>
            </w:tcMar>
            <w:tcW w:w="912" w:type="dxa"/>
            <w:vAlign w:val="bottom"/>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20" w:type="dxa"/>
              <w:top w:w="20" w:type="dxa"/>
              <w:right w:w="20" w:type="dxa"/>
              <w:bottom w:w="0" w:type="dxa"/>
            </w:tcMar>
            <w:tcW w:w="1498" w:type="dxa"/>
            <w:vAlign w:val="bottom"/>
            <w:textDirection w:val="lrTb"/>
            <w:noWrap/>
          </w:tcPr>
          <w:p>
            <w:pPr>
              <w:spacing w:before="0" w:after="0" w:line="57" w:lineRule="atLeast"/>
            </w:pPr>
            <w:r/>
          </w:p>
        </w:tc>
      </w:tr>
      <w:tr>
        <w:trPr>
          <w:trHeight w:val="499"/>
        </w:trPr>
        <w:tc>
          <w:tcPr>
            <w:tcBorders>
              <w:top w:val="none" w:color="000000" w:sz="4" w:space="0"/>
              <w:left w:val="single" w:color="000000" w:sz="8" w:space="0"/>
              <w:bottom w:val="single" w:color="000000" w:sz="8" w:space="0"/>
              <w:right w:val="single" w:color="000000" w:sz="8" w:space="0"/>
            </w:tcBorders>
            <w:tcMar>
              <w:left w:w="20" w:type="dxa"/>
              <w:top w:w="20" w:type="dxa"/>
              <w:right w:w="20" w:type="dxa"/>
              <w:bottom w:w="0" w:type="dxa"/>
            </w:tcMar>
            <w:tcW w:w="549" w:type="dxa"/>
            <w:vAlign w:val="bottom"/>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20" w:type="dxa"/>
              <w:top w:w="20" w:type="dxa"/>
              <w:right w:w="20" w:type="dxa"/>
              <w:bottom w:w="0" w:type="dxa"/>
            </w:tcMar>
            <w:tcW w:w="1085" w:type="dxa"/>
            <w:vAlign w:val="bottom"/>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20" w:type="dxa"/>
              <w:top w:w="20" w:type="dxa"/>
              <w:right w:w="20" w:type="dxa"/>
              <w:bottom w:w="0" w:type="dxa"/>
            </w:tcMar>
            <w:tcW w:w="1867" w:type="dxa"/>
            <w:vAlign w:val="bottom"/>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20" w:type="dxa"/>
              <w:top w:w="20" w:type="dxa"/>
              <w:right w:w="20" w:type="dxa"/>
              <w:bottom w:w="0" w:type="dxa"/>
            </w:tcMar>
            <w:tcW w:w="228" w:type="dxa"/>
            <w:vAlign w:val="bottom"/>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0" w:type="dxa"/>
              <w:top w:w="20" w:type="dxa"/>
              <w:right w:w="20" w:type="dxa"/>
              <w:bottom w:w="0" w:type="dxa"/>
            </w:tcMar>
            <w:tcW w:w="934" w:type="dxa"/>
            <w:vAlign w:val="bottom"/>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20" w:type="dxa"/>
              <w:top w:w="20" w:type="dxa"/>
              <w:right w:w="20" w:type="dxa"/>
              <w:bottom w:w="0" w:type="dxa"/>
            </w:tcMar>
            <w:tcW w:w="2281" w:type="dxa"/>
            <w:vAlign w:val="bottom"/>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20" w:type="dxa"/>
              <w:top w:w="20" w:type="dxa"/>
              <w:right w:w="20" w:type="dxa"/>
              <w:bottom w:w="0" w:type="dxa"/>
            </w:tcMar>
            <w:tcW w:w="912" w:type="dxa"/>
            <w:vAlign w:val="bottom"/>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20" w:type="dxa"/>
              <w:top w:w="20" w:type="dxa"/>
              <w:right w:w="20" w:type="dxa"/>
              <w:bottom w:w="0" w:type="dxa"/>
            </w:tcMar>
            <w:tcW w:w="1498" w:type="dxa"/>
            <w:vAlign w:val="bottom"/>
            <w:textDirection w:val="lrTb"/>
            <w:noWrap/>
          </w:tcPr>
          <w:p>
            <w:pPr>
              <w:spacing w:before="0" w:after="0" w:line="57" w:lineRule="atLeast"/>
            </w:pPr>
            <w:r/>
          </w:p>
        </w:tc>
      </w:tr>
    </w:tbl>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0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投标人代表（签字）：</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ab/>
        <w:t xml:space="preserve">日期：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4830" w:right="0" w:firstLine="0"/>
        <w:jc w:val="both"/>
        <w:spacing w:before="0" w:after="12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u w:val="single"/>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44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格式十：中小企业声明函</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（投标人应根据采购标的内容，选择对应版本的中小企业声明函）</w:t>
      </w:r>
      <w:r/>
    </w:p>
    <w:p>
      <w:pPr>
        <w:ind w:left="0" w:right="0" w:firstLine="0"/>
        <w:jc w:val="center"/>
        <w:spacing w:before="0" w:after="120" w:line="85" w:lineRule="atLeast"/>
        <w:tabs>
          <w:tab w:val="left" w:pos="709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120" w:line="85" w:lineRule="atLeast"/>
        <w:tabs>
          <w:tab w:val="left" w:pos="7098"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中小企业声明函（货物）</w:t>
      </w:r>
      <w:r/>
    </w:p>
    <w:p>
      <w:pPr>
        <w:ind w:left="0" w:right="0" w:firstLine="480"/>
        <w:jc w:val="both"/>
        <w:spacing w:before="0" w:after="120" w:line="85" w:lineRule="atLeast"/>
        <w:tabs>
          <w:tab w:val="left" w:pos="709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 号）的规定，本公司（联合体）参加</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的</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采购活动，提供的货物全部由符合政策要求的中小企业制造。相关企业（含联合体中的中小企业、签订分包意向协议的中小企业）的具体情况如下：</w:t>
      </w:r>
      <w:r/>
    </w:p>
    <w:p>
      <w:pPr>
        <w:ind w:left="0" w:right="0" w:firstLine="480"/>
        <w:jc w:val="both"/>
        <w:spacing w:before="0" w:after="120" w:line="85" w:lineRule="atLeast"/>
        <w:tabs>
          <w:tab w:val="left" w:pos="709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（标的名称） </w:t>
      </w:r>
      <w:r>
        <w:rPr>
          <w:rFonts w:ascii="SimSun" w:hAnsi="SimSun" w:eastAsia="SimSun" w:cs="SimSun"/>
          <w:color w:val="000000"/>
          <w:sz w:val="24"/>
        </w:rPr>
        <w:t xml:space="preserve">，属于</w:t>
      </w:r>
      <w:r>
        <w:rPr>
          <w:rFonts w:ascii="SimSun" w:hAnsi="SimSun" w:eastAsia="SimSun" w:cs="SimSun"/>
          <w:color w:val="000000"/>
          <w:sz w:val="24"/>
          <w:u w:val="single"/>
        </w:rPr>
        <w:t xml:space="preserve">（招标文件中明确的所属行业）</w:t>
      </w:r>
      <w:r>
        <w:rPr>
          <w:rFonts w:ascii="SimSun" w:hAnsi="SimSun" w:eastAsia="SimSun" w:cs="SimSun"/>
          <w:color w:val="000000"/>
          <w:sz w:val="24"/>
        </w:rPr>
        <w:t xml:space="preserve">行业；制造商为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，从业人员人，营业收入为万元，资产总额为万元，属于</w:t>
      </w:r>
      <w:r>
        <w:rPr>
          <w:rFonts w:ascii="SimSun" w:hAnsi="SimSun" w:eastAsia="SimSun" w:cs="SimSun"/>
          <w:color w:val="000000"/>
          <w:sz w:val="24"/>
          <w:u w:val="single"/>
        </w:rPr>
        <w:t xml:space="preserve">（□中型企业、□小型企业、□微型企业</w:t>
      </w:r>
      <w:r>
        <w:rPr>
          <w:rFonts w:ascii="SimSun" w:hAnsi="SimSun" w:eastAsia="SimSun" w:cs="SimSun"/>
          <w:color w:val="000000"/>
          <w:sz w:val="24"/>
        </w:rPr>
        <w:t xml:space="preserve">；</w:t>
      </w:r>
      <w:r/>
    </w:p>
    <w:p>
      <w:pPr>
        <w:ind w:left="0" w:right="0" w:firstLine="480"/>
        <w:jc w:val="both"/>
        <w:spacing w:before="0" w:after="120" w:line="85" w:lineRule="atLeast"/>
        <w:tabs>
          <w:tab w:val="left" w:pos="709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（标的名称） </w:t>
      </w:r>
      <w:r>
        <w:rPr>
          <w:rFonts w:ascii="SimSun" w:hAnsi="SimSun" w:eastAsia="SimSun" w:cs="SimSun"/>
          <w:color w:val="000000"/>
          <w:sz w:val="24"/>
        </w:rPr>
        <w:t xml:space="preserve">，属于</w:t>
      </w:r>
      <w:r>
        <w:rPr>
          <w:rFonts w:ascii="SimSun" w:hAnsi="SimSun" w:eastAsia="SimSun" w:cs="SimSun"/>
          <w:color w:val="000000"/>
          <w:sz w:val="24"/>
          <w:u w:val="single"/>
        </w:rPr>
        <w:t xml:space="preserve">（招标文件中明确的所属行业）</w:t>
      </w:r>
      <w:r>
        <w:rPr>
          <w:rFonts w:ascii="SimSun" w:hAnsi="SimSun" w:eastAsia="SimSun" w:cs="SimSun"/>
          <w:color w:val="000000"/>
          <w:sz w:val="24"/>
        </w:rPr>
        <w:t xml:space="preserve">行业；制造商为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，从业人员人，营业收入为万元，资产总额为万元，属于</w:t>
      </w:r>
      <w:r>
        <w:rPr>
          <w:rFonts w:ascii="SimSun" w:hAnsi="SimSun" w:eastAsia="SimSun" w:cs="SimSun"/>
          <w:color w:val="000000"/>
          <w:sz w:val="24"/>
          <w:u w:val="single"/>
        </w:rPr>
        <w:t xml:space="preserve">（□中型企业、□小型企业、□微型企业）</w:t>
      </w:r>
      <w:r>
        <w:rPr>
          <w:rFonts w:ascii="SimSun" w:hAnsi="SimSun" w:eastAsia="SimSun" w:cs="SimSun"/>
          <w:color w:val="000000"/>
          <w:sz w:val="24"/>
        </w:rPr>
        <w:t xml:space="preserve">；</w:t>
      </w:r>
      <w:r/>
    </w:p>
    <w:p>
      <w:pPr>
        <w:ind w:left="0" w:right="0" w:firstLine="480"/>
        <w:jc w:val="both"/>
        <w:spacing w:before="0" w:after="120" w:line="85" w:lineRule="atLeast"/>
        <w:tabs>
          <w:tab w:val="left" w:pos="709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80"/>
        <w:jc w:val="both"/>
        <w:spacing w:before="0" w:after="120" w:line="85" w:lineRule="atLeast"/>
        <w:tabs>
          <w:tab w:val="left" w:pos="709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480"/>
        <w:jc w:val="both"/>
        <w:spacing w:before="0" w:after="120" w:line="85" w:lineRule="atLeast"/>
        <w:tabs>
          <w:tab w:val="left" w:pos="709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0" w:firstLine="6000"/>
        <w:jc w:val="both"/>
        <w:spacing w:before="0" w:after="120" w:line="85" w:lineRule="atLeast"/>
        <w:tabs>
          <w:tab w:val="left" w:pos="709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120" w:line="85" w:lineRule="atLeast"/>
        <w:tabs>
          <w:tab w:val="left" w:pos="709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投标人或制造商名称（盖章）：</w:t>
      </w:r>
      <w:r/>
    </w:p>
    <w:p>
      <w:pPr>
        <w:ind w:left="0" w:right="0" w:firstLine="6000"/>
        <w:jc w:val="both"/>
        <w:spacing w:before="0" w:after="120" w:line="85" w:lineRule="atLeast"/>
        <w:tabs>
          <w:tab w:val="left" w:pos="709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480"/>
        <w:jc w:val="both"/>
        <w:spacing w:before="0" w:after="120" w:line="85" w:lineRule="atLeast"/>
        <w:tabs>
          <w:tab w:val="left" w:pos="709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120" w:line="85" w:lineRule="atLeast"/>
        <w:tabs>
          <w:tab w:val="left" w:pos="709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120" w:line="85" w:lineRule="atLeast"/>
        <w:tabs>
          <w:tab w:val="left" w:pos="709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注：从业人员、营业收入、资产总额填报上一年度数据，无上一年度数据的新成立企业可不填报。</w:t>
      </w:r>
      <w:r/>
    </w:p>
    <w:p>
      <w:pPr>
        <w:ind w:left="0" w:right="0" w:firstLine="480"/>
        <w:jc w:val="both"/>
        <w:spacing w:before="0" w:after="120" w:line="85" w:lineRule="atLeast"/>
        <w:tabs>
          <w:tab w:val="left" w:pos="709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中小企业声明函（工程、服务）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 号）的规定，本公司（联合体）参加</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的</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w:t>
      </w:r>
      <w:r>
        <w:rPr>
          <w:rFonts w:ascii="SimSun" w:hAnsi="SimSun" w:eastAsia="SimSun" w:cs="SimSun"/>
          <w:color w:val="000000"/>
          <w:sz w:val="24"/>
          <w:u w:val="single"/>
        </w:rPr>
        <w:t xml:space="preserve">（标的名称）</w:t>
      </w:r>
      <w:r>
        <w:rPr>
          <w:rFonts w:ascii="SimSun" w:hAnsi="SimSun" w:eastAsia="SimSun" w:cs="SimSun"/>
          <w:color w:val="000000"/>
          <w:sz w:val="24"/>
        </w:rPr>
        <w:t xml:space="preserve">，属于</w:t>
      </w:r>
      <w:r>
        <w:rPr>
          <w:rFonts w:ascii="SimSun" w:hAnsi="SimSun" w:eastAsia="SimSun" w:cs="SimSun"/>
          <w:color w:val="000000"/>
          <w:sz w:val="24"/>
          <w:u w:val="single"/>
        </w:rPr>
        <w:t xml:space="preserve">（招标文件中明确的所属行业）</w:t>
      </w:r>
      <w:r>
        <w:rPr>
          <w:rFonts w:ascii="SimSun" w:hAnsi="SimSun" w:eastAsia="SimSun" w:cs="SimSun"/>
          <w:color w:val="000000"/>
          <w:sz w:val="24"/>
        </w:rPr>
        <w:t xml:space="preserve">；承建（承接）企业为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，从业人员人，营业收入为万元，资产总额为万元，属于</w:t>
      </w:r>
      <w:r>
        <w:rPr>
          <w:rFonts w:ascii="SimSun" w:hAnsi="SimSun" w:eastAsia="SimSun" w:cs="SimSun"/>
          <w:color w:val="000000"/>
          <w:sz w:val="24"/>
          <w:u w:val="single"/>
        </w:rPr>
        <w:t xml:space="preserve">（□中型企业、□小型企业、□微型企业）</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w:t>
      </w:r>
      <w:r>
        <w:rPr>
          <w:rFonts w:ascii="SimSun" w:hAnsi="SimSun" w:eastAsia="SimSun" w:cs="SimSun"/>
          <w:color w:val="000000"/>
          <w:sz w:val="24"/>
          <w:u w:val="single"/>
        </w:rPr>
        <w:t xml:space="preserve">（标的名称）</w:t>
      </w:r>
      <w:r>
        <w:rPr>
          <w:rFonts w:ascii="SimSun" w:hAnsi="SimSun" w:eastAsia="SimSun" w:cs="SimSun"/>
          <w:color w:val="000000"/>
          <w:sz w:val="24"/>
        </w:rPr>
        <w:t xml:space="preserve">，属于</w:t>
      </w:r>
      <w:r>
        <w:rPr>
          <w:rFonts w:ascii="SimSun" w:hAnsi="SimSun" w:eastAsia="SimSun" w:cs="SimSun"/>
          <w:color w:val="000000"/>
          <w:sz w:val="24"/>
          <w:u w:val="single"/>
        </w:rPr>
        <w:t xml:space="preserve">（招标文件中明确的所属行业）</w:t>
      </w:r>
      <w:r>
        <w:rPr>
          <w:rFonts w:ascii="SimSun" w:hAnsi="SimSun" w:eastAsia="SimSun" w:cs="SimSun"/>
          <w:color w:val="000000"/>
          <w:sz w:val="24"/>
        </w:rPr>
        <w:t xml:space="preserve">；承建（承接）企业为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，从业人员人，营业收入为万元，资产总额为万元，属于</w:t>
      </w:r>
      <w:r>
        <w:rPr>
          <w:rFonts w:ascii="SimSun" w:hAnsi="SimSun" w:eastAsia="SimSun" w:cs="SimSun"/>
          <w:color w:val="000000"/>
          <w:sz w:val="24"/>
          <w:u w:val="single"/>
        </w:rPr>
        <w:t xml:space="preserve">（□中型企业、□小型企业、□微型企业）</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000"/>
        <w:jc w:val="both"/>
        <w:spacing w:before="0" w:after="120" w:line="85" w:lineRule="atLeast"/>
        <w:tabs>
          <w:tab w:val="left" w:pos="709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投标人名称（盖章）：</w:t>
      </w:r>
      <w:r/>
    </w:p>
    <w:p>
      <w:pPr>
        <w:ind w:left="0" w:right="0" w:firstLine="6000"/>
        <w:jc w:val="both"/>
        <w:spacing w:before="0" w:after="120" w:line="85" w:lineRule="atLeast"/>
        <w:tabs>
          <w:tab w:val="left" w:pos="709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注：从业人员、营业收入、资产总额填报上一年度数据，无上一年度数据的新成立企业可不填报。</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sz w:val="24"/>
        </w:rPr>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55" w:right="-75"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0"/>
          <w:u w:val="none"/>
        </w:rPr>
        <w:t xml:space="preserve">中小企业划型标准</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59"/>
        <w:gridCol w:w="592"/>
        <w:gridCol w:w="597"/>
        <w:gridCol w:w="645"/>
        <w:gridCol w:w="1143"/>
        <w:gridCol w:w="87"/>
        <w:gridCol w:w="399"/>
        <w:gridCol w:w="1516"/>
        <w:gridCol w:w="5051"/>
        <w:gridCol w:w="1078"/>
        <w:gridCol w:w="2661"/>
        <w:gridCol w:w="6841"/>
        <w:gridCol w:w="1199"/>
        <w:gridCol w:w="2929"/>
        <w:gridCol/>
        <w:gridCol w:w="304"/>
      </w:tblGrid>
      <w:tr>
        <w:trPr>
          <w:trHeight w:val="50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9" w:type="dxa"/>
            <w:vAlign w:val="center"/>
            <w:vMerge w:val="restart"/>
            <w:textDirection w:val="lrTb"/>
            <w:noWrap w:val="false"/>
          </w:tcPr>
          <w:p>
            <w:pPr>
              <w:ind w:left="-55" w:right="-75"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92" w:type="dxa"/>
            <w:vAlign w:val="center"/>
            <w:vMerge w:val="restart"/>
            <w:textDirection w:val="lrTb"/>
            <w:noWrap w:val="false"/>
          </w:tcPr>
          <w:p>
            <w:pPr>
              <w:ind w:left="-55" w:right="-75"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行业</w:t>
            </w:r>
            <w:r/>
          </w:p>
        </w:tc>
        <w:tc>
          <w:tcPr>
            <w:gridSpan w:val="3"/>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85" w:type="dxa"/>
            <w:vAlign w:val="center"/>
            <w:textDirection w:val="lrTb"/>
            <w:noWrap w:val="false"/>
          </w:tcPr>
          <w:p>
            <w:pPr>
              <w:ind w:left="-55" w:right="-75"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大型企业</w:t>
            </w:r>
            <w:r/>
          </w:p>
        </w:tc>
        <w:tc>
          <w:tcPr>
            <w:gridSpan w:val="3"/>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55" w:right="-75"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中型企业</w:t>
            </w:r>
            <w:r/>
          </w:p>
        </w:tc>
        <w:tc>
          <w:tcPr>
            <w:gridSpan w:val="3"/>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790" w:type="dxa"/>
            <w:vAlign w:val="center"/>
            <w:textDirection w:val="lrTb"/>
            <w:noWrap w:val="false"/>
          </w:tcPr>
          <w:p>
            <w:pPr>
              <w:ind w:left="-55" w:right="-75"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小型企业</w:t>
            </w:r>
            <w:r/>
          </w:p>
        </w:tc>
        <w:tc>
          <w:tcPr>
            <w:gridSpan w:val="3"/>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968" w:type="dxa"/>
            <w:vAlign w:val="center"/>
            <w:textDirection w:val="lrTb"/>
            <w:noWrap w:val="false"/>
          </w:tcPr>
          <w:p>
            <w:pPr>
              <w:ind w:left="-55" w:right="-75"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微型企业</w:t>
            </w:r>
            <w:r/>
          </w:p>
        </w:tc>
      </w:tr>
      <w:tr>
        <w:trPr>
          <w:trHeight w:val="389"/>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123" w:right="-123"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31" w:right="-75"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农、林、牧、渔业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3" w:type="dxa"/>
            <w:vAlign w:val="center"/>
            <w:textDirection w:val="lrTb"/>
            <w:noWrap w:val="false"/>
          </w:tcPr>
          <w:p>
            <w:pPr>
              <w:ind w:left="-123" w:right="-123"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≥20000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 w:type="dxa"/>
            <w:vAlign w:val="center"/>
            <w:textDirection w:val="lrTb"/>
            <w:noWrap w:val="false"/>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9" w:type="dxa"/>
            <w:vAlign w:val="center"/>
            <w:textDirection w:val="lrTb"/>
            <w:noWrap w:val="false"/>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6" w:type="dxa"/>
            <w:vAlign w:val="center"/>
            <w:textDirection w:val="lrTb"/>
            <w:noWrap w:val="false"/>
          </w:tcPr>
          <w:p>
            <w:pPr>
              <w:ind w:left="-123" w:right="-123"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51" w:type="dxa"/>
            <w:vAlign w:val="center"/>
            <w:textDirection w:val="lrTb"/>
            <w:noWrap w:val="false"/>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8" w:type="dxa"/>
            <w:vAlign w:val="center"/>
            <w:textDirection w:val="lrTb"/>
            <w:noWrap w:val="false"/>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1"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41" w:type="dxa"/>
            <w:vAlign w:val="center"/>
            <w:textDirection w:val="lrTb"/>
            <w:noWrap w:val="false"/>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9" w:type="dxa"/>
            <w:vAlign w:val="center"/>
            <w:textDirection w:val="lrTb"/>
            <w:noWrap w:val="false"/>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29"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16" w:type="dxa"/>
            <w:vAlign w:val="center"/>
            <w:textDirection w:val="lrTb"/>
            <w:noWrap w:val="false"/>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 w:type="dxa"/>
            <w:vAlign w:val="center"/>
            <w:textDirection w:val="lrTb"/>
            <w:noWrap w:val="false"/>
          </w:tcPr>
          <w:p>
            <w:pPr>
              <w:spacing w:before="0" w:after="0" w:line="57" w:lineRule="atLeast"/>
            </w:pPr>
            <w:r/>
          </w:p>
        </w:tc>
      </w:tr>
      <w:tr>
        <w:trPr>
          <w:trHeight w:val="3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 w:type="dxa"/>
            <w:vAlign w:val="center"/>
            <w:textDirection w:val="lrTb"/>
            <w:noWrap w:val="false"/>
          </w:tcPr>
          <w:p>
            <w:pPr>
              <w:ind w:left="-123" w:right="-123"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2" w:type="dxa"/>
            <w:vAlign w:val="center"/>
            <w:textDirection w:val="lrTb"/>
            <w:noWrap w:val="false"/>
          </w:tcPr>
          <w:p>
            <w:pPr>
              <w:ind w:left="-31" w:right="-75"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工业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123" w:right="-123"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≥40000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123" w:right="-123"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≥1000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3" w:type="dxa"/>
            <w:vAlign w:val="center"/>
            <w:textDirection w:val="lrTb"/>
            <w:noWrap w:val="false"/>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 w:type="dxa"/>
            <w:vAlign w:val="center"/>
            <w:textDirection w:val="lrTb"/>
            <w:noWrap w:val="false"/>
          </w:tcPr>
          <w:p>
            <w:pPr>
              <w:ind w:left="-123" w:right="-123"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≥2000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9" w:type="dxa"/>
            <w:vAlign w:val="center"/>
            <w:textDirection w:val="lrTb"/>
            <w:noWrap w:val="false"/>
          </w:tcPr>
          <w:p>
            <w:pPr>
              <w:ind w:left="-123" w:right="-123"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≥300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6" w:type="dxa"/>
            <w:vAlign w:val="center"/>
            <w:textDirection w:val="lrTb"/>
            <w:noWrap w:val="false"/>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51"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≥300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8"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1" w:type="dxa"/>
            <w:vAlign w:val="center"/>
            <w:textDirection w:val="lrTb"/>
            <w:noWrap w:val="false"/>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41"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＜300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9"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29" w:type="dxa"/>
            <w:vAlign w:val="center"/>
            <w:textDirection w:val="lrTb"/>
            <w:noWrap w:val="false"/>
          </w:tcPr>
          <w:p>
            <w:pPr>
              <w:spacing w:before="0" w:after="0" w:line="57" w:lineRule="atLeast"/>
            </w:pPr>
            <w:r/>
          </w:p>
        </w:tc>
      </w:tr>
      <w:tr>
        <w:trPr>
          <w:trHeight w:val="3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 w:type="dxa"/>
            <w:vAlign w:val="center"/>
            <w:textDirection w:val="lrTb"/>
            <w:noWrap w:val="false"/>
          </w:tcPr>
          <w:p>
            <w:pPr>
              <w:ind w:left="-123" w:right="-123"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2" w:type="dxa"/>
            <w:vAlign w:val="center"/>
            <w:textDirection w:val="lrTb"/>
            <w:noWrap w:val="false"/>
          </w:tcPr>
          <w:p>
            <w:pPr>
              <w:ind w:left="-31" w:right="-75"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建筑业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123" w:right="-123"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≥80000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3" w:type="dxa"/>
            <w:vAlign w:val="center"/>
            <w:textDirection w:val="lrTb"/>
            <w:noWrap w:val="false"/>
          </w:tcPr>
          <w:p>
            <w:pPr>
              <w:ind w:left="-123" w:right="-123"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≥80000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 w:type="dxa"/>
            <w:vAlign w:val="center"/>
            <w:textDirection w:val="lrTb"/>
            <w:noWrap w:val="false"/>
          </w:tcPr>
          <w:p>
            <w:pPr>
              <w:ind w:left="-123" w:right="-123"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≥5000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9" w:type="dxa"/>
            <w:vAlign w:val="center"/>
            <w:textDirection w:val="lrTb"/>
            <w:noWrap w:val="false"/>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6"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≥5000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51"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≥300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8" w:type="dxa"/>
            <w:vAlign w:val="center"/>
            <w:textDirection w:val="lrTb"/>
            <w:noWrap w:val="false"/>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1"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≥300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41"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＜300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9" w:type="dxa"/>
            <w:vAlign w:val="center"/>
            <w:textDirection w:val="lrTb"/>
            <w:noWrap w:val="false"/>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29"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＜300</w:t>
            </w:r>
            <w:r/>
          </w:p>
        </w:tc>
      </w:tr>
      <w:tr>
        <w:trPr>
          <w:trHeight w:val="3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 w:type="dxa"/>
            <w:vAlign w:val="center"/>
            <w:textDirection w:val="lrTb"/>
            <w:noWrap w:val="false"/>
          </w:tcPr>
          <w:p>
            <w:pPr>
              <w:ind w:left="-123" w:right="-123"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2" w:type="dxa"/>
            <w:vAlign w:val="center"/>
            <w:textDirection w:val="lrTb"/>
            <w:noWrap w:val="false"/>
          </w:tcPr>
          <w:p>
            <w:pPr>
              <w:ind w:left="-31" w:right="-75"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批发业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123" w:right="-123"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≥40000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123" w:right="-123"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3" w:type="dxa"/>
            <w:vAlign w:val="center"/>
            <w:textDirection w:val="lrTb"/>
            <w:noWrap w:val="false"/>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 w:type="dxa"/>
            <w:vAlign w:val="center"/>
            <w:textDirection w:val="lrTb"/>
            <w:noWrap w:val="false"/>
          </w:tcPr>
          <w:p>
            <w:pPr>
              <w:ind w:left="-123" w:right="-123"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≥5000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9" w:type="dxa"/>
            <w:vAlign w:val="center"/>
            <w:textDirection w:val="lrTb"/>
            <w:noWrap w:val="false"/>
          </w:tcPr>
          <w:p>
            <w:pPr>
              <w:ind w:left="-123" w:right="-123"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6" w:type="dxa"/>
            <w:vAlign w:val="center"/>
            <w:textDirection w:val="lrTb"/>
            <w:noWrap w:val="false"/>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51"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≥1000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8"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1" w:type="dxa"/>
            <w:vAlign w:val="center"/>
            <w:textDirection w:val="lrTb"/>
            <w:noWrap w:val="false"/>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41"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＜1000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9"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29" w:type="dxa"/>
            <w:vAlign w:val="center"/>
            <w:textDirection w:val="lrTb"/>
            <w:noWrap w:val="false"/>
          </w:tcPr>
          <w:p>
            <w:pPr>
              <w:spacing w:before="0" w:after="0" w:line="57" w:lineRule="atLeast"/>
            </w:pPr>
            <w:r/>
          </w:p>
        </w:tc>
      </w:tr>
      <w:tr>
        <w:trPr>
          <w:trHeight w:val="3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 w:type="dxa"/>
            <w:vAlign w:val="center"/>
            <w:textDirection w:val="lrTb"/>
            <w:noWrap w:val="false"/>
          </w:tcPr>
          <w:p>
            <w:pPr>
              <w:ind w:left="-123" w:right="-123"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2" w:type="dxa"/>
            <w:vAlign w:val="center"/>
            <w:textDirection w:val="lrTb"/>
            <w:noWrap w:val="false"/>
          </w:tcPr>
          <w:p>
            <w:pPr>
              <w:ind w:left="-31" w:right="-75"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零售业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123" w:right="-123"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≥20000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123" w:right="-123"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≥300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3" w:type="dxa"/>
            <w:vAlign w:val="center"/>
            <w:textDirection w:val="lrTb"/>
            <w:noWrap w:val="false"/>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 w:type="dxa"/>
            <w:vAlign w:val="center"/>
            <w:textDirection w:val="lrTb"/>
            <w:noWrap w:val="false"/>
          </w:tcPr>
          <w:p>
            <w:pPr>
              <w:ind w:left="-123" w:right="-123"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9" w:type="dxa"/>
            <w:vAlign w:val="center"/>
            <w:textDirection w:val="lrTb"/>
            <w:noWrap w:val="false"/>
          </w:tcPr>
          <w:p>
            <w:pPr>
              <w:ind w:left="-123" w:right="-123"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6" w:type="dxa"/>
            <w:vAlign w:val="center"/>
            <w:textDirection w:val="lrTb"/>
            <w:noWrap w:val="false"/>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51"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8"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1" w:type="dxa"/>
            <w:vAlign w:val="center"/>
            <w:textDirection w:val="lrTb"/>
            <w:noWrap w:val="false"/>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41"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9"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29" w:type="dxa"/>
            <w:vAlign w:val="center"/>
            <w:textDirection w:val="lrTb"/>
            <w:noWrap w:val="false"/>
          </w:tcPr>
          <w:p>
            <w:pPr>
              <w:spacing w:before="0" w:after="0" w:line="57" w:lineRule="atLeast"/>
            </w:pPr>
            <w:r/>
          </w:p>
        </w:tc>
      </w:tr>
      <w:tr>
        <w:trPr>
          <w:trHeight w:val="3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 w:type="dxa"/>
            <w:vAlign w:val="center"/>
            <w:textDirection w:val="lrTb"/>
            <w:noWrap w:val="false"/>
          </w:tcPr>
          <w:p>
            <w:pPr>
              <w:ind w:left="-123" w:right="-123"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2" w:type="dxa"/>
            <w:vAlign w:val="center"/>
            <w:textDirection w:val="lrTb"/>
            <w:noWrap w:val="false"/>
          </w:tcPr>
          <w:p>
            <w:pPr>
              <w:ind w:left="-31" w:right="-75"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交通运输业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123" w:right="-123"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≥30000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123" w:right="-123"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≥1000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3" w:type="dxa"/>
            <w:vAlign w:val="center"/>
            <w:textDirection w:val="lrTb"/>
            <w:noWrap w:val="false"/>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 w:type="dxa"/>
            <w:vAlign w:val="center"/>
            <w:textDirection w:val="lrTb"/>
            <w:noWrap w:val="false"/>
          </w:tcPr>
          <w:p>
            <w:pPr>
              <w:ind w:left="-123" w:right="-123"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≥3000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9" w:type="dxa"/>
            <w:vAlign w:val="center"/>
            <w:textDirection w:val="lrTb"/>
            <w:noWrap w:val="false"/>
          </w:tcPr>
          <w:p>
            <w:pPr>
              <w:ind w:left="-123" w:right="-123"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≥300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6" w:type="dxa"/>
            <w:vAlign w:val="center"/>
            <w:textDirection w:val="lrTb"/>
            <w:noWrap w:val="false"/>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51"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8"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1" w:type="dxa"/>
            <w:vAlign w:val="center"/>
            <w:textDirection w:val="lrTb"/>
            <w:noWrap w:val="false"/>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41"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9"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29" w:type="dxa"/>
            <w:vAlign w:val="center"/>
            <w:textDirection w:val="lrTb"/>
            <w:noWrap w:val="false"/>
          </w:tcPr>
          <w:p>
            <w:pPr>
              <w:spacing w:before="0" w:after="0" w:line="57" w:lineRule="atLeast"/>
            </w:pPr>
            <w:r/>
          </w:p>
        </w:tc>
      </w:tr>
      <w:tr>
        <w:trPr>
          <w:trHeight w:val="3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 w:type="dxa"/>
            <w:vAlign w:val="center"/>
            <w:textDirection w:val="lrTb"/>
            <w:noWrap w:val="false"/>
          </w:tcPr>
          <w:p>
            <w:pPr>
              <w:ind w:left="-123" w:right="-123"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2" w:type="dxa"/>
            <w:vAlign w:val="center"/>
            <w:textDirection w:val="lrTb"/>
            <w:noWrap w:val="false"/>
          </w:tcPr>
          <w:p>
            <w:pPr>
              <w:ind w:left="-31" w:right="-75"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仓储业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123" w:right="-123"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≥30000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123" w:right="-123"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3" w:type="dxa"/>
            <w:vAlign w:val="center"/>
            <w:textDirection w:val="lrTb"/>
            <w:noWrap w:val="false"/>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 w:type="dxa"/>
            <w:vAlign w:val="center"/>
            <w:textDirection w:val="lrTb"/>
            <w:noWrap w:val="false"/>
          </w:tcPr>
          <w:p>
            <w:pPr>
              <w:ind w:left="-123" w:right="-123"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≥1000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9" w:type="dxa"/>
            <w:vAlign w:val="center"/>
            <w:textDirection w:val="lrTb"/>
            <w:noWrap w:val="false"/>
          </w:tcPr>
          <w:p>
            <w:pPr>
              <w:ind w:left="-123" w:right="-123"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6" w:type="dxa"/>
            <w:vAlign w:val="center"/>
            <w:textDirection w:val="lrTb"/>
            <w:noWrap w:val="false"/>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51"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8"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1" w:type="dxa"/>
            <w:vAlign w:val="center"/>
            <w:textDirection w:val="lrTb"/>
            <w:noWrap w:val="false"/>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41"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9"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29" w:type="dxa"/>
            <w:vAlign w:val="center"/>
            <w:textDirection w:val="lrTb"/>
            <w:noWrap w:val="false"/>
          </w:tcPr>
          <w:p>
            <w:pPr>
              <w:spacing w:before="0" w:after="0" w:line="57" w:lineRule="atLeast"/>
            </w:pPr>
            <w:r/>
          </w:p>
        </w:tc>
      </w:tr>
      <w:tr>
        <w:trPr>
          <w:trHeight w:val="3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 w:type="dxa"/>
            <w:vAlign w:val="center"/>
            <w:textDirection w:val="lrTb"/>
            <w:noWrap w:val="false"/>
          </w:tcPr>
          <w:p>
            <w:pPr>
              <w:ind w:left="-123" w:right="-123"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2" w:type="dxa"/>
            <w:vAlign w:val="center"/>
            <w:textDirection w:val="lrTb"/>
            <w:noWrap w:val="false"/>
          </w:tcPr>
          <w:p>
            <w:pPr>
              <w:ind w:left="-31" w:right="-75"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邮政业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123" w:right="-123"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≥30000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123" w:right="-123"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≥1000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3" w:type="dxa"/>
            <w:vAlign w:val="center"/>
            <w:textDirection w:val="lrTb"/>
            <w:noWrap w:val="false"/>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 w:type="dxa"/>
            <w:vAlign w:val="center"/>
            <w:textDirection w:val="lrTb"/>
            <w:noWrap w:val="false"/>
          </w:tcPr>
          <w:p>
            <w:pPr>
              <w:ind w:left="-123" w:right="-123"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≥2000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9" w:type="dxa"/>
            <w:vAlign w:val="center"/>
            <w:textDirection w:val="lrTb"/>
            <w:noWrap w:val="false"/>
          </w:tcPr>
          <w:p>
            <w:pPr>
              <w:ind w:left="-123" w:right="-123"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≥300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6" w:type="dxa"/>
            <w:vAlign w:val="center"/>
            <w:textDirection w:val="lrTb"/>
            <w:noWrap w:val="false"/>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51"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8"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1" w:type="dxa"/>
            <w:vAlign w:val="center"/>
            <w:textDirection w:val="lrTb"/>
            <w:noWrap w:val="false"/>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41"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9"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29" w:type="dxa"/>
            <w:vAlign w:val="center"/>
            <w:textDirection w:val="lrTb"/>
            <w:noWrap w:val="false"/>
          </w:tcPr>
          <w:p>
            <w:pPr>
              <w:spacing w:before="0" w:after="0" w:line="57" w:lineRule="atLeast"/>
            </w:pPr>
            <w:r/>
          </w:p>
        </w:tc>
      </w:tr>
      <w:tr>
        <w:trPr>
          <w:trHeight w:val="3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 w:type="dxa"/>
            <w:vAlign w:val="center"/>
            <w:textDirection w:val="lrTb"/>
            <w:noWrap w:val="false"/>
          </w:tcPr>
          <w:p>
            <w:pPr>
              <w:ind w:left="-123" w:right="-123"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2" w:type="dxa"/>
            <w:vAlign w:val="center"/>
            <w:textDirection w:val="lrTb"/>
            <w:noWrap w:val="false"/>
          </w:tcPr>
          <w:p>
            <w:pPr>
              <w:ind w:left="-31" w:right="-75"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住宿业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123" w:right="-123"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≥10000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123" w:right="-123"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≥300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3" w:type="dxa"/>
            <w:vAlign w:val="center"/>
            <w:textDirection w:val="lrTb"/>
            <w:noWrap w:val="false"/>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 w:type="dxa"/>
            <w:vAlign w:val="center"/>
            <w:textDirection w:val="lrTb"/>
            <w:noWrap w:val="false"/>
          </w:tcPr>
          <w:p>
            <w:pPr>
              <w:ind w:left="-123" w:right="-123"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≥2000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9" w:type="dxa"/>
            <w:vAlign w:val="center"/>
            <w:textDirection w:val="lrTb"/>
            <w:noWrap w:val="false"/>
          </w:tcPr>
          <w:p>
            <w:pPr>
              <w:ind w:left="-123" w:right="-123"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6" w:type="dxa"/>
            <w:vAlign w:val="center"/>
            <w:textDirection w:val="lrTb"/>
            <w:noWrap w:val="false"/>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51"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8"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1" w:type="dxa"/>
            <w:vAlign w:val="center"/>
            <w:textDirection w:val="lrTb"/>
            <w:noWrap w:val="false"/>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41"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9"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29" w:type="dxa"/>
            <w:vAlign w:val="center"/>
            <w:textDirection w:val="lrTb"/>
            <w:noWrap w:val="false"/>
          </w:tcPr>
          <w:p>
            <w:pPr>
              <w:spacing w:before="0" w:after="0" w:line="57" w:lineRule="atLeast"/>
            </w:pPr>
            <w:r/>
          </w:p>
        </w:tc>
      </w:tr>
      <w:tr>
        <w:trPr>
          <w:trHeight w:val="3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 w:type="dxa"/>
            <w:vAlign w:val="center"/>
            <w:textDirection w:val="lrTb"/>
            <w:noWrap w:val="false"/>
          </w:tcPr>
          <w:p>
            <w:pPr>
              <w:ind w:left="-123" w:right="-123"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2" w:type="dxa"/>
            <w:vAlign w:val="center"/>
            <w:textDirection w:val="lrTb"/>
            <w:noWrap w:val="false"/>
          </w:tcPr>
          <w:p>
            <w:pPr>
              <w:ind w:left="-31" w:right="-75"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餐饮业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123" w:right="-123"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≥10000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123" w:right="-123"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≥300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3" w:type="dxa"/>
            <w:vAlign w:val="center"/>
            <w:textDirection w:val="lrTb"/>
            <w:noWrap w:val="false"/>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 w:type="dxa"/>
            <w:vAlign w:val="center"/>
            <w:textDirection w:val="lrTb"/>
            <w:noWrap w:val="false"/>
          </w:tcPr>
          <w:p>
            <w:pPr>
              <w:ind w:left="-123" w:right="-123"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≥2000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9" w:type="dxa"/>
            <w:vAlign w:val="center"/>
            <w:textDirection w:val="lrTb"/>
            <w:noWrap w:val="false"/>
          </w:tcPr>
          <w:p>
            <w:pPr>
              <w:ind w:left="-123" w:right="-123"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6" w:type="dxa"/>
            <w:vAlign w:val="center"/>
            <w:textDirection w:val="lrTb"/>
            <w:noWrap w:val="false"/>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51"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8"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1" w:type="dxa"/>
            <w:vAlign w:val="center"/>
            <w:textDirection w:val="lrTb"/>
            <w:noWrap w:val="false"/>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41"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9"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29" w:type="dxa"/>
            <w:vAlign w:val="center"/>
            <w:textDirection w:val="lrTb"/>
            <w:noWrap w:val="false"/>
          </w:tcPr>
          <w:p>
            <w:pPr>
              <w:spacing w:before="0" w:after="0" w:line="57" w:lineRule="atLeast"/>
            </w:pPr>
            <w:r/>
          </w:p>
        </w:tc>
      </w:tr>
      <w:tr>
        <w:trPr>
          <w:trHeight w:val="3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 w:type="dxa"/>
            <w:vAlign w:val="center"/>
            <w:textDirection w:val="lrTb"/>
            <w:noWrap w:val="false"/>
          </w:tcPr>
          <w:p>
            <w:pPr>
              <w:ind w:left="-123" w:right="-123"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2" w:type="dxa"/>
            <w:vAlign w:val="center"/>
            <w:textDirection w:val="lrTb"/>
            <w:noWrap w:val="false"/>
          </w:tcPr>
          <w:p>
            <w:pPr>
              <w:ind w:left="-31" w:right="-75"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信息传输业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123" w:right="-123"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≥100000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123" w:right="-123"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≥2000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3" w:type="dxa"/>
            <w:vAlign w:val="center"/>
            <w:textDirection w:val="lrTb"/>
            <w:noWrap w:val="false"/>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 w:type="dxa"/>
            <w:vAlign w:val="center"/>
            <w:textDirection w:val="lrTb"/>
            <w:noWrap w:val="false"/>
          </w:tcPr>
          <w:p>
            <w:pPr>
              <w:ind w:left="-123" w:right="-123"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≥1000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9" w:type="dxa"/>
            <w:vAlign w:val="center"/>
            <w:textDirection w:val="lrTb"/>
            <w:noWrap w:val="false"/>
          </w:tcPr>
          <w:p>
            <w:pPr>
              <w:ind w:left="-123" w:right="-123"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6" w:type="dxa"/>
            <w:vAlign w:val="center"/>
            <w:textDirection w:val="lrTb"/>
            <w:noWrap w:val="false"/>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51"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8"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1" w:type="dxa"/>
            <w:vAlign w:val="center"/>
            <w:textDirection w:val="lrTb"/>
            <w:noWrap w:val="false"/>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41"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9"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29" w:type="dxa"/>
            <w:vAlign w:val="center"/>
            <w:textDirection w:val="lrTb"/>
            <w:noWrap w:val="false"/>
          </w:tcPr>
          <w:p>
            <w:pPr>
              <w:spacing w:before="0" w:after="0" w:line="57" w:lineRule="atLeast"/>
            </w:pPr>
            <w:r/>
          </w:p>
        </w:tc>
      </w:tr>
      <w:tr>
        <w:trPr>
          <w:trHeight w:val="3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 w:type="dxa"/>
            <w:vAlign w:val="center"/>
            <w:textDirection w:val="lrTb"/>
            <w:noWrap w:val="false"/>
          </w:tcPr>
          <w:p>
            <w:pPr>
              <w:ind w:left="-123" w:right="-123"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2" w:type="dxa"/>
            <w:vAlign w:val="center"/>
            <w:textDirection w:val="lrTb"/>
            <w:noWrap w:val="false"/>
          </w:tcPr>
          <w:p>
            <w:pPr>
              <w:ind w:left="-31" w:right="-75"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软件和信息技术服务业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123" w:right="-123"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≥10000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123" w:right="-123"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≥300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3" w:type="dxa"/>
            <w:vAlign w:val="center"/>
            <w:textDirection w:val="lrTb"/>
            <w:noWrap w:val="false"/>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 w:type="dxa"/>
            <w:vAlign w:val="center"/>
            <w:textDirection w:val="lrTb"/>
            <w:noWrap w:val="false"/>
          </w:tcPr>
          <w:p>
            <w:pPr>
              <w:ind w:left="-123" w:right="-123"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≥1000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9" w:type="dxa"/>
            <w:vAlign w:val="center"/>
            <w:textDirection w:val="lrTb"/>
            <w:noWrap w:val="false"/>
          </w:tcPr>
          <w:p>
            <w:pPr>
              <w:ind w:left="-123" w:right="-123"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6" w:type="dxa"/>
            <w:vAlign w:val="center"/>
            <w:textDirection w:val="lrTb"/>
            <w:noWrap w:val="false"/>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51"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8"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1" w:type="dxa"/>
            <w:vAlign w:val="center"/>
            <w:textDirection w:val="lrTb"/>
            <w:noWrap w:val="false"/>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41"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9"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29" w:type="dxa"/>
            <w:vAlign w:val="center"/>
            <w:textDirection w:val="lrTb"/>
            <w:noWrap w:val="false"/>
          </w:tcPr>
          <w:p>
            <w:pPr>
              <w:spacing w:before="0" w:after="0" w:line="57" w:lineRule="atLeast"/>
            </w:pPr>
            <w:r/>
          </w:p>
        </w:tc>
      </w:tr>
      <w:tr>
        <w:trPr>
          <w:trHeight w:val="3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 w:type="dxa"/>
            <w:vAlign w:val="center"/>
            <w:textDirection w:val="lrTb"/>
            <w:noWrap w:val="false"/>
          </w:tcPr>
          <w:p>
            <w:pPr>
              <w:ind w:left="-123" w:right="-123"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2" w:type="dxa"/>
            <w:vAlign w:val="center"/>
            <w:textDirection w:val="lrTb"/>
            <w:noWrap w:val="false"/>
          </w:tcPr>
          <w:p>
            <w:pPr>
              <w:ind w:left="-31" w:right="-75"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房地产开发经验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123" w:right="-123"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≥200000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3" w:type="dxa"/>
            <w:vAlign w:val="center"/>
            <w:textDirection w:val="lrTb"/>
            <w:noWrap w:val="false"/>
          </w:tcPr>
          <w:p>
            <w:pPr>
              <w:ind w:left="-123" w:right="-123"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或,≥10000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 w:type="dxa"/>
            <w:vAlign w:val="center"/>
            <w:textDirection w:val="lrTb"/>
            <w:noWrap w:val="false"/>
          </w:tcPr>
          <w:p>
            <w:pPr>
              <w:ind w:left="-123" w:right="-123"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≥1000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9" w:type="dxa"/>
            <w:vAlign w:val="center"/>
            <w:textDirection w:val="lrTb"/>
            <w:noWrap w:val="false"/>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6"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且,≥5000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51"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8" w:type="dxa"/>
            <w:vAlign w:val="center"/>
            <w:textDirection w:val="lrTb"/>
            <w:noWrap w:val="false"/>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1"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且,≥2000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41"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9" w:type="dxa"/>
            <w:vAlign w:val="center"/>
            <w:textDirection w:val="lrTb"/>
            <w:noWrap w:val="false"/>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29"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或,＜2000</w:t>
            </w:r>
            <w:r/>
          </w:p>
        </w:tc>
      </w:tr>
      <w:tr>
        <w:trPr>
          <w:trHeight w:val="3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 w:type="dxa"/>
            <w:vAlign w:val="center"/>
            <w:textDirection w:val="lrTb"/>
            <w:noWrap w:val="false"/>
          </w:tcPr>
          <w:p>
            <w:pPr>
              <w:ind w:left="-123" w:right="-123"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2" w:type="dxa"/>
            <w:vAlign w:val="center"/>
            <w:textDirection w:val="lrTb"/>
            <w:noWrap w:val="false"/>
          </w:tcPr>
          <w:p>
            <w:pPr>
              <w:ind w:left="-31" w:right="-75"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物业管理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123" w:right="-123"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≥5000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123" w:right="-123"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≥1000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3" w:type="dxa"/>
            <w:vAlign w:val="center"/>
            <w:textDirection w:val="lrTb"/>
            <w:noWrap w:val="false"/>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 w:type="dxa"/>
            <w:vAlign w:val="center"/>
            <w:textDirection w:val="lrTb"/>
            <w:noWrap w:val="false"/>
          </w:tcPr>
          <w:p>
            <w:pPr>
              <w:ind w:left="-123" w:right="-123"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≥1000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9" w:type="dxa"/>
            <w:vAlign w:val="center"/>
            <w:textDirection w:val="lrTb"/>
            <w:noWrap w:val="false"/>
          </w:tcPr>
          <w:p>
            <w:pPr>
              <w:ind w:left="-123" w:right="-123"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≥300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6" w:type="dxa"/>
            <w:vAlign w:val="center"/>
            <w:textDirection w:val="lrTb"/>
            <w:noWrap w:val="false"/>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51"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8"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1" w:type="dxa"/>
            <w:vAlign w:val="center"/>
            <w:textDirection w:val="lrTb"/>
            <w:noWrap w:val="false"/>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41"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9"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29" w:type="dxa"/>
            <w:vAlign w:val="center"/>
            <w:textDirection w:val="lrTb"/>
            <w:noWrap w:val="false"/>
          </w:tcPr>
          <w:p>
            <w:pPr>
              <w:spacing w:before="0" w:after="0" w:line="57" w:lineRule="atLeast"/>
            </w:pPr>
            <w:r/>
          </w:p>
        </w:tc>
      </w:tr>
      <w:tr>
        <w:trPr>
          <w:trHeight w:val="3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 w:type="dxa"/>
            <w:vAlign w:val="center"/>
            <w:textDirection w:val="lrTb"/>
            <w:noWrap w:val="false"/>
          </w:tcPr>
          <w:p>
            <w:pPr>
              <w:ind w:left="-123" w:right="-123"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2" w:type="dxa"/>
            <w:vAlign w:val="center"/>
            <w:textDirection w:val="lrTb"/>
            <w:noWrap w:val="false"/>
          </w:tcPr>
          <w:p>
            <w:pPr>
              <w:ind w:left="-31" w:right="-75"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租赁和商务服务业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123" w:right="-123"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≥300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3" w:type="dxa"/>
            <w:vAlign w:val="center"/>
            <w:textDirection w:val="lrTb"/>
            <w:noWrap w:val="false"/>
          </w:tcPr>
          <w:p>
            <w:pPr>
              <w:ind w:left="-123" w:right="-123"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或,≥120000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 w:type="dxa"/>
            <w:vAlign w:val="center"/>
            <w:textDirection w:val="lrTb"/>
            <w:noWrap w:val="false"/>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9" w:type="dxa"/>
            <w:vAlign w:val="center"/>
            <w:textDirection w:val="lrTb"/>
            <w:noWrap w:val="false"/>
          </w:tcPr>
          <w:p>
            <w:pPr>
              <w:ind w:left="-123" w:right="-123"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6"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且,≥8000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51" w:type="dxa"/>
            <w:vAlign w:val="center"/>
            <w:textDirection w:val="lrTb"/>
            <w:noWrap w:val="false"/>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8"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1"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且,≥100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41" w:type="dxa"/>
            <w:vAlign w:val="center"/>
            <w:textDirection w:val="lrTb"/>
            <w:noWrap w:val="false"/>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9"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29"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或,＜100</w:t>
            </w:r>
            <w:r/>
          </w:p>
        </w:tc>
      </w:tr>
      <w:tr>
        <w:trPr>
          <w:trHeight w:val="3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 w:type="dxa"/>
            <w:vAlign w:val="center"/>
            <w:textDirection w:val="lrTb"/>
            <w:noWrap w:val="false"/>
          </w:tcPr>
          <w:p>
            <w:pPr>
              <w:ind w:left="-123" w:right="-123"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2" w:type="dxa"/>
            <w:vAlign w:val="center"/>
            <w:textDirection w:val="lrTb"/>
            <w:noWrap w:val="false"/>
          </w:tcPr>
          <w:p>
            <w:pPr>
              <w:ind w:left="-31" w:right="-75"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其他未列明行业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123" w:right="-123"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≥300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3" w:type="dxa"/>
            <w:vAlign w:val="center"/>
            <w:textDirection w:val="lrTb"/>
            <w:noWrap w:val="false"/>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 w:type="dxa"/>
            <w:vAlign w:val="center"/>
            <w:textDirection w:val="lrTb"/>
            <w:noWrap w:val="false"/>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9" w:type="dxa"/>
            <w:vAlign w:val="center"/>
            <w:textDirection w:val="lrTb"/>
            <w:noWrap w:val="false"/>
          </w:tcPr>
          <w:p>
            <w:pPr>
              <w:ind w:left="-123" w:right="-123"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6" w:type="dxa"/>
            <w:vAlign w:val="center"/>
            <w:textDirection w:val="lrTb"/>
            <w:noWrap w:val="false"/>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51" w:type="dxa"/>
            <w:vAlign w:val="center"/>
            <w:textDirection w:val="lrTb"/>
            <w:noWrap w:val="false"/>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8"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1" w:type="dxa"/>
            <w:vAlign w:val="center"/>
            <w:textDirection w:val="lrTb"/>
            <w:noWrap w:val="false"/>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41" w:type="dxa"/>
            <w:vAlign w:val="center"/>
            <w:textDirection w:val="lrTb"/>
            <w:noWrap w:val="false"/>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9"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29" w:type="dxa"/>
            <w:vAlign w:val="center"/>
            <w:textDirection w:val="lrTb"/>
            <w:noWrap w:val="false"/>
          </w:tcPr>
          <w:p>
            <w:pPr>
              <w:spacing w:before="0" w:after="0" w:line="57" w:lineRule="atLeast"/>
            </w:pPr>
            <w:r/>
          </w:p>
        </w:tc>
      </w:tr>
    </w:tbl>
    <w:p>
      <w:pPr>
        <w:ind w:left="0" w:right="0" w:firstLine="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说明：上述标准参照《关于印发中小企业划型标准规定的通知》（工信部联企业</w:t>
      </w:r>
      <w:r>
        <w:rPr>
          <w:rFonts w:ascii="Times New Roman" w:hAnsi="Times New Roman" w:eastAsia="Times New Roman" w:cs="Times New Roman"/>
          <w:b/>
          <w:color w:val="000000"/>
          <w:sz w:val="20"/>
        </w:rPr>
        <w:t xml:space="preserve">[2011]300</w:t>
      </w:r>
      <w:r>
        <w:rPr>
          <w:rFonts w:ascii="SimSun" w:hAnsi="SimSun" w:eastAsia="SimSun" w:cs="SimSun"/>
          <w:b/>
          <w:color w:val="000000"/>
          <w:sz w:val="20"/>
        </w:rPr>
        <w:t xml:space="preserve">号），大型、中型和小型企业须同时满足所列指标的下限，否则下划一档；微型企业只须满足所列指标中的一项即可。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sz w:val="24"/>
        </w:rPr>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格式十一：其他声明函</w:t>
      </w:r>
      <w:r/>
    </w:p>
    <w:p>
      <w:pPr>
        <w:ind w:left="0" w:right="0" w:firstLine="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100" w:right="0" w:firstLine="0"/>
        <w:spacing w:before="5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（一）残疾人福利性单位声明函格式</w:t>
      </w:r>
      <w:r/>
    </w:p>
    <w:p>
      <w:pPr>
        <w:ind w:left="0" w:right="0" w:firstLine="48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残疾人福利性单位声明函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民政部中国残疾人联合会关于促进残疾人就业政府采购政策的通知》（财库〔2017〕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投标人名称（盖章）：</w:t>
      </w:r>
      <w:r/>
    </w:p>
    <w:p>
      <w:pPr>
        <w:ind w:left="0" w:right="0" w:firstLine="4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w:t>
        <w:tab/>
        <w:t xml:space="preserve">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100" w:right="0" w:firstLine="0"/>
        <w:spacing w:before="5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（二）属于监狱企业的证明文件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提供由省级以上监狱管理局、戒毒管理局(含新疆生产建设兵团)出具的属于监狱企业的证明文件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100" w:right="0" w:firstLine="0"/>
        <w:spacing w:before="5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（三）节能产品认证文件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提供其投标产品在《节能产品政府采购清单》中相应的页面截图及相关证明材料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100" w:right="0" w:firstLine="0"/>
        <w:spacing w:before="5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（四）环境标志产品认证文件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提供其投标产品在《环境标志产品政府采购清单》中相应的页面截图及相关证明材料</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格式十二：招标文件要求提供的其他材料或投标人认为需提供的材料</w:t>
      </w:r>
      <w:r/>
    </w:p>
    <w:p>
      <w:pPr>
        <w:ind w:left="0" w:right="0" w:firstLine="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6" w:firstLine="0"/>
        <w:jc w:val="both"/>
        <w:spacing w:before="0" w:after="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both"/>
        <w:spacing w:before="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both"/>
        <w:spacing w:before="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both"/>
        <w:spacing w:before="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格式十三：</w:t>
      </w:r>
      <w:r/>
    </w:p>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法定代表人授权书</w:t>
      </w:r>
      <w:r>
        <w:rPr>
          <w:rFonts w:ascii="SimSun" w:hAnsi="SimSun" w:eastAsia="SimSun" w:cs="SimSun"/>
          <w:color w:val="000000"/>
          <w:sz w:val="24"/>
        </w:rPr>
        <w:t xml:space="preserve">（原件）</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本授权委托书声明：我（姓名）系 （单位名称）的法定代表人，现授权本单位 （投标人代表）为我的合法代理人，以 （投标单位名称）的名义参加 （采购人名称）的  （项目名称）的投标。代理人签署的一切文件和处理与之有关的一切事务，我均予以承认。本授权书的有效期自投标开始至合同履行完毕止。</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代理人无权转委托，特此委托。</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投标单位（盖章）：</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法定代表人（签字或盖法人章）：</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u w:val="single"/>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投标人代表（签字）：</w:t>
      </w:r>
      <w:r/>
    </w:p>
    <w:p>
      <w:pPr>
        <w:ind w:left="1275" w:right="0" w:firstLine="1795"/>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1、需同时提供法定代表人和被授权人身份证复印件，如法定代表人签署文件则无需出具授权书，仅需提供法定代表人身份证复印件</w:t>
      </w:r>
      <w:r/>
    </w:p>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2、需提供被授权人近三个月内</w:t>
      </w:r>
      <w:r>
        <w:rPr>
          <w:rFonts w:ascii="SimSun" w:hAnsi="SimSun" w:eastAsia="SimSun" w:cs="SimSun"/>
          <w:b/>
          <w:color w:val="000000"/>
          <w:sz w:val="24"/>
        </w:rPr>
        <w:t xml:space="preserve">（即2024年7月-2024年9月期间）</w:t>
      </w:r>
      <w:r>
        <w:rPr>
          <w:rFonts w:ascii="SimSun" w:hAnsi="SimSun" w:eastAsia="SimSun" w:cs="SimSun"/>
          <w:color w:val="000000"/>
          <w:sz w:val="24"/>
        </w:rPr>
        <w:t xml:space="preserve">至少一个月的投标人为其缴纳社会保障资金记录，如法定代表人签署文件则无需出具。</w:t>
      </w:r>
      <w:r/>
    </w:p>
    <w:p>
      <w:pPr>
        <w:ind w:left="0" w:right="0" w:firstLine="0"/>
        <w:jc w:val="both"/>
        <w:spacing w:before="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48"/>
        </w:rPr>
        <w:t xml:space="preserve"> </w:t>
      </w:r>
      <w:r/>
    </w:p>
    <w:p>
      <w:pPr>
        <w:numPr>
          <w:ilvl w:val="0"/>
          <w:numId w:val="8"/>
        </w:numPr>
        <w:jc w:val="both"/>
        <w:spacing w:before="0" w:after="0" w:line="6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资格证明文件</w:t>
      </w:r>
      <w:r/>
    </w:p>
    <w:p>
      <w:pPr>
        <w:ind w:left="0" w:right="-6" w:firstLine="482"/>
        <w:jc w:val="both"/>
        <w:spacing w:before="0" w:after="0" w:line="6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（说明：投标人须按“招标公告”的要求，并按下列格式提供相应的资格证明文件）　　　</w:t>
      </w:r>
      <w:r/>
    </w:p>
    <w:p>
      <w:pPr>
        <w:ind w:left="0" w:right="-6" w:firstLine="48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格式一：资格性检查响应对照表</w:t>
      </w:r>
      <w:r/>
    </w:p>
    <w:p>
      <w:pPr>
        <w:ind w:left="0" w:right="0" w:firstLine="7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格式二：法人或者其他组织的营业执照等证明文件，自然人的身份证明</w:t>
      </w:r>
      <w:r/>
    </w:p>
    <w:p>
      <w:pPr>
        <w:ind w:left="0" w:right="0" w:firstLine="7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格式三：上一年度的财务状况报告（成立不满一年不需提供）</w:t>
      </w:r>
      <w:r/>
    </w:p>
    <w:p>
      <w:pPr>
        <w:ind w:left="0" w:right="0" w:firstLine="7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格式四：依法缴纳税收和社会保障资金的相关材料</w:t>
      </w:r>
      <w:r/>
    </w:p>
    <w:p>
      <w:pPr>
        <w:ind w:left="0" w:right="0" w:firstLine="7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格式五：具备履行合同所必需的设备和专业技术能力的书面声明</w:t>
      </w:r>
      <w:r/>
    </w:p>
    <w:p>
      <w:pPr>
        <w:ind w:left="0" w:right="0" w:firstLine="7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格式六：参加政府采购活动前3年内在经营活动中没有重大违法记录的书面声明</w:t>
      </w:r>
      <w:r/>
    </w:p>
    <w:p>
      <w:pPr>
        <w:ind w:left="0" w:right="0" w:firstLine="7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格式七：投标人及投标产品（货物/服务）资质证书（复印件）</w:t>
      </w:r>
      <w:r/>
    </w:p>
    <w:p>
      <w:pPr>
        <w:ind w:left="0" w:right="0" w:firstLine="7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格式八  *****（本项目要求的其他资格条件）</w:t>
      </w:r>
      <w:r/>
    </w:p>
    <w:p>
      <w:pPr>
        <w:ind w:left="1878" w:right="0" w:hanging="1054"/>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w:t>
      </w:r>
      <w:r>
        <w:rPr>
          <w:rFonts w:ascii="SimSun" w:hAnsi="SimSun" w:eastAsia="SimSun" w:cs="SimSun"/>
          <w:color w:val="000000"/>
          <w:sz w:val="24"/>
        </w:rPr>
        <w:t xml:space="preserve">：</w:t>
      </w:r>
      <w:r>
        <w:rPr>
          <w:rFonts w:ascii="SimSun" w:hAnsi="SimSun" w:eastAsia="SimSun" w:cs="SimSun"/>
          <w:b/>
          <w:color w:val="000000"/>
          <w:sz w:val="24"/>
        </w:rPr>
        <w:t xml:space="preserve">1、以上凡标注原件的，是指投标文件的正本中必须是原件，副本的制作仍按“投标人须知”执行。</w:t>
      </w:r>
      <w:r/>
    </w:p>
    <w:p>
      <w:pPr>
        <w:ind w:left="0" w:right="0" w:firstLine="0"/>
        <w:spacing w:before="5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2、建议投标人将资格证明文件单独装订成册。</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5"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格式一</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资格性检查响应对照表</w:t>
      </w:r>
      <w:r/>
    </w:p>
    <w:p>
      <w:pPr>
        <w:ind w:left="0" w:right="0" w:firstLine="306"/>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投标人全称（加盖公章）：</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89"/>
        <w:gridCol w:w="4376"/>
        <w:gridCol w:w="1288"/>
        <w:gridCol w:w="1268"/>
      </w:tblGrid>
      <w:tr>
        <w:trPr>
          <w:trHeight w:val="88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9"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376"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资格性检查响应内容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88"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是否响应</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（填是或者否）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68"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投标文件中的</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页码位置</w:t>
            </w:r>
            <w:r/>
          </w:p>
        </w:tc>
      </w:tr>
      <w:tr>
        <w:trPr>
          <w:trHeight w:val="10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76" w:type="dxa"/>
            <w:vAlign w:val="center"/>
            <w:textDirection w:val="lrTb"/>
            <w:noWrap w:val="false"/>
          </w:tcPr>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10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76" w:type="dxa"/>
            <w:vAlign w:val="center"/>
            <w:textDirection w:val="lrTb"/>
            <w:noWrap w:val="false"/>
          </w:tcPr>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0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76" w:type="dxa"/>
            <w:vAlign w:val="center"/>
            <w:textDirection w:val="lrTb"/>
            <w:noWrap w:val="false"/>
          </w:tcPr>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0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7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0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76" w:type="dxa"/>
            <w:vAlign w:val="center"/>
            <w:textDirection w:val="lrTb"/>
            <w:noWrap w:val="false"/>
          </w:tcPr>
          <w:p>
            <w:pPr>
              <w:ind w:left="0" w:right="0" w:firstLine="0"/>
              <w:jc w:val="both"/>
              <w:spacing w:before="0" w:after="0" w:line="5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0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76" w:type="dxa"/>
            <w:vAlign w:val="center"/>
            <w:textDirection w:val="lrTb"/>
            <w:noWrap w:val="false"/>
          </w:tcPr>
          <w:p>
            <w:pPr>
              <w:ind w:left="0" w:right="0" w:firstLine="0"/>
              <w:jc w:val="both"/>
              <w:spacing w:before="0" w:after="0" w:line="5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0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76" w:type="dxa"/>
            <w:vAlign w:val="center"/>
            <w:textDirection w:val="lrTb"/>
            <w:noWrap w:val="false"/>
          </w:tcPr>
          <w:p>
            <w:pPr>
              <w:ind w:left="0" w:right="0" w:firstLine="0"/>
              <w:jc w:val="both"/>
              <w:spacing w:before="0" w:after="0" w:line="5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招标文件中的其他实质性要求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50" w:after="5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both"/>
        <w:spacing w:before="50" w:after="5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5"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5"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5"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格式二</w:t>
      </w:r>
      <w:r/>
    </w:p>
    <w:p>
      <w:pPr>
        <w:ind w:left="0" w:right="0" w:firstLine="9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法人或者其他组织的营业执照等证明文件，自然人的身份证明</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5"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格式三</w:t>
      </w:r>
      <w:r/>
    </w:p>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上一年度的财务状况报告（成立不满一年不需提供）</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单位：万元</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88"/>
        <w:gridCol w:w="2931"/>
        <w:gridCol w:w="1476"/>
        <w:gridCol w:w="1476"/>
        <w:gridCol w:w="1476"/>
      </w:tblGrid>
      <w:tr>
        <w:trPr>
          <w:trHeight w:val="63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3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注册资本</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3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实收资本</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3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全部资产总值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3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固定资产总值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3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流动资产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3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平均流动资产余额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3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速动资产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6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3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流动负债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3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年末所有者权益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3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营业收入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3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净利润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3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现金净流量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6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3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流动比率</w:t>
            </w:r>
            <w:r>
              <w:rPr>
                <w:rFonts w:ascii="Times New Roman" w:hAnsi="Times New Roman" w:eastAsia="Times New Roman" w:cs="Times New Roman"/>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（流动资产</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流动负债）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6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3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速动比率</w:t>
            </w:r>
            <w:r>
              <w:rPr>
                <w:rFonts w:ascii="Times New Roman" w:hAnsi="Times New Roman" w:eastAsia="Times New Roman" w:cs="Times New Roman"/>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（速动资产</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流动负债）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3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资产负债率</w:t>
            </w:r>
            <w:r>
              <w:rPr>
                <w:rFonts w:ascii="Times New Roman" w:hAnsi="Times New Roman" w:eastAsia="Times New Roman" w:cs="Times New Roman"/>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（总负债</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总资产）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6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3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应收账款周转率</w:t>
            </w:r>
            <w:r>
              <w:rPr>
                <w:rFonts w:ascii="Times New Roman" w:hAnsi="Times New Roman" w:eastAsia="Times New Roman" w:cs="Times New Roman"/>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（收入总额</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平均应收账款）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6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3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存货周转率</w:t>
            </w:r>
            <w:r>
              <w:rPr>
                <w:rFonts w:ascii="Times New Roman" w:hAnsi="Times New Roman" w:eastAsia="Times New Roman" w:cs="Times New Roman"/>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（销售成本</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平均存货）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6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3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资产报酬率</w:t>
            </w:r>
            <w:r>
              <w:rPr>
                <w:rFonts w:ascii="Times New Roman" w:hAnsi="Times New Roman" w:eastAsia="Times New Roman" w:cs="Times New Roman"/>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（收入</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资产）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6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3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净资产收益率</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（净利润</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平均净资产）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bl>
    <w:p>
      <w:pPr>
        <w:ind w:left="0" w:right="0" w:firstLine="40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0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投标人代表（签字）：</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ab/>
        <w:t xml:space="preserve">日期：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5"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格式四</w:t>
      </w:r>
      <w:r/>
    </w:p>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依法“</w:t>
      </w:r>
      <w:r>
        <w:rPr>
          <w:rFonts w:ascii="SimSun" w:hAnsi="SimSun" w:eastAsia="SimSun" w:cs="SimSun"/>
          <w:b/>
          <w:color w:val="000000"/>
          <w:sz w:val="24"/>
          <w:u w:val="single"/>
        </w:rPr>
        <w:t xml:space="preserve">缴纳税收” </w:t>
      </w:r>
      <w:r>
        <w:rPr>
          <w:rFonts w:ascii="SimSun" w:hAnsi="SimSun" w:eastAsia="SimSun" w:cs="SimSun"/>
          <w:color w:val="000000"/>
          <w:sz w:val="24"/>
        </w:rPr>
        <w:t xml:space="preserve">和 “</w:t>
      </w:r>
      <w:r>
        <w:rPr>
          <w:rFonts w:ascii="SimSun" w:hAnsi="SimSun" w:eastAsia="SimSun" w:cs="SimSun"/>
          <w:b/>
          <w:color w:val="000000"/>
          <w:sz w:val="24"/>
          <w:u w:val="single"/>
        </w:rPr>
        <w:t xml:space="preserve">社会保障资金”</w:t>
      </w:r>
      <w:r>
        <w:rPr>
          <w:rFonts w:ascii="SimSun" w:hAnsi="SimSun" w:eastAsia="SimSun" w:cs="SimSun"/>
          <w:color w:val="000000"/>
          <w:sz w:val="24"/>
        </w:rPr>
        <w:t xml:space="preserve">的相关材料</w:t>
      </w:r>
      <w:r/>
    </w:p>
    <w:p>
      <w:pPr>
        <w:ind w:left="0" w:right="-5"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提供投标人参加本次政府采购活动前6个月内至少一个月缴纳税收及缴纳社会保障资金的证明材料。投标人依法享受缓缴、免缴税收、社会保障资金的提供证明材料；</w:t>
      </w:r>
      <w:r/>
    </w:p>
    <w:p>
      <w:pPr>
        <w:ind w:left="0" w:right="-5"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5"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5"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5"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5"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5"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5"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5"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5"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5"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5"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5"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5"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5"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5"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5"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5"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5"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5"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5"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5"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5"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格式五</w:t>
      </w:r>
      <w:r/>
    </w:p>
    <w:p>
      <w:pPr>
        <w:ind w:left="0" w:right="-5"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具备履行合同所必需的设备和专业技术能力的书面声明</w:t>
      </w:r>
      <w:r/>
    </w:p>
    <w:p>
      <w:pPr>
        <w:ind w:left="0" w:right="-5"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48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投标人名称（公章）：</w:t>
      </w:r>
      <w:r/>
    </w:p>
    <w:p>
      <w:pPr>
        <w:ind w:left="0" w:right="-5"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 __</w:t>
      </w:r>
      <w:r>
        <w:rPr>
          <w:rFonts w:ascii="SimSun" w:hAnsi="SimSun" w:eastAsia="SimSun" w:cs="SimSun"/>
          <w:color w:val="000000"/>
          <w:sz w:val="24"/>
        </w:rPr>
        <w:t xml:space="preserve">年月日</w:t>
      </w:r>
      <w:r/>
    </w:p>
    <w:p>
      <w:pPr>
        <w:ind w:left="0" w:right="-5"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5"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5"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5"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5"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5"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5"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5"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5"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5"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5"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5"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5"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5"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5"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5"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格式六</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参加政府采购活动前 3 年内在经营活动中没有重大违法记录的书面声明</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声明</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我单位郑重声明：参加本次政府采购活动前3年内，我单位在经营活动中没有因违法经营受到刑事处罚或者责令停产停业、吊销许可证或者执照、较大数额罚款等行政处罚。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投标人名称（公章）：</w:t>
      </w:r>
      <w:r/>
    </w:p>
    <w:p>
      <w:pPr>
        <w:ind w:left="0" w:right="-5"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___</w:t>
      </w:r>
      <w:r>
        <w:rPr>
          <w:rFonts w:ascii="SimSun" w:hAnsi="SimSun" w:eastAsia="SimSun" w:cs="SimSun"/>
          <w:color w:val="000000"/>
          <w:sz w:val="24"/>
        </w:rPr>
        <w:t xml:space="preserve">年月日</w:t>
      </w:r>
      <w:r/>
    </w:p>
    <w:p>
      <w:pPr>
        <w:ind w:left="0" w:right="-5"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5"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5"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5"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5"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5"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5"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5"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5"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5"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5"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5"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5"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5"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格式七</w:t>
      </w:r>
      <w:r/>
    </w:p>
    <w:p>
      <w:pPr>
        <w:ind w:left="0" w:right="0" w:firstLine="7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资质证书（复印件）</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格式八其他要求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SimHei">
    <w:panose1 w:val="02010609060101010101"/>
  </w:font>
  <w:font w:name="SimSun">
    <w:panose1 w:val="02010600030101010101"/>
  </w:font>
  <w:font w:name="Symbol">
    <w:panose1 w:val="05050102010706020507"/>
  </w:font>
  <w:font w:name="Wingdings">
    <w:panose1 w:val="05000000000000000000"/>
  </w:font>
  <w:font w:name="Courier New">
    <w:panose1 w:val="02070309020205020404"/>
  </w:font>
  <w:font w:name="Times New Roman">
    <w:panose1 w:val="02020603050405020304"/>
  </w:font>
  <w:font w:name="Arial">
    <w:panose1 w:val="020B06040202020202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0" w:firstLine="0"/>
      </w:pPr>
      <w:rPr>
        <w:rFonts w:ascii="Times New Roman" w:hAnsi="Times New Roman" w:eastAsia="Times New Roman" w:cs="Times New Roman"/>
        <w:sz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tab"/>
      <w:lvlText w:val="%1、"/>
      <w:lvlJc w:val="left"/>
      <w:pPr>
        <w:ind w:left="480" w:hanging="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tab"/>
      <w:lvlText w:val="%1、"/>
      <w:lvlJc w:val="left"/>
      <w:pPr>
        <w:ind w:left="990" w:hanging="99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isLgl w:val="false"/>
      <w:suff w:val="tab"/>
      <w:lvlText w:val="（%1）"/>
      <w:lvlJc w:val="left"/>
      <w:pPr>
        <w:ind w:left="0" w:firstLine="0"/>
      </w:pPr>
      <w:rPr>
        <w:rFonts w:ascii="Times New Roman" w:hAnsi="Times New Roman" w:eastAsia="Times New Roman" w:cs="Times New Roman"/>
        <w:sz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4"/>
      <w:numFmt w:val="decimal"/>
      <w:isLgl w:val="false"/>
      <w:suff w:val="tab"/>
      <w:lvlText w:val="%1、"/>
      <w:lvlJc w:val="left"/>
      <w:pPr>
        <w:ind w:left="480" w:hanging="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decimal"/>
      <w:isLgl w:val="false"/>
      <w:suff w:val="tab"/>
      <w:lvlText w:val="%1、"/>
      <w:lvlJc w:val="left"/>
      <w:pPr>
        <w:ind w:left="990" w:hanging="99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2">
    <w:name w:val="Heading 1"/>
    <w:link w:val="643"/>
    <w:uiPriority w:val="9"/>
    <w:qFormat/>
    <w:pPr>
      <w:keepLines/>
      <w:keepNext/>
      <w:spacing w:before="480" w:after="200"/>
      <w:outlineLvl w:val="0"/>
    </w:pPr>
    <w:rPr>
      <w:rFonts w:ascii="Arial" w:hAnsi="Arial" w:eastAsia="Arial" w:cs="Arial"/>
      <w:sz w:val="40"/>
      <w:szCs w:val="40"/>
    </w:rPr>
  </w:style>
  <w:style w:type="character" w:styleId="643">
    <w:name w:val="Heading 1 Char"/>
    <w:link w:val="642"/>
    <w:uiPriority w:val="9"/>
    <w:rPr>
      <w:rFonts w:ascii="Arial" w:hAnsi="Arial" w:eastAsia="Arial" w:cs="Arial"/>
      <w:sz w:val="40"/>
      <w:szCs w:val="40"/>
    </w:rPr>
  </w:style>
  <w:style w:type="paragraph" w:styleId="644">
    <w:name w:val="Heading 2"/>
    <w:link w:val="645"/>
    <w:uiPriority w:val="9"/>
    <w:unhideWhenUsed/>
    <w:qFormat/>
    <w:pPr>
      <w:keepLines/>
      <w:keepNext/>
      <w:spacing w:before="360" w:after="200"/>
      <w:outlineLvl w:val="1"/>
    </w:pPr>
    <w:rPr>
      <w:rFonts w:ascii="Arial" w:hAnsi="Arial" w:eastAsia="Arial" w:cs="Arial"/>
      <w:sz w:val="34"/>
    </w:rPr>
  </w:style>
  <w:style w:type="character" w:styleId="645">
    <w:name w:val="Heading 2 Char"/>
    <w:link w:val="644"/>
    <w:uiPriority w:val="9"/>
    <w:rPr>
      <w:rFonts w:ascii="Arial" w:hAnsi="Arial" w:eastAsia="Arial" w:cs="Arial"/>
      <w:sz w:val="34"/>
    </w:rPr>
  </w:style>
  <w:style w:type="paragraph" w:styleId="646">
    <w:name w:val="Heading 3"/>
    <w:link w:val="647"/>
    <w:uiPriority w:val="9"/>
    <w:unhideWhenUsed/>
    <w:qFormat/>
    <w:pPr>
      <w:keepLines/>
      <w:keepNext/>
      <w:spacing w:before="320" w:after="200"/>
      <w:outlineLvl w:val="2"/>
    </w:pPr>
    <w:rPr>
      <w:rFonts w:ascii="Arial" w:hAnsi="Arial" w:eastAsia="Arial" w:cs="Arial"/>
      <w:sz w:val="30"/>
      <w:szCs w:val="30"/>
    </w:rPr>
  </w:style>
  <w:style w:type="character" w:styleId="647">
    <w:name w:val="Heading 3 Char"/>
    <w:link w:val="646"/>
    <w:uiPriority w:val="9"/>
    <w:rPr>
      <w:rFonts w:ascii="Arial" w:hAnsi="Arial" w:eastAsia="Arial" w:cs="Arial"/>
      <w:sz w:val="30"/>
      <w:szCs w:val="30"/>
    </w:rPr>
  </w:style>
  <w:style w:type="paragraph" w:styleId="648">
    <w:name w:val="Heading 4"/>
    <w:link w:val="649"/>
    <w:uiPriority w:val="9"/>
    <w:unhideWhenUsed/>
    <w:qFormat/>
    <w:pPr>
      <w:keepLines/>
      <w:keepNext/>
      <w:spacing w:before="320" w:after="200"/>
      <w:outlineLvl w:val="3"/>
    </w:pPr>
    <w:rPr>
      <w:rFonts w:ascii="Arial" w:hAnsi="Arial" w:eastAsia="Arial" w:cs="Arial"/>
      <w:b/>
      <w:bCs/>
      <w:sz w:val="26"/>
      <w:szCs w:val="26"/>
    </w:rPr>
  </w:style>
  <w:style w:type="character" w:styleId="649">
    <w:name w:val="Heading 4 Char"/>
    <w:link w:val="648"/>
    <w:uiPriority w:val="9"/>
    <w:rPr>
      <w:rFonts w:ascii="Arial" w:hAnsi="Arial" w:eastAsia="Arial" w:cs="Arial"/>
      <w:b/>
      <w:bCs/>
      <w:sz w:val="26"/>
      <w:szCs w:val="26"/>
    </w:rPr>
  </w:style>
  <w:style w:type="paragraph" w:styleId="650">
    <w:name w:val="Heading 5"/>
    <w:link w:val="651"/>
    <w:uiPriority w:val="9"/>
    <w:unhideWhenUsed/>
    <w:qFormat/>
    <w:pPr>
      <w:keepLines/>
      <w:keepNext/>
      <w:spacing w:before="320" w:after="200"/>
      <w:outlineLvl w:val="4"/>
    </w:pPr>
    <w:rPr>
      <w:rFonts w:ascii="Arial" w:hAnsi="Arial" w:eastAsia="Arial" w:cs="Arial"/>
      <w:b/>
      <w:bCs/>
      <w:sz w:val="24"/>
      <w:szCs w:val="24"/>
    </w:rPr>
  </w:style>
  <w:style w:type="character" w:styleId="651">
    <w:name w:val="Heading 5 Char"/>
    <w:link w:val="650"/>
    <w:uiPriority w:val="9"/>
    <w:rPr>
      <w:rFonts w:ascii="Arial" w:hAnsi="Arial" w:eastAsia="Arial" w:cs="Arial"/>
      <w:b/>
      <w:bCs/>
      <w:sz w:val="24"/>
      <w:szCs w:val="24"/>
    </w:rPr>
  </w:style>
  <w:style w:type="paragraph" w:styleId="652">
    <w:name w:val="Heading 6"/>
    <w:link w:val="653"/>
    <w:uiPriority w:val="9"/>
    <w:unhideWhenUsed/>
    <w:qFormat/>
    <w:pPr>
      <w:keepLines/>
      <w:keepNext/>
      <w:spacing w:before="320" w:after="200"/>
      <w:outlineLvl w:val="5"/>
    </w:pPr>
    <w:rPr>
      <w:rFonts w:ascii="Arial" w:hAnsi="Arial" w:eastAsia="Arial" w:cs="Arial"/>
      <w:b/>
      <w:bCs/>
      <w:sz w:val="22"/>
      <w:szCs w:val="22"/>
    </w:rPr>
  </w:style>
  <w:style w:type="character" w:styleId="653">
    <w:name w:val="Heading 6 Char"/>
    <w:link w:val="652"/>
    <w:uiPriority w:val="9"/>
    <w:rPr>
      <w:rFonts w:ascii="Arial" w:hAnsi="Arial" w:eastAsia="Arial" w:cs="Arial"/>
      <w:b/>
      <w:bCs/>
      <w:sz w:val="22"/>
      <w:szCs w:val="22"/>
    </w:rPr>
  </w:style>
  <w:style w:type="paragraph" w:styleId="654">
    <w:name w:val="Heading 7"/>
    <w:link w:val="655"/>
    <w:uiPriority w:val="9"/>
    <w:unhideWhenUsed/>
    <w:qFormat/>
    <w:pPr>
      <w:keepLines/>
      <w:keepNext/>
      <w:spacing w:before="320" w:after="200"/>
      <w:outlineLvl w:val="6"/>
    </w:pPr>
    <w:rPr>
      <w:rFonts w:ascii="Arial" w:hAnsi="Arial" w:eastAsia="Arial" w:cs="Arial"/>
      <w:b/>
      <w:bCs/>
      <w:i/>
      <w:iCs/>
      <w:sz w:val="22"/>
      <w:szCs w:val="22"/>
    </w:rPr>
  </w:style>
  <w:style w:type="character" w:styleId="655">
    <w:name w:val="Heading 7 Char"/>
    <w:link w:val="654"/>
    <w:uiPriority w:val="9"/>
    <w:rPr>
      <w:rFonts w:ascii="Arial" w:hAnsi="Arial" w:eastAsia="Arial" w:cs="Arial"/>
      <w:b/>
      <w:bCs/>
      <w:i/>
      <w:iCs/>
      <w:sz w:val="22"/>
      <w:szCs w:val="22"/>
    </w:rPr>
  </w:style>
  <w:style w:type="paragraph" w:styleId="656">
    <w:name w:val="Heading 8"/>
    <w:link w:val="657"/>
    <w:uiPriority w:val="9"/>
    <w:unhideWhenUsed/>
    <w:qFormat/>
    <w:pPr>
      <w:keepLines/>
      <w:keepNext/>
      <w:spacing w:before="320" w:after="200"/>
      <w:outlineLvl w:val="7"/>
    </w:pPr>
    <w:rPr>
      <w:rFonts w:ascii="Arial" w:hAnsi="Arial" w:eastAsia="Arial" w:cs="Arial"/>
      <w:i/>
      <w:iCs/>
      <w:sz w:val="22"/>
      <w:szCs w:val="22"/>
    </w:rPr>
  </w:style>
  <w:style w:type="character" w:styleId="657">
    <w:name w:val="Heading 8 Char"/>
    <w:link w:val="656"/>
    <w:uiPriority w:val="9"/>
    <w:rPr>
      <w:rFonts w:ascii="Arial" w:hAnsi="Arial" w:eastAsia="Arial" w:cs="Arial"/>
      <w:i/>
      <w:iCs/>
      <w:sz w:val="22"/>
      <w:szCs w:val="22"/>
    </w:rPr>
  </w:style>
  <w:style w:type="paragraph" w:styleId="658">
    <w:name w:val="Heading 9"/>
    <w:link w:val="659"/>
    <w:uiPriority w:val="9"/>
    <w:unhideWhenUsed/>
    <w:qFormat/>
    <w:pPr>
      <w:keepLines/>
      <w:keepNext/>
      <w:spacing w:before="320" w:after="200"/>
      <w:outlineLvl w:val="8"/>
    </w:pPr>
    <w:rPr>
      <w:rFonts w:ascii="Arial" w:hAnsi="Arial" w:eastAsia="Arial" w:cs="Arial"/>
      <w:i/>
      <w:iCs/>
      <w:sz w:val="21"/>
      <w:szCs w:val="21"/>
    </w:rPr>
  </w:style>
  <w:style w:type="character" w:styleId="659">
    <w:name w:val="Heading 9 Char"/>
    <w:link w:val="658"/>
    <w:uiPriority w:val="9"/>
    <w:rPr>
      <w:rFonts w:ascii="Arial" w:hAnsi="Arial" w:eastAsia="Arial" w:cs="Arial"/>
      <w:i/>
      <w:iCs/>
      <w:sz w:val="21"/>
      <w:szCs w:val="21"/>
    </w:rPr>
  </w:style>
  <w:style w:type="paragraph" w:styleId="660">
    <w:name w:val="List Paragraph"/>
    <w:uiPriority w:val="34"/>
    <w:qFormat/>
    <w:pPr>
      <w:contextualSpacing/>
      <w:ind w:left="720"/>
    </w:pPr>
  </w:style>
  <w:style w:type="paragraph" w:styleId="661">
    <w:name w:val="No Spacing"/>
    <w:uiPriority w:val="1"/>
    <w:qFormat/>
    <w:pPr>
      <w:spacing w:before="0" w:after="0" w:line="240" w:lineRule="auto"/>
    </w:pPr>
  </w:style>
  <w:style w:type="paragraph" w:styleId="662">
    <w:name w:val="Title"/>
    <w:link w:val="663"/>
    <w:uiPriority w:val="10"/>
    <w:qFormat/>
    <w:pPr>
      <w:contextualSpacing/>
      <w:spacing w:before="300" w:after="200"/>
    </w:pPr>
    <w:rPr>
      <w:sz w:val="48"/>
      <w:szCs w:val="48"/>
    </w:rPr>
  </w:style>
  <w:style w:type="character" w:styleId="663">
    <w:name w:val="Title Char"/>
    <w:link w:val="662"/>
    <w:uiPriority w:val="10"/>
    <w:rPr>
      <w:sz w:val="48"/>
      <w:szCs w:val="48"/>
    </w:rPr>
  </w:style>
  <w:style w:type="paragraph" w:styleId="664">
    <w:name w:val="Subtitle"/>
    <w:link w:val="665"/>
    <w:uiPriority w:val="11"/>
    <w:qFormat/>
    <w:pPr>
      <w:spacing w:before="200" w:after="200"/>
    </w:pPr>
    <w:rPr>
      <w:sz w:val="24"/>
      <w:szCs w:val="24"/>
    </w:rPr>
  </w:style>
  <w:style w:type="character" w:styleId="665">
    <w:name w:val="Subtitle Char"/>
    <w:link w:val="664"/>
    <w:uiPriority w:val="11"/>
    <w:rPr>
      <w:sz w:val="24"/>
      <w:szCs w:val="24"/>
    </w:rPr>
  </w:style>
  <w:style w:type="paragraph" w:styleId="666">
    <w:name w:val="Quote"/>
    <w:link w:val="667"/>
    <w:uiPriority w:val="29"/>
    <w:qFormat/>
    <w:pPr>
      <w:ind w:left="720" w:right="720"/>
    </w:pPr>
    <w:rPr>
      <w:i/>
    </w:rPr>
  </w:style>
  <w:style w:type="character" w:styleId="667">
    <w:name w:val="Quote Char"/>
    <w:link w:val="666"/>
    <w:uiPriority w:val="29"/>
    <w:rPr>
      <w:i/>
    </w:rPr>
  </w:style>
  <w:style w:type="paragraph" w:styleId="668">
    <w:name w:val="Intense Quote"/>
    <w:link w:val="66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9">
    <w:name w:val="Intense Quote Char"/>
    <w:link w:val="668"/>
    <w:uiPriority w:val="30"/>
    <w:rPr>
      <w:i/>
    </w:rPr>
  </w:style>
  <w:style w:type="paragraph" w:styleId="670">
    <w:name w:val="Header"/>
    <w:link w:val="671"/>
    <w:uiPriority w:val="99"/>
    <w:unhideWhenUsed/>
    <w:pPr>
      <w:spacing w:after="0" w:line="240" w:lineRule="auto"/>
      <w:tabs>
        <w:tab w:val="center" w:pos="7143" w:leader="none"/>
        <w:tab w:val="right" w:pos="14287" w:leader="none"/>
      </w:tabs>
    </w:pPr>
  </w:style>
  <w:style w:type="character" w:styleId="671">
    <w:name w:val="Header Char"/>
    <w:link w:val="670"/>
    <w:uiPriority w:val="99"/>
  </w:style>
  <w:style w:type="paragraph" w:styleId="672">
    <w:name w:val="Footer"/>
    <w:link w:val="675"/>
    <w:uiPriority w:val="99"/>
    <w:unhideWhenUsed/>
    <w:pPr>
      <w:spacing w:after="0" w:line="240" w:lineRule="auto"/>
      <w:tabs>
        <w:tab w:val="center" w:pos="7143" w:leader="none"/>
        <w:tab w:val="right" w:pos="14287" w:leader="none"/>
      </w:tabs>
    </w:pPr>
  </w:style>
  <w:style w:type="character" w:styleId="673">
    <w:name w:val="Footer Char"/>
    <w:link w:val="672"/>
    <w:uiPriority w:val="99"/>
  </w:style>
  <w:style w:type="paragraph" w:styleId="674">
    <w:name w:val="Caption"/>
    <w:uiPriority w:val="35"/>
    <w:semiHidden/>
    <w:unhideWhenUsed/>
    <w:qFormat/>
    <w:pPr>
      <w:spacing w:line="276" w:lineRule="auto"/>
    </w:pPr>
    <w:rPr>
      <w:b/>
      <w:bCs/>
      <w:color w:val="4f81bd" w:themeColor="accent1"/>
      <w:sz w:val="18"/>
      <w:szCs w:val="18"/>
    </w:rPr>
  </w:style>
  <w:style w:type="character" w:styleId="675">
    <w:name w:val="Caption Char"/>
    <w:basedOn w:val="674"/>
    <w:link w:val="672"/>
    <w:uiPriority w:val="99"/>
  </w:style>
  <w:style w:type="table" w:styleId="67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7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7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8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8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8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8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9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9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9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9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9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9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0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0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0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1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1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1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1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1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1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1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1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2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2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2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2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2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2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3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3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3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3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3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3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3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3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4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4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4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4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4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4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4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5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5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5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5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5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5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5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5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6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6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7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7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7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7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7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7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7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7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7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7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8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8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9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9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9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0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0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02">
    <w:name w:val="Hyperlink"/>
    <w:uiPriority w:val="99"/>
    <w:unhideWhenUsed/>
    <w:rPr>
      <w:color w:val="0000ff" w:themeColor="hyperlink"/>
      <w:u w:val="single"/>
    </w:rPr>
  </w:style>
  <w:style w:type="paragraph" w:styleId="803">
    <w:name w:val="footnote text"/>
    <w:link w:val="804"/>
    <w:uiPriority w:val="99"/>
    <w:semiHidden/>
    <w:unhideWhenUsed/>
    <w:pPr>
      <w:spacing w:after="40" w:line="240" w:lineRule="auto"/>
    </w:pPr>
    <w:rPr>
      <w:sz w:val="18"/>
    </w:rPr>
  </w:style>
  <w:style w:type="character" w:styleId="804">
    <w:name w:val="Footnote Text Char"/>
    <w:link w:val="803"/>
    <w:uiPriority w:val="99"/>
    <w:rPr>
      <w:sz w:val="18"/>
    </w:rPr>
  </w:style>
  <w:style w:type="character" w:styleId="805">
    <w:name w:val="footnote reference"/>
    <w:uiPriority w:val="99"/>
    <w:unhideWhenUsed/>
    <w:rPr>
      <w:vertAlign w:val="superscript"/>
    </w:rPr>
  </w:style>
  <w:style w:type="paragraph" w:styleId="806">
    <w:name w:val="endnote text"/>
    <w:link w:val="807"/>
    <w:uiPriority w:val="99"/>
    <w:semiHidden/>
    <w:unhideWhenUsed/>
    <w:pPr>
      <w:spacing w:after="0" w:line="240" w:lineRule="auto"/>
    </w:pPr>
    <w:rPr>
      <w:sz w:val="20"/>
    </w:rPr>
  </w:style>
  <w:style w:type="character" w:styleId="807">
    <w:name w:val="Endnote Text Char"/>
    <w:link w:val="806"/>
    <w:uiPriority w:val="99"/>
    <w:rPr>
      <w:sz w:val="20"/>
    </w:rPr>
  </w:style>
  <w:style w:type="character" w:styleId="808">
    <w:name w:val="endnote reference"/>
    <w:uiPriority w:val="99"/>
    <w:semiHidden/>
    <w:unhideWhenUsed/>
    <w:rPr>
      <w:vertAlign w:val="superscript"/>
    </w:rPr>
  </w:style>
  <w:style w:type="paragraph" w:styleId="809">
    <w:name w:val="toc 1"/>
    <w:uiPriority w:val="39"/>
    <w:unhideWhenUsed/>
    <w:pPr>
      <w:ind w:left="0" w:right="0" w:firstLine="0"/>
      <w:spacing w:after="57"/>
    </w:pPr>
  </w:style>
  <w:style w:type="paragraph" w:styleId="810">
    <w:name w:val="toc 2"/>
    <w:uiPriority w:val="39"/>
    <w:unhideWhenUsed/>
    <w:pPr>
      <w:ind w:left="283" w:right="0" w:firstLine="0"/>
      <w:spacing w:after="57"/>
    </w:pPr>
  </w:style>
  <w:style w:type="paragraph" w:styleId="811">
    <w:name w:val="toc 3"/>
    <w:uiPriority w:val="39"/>
    <w:unhideWhenUsed/>
    <w:pPr>
      <w:ind w:left="567" w:right="0" w:firstLine="0"/>
      <w:spacing w:after="57"/>
    </w:pPr>
  </w:style>
  <w:style w:type="paragraph" w:styleId="812">
    <w:name w:val="toc 4"/>
    <w:uiPriority w:val="39"/>
    <w:unhideWhenUsed/>
    <w:pPr>
      <w:ind w:left="850" w:right="0" w:firstLine="0"/>
      <w:spacing w:after="57"/>
    </w:pPr>
  </w:style>
  <w:style w:type="paragraph" w:styleId="813">
    <w:name w:val="toc 5"/>
    <w:uiPriority w:val="39"/>
    <w:unhideWhenUsed/>
    <w:pPr>
      <w:ind w:left="1134" w:right="0" w:firstLine="0"/>
      <w:spacing w:after="57"/>
    </w:pPr>
  </w:style>
  <w:style w:type="paragraph" w:styleId="814">
    <w:name w:val="toc 6"/>
    <w:uiPriority w:val="39"/>
    <w:unhideWhenUsed/>
    <w:pPr>
      <w:ind w:left="1417" w:right="0" w:firstLine="0"/>
      <w:spacing w:after="57"/>
    </w:pPr>
  </w:style>
  <w:style w:type="paragraph" w:styleId="815">
    <w:name w:val="toc 7"/>
    <w:uiPriority w:val="39"/>
    <w:unhideWhenUsed/>
    <w:pPr>
      <w:ind w:left="1701" w:right="0" w:firstLine="0"/>
      <w:spacing w:after="57"/>
    </w:pPr>
  </w:style>
  <w:style w:type="paragraph" w:styleId="816">
    <w:name w:val="toc 8"/>
    <w:uiPriority w:val="39"/>
    <w:unhideWhenUsed/>
    <w:pPr>
      <w:ind w:left="1984" w:right="0" w:firstLine="0"/>
      <w:spacing w:after="57"/>
    </w:pPr>
  </w:style>
  <w:style w:type="paragraph" w:styleId="817">
    <w:name w:val="toc 9"/>
    <w:uiPriority w:val="39"/>
    <w:unhideWhenUsed/>
    <w:pPr>
      <w:ind w:left="2268" w:right="0" w:firstLine="0"/>
      <w:spacing w:after="57"/>
    </w:pPr>
  </w:style>
  <w:style w:type="paragraph" w:styleId="818">
    <w:name w:val="TOC Heading"/>
    <w:uiPriority w:val="39"/>
    <w:unhideWhenUsed/>
  </w:style>
  <w:style w:type="paragraph" w:styleId="819">
    <w:name w:val="table of figures"/>
    <w:uiPriority w:val="99"/>
    <w:unhideWhenUsed/>
    <w:pPr>
      <w:spacing w:after="0" w:afterAutospacing="0"/>
    </w:pPr>
  </w:style>
  <w:style w:type="character" w:styleId="820" w:default="1">
    <w:name w:val="Default Paragraph Font"/>
    <w:uiPriority w:val="1"/>
    <w:semiHidden/>
    <w:unhideWhenUsed/>
  </w:style>
  <w:style w:type="numbering" w:styleId="821" w:default="1">
    <w:name w:val="No List"/>
    <w:uiPriority w:val="99"/>
    <w:semiHidden/>
    <w:unhideWhenUsed/>
  </w:style>
  <w:style w:type="paragraph" w:styleId="822" w:default="1">
    <w:name w:val="Normal"/>
    <w:qFormat/>
  </w:style>
  <w:style w:type="table" w:styleId="82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3209" TargetMode="External"/><Relationship Id="rId1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5713" TargetMode="External"/><Relationship Id="rId1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343" TargetMode="External"/><Relationship Id="rId1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506" TargetMode="External"/><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32732" TargetMode="External"/><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4661"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肖旭</cp:lastModifiedBy>
  <cp:revision>2</cp:revision>
  <dcterms:created xsi:type="dcterms:W3CDTF">2024-09-20T07:10:04Z</dcterms:created>
  <dcterms:modified xsi:type="dcterms:W3CDTF">2024-09-20T07:23:43Z</dcterms:modified>
</cp:coreProperties>
</file>