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3BA17">
      <w:pPr>
        <w:rPr>
          <w:rFonts w:hint="eastAsia"/>
          <w:color w:val="auto"/>
          <w:highlight w:val="none"/>
        </w:rPr>
      </w:pPr>
    </w:p>
    <w:p w14:paraId="5E93E2DB">
      <w:pPr>
        <w:rPr>
          <w:color w:val="auto"/>
          <w:highlight w:val="none"/>
        </w:rPr>
      </w:pPr>
    </w:p>
    <w:p w14:paraId="75A07E6B">
      <w:pPr>
        <w:spacing w:line="360" w:lineRule="auto"/>
        <w:jc w:val="center"/>
        <w:rPr>
          <w:rFonts w:ascii="宋体" w:hAnsi="宋体"/>
          <w:b/>
          <w:color w:val="auto"/>
          <w:sz w:val="84"/>
          <w:highlight w:val="none"/>
        </w:rPr>
      </w:pPr>
      <w:r>
        <w:rPr>
          <w:rFonts w:hint="eastAsia" w:ascii="宋体" w:hAnsi="宋体"/>
          <w:b/>
          <w:color w:val="auto"/>
          <w:sz w:val="84"/>
          <w:highlight w:val="none"/>
        </w:rPr>
        <w:t>磋  商  文  件</w:t>
      </w:r>
    </w:p>
    <w:p w14:paraId="6D4844B3">
      <w:pPr>
        <w:spacing w:line="360" w:lineRule="auto"/>
        <w:jc w:val="center"/>
        <w:rPr>
          <w:rFonts w:ascii="宋体" w:hAnsi="宋体"/>
          <w:color w:val="auto"/>
          <w:sz w:val="32"/>
          <w:highlight w:val="none"/>
        </w:rPr>
      </w:pPr>
    </w:p>
    <w:p w14:paraId="1CDCC73E">
      <w:pPr>
        <w:spacing w:line="360" w:lineRule="auto"/>
        <w:jc w:val="center"/>
        <w:rPr>
          <w:rFonts w:hint="eastAsia" w:ascii="宋体" w:hAnsi="宋体"/>
          <w:b/>
          <w:color w:val="auto"/>
          <w:sz w:val="36"/>
          <w:highlight w:val="none"/>
        </w:rPr>
      </w:pPr>
    </w:p>
    <w:p w14:paraId="02652108">
      <w:pPr>
        <w:spacing w:line="360" w:lineRule="auto"/>
        <w:jc w:val="center"/>
        <w:rPr>
          <w:rFonts w:hint="eastAsia" w:ascii="宋体" w:hAnsi="宋体"/>
          <w:b/>
          <w:color w:val="auto"/>
          <w:sz w:val="36"/>
          <w:highlight w:val="none"/>
        </w:rPr>
      </w:pPr>
    </w:p>
    <w:p w14:paraId="34A04859">
      <w:pPr>
        <w:spacing w:line="360" w:lineRule="auto"/>
        <w:jc w:val="center"/>
        <w:rPr>
          <w:rFonts w:hint="eastAsia" w:ascii="宋体" w:hAnsi="宋体" w:eastAsia="宋体"/>
          <w:b/>
          <w:color w:val="auto"/>
          <w:sz w:val="36"/>
          <w:highlight w:val="none"/>
          <w:lang w:eastAsia="zh-CN"/>
        </w:rPr>
      </w:pPr>
      <w:r>
        <w:rPr>
          <w:rFonts w:hint="eastAsia" w:ascii="宋体" w:hAnsi="宋体"/>
          <w:b/>
          <w:color w:val="auto"/>
          <w:sz w:val="36"/>
          <w:highlight w:val="none"/>
        </w:rPr>
        <w:t>项目编号：</w:t>
      </w:r>
      <w:r>
        <w:rPr>
          <w:rFonts w:hint="eastAsia" w:ascii="宋体" w:hAnsi="宋体"/>
          <w:b/>
          <w:color w:val="auto"/>
          <w:sz w:val="36"/>
          <w:highlight w:val="none"/>
          <w:lang w:eastAsia="zh-CN"/>
        </w:rPr>
        <w:t>JSZC-321183-JCEC-C2025-0032</w:t>
      </w:r>
    </w:p>
    <w:p w14:paraId="186912DC">
      <w:pPr>
        <w:rPr>
          <w:color w:val="auto"/>
          <w:highlight w:val="none"/>
        </w:rPr>
      </w:pPr>
    </w:p>
    <w:p w14:paraId="369CEECF">
      <w:pPr>
        <w:spacing w:line="360" w:lineRule="auto"/>
        <w:ind w:right="630"/>
        <w:rPr>
          <w:rFonts w:hint="eastAsia" w:ascii="宋体" w:hAnsi="宋体"/>
          <w:b/>
          <w:color w:val="auto"/>
          <w:sz w:val="36"/>
          <w:highlight w:val="none"/>
        </w:rPr>
      </w:pPr>
    </w:p>
    <w:p w14:paraId="5D209246">
      <w:pPr>
        <w:pStyle w:val="37"/>
        <w:rPr>
          <w:rFonts w:hint="eastAsia"/>
          <w:color w:val="auto"/>
          <w:highlight w:val="none"/>
        </w:rPr>
      </w:pPr>
    </w:p>
    <w:p w14:paraId="23C79DA6">
      <w:pPr>
        <w:pStyle w:val="37"/>
        <w:rPr>
          <w:rFonts w:hint="eastAsia"/>
          <w:color w:val="auto"/>
          <w:highlight w:val="none"/>
        </w:rPr>
      </w:pPr>
    </w:p>
    <w:p w14:paraId="31F82FF7">
      <w:pPr>
        <w:spacing w:line="360" w:lineRule="auto"/>
        <w:ind w:right="-84" w:hanging="141"/>
        <w:jc w:val="center"/>
        <w:rPr>
          <w:rFonts w:hint="eastAsia" w:ascii="宋体" w:hAnsi="宋体" w:eastAsia="宋体"/>
          <w:b/>
          <w:color w:val="auto"/>
          <w:sz w:val="36"/>
          <w:highlight w:val="none"/>
          <w:lang w:eastAsia="zh-CN"/>
        </w:rPr>
      </w:pPr>
      <w:r>
        <w:rPr>
          <w:rFonts w:hint="eastAsia" w:ascii="宋体" w:hAnsi="宋体"/>
          <w:b/>
          <w:color w:val="auto"/>
          <w:sz w:val="36"/>
          <w:highlight w:val="none"/>
        </w:rPr>
        <w:t>项目名称：</w:t>
      </w:r>
      <w:r>
        <w:rPr>
          <w:rFonts w:hint="eastAsia" w:ascii="宋体" w:hAnsi="宋体"/>
          <w:b/>
          <w:color w:val="auto"/>
          <w:sz w:val="36"/>
          <w:highlight w:val="none"/>
          <w:lang w:eastAsia="zh-CN"/>
        </w:rPr>
        <w:t>现代农业产业园—半坡农创园工程</w:t>
      </w:r>
    </w:p>
    <w:p w14:paraId="05AAA2BB">
      <w:pPr>
        <w:spacing w:line="360" w:lineRule="auto"/>
        <w:ind w:left="630" w:right="630"/>
        <w:jc w:val="center"/>
        <w:rPr>
          <w:rFonts w:hint="eastAsia" w:ascii="宋体" w:hAnsi="宋体"/>
          <w:b/>
          <w:color w:val="auto"/>
          <w:sz w:val="36"/>
          <w:szCs w:val="36"/>
          <w:highlight w:val="none"/>
        </w:rPr>
      </w:pPr>
    </w:p>
    <w:p w14:paraId="4F004CA6">
      <w:pPr>
        <w:spacing w:line="360" w:lineRule="auto"/>
        <w:ind w:left="630" w:right="630"/>
        <w:jc w:val="center"/>
        <w:rPr>
          <w:rFonts w:hint="eastAsia" w:ascii="宋体" w:hAnsi="宋体"/>
          <w:b/>
          <w:color w:val="auto"/>
          <w:sz w:val="36"/>
          <w:szCs w:val="36"/>
          <w:highlight w:val="none"/>
        </w:rPr>
      </w:pPr>
    </w:p>
    <w:p w14:paraId="5BB617DE">
      <w:pPr>
        <w:pStyle w:val="37"/>
        <w:rPr>
          <w:color w:val="auto"/>
          <w:highlight w:val="none"/>
        </w:rPr>
      </w:pPr>
    </w:p>
    <w:p w14:paraId="5BF44C99">
      <w:pPr>
        <w:spacing w:line="360" w:lineRule="auto"/>
        <w:ind w:left="630" w:right="630"/>
        <w:jc w:val="center"/>
        <w:rPr>
          <w:rFonts w:hint="eastAsia" w:ascii="宋体" w:hAnsi="宋体"/>
          <w:b/>
          <w:color w:val="auto"/>
          <w:sz w:val="36"/>
          <w:szCs w:val="36"/>
          <w:highlight w:val="none"/>
        </w:rPr>
      </w:pPr>
    </w:p>
    <w:p w14:paraId="1BE24BF9">
      <w:pPr>
        <w:pStyle w:val="37"/>
        <w:rPr>
          <w:color w:val="auto"/>
          <w:highlight w:val="none"/>
        </w:rPr>
      </w:pPr>
    </w:p>
    <w:p w14:paraId="34D84656">
      <w:pPr>
        <w:spacing w:line="360" w:lineRule="auto"/>
        <w:rPr>
          <w:rFonts w:ascii="宋体" w:hAnsi="宋体"/>
          <w:b/>
          <w:color w:val="auto"/>
          <w:sz w:val="36"/>
          <w:highlight w:val="none"/>
        </w:rPr>
      </w:pPr>
    </w:p>
    <w:p w14:paraId="439F510C">
      <w:pPr>
        <w:spacing w:line="360" w:lineRule="auto"/>
        <w:ind w:right="-84" w:hanging="141"/>
        <w:jc w:val="center"/>
        <w:rPr>
          <w:rFonts w:hint="eastAsia" w:ascii="宋体" w:hAnsi="宋体"/>
          <w:b/>
          <w:color w:val="auto"/>
          <w:sz w:val="36"/>
          <w:highlight w:val="none"/>
          <w:lang w:val="en-US" w:eastAsia="zh-CN"/>
        </w:rPr>
      </w:pPr>
      <w:r>
        <w:rPr>
          <w:rFonts w:hint="eastAsia" w:ascii="宋体" w:hAnsi="宋体"/>
          <w:b/>
          <w:color w:val="auto"/>
          <w:sz w:val="36"/>
          <w:highlight w:val="none"/>
          <w:lang w:val="en-US" w:eastAsia="zh-CN"/>
        </w:rPr>
        <w:t>采购人：句容市白兔镇人民政府</w:t>
      </w:r>
    </w:p>
    <w:p w14:paraId="062D8176">
      <w:pPr>
        <w:spacing w:line="360" w:lineRule="auto"/>
        <w:ind w:right="-84" w:hanging="141"/>
        <w:jc w:val="center"/>
        <w:rPr>
          <w:rFonts w:hint="eastAsia" w:ascii="宋体" w:hAnsi="宋体"/>
          <w:b/>
          <w:color w:val="auto"/>
          <w:sz w:val="36"/>
          <w:highlight w:val="none"/>
          <w:lang w:eastAsia="zh-CN"/>
        </w:rPr>
      </w:pPr>
      <w:r>
        <w:rPr>
          <w:rFonts w:hint="eastAsia" w:ascii="宋体" w:hAnsi="宋体"/>
          <w:b/>
          <w:color w:val="auto"/>
          <w:sz w:val="36"/>
          <w:highlight w:val="none"/>
          <w:lang w:val="en-US" w:eastAsia="zh-CN"/>
        </w:rPr>
        <w:t>采购代理机构：</w:t>
      </w:r>
      <w:r>
        <w:rPr>
          <w:rFonts w:hint="eastAsia" w:ascii="宋体" w:hAnsi="宋体"/>
          <w:b/>
          <w:color w:val="auto"/>
          <w:sz w:val="36"/>
          <w:highlight w:val="none"/>
          <w:lang w:eastAsia="zh-CN"/>
        </w:rPr>
        <w:t>江苏省设备成套股份有限公司</w:t>
      </w:r>
    </w:p>
    <w:p w14:paraId="0ACA2586">
      <w:pPr>
        <w:spacing w:line="360" w:lineRule="auto"/>
        <w:ind w:right="-84" w:hanging="141"/>
        <w:jc w:val="center"/>
        <w:rPr>
          <w:rFonts w:hint="default" w:ascii="宋体" w:hAnsi="宋体"/>
          <w:b/>
          <w:color w:val="auto"/>
          <w:sz w:val="36"/>
          <w:highlight w:val="none"/>
          <w:lang w:val="en-US" w:eastAsia="zh-CN"/>
        </w:rPr>
      </w:pPr>
      <w:bookmarkStart w:id="0" w:name="EBe098a072a19f453e8556e008bace2ce7"/>
      <w:r>
        <w:rPr>
          <w:rFonts w:hint="eastAsia" w:ascii="宋体" w:hAnsi="宋体"/>
          <w:b/>
          <w:color w:val="auto"/>
          <w:sz w:val="36"/>
          <w:highlight w:val="none"/>
          <w:lang w:eastAsia="zh-CN"/>
        </w:rPr>
        <w:t>202</w:t>
      </w:r>
      <w:r>
        <w:rPr>
          <w:rFonts w:hint="eastAsia" w:ascii="宋体" w:hAnsi="宋体"/>
          <w:b/>
          <w:color w:val="auto"/>
          <w:sz w:val="36"/>
          <w:highlight w:val="none"/>
          <w:lang w:val="en-US" w:eastAsia="zh-CN"/>
        </w:rPr>
        <w:t>5</w:t>
      </w:r>
      <w:r>
        <w:rPr>
          <w:rFonts w:hint="eastAsia" w:ascii="宋体" w:hAnsi="宋体"/>
          <w:b/>
          <w:color w:val="auto"/>
          <w:sz w:val="36"/>
          <w:highlight w:val="none"/>
          <w:lang w:eastAsia="zh-CN"/>
        </w:rPr>
        <w:t>-</w:t>
      </w:r>
      <w:bookmarkEnd w:id="0"/>
      <w:r>
        <w:rPr>
          <w:rFonts w:hint="eastAsia" w:ascii="宋体" w:hAnsi="宋体"/>
          <w:b/>
          <w:color w:val="auto"/>
          <w:sz w:val="36"/>
          <w:highlight w:val="none"/>
          <w:lang w:val="en-US" w:eastAsia="zh-CN"/>
        </w:rPr>
        <w:t>2</w:t>
      </w:r>
    </w:p>
    <w:p w14:paraId="2143ABB5">
      <w:pPr>
        <w:pStyle w:val="37"/>
        <w:rPr>
          <w:rFonts w:hint="eastAsia"/>
          <w:color w:val="auto"/>
          <w:highlight w:val="none"/>
        </w:rPr>
      </w:pPr>
    </w:p>
    <w:p w14:paraId="6E3644AC">
      <w:pPr>
        <w:pageBreakBefore/>
        <w:spacing w:line="360" w:lineRule="auto"/>
        <w:jc w:val="center"/>
        <w:rPr>
          <w:rFonts w:ascii="宋体" w:hAnsi="宋体"/>
          <w:b/>
          <w:bCs/>
          <w:color w:val="auto"/>
          <w:sz w:val="36"/>
          <w:szCs w:val="36"/>
          <w:highlight w:val="none"/>
        </w:rPr>
      </w:pPr>
      <w:r>
        <w:rPr>
          <w:rFonts w:hint="eastAsia" w:ascii="宋体" w:hAnsi="宋体"/>
          <w:b/>
          <w:bCs/>
          <w:color w:val="auto"/>
          <w:sz w:val="36"/>
          <w:szCs w:val="36"/>
          <w:highlight w:val="none"/>
        </w:rPr>
        <w:t>磋商文件目录</w:t>
      </w:r>
    </w:p>
    <w:p w14:paraId="4E9DBB3A">
      <w:pPr>
        <w:pStyle w:val="225"/>
        <w:tabs>
          <w:tab w:val="right" w:leader="dot" w:pos="9356"/>
        </w:tabs>
        <w:spacing w:line="360" w:lineRule="auto"/>
        <w:ind w:left="-283" w:firstLine="321"/>
        <w:rPr>
          <w:rStyle w:val="233"/>
          <w:rFonts w:ascii="宋体" w:hAnsi="宋体"/>
          <w:color w:val="auto"/>
          <w:sz w:val="32"/>
          <w:szCs w:val="32"/>
          <w:highlight w:val="none"/>
        </w:rPr>
      </w:pPr>
      <w:r>
        <w:rPr>
          <w:rStyle w:val="233"/>
          <w:rFonts w:ascii="宋体" w:hAnsi="宋体"/>
          <w:color w:val="auto"/>
          <w:sz w:val="32"/>
          <w:szCs w:val="32"/>
          <w:highlight w:val="none"/>
        </w:rPr>
        <w:fldChar w:fldCharType="begin"/>
      </w:r>
      <w:r>
        <w:rPr>
          <w:rStyle w:val="233"/>
          <w:rFonts w:ascii="宋体" w:hAnsi="宋体"/>
          <w:color w:val="auto"/>
          <w:sz w:val="32"/>
          <w:szCs w:val="32"/>
          <w:highlight w:val="none"/>
        </w:rPr>
        <w:instrText xml:space="preserve"> TOC \o "1-3" \h \z \u </w:instrText>
      </w:r>
      <w:r>
        <w:rPr>
          <w:rStyle w:val="233"/>
          <w:rFonts w:ascii="宋体" w:hAnsi="宋体"/>
          <w:color w:val="auto"/>
          <w:sz w:val="32"/>
          <w:szCs w:val="32"/>
          <w:highlight w:val="none"/>
        </w:rPr>
        <w:fldChar w:fldCharType="separate"/>
      </w:r>
      <w:r>
        <w:rPr>
          <w:rStyle w:val="233"/>
          <w:rFonts w:ascii="宋体" w:hAnsi="宋体"/>
          <w:color w:val="auto"/>
          <w:sz w:val="32"/>
          <w:szCs w:val="32"/>
          <w:highlight w:val="none"/>
        </w:rPr>
        <w:fldChar w:fldCharType="begin"/>
      </w:r>
      <w:r>
        <w:rPr>
          <w:rStyle w:val="233"/>
          <w:rFonts w:ascii="宋体" w:hAnsi="宋体"/>
          <w:color w:val="auto"/>
          <w:sz w:val="32"/>
          <w:szCs w:val="32"/>
          <w:highlight w:val="none"/>
        </w:rPr>
        <w:instrText xml:space="preserve"> HYPERLINK \l "_Toc256000000" </w:instrText>
      </w:r>
      <w:r>
        <w:rPr>
          <w:rStyle w:val="233"/>
          <w:rFonts w:ascii="宋体" w:hAnsi="宋体"/>
          <w:color w:val="auto"/>
          <w:sz w:val="32"/>
          <w:szCs w:val="32"/>
          <w:highlight w:val="none"/>
        </w:rPr>
        <w:fldChar w:fldCharType="separate"/>
      </w:r>
      <w:r>
        <w:rPr>
          <w:rStyle w:val="233"/>
          <w:rFonts w:hint="eastAsia" w:ascii="宋体" w:hAnsi="宋体"/>
          <w:color w:val="auto"/>
          <w:sz w:val="32"/>
          <w:szCs w:val="32"/>
          <w:highlight w:val="none"/>
        </w:rPr>
        <w:t>第一部分  磋商</w:t>
      </w:r>
      <w:r>
        <w:rPr>
          <w:rStyle w:val="233"/>
          <w:rFonts w:hint="eastAsia" w:ascii="宋体" w:hAnsi="宋体"/>
          <w:color w:val="auto"/>
          <w:sz w:val="32"/>
          <w:szCs w:val="32"/>
          <w:highlight w:val="none"/>
          <w:lang w:val="en-US" w:eastAsia="zh-CN"/>
        </w:rPr>
        <w:t>公告</w:t>
      </w:r>
      <w:r>
        <w:rPr>
          <w:rStyle w:val="233"/>
          <w:rFonts w:ascii="宋体" w:hAnsi="宋体"/>
          <w:color w:val="auto"/>
          <w:sz w:val="32"/>
          <w:szCs w:val="32"/>
          <w:highlight w:val="none"/>
        </w:rPr>
        <w:tab/>
      </w:r>
      <w:r>
        <w:rPr>
          <w:rStyle w:val="233"/>
          <w:rFonts w:hint="eastAsia" w:ascii="宋体" w:hAnsi="宋体"/>
          <w:color w:val="auto"/>
          <w:sz w:val="32"/>
          <w:szCs w:val="32"/>
          <w:highlight w:val="none"/>
        </w:rPr>
        <w:t>...2</w:t>
      </w:r>
      <w:r>
        <w:rPr>
          <w:rStyle w:val="233"/>
          <w:rFonts w:ascii="宋体" w:hAnsi="宋体"/>
          <w:color w:val="auto"/>
          <w:sz w:val="32"/>
          <w:szCs w:val="32"/>
          <w:highlight w:val="none"/>
        </w:rPr>
        <w:fldChar w:fldCharType="end"/>
      </w:r>
    </w:p>
    <w:p w14:paraId="34368161">
      <w:pPr>
        <w:pStyle w:val="225"/>
        <w:tabs>
          <w:tab w:val="right" w:leader="dot" w:pos="9356"/>
        </w:tabs>
        <w:spacing w:line="360" w:lineRule="auto"/>
        <w:ind w:left="-283" w:firstLine="321"/>
        <w:rPr>
          <w:rStyle w:val="233"/>
          <w:rFonts w:hint="eastAsia" w:ascii="宋体" w:hAnsi="宋体" w:eastAsia="宋体"/>
          <w:color w:val="auto"/>
          <w:sz w:val="32"/>
          <w:szCs w:val="32"/>
          <w:highlight w:val="none"/>
          <w:lang w:eastAsia="zh-CN"/>
        </w:rPr>
      </w:pPr>
      <w:r>
        <w:rPr>
          <w:rStyle w:val="233"/>
          <w:rFonts w:ascii="宋体" w:hAnsi="宋体"/>
          <w:color w:val="auto"/>
          <w:sz w:val="32"/>
          <w:szCs w:val="32"/>
          <w:highlight w:val="none"/>
        </w:rPr>
        <w:fldChar w:fldCharType="begin"/>
      </w:r>
      <w:r>
        <w:rPr>
          <w:rStyle w:val="233"/>
          <w:rFonts w:ascii="宋体" w:hAnsi="宋体"/>
          <w:color w:val="auto"/>
          <w:sz w:val="32"/>
          <w:szCs w:val="32"/>
          <w:highlight w:val="none"/>
        </w:rPr>
        <w:instrText xml:space="preserve"> HYPERLINK \l "_Toc256000010" </w:instrText>
      </w:r>
      <w:r>
        <w:rPr>
          <w:rStyle w:val="233"/>
          <w:rFonts w:ascii="宋体" w:hAnsi="宋体"/>
          <w:color w:val="auto"/>
          <w:sz w:val="32"/>
          <w:szCs w:val="32"/>
          <w:highlight w:val="none"/>
        </w:rPr>
        <w:fldChar w:fldCharType="separate"/>
      </w:r>
      <w:r>
        <w:rPr>
          <w:rStyle w:val="233"/>
          <w:rFonts w:hint="eastAsia" w:ascii="宋体" w:hAnsi="宋体"/>
          <w:color w:val="auto"/>
          <w:sz w:val="32"/>
          <w:szCs w:val="32"/>
          <w:highlight w:val="none"/>
        </w:rPr>
        <w:t>第二部分  供应商须知</w:t>
      </w:r>
      <w:r>
        <w:rPr>
          <w:rStyle w:val="233"/>
          <w:rFonts w:ascii="宋体" w:hAnsi="宋体"/>
          <w:color w:val="auto"/>
          <w:sz w:val="32"/>
          <w:szCs w:val="32"/>
          <w:highlight w:val="none"/>
        </w:rPr>
        <w:tab/>
      </w:r>
      <w:r>
        <w:rPr>
          <w:rStyle w:val="233"/>
          <w:rFonts w:ascii="宋体" w:hAnsi="宋体"/>
          <w:color w:val="auto"/>
          <w:sz w:val="32"/>
          <w:szCs w:val="32"/>
          <w:highlight w:val="none"/>
        </w:rPr>
        <w:fldChar w:fldCharType="end"/>
      </w:r>
      <w:r>
        <w:rPr>
          <w:rStyle w:val="233"/>
          <w:rFonts w:hint="eastAsia" w:ascii="宋体" w:hAnsi="宋体"/>
          <w:color w:val="auto"/>
          <w:sz w:val="32"/>
          <w:szCs w:val="32"/>
          <w:highlight w:val="none"/>
          <w:lang w:val="en-US" w:eastAsia="zh-CN"/>
        </w:rPr>
        <w:t>8</w:t>
      </w:r>
    </w:p>
    <w:p w14:paraId="3ECC4E89">
      <w:pPr>
        <w:pStyle w:val="225"/>
        <w:tabs>
          <w:tab w:val="right" w:leader="dot" w:pos="9356"/>
        </w:tabs>
        <w:spacing w:line="360" w:lineRule="auto"/>
        <w:ind w:left="-283" w:firstLine="321"/>
        <w:rPr>
          <w:rStyle w:val="233"/>
          <w:rFonts w:hint="eastAsia" w:ascii="宋体" w:hAnsi="宋体" w:eastAsia="宋体"/>
          <w:color w:val="auto"/>
          <w:sz w:val="32"/>
          <w:szCs w:val="32"/>
          <w:highlight w:val="none"/>
          <w:lang w:eastAsia="zh-CN"/>
        </w:rPr>
      </w:pPr>
      <w:r>
        <w:rPr>
          <w:rStyle w:val="233"/>
          <w:rFonts w:ascii="宋体" w:hAnsi="宋体"/>
          <w:color w:val="auto"/>
          <w:sz w:val="32"/>
          <w:szCs w:val="32"/>
          <w:highlight w:val="none"/>
        </w:rPr>
        <w:fldChar w:fldCharType="begin"/>
      </w:r>
      <w:r>
        <w:rPr>
          <w:rStyle w:val="233"/>
          <w:rFonts w:ascii="宋体" w:hAnsi="宋体"/>
          <w:color w:val="auto"/>
          <w:sz w:val="32"/>
          <w:szCs w:val="32"/>
          <w:highlight w:val="none"/>
        </w:rPr>
        <w:instrText xml:space="preserve"> HYPERLINK \l "_Toc256000055" </w:instrText>
      </w:r>
      <w:r>
        <w:rPr>
          <w:rStyle w:val="233"/>
          <w:rFonts w:ascii="宋体" w:hAnsi="宋体"/>
          <w:color w:val="auto"/>
          <w:sz w:val="32"/>
          <w:szCs w:val="32"/>
          <w:highlight w:val="none"/>
        </w:rPr>
        <w:fldChar w:fldCharType="separate"/>
      </w:r>
      <w:r>
        <w:rPr>
          <w:rStyle w:val="233"/>
          <w:rFonts w:hint="eastAsia" w:ascii="宋体" w:hAnsi="宋体"/>
          <w:color w:val="auto"/>
          <w:sz w:val="32"/>
          <w:szCs w:val="32"/>
          <w:highlight w:val="none"/>
        </w:rPr>
        <w:t>第三部分  拟签订的合同文本</w:t>
      </w:r>
      <w:r>
        <w:rPr>
          <w:rStyle w:val="233"/>
          <w:rFonts w:ascii="宋体" w:hAnsi="宋体"/>
          <w:color w:val="auto"/>
          <w:sz w:val="32"/>
          <w:szCs w:val="32"/>
          <w:highlight w:val="none"/>
        </w:rPr>
        <w:tab/>
      </w:r>
      <w:r>
        <w:rPr>
          <w:rStyle w:val="233"/>
          <w:rFonts w:hint="eastAsia" w:ascii="宋体" w:hAnsi="宋体"/>
          <w:color w:val="auto"/>
          <w:sz w:val="32"/>
          <w:szCs w:val="32"/>
          <w:highlight w:val="none"/>
        </w:rPr>
        <w:t>2</w:t>
      </w:r>
      <w:r>
        <w:rPr>
          <w:rStyle w:val="233"/>
          <w:rFonts w:ascii="宋体" w:hAnsi="宋体"/>
          <w:color w:val="auto"/>
          <w:sz w:val="32"/>
          <w:szCs w:val="32"/>
          <w:highlight w:val="none"/>
        </w:rPr>
        <w:fldChar w:fldCharType="end"/>
      </w:r>
      <w:r>
        <w:rPr>
          <w:rStyle w:val="233"/>
          <w:rFonts w:hint="eastAsia" w:ascii="宋体" w:hAnsi="宋体"/>
          <w:color w:val="auto"/>
          <w:sz w:val="32"/>
          <w:szCs w:val="32"/>
          <w:highlight w:val="none"/>
          <w:lang w:val="en-US" w:eastAsia="zh-CN"/>
        </w:rPr>
        <w:t>4</w:t>
      </w:r>
    </w:p>
    <w:p w14:paraId="42454C24">
      <w:pPr>
        <w:pStyle w:val="225"/>
        <w:tabs>
          <w:tab w:val="right" w:leader="dot" w:pos="9356"/>
        </w:tabs>
        <w:spacing w:line="360" w:lineRule="auto"/>
        <w:ind w:left="-283" w:firstLine="321"/>
        <w:rPr>
          <w:rStyle w:val="233"/>
          <w:rFonts w:hint="default" w:ascii="宋体" w:hAnsi="宋体" w:eastAsia="宋体"/>
          <w:color w:val="auto"/>
          <w:sz w:val="32"/>
          <w:szCs w:val="32"/>
          <w:highlight w:val="none"/>
          <w:lang w:val="en-US" w:eastAsia="zh-CN"/>
        </w:rPr>
      </w:pPr>
      <w:r>
        <w:rPr>
          <w:rStyle w:val="233"/>
          <w:rFonts w:ascii="宋体" w:hAnsi="宋体"/>
          <w:color w:val="auto"/>
          <w:sz w:val="32"/>
          <w:szCs w:val="32"/>
          <w:highlight w:val="none"/>
        </w:rPr>
        <w:fldChar w:fldCharType="begin"/>
      </w:r>
      <w:r>
        <w:rPr>
          <w:rStyle w:val="233"/>
          <w:rFonts w:ascii="宋体" w:hAnsi="宋体"/>
          <w:color w:val="auto"/>
          <w:sz w:val="32"/>
          <w:szCs w:val="32"/>
          <w:highlight w:val="none"/>
        </w:rPr>
        <w:instrText xml:space="preserve"> HYPERLINK \l "_Toc256000056" </w:instrText>
      </w:r>
      <w:r>
        <w:rPr>
          <w:rStyle w:val="233"/>
          <w:rFonts w:ascii="宋体" w:hAnsi="宋体"/>
          <w:color w:val="auto"/>
          <w:sz w:val="32"/>
          <w:szCs w:val="32"/>
          <w:highlight w:val="none"/>
        </w:rPr>
        <w:fldChar w:fldCharType="separate"/>
      </w:r>
      <w:r>
        <w:rPr>
          <w:rStyle w:val="233"/>
          <w:rFonts w:ascii="宋体" w:hAnsi="宋体"/>
          <w:color w:val="auto"/>
          <w:sz w:val="32"/>
          <w:szCs w:val="32"/>
          <w:highlight w:val="none"/>
        </w:rPr>
        <w:t>第四部分</w:t>
      </w:r>
      <w:r>
        <w:rPr>
          <w:rStyle w:val="233"/>
          <w:rFonts w:hint="eastAsia" w:ascii="宋体" w:hAnsi="宋体"/>
          <w:color w:val="auto"/>
          <w:sz w:val="32"/>
          <w:szCs w:val="32"/>
          <w:highlight w:val="none"/>
        </w:rPr>
        <w:t xml:space="preserve">  采购需求</w:t>
      </w:r>
      <w:r>
        <w:rPr>
          <w:rStyle w:val="233"/>
          <w:rFonts w:ascii="宋体" w:hAnsi="宋体"/>
          <w:color w:val="auto"/>
          <w:sz w:val="32"/>
          <w:szCs w:val="32"/>
          <w:highlight w:val="none"/>
        </w:rPr>
        <w:tab/>
      </w:r>
      <w:r>
        <w:rPr>
          <w:rStyle w:val="233"/>
          <w:rFonts w:ascii="宋体" w:hAnsi="宋体"/>
          <w:color w:val="auto"/>
          <w:sz w:val="32"/>
          <w:szCs w:val="32"/>
          <w:highlight w:val="none"/>
        </w:rPr>
        <w:fldChar w:fldCharType="end"/>
      </w:r>
      <w:r>
        <w:rPr>
          <w:rStyle w:val="233"/>
          <w:rFonts w:hint="eastAsia" w:ascii="宋体" w:hAnsi="宋体"/>
          <w:color w:val="auto"/>
          <w:sz w:val="32"/>
          <w:szCs w:val="32"/>
          <w:highlight w:val="none"/>
          <w:lang w:val="en-US" w:eastAsia="zh-CN"/>
        </w:rPr>
        <w:t>100</w:t>
      </w:r>
    </w:p>
    <w:p w14:paraId="33804082">
      <w:pPr>
        <w:pStyle w:val="225"/>
        <w:tabs>
          <w:tab w:val="right" w:leader="dot" w:pos="9356"/>
        </w:tabs>
        <w:spacing w:line="360" w:lineRule="auto"/>
        <w:ind w:left="-283" w:firstLine="321"/>
        <w:rPr>
          <w:rStyle w:val="233"/>
          <w:rFonts w:hint="default" w:ascii="宋体" w:hAnsi="宋体" w:eastAsia="宋体"/>
          <w:color w:val="auto"/>
          <w:sz w:val="32"/>
          <w:szCs w:val="32"/>
          <w:highlight w:val="none"/>
          <w:lang w:val="en-US" w:eastAsia="zh-CN"/>
        </w:rPr>
      </w:pPr>
      <w:r>
        <w:rPr>
          <w:rStyle w:val="233"/>
          <w:rFonts w:ascii="宋体" w:hAnsi="宋体"/>
          <w:color w:val="auto"/>
          <w:sz w:val="32"/>
          <w:szCs w:val="32"/>
          <w:highlight w:val="none"/>
        </w:rPr>
        <w:fldChar w:fldCharType="begin"/>
      </w:r>
      <w:r>
        <w:rPr>
          <w:rStyle w:val="233"/>
          <w:rFonts w:ascii="宋体" w:hAnsi="宋体"/>
          <w:color w:val="auto"/>
          <w:sz w:val="32"/>
          <w:szCs w:val="32"/>
          <w:highlight w:val="none"/>
        </w:rPr>
        <w:instrText xml:space="preserve"> HYPERLINK \l "_Toc256000057" </w:instrText>
      </w:r>
      <w:r>
        <w:rPr>
          <w:rStyle w:val="233"/>
          <w:rFonts w:ascii="宋体" w:hAnsi="宋体"/>
          <w:color w:val="auto"/>
          <w:sz w:val="32"/>
          <w:szCs w:val="32"/>
          <w:highlight w:val="none"/>
        </w:rPr>
        <w:fldChar w:fldCharType="separate"/>
      </w:r>
      <w:r>
        <w:rPr>
          <w:rStyle w:val="233"/>
          <w:rFonts w:hint="eastAsia" w:ascii="宋体" w:hAnsi="宋体"/>
          <w:color w:val="auto"/>
          <w:sz w:val="32"/>
          <w:szCs w:val="32"/>
          <w:highlight w:val="none"/>
        </w:rPr>
        <w:t>第五部分  磋商及评审</w:t>
      </w:r>
      <w:bookmarkStart w:id="1" w:name="_Hlt145267068"/>
      <w:r>
        <w:rPr>
          <w:rStyle w:val="233"/>
          <w:rFonts w:ascii="宋体" w:hAnsi="宋体"/>
          <w:color w:val="auto"/>
          <w:sz w:val="32"/>
          <w:szCs w:val="32"/>
          <w:highlight w:val="none"/>
        </w:rPr>
        <w:tab/>
      </w:r>
      <w:bookmarkEnd w:id="1"/>
      <w:r>
        <w:rPr>
          <w:rStyle w:val="233"/>
          <w:rFonts w:ascii="宋体" w:hAnsi="宋体"/>
          <w:color w:val="auto"/>
          <w:sz w:val="32"/>
          <w:szCs w:val="32"/>
          <w:highlight w:val="none"/>
        </w:rPr>
        <w:fldChar w:fldCharType="end"/>
      </w:r>
      <w:r>
        <w:rPr>
          <w:rStyle w:val="233"/>
          <w:rFonts w:hint="eastAsia" w:ascii="宋体" w:hAnsi="宋体"/>
          <w:color w:val="auto"/>
          <w:sz w:val="32"/>
          <w:szCs w:val="32"/>
          <w:highlight w:val="none"/>
          <w:lang w:val="en-US" w:eastAsia="zh-CN"/>
        </w:rPr>
        <w:t>104</w:t>
      </w:r>
    </w:p>
    <w:p w14:paraId="024B11CE">
      <w:pPr>
        <w:pStyle w:val="225"/>
        <w:tabs>
          <w:tab w:val="right" w:leader="dot" w:pos="9356"/>
        </w:tabs>
        <w:spacing w:line="360" w:lineRule="auto"/>
        <w:ind w:left="-283" w:firstLine="321"/>
        <w:rPr>
          <w:rStyle w:val="233"/>
          <w:rFonts w:hint="default" w:ascii="宋体" w:hAnsi="宋体" w:eastAsia="宋体"/>
          <w:color w:val="auto"/>
          <w:sz w:val="32"/>
          <w:szCs w:val="32"/>
          <w:highlight w:val="none"/>
          <w:u w:val="none"/>
          <w:lang w:val="en-US" w:eastAsia="zh-CN"/>
        </w:rPr>
      </w:pPr>
      <w:r>
        <w:rPr>
          <w:rStyle w:val="233"/>
          <w:rFonts w:hint="eastAsia" w:ascii="宋体" w:hAnsi="宋体"/>
          <w:color w:val="auto"/>
          <w:sz w:val="32"/>
          <w:szCs w:val="32"/>
          <w:highlight w:val="none"/>
          <w:u w:val="none"/>
        </w:rPr>
        <w:t>第六部分  磋商响应文件（格式）</w:t>
      </w:r>
      <w:r>
        <w:rPr>
          <w:rStyle w:val="233"/>
          <w:rFonts w:ascii="宋体" w:hAnsi="宋体"/>
          <w:color w:val="auto"/>
          <w:sz w:val="32"/>
          <w:szCs w:val="32"/>
          <w:highlight w:val="none"/>
          <w:u w:val="none"/>
        </w:rPr>
        <w:tab/>
      </w:r>
      <w:r>
        <w:rPr>
          <w:rStyle w:val="233"/>
          <w:rFonts w:hint="eastAsia" w:ascii="宋体" w:hAnsi="宋体"/>
          <w:color w:val="auto"/>
          <w:sz w:val="32"/>
          <w:szCs w:val="32"/>
          <w:highlight w:val="none"/>
          <w:u w:val="none"/>
          <w:lang w:val="en-US" w:eastAsia="zh-CN"/>
        </w:rPr>
        <w:t>111</w:t>
      </w:r>
    </w:p>
    <w:p w14:paraId="69EB9F8A">
      <w:pPr>
        <w:pStyle w:val="225"/>
        <w:tabs>
          <w:tab w:val="right" w:leader="dot" w:pos="9356"/>
        </w:tabs>
        <w:ind w:left="-283" w:firstLine="321"/>
        <w:rPr>
          <w:rStyle w:val="233"/>
          <w:rFonts w:ascii="宋体" w:hAnsi="宋体"/>
          <w:color w:val="auto"/>
          <w:sz w:val="32"/>
          <w:szCs w:val="32"/>
          <w:highlight w:val="none"/>
          <w:lang w:val="en-US"/>
        </w:rPr>
      </w:pPr>
    </w:p>
    <w:p w14:paraId="5E20F767">
      <w:pPr>
        <w:pStyle w:val="225"/>
        <w:tabs>
          <w:tab w:val="right" w:leader="dot" w:pos="9356"/>
        </w:tabs>
        <w:ind w:left="-283" w:firstLine="321"/>
        <w:jc w:val="center"/>
        <w:rPr>
          <w:rFonts w:hint="eastAsia"/>
          <w:color w:val="auto"/>
          <w:highlight w:val="none"/>
        </w:rPr>
      </w:pPr>
      <w:r>
        <w:rPr>
          <w:rStyle w:val="233"/>
          <w:rFonts w:ascii="宋体" w:hAnsi="宋体"/>
          <w:color w:val="auto"/>
          <w:sz w:val="32"/>
          <w:szCs w:val="32"/>
          <w:highlight w:val="none"/>
        </w:rPr>
        <w:fldChar w:fldCharType="end"/>
      </w:r>
      <w:r>
        <w:rPr>
          <w:color w:val="auto"/>
          <w:highlight w:val="none"/>
        </w:rPr>
        <w:br w:type="page" w:clear="all"/>
      </w:r>
      <w:bookmarkStart w:id="2" w:name="_Toc73365456"/>
      <w:bookmarkStart w:id="3" w:name="_Toc256000000"/>
      <w:bookmarkStart w:id="4" w:name="_Toc73364843"/>
      <w:r>
        <w:rPr>
          <w:rFonts w:hint="eastAsia" w:ascii="宋体" w:hAnsi="宋体"/>
          <w:color w:val="auto"/>
          <w:sz w:val="36"/>
          <w:highlight w:val="none"/>
        </w:rPr>
        <w:t>第一部分  磋商</w:t>
      </w:r>
      <w:bookmarkEnd w:id="2"/>
      <w:bookmarkEnd w:id="3"/>
      <w:bookmarkEnd w:id="4"/>
      <w:r>
        <w:rPr>
          <w:rFonts w:hint="eastAsia" w:ascii="宋体" w:hAnsi="宋体"/>
          <w:color w:val="auto"/>
          <w:sz w:val="36"/>
          <w:highlight w:val="none"/>
        </w:rPr>
        <w:t>公告</w:t>
      </w:r>
    </w:p>
    <w:p w14:paraId="0A1D5C0F">
      <w:pPr>
        <w:rPr>
          <w:color w:val="auto"/>
          <w:highlight w:val="none"/>
        </w:rPr>
      </w:pPr>
      <w:bookmarkStart w:id="5" w:name="EB90a90c36211a4db3a2108a4f75c8af65"/>
      <w:r>
        <w:rPr>
          <w:rFonts w:hint="eastAsia"/>
          <w:color w:val="auto"/>
          <w:sz w:val="20"/>
          <w:highlight w:val="none"/>
        </w:rPr>
        <w:t xml:space="preserve"> </w:t>
      </w:r>
      <w:bookmarkEnd w:id="5"/>
      <w:bookmarkStart w:id="6" w:name="EBb19c9a8f63314b7a8160b48722b227e9"/>
      <w:r>
        <w:rPr>
          <w:rFonts w:hint="eastAsia"/>
          <w:color w:val="auto"/>
          <w:sz w:val="20"/>
          <w:highlight w:val="none"/>
        </w:rPr>
        <w:t xml:space="preserve"> </w:t>
      </w:r>
      <w:bookmarkEnd w:id="6"/>
    </w:p>
    <w:p w14:paraId="66A8A773">
      <w:pPr>
        <w:pBdr>
          <w:top w:val="single" w:color="auto" w:sz="4" w:space="1"/>
          <w:left w:val="single" w:color="auto" w:sz="4" w:space="4"/>
          <w:bottom w:val="single" w:color="auto" w:sz="4" w:space="1"/>
          <w:right w:val="single" w:color="auto" w:sz="4" w:space="4"/>
        </w:pBdr>
        <w:spacing w:line="360" w:lineRule="auto"/>
        <w:ind w:firstLine="480"/>
        <w:rPr>
          <w:rFonts w:ascii="宋体" w:hAnsi="宋体"/>
          <w:color w:val="auto"/>
          <w:sz w:val="24"/>
          <w:szCs w:val="28"/>
          <w:highlight w:val="none"/>
        </w:rPr>
      </w:pPr>
      <w:r>
        <w:rPr>
          <w:rFonts w:hint="eastAsia" w:ascii="宋体" w:hAnsi="宋体"/>
          <w:color w:val="auto"/>
          <w:sz w:val="24"/>
          <w:szCs w:val="28"/>
          <w:highlight w:val="none"/>
        </w:rPr>
        <w:t>项目概况</w:t>
      </w:r>
    </w:p>
    <w:p w14:paraId="03520A2D">
      <w:pPr>
        <w:pBdr>
          <w:top w:val="single" w:color="auto" w:sz="4" w:space="1"/>
          <w:left w:val="single" w:color="auto" w:sz="4" w:space="4"/>
          <w:bottom w:val="single" w:color="auto" w:sz="4" w:space="1"/>
          <w:right w:val="single" w:color="auto" w:sz="4" w:space="4"/>
        </w:pBdr>
        <w:spacing w:line="360" w:lineRule="auto"/>
        <w:ind w:firstLine="480"/>
        <w:rPr>
          <w:rFonts w:ascii="宋体" w:hAnsi="宋体"/>
          <w:color w:val="auto"/>
          <w:sz w:val="24"/>
          <w:szCs w:val="28"/>
          <w:highlight w:val="none"/>
        </w:rPr>
      </w:pPr>
      <w:r>
        <w:rPr>
          <w:rFonts w:hint="eastAsia" w:ascii="宋体" w:hAnsi="宋体"/>
          <w:b w:val="0"/>
          <w:bCs w:val="0"/>
          <w:color w:val="auto"/>
          <w:sz w:val="24"/>
          <w:szCs w:val="28"/>
          <w:highlight w:val="none"/>
          <w:lang w:eastAsia="zh-CN"/>
        </w:rPr>
        <w:t>现代农业产业园—半坡农创园工程</w:t>
      </w:r>
      <w:r>
        <w:rPr>
          <w:rFonts w:hint="eastAsia" w:ascii="宋体" w:hAnsi="宋体"/>
          <w:color w:val="auto"/>
          <w:sz w:val="24"/>
          <w:szCs w:val="28"/>
          <w:highlight w:val="none"/>
        </w:rPr>
        <w:t>的潜在供应商</w:t>
      </w:r>
      <w:bookmarkStart w:id="7" w:name="EBa2e9efed1bd249f6967eff74ca5f9fe3"/>
      <w:r>
        <w:rPr>
          <w:rFonts w:hint="eastAsia" w:ascii="宋体" w:hAnsi="宋体"/>
          <w:color w:val="auto"/>
          <w:sz w:val="24"/>
          <w:szCs w:val="28"/>
          <w:highlight w:val="none"/>
        </w:rPr>
        <w:t>（政府采购一体化平台）http://jszfcg.jscz.gov.cn/jszc/login获取</w:t>
      </w:r>
      <w:r>
        <w:rPr>
          <w:rFonts w:hint="eastAsia" w:ascii="宋体" w:hAnsi="宋体"/>
          <w:color w:val="auto"/>
          <w:sz w:val="24"/>
          <w:szCs w:val="28"/>
          <w:highlight w:val="none"/>
          <w:lang w:val="en-US" w:eastAsia="zh-CN"/>
        </w:rPr>
        <w:t>磋商</w:t>
      </w:r>
      <w:r>
        <w:rPr>
          <w:rFonts w:hint="eastAsia" w:ascii="宋体" w:hAnsi="宋体"/>
          <w:color w:val="auto"/>
          <w:sz w:val="24"/>
          <w:szCs w:val="28"/>
          <w:highlight w:val="none"/>
        </w:rPr>
        <w:t>文件，并于202</w:t>
      </w:r>
      <w:r>
        <w:rPr>
          <w:rFonts w:hint="eastAsia" w:ascii="宋体" w:hAnsi="宋体"/>
          <w:color w:val="auto"/>
          <w:sz w:val="24"/>
          <w:szCs w:val="28"/>
          <w:highlight w:val="none"/>
          <w:lang w:val="en-US" w:eastAsia="zh-CN"/>
        </w:rPr>
        <w:t>5</w:t>
      </w:r>
      <w:r>
        <w:rPr>
          <w:rFonts w:hint="eastAsia" w:ascii="宋体" w:hAnsi="宋体"/>
          <w:color w:val="auto"/>
          <w:sz w:val="24"/>
          <w:szCs w:val="28"/>
          <w:highlight w:val="none"/>
        </w:rPr>
        <w:t>年</w:t>
      </w:r>
      <w:r>
        <w:rPr>
          <w:rFonts w:hint="eastAsia" w:ascii="宋体" w:hAnsi="宋体"/>
          <w:color w:val="auto"/>
          <w:sz w:val="24"/>
          <w:szCs w:val="28"/>
          <w:highlight w:val="none"/>
          <w:lang w:val="en-US" w:eastAsia="zh-CN"/>
        </w:rPr>
        <w:t>2月25日14</w:t>
      </w:r>
      <w:r>
        <w:rPr>
          <w:rFonts w:hint="eastAsia" w:ascii="宋体" w:hAnsi="宋体"/>
          <w:color w:val="auto"/>
          <w:sz w:val="24"/>
          <w:szCs w:val="28"/>
          <w:highlight w:val="none"/>
        </w:rPr>
        <w:t>:</w:t>
      </w:r>
      <w:r>
        <w:rPr>
          <w:rFonts w:hint="eastAsia" w:ascii="宋体" w:hAnsi="宋体"/>
          <w:color w:val="auto"/>
          <w:sz w:val="24"/>
          <w:szCs w:val="28"/>
          <w:highlight w:val="none"/>
          <w:lang w:val="en-US" w:eastAsia="zh-CN"/>
        </w:rPr>
        <w:t>3</w:t>
      </w:r>
      <w:r>
        <w:rPr>
          <w:rFonts w:hint="eastAsia" w:ascii="宋体" w:hAnsi="宋体"/>
          <w:color w:val="auto"/>
          <w:sz w:val="24"/>
          <w:szCs w:val="28"/>
          <w:highlight w:val="none"/>
        </w:rPr>
        <w:t>0</w:t>
      </w:r>
      <w:bookmarkEnd w:id="7"/>
      <w:r>
        <w:rPr>
          <w:rFonts w:hint="eastAsia" w:ascii="宋体" w:hAnsi="宋体"/>
          <w:color w:val="auto"/>
          <w:sz w:val="24"/>
          <w:szCs w:val="28"/>
          <w:highlight w:val="none"/>
        </w:rPr>
        <w:t>（北京时间）前递交响应文件。</w:t>
      </w:r>
    </w:p>
    <w:p w14:paraId="48F0B234">
      <w:pPr>
        <w:pStyle w:val="192"/>
        <w:pageBreakBefore w:val="0"/>
        <w:kinsoku/>
        <w:wordWrap/>
        <w:overflowPunct/>
        <w:topLinePunct w:val="0"/>
        <w:autoSpaceDE/>
        <w:autoSpaceDN/>
        <w:bidi w:val="0"/>
        <w:adjustRightInd/>
        <w:snapToGrid/>
        <w:spacing w:before="0" w:after="0" w:line="360" w:lineRule="auto"/>
        <w:ind w:right="0"/>
        <w:jc w:val="both"/>
        <w:textAlignment w:val="auto"/>
        <w:outlineLvl w:val="9"/>
        <w:rPr>
          <w:rFonts w:ascii="宋体" w:hAnsi="宋体" w:eastAsia="宋体"/>
          <w:b/>
          <w:bCs/>
          <w:color w:val="auto"/>
          <w:highlight w:val="none"/>
        </w:rPr>
      </w:pPr>
      <w:bookmarkStart w:id="8" w:name="_Toc73365457"/>
      <w:bookmarkStart w:id="9" w:name="_Toc256000001"/>
      <w:bookmarkStart w:id="10" w:name="_Toc73364844"/>
      <w:r>
        <w:rPr>
          <w:rFonts w:hint="eastAsia" w:ascii="宋体" w:hAnsi="宋体" w:eastAsia="宋体"/>
          <w:b/>
          <w:bCs/>
          <w:color w:val="auto"/>
          <w:highlight w:val="none"/>
        </w:rPr>
        <w:t>一、项目基本情况</w:t>
      </w:r>
      <w:bookmarkEnd w:id="8"/>
      <w:bookmarkEnd w:id="9"/>
      <w:bookmarkEnd w:id="10"/>
    </w:p>
    <w:p w14:paraId="487F8542">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lang w:val="en-US" w:eastAsia="zh-CN"/>
        </w:rPr>
      </w:pPr>
      <w:r>
        <w:rPr>
          <w:rFonts w:hint="eastAsia" w:ascii="宋体" w:hAnsi="宋体" w:cs="Times New Roman"/>
          <w:color w:val="auto"/>
          <w:sz w:val="24"/>
          <w:szCs w:val="28"/>
          <w:highlight w:val="none"/>
          <w:lang w:val="en-US" w:eastAsia="zh-CN"/>
        </w:rPr>
        <w:t>1、项目编号：JSZC-321183-JCEC-C2025-0032</w:t>
      </w:r>
    </w:p>
    <w:p w14:paraId="185F0E26">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lang w:val="en-US" w:eastAsia="zh-CN"/>
        </w:rPr>
      </w:pPr>
      <w:r>
        <w:rPr>
          <w:rFonts w:hint="eastAsia" w:ascii="宋体" w:hAnsi="宋体" w:cs="Times New Roman"/>
          <w:color w:val="auto"/>
          <w:sz w:val="24"/>
          <w:szCs w:val="28"/>
          <w:highlight w:val="none"/>
          <w:lang w:val="en-US" w:eastAsia="zh-CN"/>
        </w:rPr>
        <w:t>2、项目名称：现代农业产业园—半坡农创园工程</w:t>
      </w:r>
    </w:p>
    <w:p w14:paraId="4922A1A0">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default" w:ascii="宋体" w:hAnsi="宋体" w:cs="Times New Roman"/>
          <w:color w:val="auto"/>
          <w:sz w:val="24"/>
          <w:szCs w:val="28"/>
          <w:highlight w:val="none"/>
          <w:lang w:val="en-US" w:eastAsia="zh-CN"/>
        </w:rPr>
      </w:pPr>
      <w:r>
        <w:rPr>
          <w:rFonts w:hint="eastAsia" w:ascii="宋体" w:hAnsi="宋体" w:cs="Times New Roman"/>
          <w:color w:val="auto"/>
          <w:sz w:val="24"/>
          <w:szCs w:val="28"/>
          <w:highlight w:val="none"/>
          <w:lang w:val="en-US" w:eastAsia="zh-CN"/>
        </w:rPr>
        <w:t>3、采购方式：竞争性磋商</w:t>
      </w:r>
    </w:p>
    <w:p w14:paraId="2C9F976D">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yellow"/>
          <w:lang w:eastAsia="zh-CN"/>
        </w:rPr>
      </w:pPr>
      <w:r>
        <w:rPr>
          <w:rFonts w:hint="eastAsia" w:ascii="宋体" w:hAnsi="宋体" w:cs="Times New Roman"/>
          <w:color w:val="auto"/>
          <w:sz w:val="24"/>
          <w:szCs w:val="28"/>
          <w:highlight w:val="none"/>
          <w:lang w:val="en-US" w:eastAsia="zh-CN"/>
        </w:rPr>
        <w:t>4、</w:t>
      </w:r>
      <w:r>
        <w:rPr>
          <w:rFonts w:hint="eastAsia" w:ascii="宋体" w:hAnsi="宋体" w:cs="Times New Roman"/>
          <w:color w:val="auto"/>
          <w:sz w:val="24"/>
          <w:szCs w:val="28"/>
          <w:highlight w:val="none"/>
        </w:rPr>
        <w:t>预算金额：399.52 万元</w:t>
      </w:r>
    </w:p>
    <w:p w14:paraId="52651004">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yellow"/>
          <w:lang w:eastAsia="zh-CN"/>
        </w:rPr>
      </w:pPr>
      <w:r>
        <w:rPr>
          <w:rFonts w:hint="eastAsia" w:ascii="宋体" w:hAnsi="宋体" w:cs="Times New Roman"/>
          <w:color w:val="auto"/>
          <w:sz w:val="24"/>
          <w:szCs w:val="28"/>
          <w:highlight w:val="none"/>
          <w:lang w:val="en-US" w:eastAsia="zh-CN"/>
        </w:rPr>
        <w:t>5、</w:t>
      </w:r>
      <w:r>
        <w:rPr>
          <w:rFonts w:hint="eastAsia" w:ascii="宋体" w:hAnsi="宋体" w:cs="Times New Roman"/>
          <w:color w:val="auto"/>
          <w:sz w:val="24"/>
          <w:szCs w:val="28"/>
          <w:highlight w:val="none"/>
        </w:rPr>
        <w:t>最高限价：399.518224</w:t>
      </w:r>
      <w:r>
        <w:rPr>
          <w:rFonts w:hint="eastAsia" w:ascii="宋体" w:hAnsi="宋体" w:cs="Times New Roman"/>
          <w:color w:val="auto"/>
          <w:sz w:val="24"/>
          <w:szCs w:val="28"/>
          <w:highlight w:val="none"/>
          <w:lang w:eastAsia="zh-CN"/>
        </w:rPr>
        <w:t>万元</w:t>
      </w:r>
    </w:p>
    <w:p w14:paraId="1139C0B4">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r>
        <w:rPr>
          <w:rFonts w:hint="eastAsia" w:ascii="宋体" w:hAnsi="宋体" w:cs="Times New Roman"/>
          <w:color w:val="auto"/>
          <w:sz w:val="24"/>
          <w:szCs w:val="28"/>
          <w:highlight w:val="none"/>
          <w:lang w:val="en-US" w:eastAsia="zh-CN"/>
        </w:rPr>
        <w:t>6、</w:t>
      </w:r>
      <w:r>
        <w:rPr>
          <w:rFonts w:hint="eastAsia" w:ascii="宋体" w:hAnsi="宋体" w:cs="Times New Roman"/>
          <w:color w:val="auto"/>
          <w:sz w:val="24"/>
          <w:szCs w:val="28"/>
          <w:highlight w:val="none"/>
        </w:rPr>
        <w:t>采购需求</w:t>
      </w:r>
      <w:bookmarkStart w:id="11" w:name="EB5d98601673ee4dabb6909c42181f9c92"/>
      <w:r>
        <w:rPr>
          <w:rFonts w:hint="eastAsia" w:ascii="宋体" w:hAnsi="宋体" w:cs="Times New Roman"/>
          <w:color w:val="auto"/>
          <w:sz w:val="24"/>
          <w:szCs w:val="28"/>
          <w:highlight w:val="none"/>
          <w:lang w:eastAsia="zh-CN"/>
        </w:rPr>
        <w:t>：</w:t>
      </w:r>
      <w:bookmarkStart w:id="517" w:name="_GoBack"/>
      <w:bookmarkEnd w:id="517"/>
      <w:r>
        <w:rPr>
          <w:rFonts w:hint="eastAsia" w:ascii="宋体" w:hAnsi="宋体" w:cs="Times New Roman"/>
          <w:color w:val="auto"/>
          <w:sz w:val="24"/>
          <w:szCs w:val="28"/>
          <w:highlight w:val="none"/>
        </w:rPr>
        <w:t>现代农业产业园—半坡农创园工程</w:t>
      </w:r>
      <w:r>
        <w:rPr>
          <w:rFonts w:hint="eastAsia" w:ascii="宋体" w:hAnsi="宋体" w:cs="Times New Roman"/>
          <w:color w:val="auto"/>
          <w:sz w:val="24"/>
          <w:szCs w:val="28"/>
          <w:highlight w:val="none"/>
          <w:lang w:val="en-US" w:eastAsia="zh-CN"/>
        </w:rPr>
        <w:t>建设，</w:t>
      </w:r>
      <w:r>
        <w:rPr>
          <w:rFonts w:hint="eastAsia" w:ascii="宋体" w:hAnsi="宋体" w:cs="Times New Roman"/>
          <w:color w:val="auto"/>
          <w:sz w:val="24"/>
          <w:szCs w:val="28"/>
          <w:highlight w:val="none"/>
        </w:rPr>
        <w:t>详细内容及要求见附件采购文件。</w:t>
      </w:r>
      <w:bookmarkEnd w:id="11"/>
      <w:bookmarkStart w:id="12" w:name="EBd7b548ce0011456a9f402dd37794dbc3"/>
      <w:r>
        <w:rPr>
          <w:rFonts w:hint="eastAsia" w:ascii="宋体" w:hAnsi="宋体" w:cs="Times New Roman"/>
          <w:color w:val="auto"/>
          <w:sz w:val="24"/>
          <w:szCs w:val="28"/>
          <w:highlight w:val="none"/>
        </w:rPr>
        <w:t xml:space="preserve"> </w:t>
      </w:r>
      <w:bookmarkEnd w:id="12"/>
    </w:p>
    <w:p w14:paraId="7A5D88C5">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r>
        <w:rPr>
          <w:rFonts w:hint="eastAsia" w:ascii="宋体" w:hAnsi="宋体" w:cs="Times New Roman"/>
          <w:color w:val="auto"/>
          <w:sz w:val="24"/>
          <w:szCs w:val="28"/>
          <w:highlight w:val="none"/>
          <w:lang w:val="en-US" w:eastAsia="zh-CN"/>
        </w:rPr>
        <w:t>7、</w:t>
      </w:r>
      <w:r>
        <w:rPr>
          <w:rFonts w:hint="eastAsia" w:ascii="宋体" w:hAnsi="宋体" w:cs="Times New Roman"/>
          <w:color w:val="auto"/>
          <w:sz w:val="24"/>
          <w:szCs w:val="28"/>
          <w:highlight w:val="none"/>
        </w:rPr>
        <w:t>合同履行期限：</w:t>
      </w:r>
      <w:bookmarkStart w:id="13" w:name="EBa07d69da46b1409fa8b8bfb317275bdc"/>
      <w:r>
        <w:rPr>
          <w:rFonts w:hint="eastAsia" w:ascii="宋体" w:hAnsi="宋体" w:cs="Times New Roman"/>
          <w:color w:val="auto"/>
          <w:sz w:val="24"/>
          <w:szCs w:val="28"/>
          <w:highlight w:val="none"/>
          <w:lang w:val="en-US" w:eastAsia="zh-CN"/>
        </w:rPr>
        <w:t>工期150天</w:t>
      </w:r>
      <w:r>
        <w:rPr>
          <w:rFonts w:hint="eastAsia" w:ascii="宋体" w:hAnsi="宋体" w:cs="Times New Roman"/>
          <w:color w:val="auto"/>
          <w:sz w:val="24"/>
          <w:szCs w:val="28"/>
          <w:highlight w:val="none"/>
        </w:rPr>
        <w:t>。</w:t>
      </w:r>
      <w:bookmarkEnd w:id="13"/>
    </w:p>
    <w:p w14:paraId="1A7B2744">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r>
        <w:rPr>
          <w:rFonts w:hint="eastAsia" w:ascii="宋体" w:hAnsi="宋体" w:cs="Times New Roman"/>
          <w:color w:val="auto"/>
          <w:sz w:val="24"/>
          <w:szCs w:val="28"/>
          <w:highlight w:val="none"/>
          <w:lang w:val="en-US" w:eastAsia="zh-CN"/>
        </w:rPr>
        <w:t>8、</w:t>
      </w:r>
      <w:r>
        <w:rPr>
          <w:rFonts w:hint="eastAsia" w:ascii="宋体" w:hAnsi="宋体" w:cs="Times New Roman"/>
          <w:color w:val="auto"/>
          <w:sz w:val="24"/>
          <w:szCs w:val="28"/>
          <w:highlight w:val="none"/>
        </w:rPr>
        <w:t>本项目是否接受联合体：不接受</w:t>
      </w:r>
      <w:bookmarkStart w:id="14" w:name="EB85b2e39ba7d546c49ea4d24be10d3b59"/>
      <w:r>
        <w:rPr>
          <w:rFonts w:hint="eastAsia" w:ascii="宋体" w:hAnsi="宋体" w:cs="Times New Roman"/>
          <w:color w:val="auto"/>
          <w:sz w:val="24"/>
          <w:szCs w:val="28"/>
          <w:highlight w:val="none"/>
        </w:rPr>
        <w:t xml:space="preserve"> </w:t>
      </w:r>
      <w:bookmarkEnd w:id="14"/>
    </w:p>
    <w:p w14:paraId="7AA49369">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r>
        <w:rPr>
          <w:rFonts w:hint="eastAsia" w:ascii="宋体" w:hAnsi="宋体" w:cs="Times New Roman"/>
          <w:color w:val="auto"/>
          <w:sz w:val="24"/>
          <w:szCs w:val="28"/>
          <w:highlight w:val="none"/>
          <w:lang w:val="en-US" w:eastAsia="zh-CN"/>
        </w:rPr>
        <w:t>9、</w:t>
      </w:r>
      <w:r>
        <w:rPr>
          <w:rFonts w:hint="eastAsia" w:ascii="宋体" w:hAnsi="宋体" w:cs="Times New Roman"/>
          <w:color w:val="auto"/>
          <w:sz w:val="24"/>
          <w:szCs w:val="28"/>
          <w:highlight w:val="none"/>
        </w:rPr>
        <w:t>本项目标的所属行业：建筑业</w:t>
      </w:r>
    </w:p>
    <w:p w14:paraId="49770548">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s="Times New Roman"/>
          <w:color w:val="auto"/>
          <w:sz w:val="24"/>
          <w:szCs w:val="28"/>
          <w:highlight w:val="none"/>
          <w:lang w:val="en-US" w:eastAsia="zh-CN"/>
        </w:rPr>
        <w:t>10、</w:t>
      </w:r>
      <w:r>
        <w:rPr>
          <w:rFonts w:hint="eastAsia" w:ascii="宋体" w:hAnsi="宋体" w:cs="Times New Roman"/>
          <w:color w:val="auto"/>
          <w:sz w:val="24"/>
          <w:szCs w:val="28"/>
          <w:highlight w:val="none"/>
        </w:rPr>
        <w:t>本次采购确定的成交供应商数量：</w:t>
      </w:r>
      <w:bookmarkStart w:id="15" w:name="EB5c24124ec8a5472f86d055936d89b2d9"/>
      <w:r>
        <w:rPr>
          <w:rFonts w:hint="eastAsia" w:ascii="宋体" w:hAnsi="宋体" w:cs="Times New Roman"/>
          <w:color w:val="auto"/>
          <w:sz w:val="24"/>
          <w:szCs w:val="28"/>
          <w:highlight w:val="none"/>
        </w:rPr>
        <w:t>1名</w:t>
      </w:r>
      <w:bookmarkEnd w:id="15"/>
      <w:r>
        <w:rPr>
          <w:rFonts w:ascii="宋体" w:hAnsi="宋体"/>
          <w:color w:val="auto"/>
          <w:sz w:val="24"/>
          <w:szCs w:val="28"/>
          <w:highlight w:val="none"/>
        </w:rPr>
        <w:t xml:space="preserve"> </w:t>
      </w:r>
    </w:p>
    <w:p w14:paraId="50BB1934">
      <w:pPr>
        <w:pStyle w:val="192"/>
        <w:pageBreakBefore w:val="0"/>
        <w:kinsoku/>
        <w:wordWrap/>
        <w:overflowPunct/>
        <w:topLinePunct w:val="0"/>
        <w:autoSpaceDE/>
        <w:autoSpaceDN/>
        <w:bidi w:val="0"/>
        <w:adjustRightInd/>
        <w:snapToGrid/>
        <w:spacing w:before="0" w:after="0" w:line="360" w:lineRule="auto"/>
        <w:ind w:right="0"/>
        <w:jc w:val="both"/>
        <w:textAlignment w:val="auto"/>
        <w:outlineLvl w:val="9"/>
        <w:rPr>
          <w:rFonts w:ascii="宋体" w:hAnsi="宋体" w:eastAsia="宋体"/>
          <w:b/>
          <w:bCs/>
          <w:color w:val="auto"/>
          <w:highlight w:val="none"/>
        </w:rPr>
      </w:pPr>
      <w:bookmarkStart w:id="16" w:name="_Toc73365458"/>
      <w:bookmarkStart w:id="17" w:name="_Toc256000002"/>
      <w:bookmarkStart w:id="18" w:name="_Toc73364845"/>
      <w:r>
        <w:rPr>
          <w:rFonts w:hint="eastAsia" w:ascii="宋体" w:hAnsi="宋体" w:eastAsia="宋体"/>
          <w:b/>
          <w:bCs/>
          <w:color w:val="auto"/>
          <w:highlight w:val="none"/>
        </w:rPr>
        <w:t>二、申请人的资格要求：</w:t>
      </w:r>
      <w:bookmarkEnd w:id="16"/>
      <w:bookmarkEnd w:id="17"/>
      <w:bookmarkEnd w:id="18"/>
    </w:p>
    <w:p w14:paraId="1FE55ABA">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1</w:t>
      </w:r>
      <w:r>
        <w:rPr>
          <w:rFonts w:hint="eastAsia" w:ascii="宋体" w:hAnsi="宋体"/>
          <w:color w:val="auto"/>
          <w:sz w:val="24"/>
          <w:szCs w:val="28"/>
          <w:highlight w:val="none"/>
          <w:lang w:eastAsia="zh-CN"/>
        </w:rPr>
        <w:t>、</w:t>
      </w:r>
      <w:r>
        <w:rPr>
          <w:rFonts w:hint="eastAsia" w:ascii="宋体" w:hAnsi="宋体"/>
          <w:color w:val="auto"/>
          <w:sz w:val="24"/>
          <w:szCs w:val="28"/>
          <w:highlight w:val="none"/>
        </w:rPr>
        <w:t xml:space="preserve"> 满足《中华人民共和国政府采购法》第二十二条规定；</w:t>
      </w:r>
    </w:p>
    <w:p w14:paraId="66B327E5">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bookmarkStart w:id="19" w:name="EBc1bc06189b4a41ccac26e04e92f3d69f"/>
      <w:r>
        <w:rPr>
          <w:rFonts w:hint="eastAsia" w:ascii="宋体" w:hAnsi="宋体"/>
          <w:color w:val="auto"/>
          <w:sz w:val="24"/>
          <w:szCs w:val="28"/>
          <w:highlight w:val="none"/>
        </w:rPr>
        <w:t>（1）具有独立承担民事责任的能力（提供法人或者其他组织的营业执照等证明文件）；</w:t>
      </w:r>
    </w:p>
    <w:p w14:paraId="3A2C792C">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2）具有良好的商业信誉和健全的财务会计制度（提供2023年度财务报告，成立不满一年的提供至少一个月财务报告，或银行出具的资信证明，或财政部门认可的政府采购专业担保机构出具的投标担保函等，或提供资格承诺函）；</w:t>
      </w:r>
    </w:p>
    <w:p w14:paraId="6E3B44C6">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（3）具有履行合同所必需的设备和专业技术能力（提供具备履行合同所必需的设备和专业技术能力的书面声明或提供资格承诺函）；</w:t>
      </w:r>
    </w:p>
    <w:p w14:paraId="2CA2B499">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（4）有依法缴纳税收和社会保障资金的良好记录（参加本次政府采购活动前半年内（至少一个月））依法缴纳税收和社会保险资金的相关材料或提供资格承诺函）；</w:t>
      </w:r>
    </w:p>
    <w:p w14:paraId="5804637C">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（5）参加政府采购活动前三年内，在经营活动中没有重大违法记录（见投标承诺函或提供资格承诺函）；</w:t>
      </w:r>
    </w:p>
    <w:p w14:paraId="3B4C9161">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（6）法律、行政法规规定的其他条件：无。</w:t>
      </w:r>
    </w:p>
    <w:p w14:paraId="7F442150">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2</w:t>
      </w:r>
      <w:r>
        <w:rPr>
          <w:rFonts w:hint="eastAsia" w:ascii="宋体" w:hAnsi="宋体"/>
          <w:color w:val="auto"/>
          <w:sz w:val="24"/>
          <w:szCs w:val="28"/>
          <w:highlight w:val="none"/>
          <w:lang w:eastAsia="zh-CN"/>
        </w:rPr>
        <w:t>、</w:t>
      </w:r>
      <w:r>
        <w:rPr>
          <w:rFonts w:hint="eastAsia" w:ascii="宋体" w:hAnsi="宋体"/>
          <w:color w:val="auto"/>
          <w:sz w:val="24"/>
          <w:szCs w:val="28"/>
          <w:highlight w:val="none"/>
        </w:rPr>
        <w:t>落实政府采购政策需满足的资格要求：</w:t>
      </w:r>
      <w:r>
        <w:rPr>
          <w:rFonts w:hint="eastAsia" w:ascii="宋体" w:hAnsi="宋体" w:eastAsia="宋体" w:cs="Times New Roman"/>
          <w:i w:val="0"/>
          <w:iCs w:val="0"/>
          <w:caps w:val="0"/>
          <w:color w:val="auto"/>
          <w:spacing w:val="0"/>
          <w:sz w:val="24"/>
          <w:szCs w:val="28"/>
          <w:highlight w:val="none"/>
          <w:shd w:val="clear"/>
        </w:rPr>
        <w:t>根据财政部、工业和信息化部关于印发《政府采购促进中小企业发展管理办法》的通知、江苏省财政厅《关于做好政府采购支持企业发展有关事项的通知》的相关规定，</w:t>
      </w:r>
      <w:r>
        <w:rPr>
          <w:rFonts w:hint="eastAsia" w:ascii="宋体" w:hAnsi="宋体" w:eastAsia="宋体" w:cs="Times New Roman"/>
          <w:b w:val="0"/>
          <w:bCs w:val="0"/>
          <w:i w:val="0"/>
          <w:iCs w:val="0"/>
          <w:caps w:val="0"/>
          <w:color w:val="auto"/>
          <w:spacing w:val="0"/>
          <w:sz w:val="24"/>
          <w:szCs w:val="28"/>
          <w:highlight w:val="none"/>
          <w:shd w:val="clear"/>
        </w:rPr>
        <w:t>本项目专门面向中小微企业采购，只接受中小微企业参与</w:t>
      </w:r>
      <w:r>
        <w:rPr>
          <w:rFonts w:hint="eastAsia" w:ascii="宋体" w:hAnsi="宋体" w:eastAsia="宋体" w:cs="Times New Roman"/>
          <w:i w:val="0"/>
          <w:iCs w:val="0"/>
          <w:caps w:val="0"/>
          <w:color w:val="auto"/>
          <w:spacing w:val="0"/>
          <w:sz w:val="24"/>
          <w:szCs w:val="28"/>
          <w:highlight w:val="none"/>
          <w:shd w:val="clear"/>
        </w:rPr>
        <w:t>。中小企业划分标准见《工业和信息化部、国家统计局、国家发展和改革委员会、财政部关于印发中小企业划型标准规定的通知》</w:t>
      </w:r>
      <w:r>
        <w:rPr>
          <w:rFonts w:hint="eastAsia" w:ascii="宋体" w:hAnsi="宋体" w:cs="Times New Roman"/>
          <w:i w:val="0"/>
          <w:iCs w:val="0"/>
          <w:caps w:val="0"/>
          <w:color w:val="auto"/>
          <w:spacing w:val="0"/>
          <w:sz w:val="24"/>
          <w:szCs w:val="28"/>
          <w:highlight w:val="none"/>
          <w:shd w:val="clear"/>
          <w:lang w:eastAsia="zh-CN"/>
        </w:rPr>
        <w:t>（</w:t>
      </w:r>
      <w:r>
        <w:rPr>
          <w:rFonts w:hint="eastAsia" w:ascii="宋体" w:hAnsi="宋体" w:cs="Times New Roman"/>
          <w:i w:val="0"/>
          <w:iCs w:val="0"/>
          <w:caps w:val="0"/>
          <w:color w:val="auto"/>
          <w:spacing w:val="0"/>
          <w:sz w:val="24"/>
          <w:szCs w:val="28"/>
          <w:highlight w:val="none"/>
          <w:shd w:val="clear"/>
          <w:lang w:val="en-US" w:eastAsia="zh-CN"/>
        </w:rPr>
        <w:t>提供</w:t>
      </w:r>
      <w:r>
        <w:rPr>
          <w:rFonts w:hint="eastAsia" w:ascii="宋体" w:hAnsi="宋体" w:cs="Times New Roman"/>
          <w:i w:val="0"/>
          <w:iCs w:val="0"/>
          <w:caps w:val="0"/>
          <w:color w:val="auto"/>
          <w:spacing w:val="0"/>
          <w:sz w:val="24"/>
          <w:szCs w:val="28"/>
          <w:highlight w:val="none"/>
          <w:shd w:val="clear"/>
          <w:lang w:eastAsia="zh-CN"/>
        </w:rPr>
        <w:t>中小企业声明函）</w:t>
      </w:r>
      <w:r>
        <w:rPr>
          <w:rFonts w:hint="eastAsia" w:ascii="宋体" w:hAnsi="宋体" w:eastAsia="宋体" w:cs="Times New Roman"/>
          <w:i w:val="0"/>
          <w:iCs w:val="0"/>
          <w:caps w:val="0"/>
          <w:color w:val="auto"/>
          <w:spacing w:val="0"/>
          <w:sz w:val="24"/>
          <w:szCs w:val="28"/>
          <w:highlight w:val="none"/>
          <w:shd w:val="clear"/>
        </w:rPr>
        <w:t>。</w:t>
      </w:r>
    </w:p>
    <w:p w14:paraId="30B80ACB">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3</w:t>
      </w:r>
      <w:r>
        <w:rPr>
          <w:rFonts w:hint="eastAsia" w:ascii="宋体" w:hAnsi="宋体"/>
          <w:color w:val="auto"/>
          <w:sz w:val="24"/>
          <w:szCs w:val="28"/>
          <w:highlight w:val="none"/>
          <w:lang w:eastAsia="zh-CN"/>
        </w:rPr>
        <w:t>、</w:t>
      </w:r>
      <w:r>
        <w:rPr>
          <w:rFonts w:hint="eastAsia" w:ascii="宋体" w:hAnsi="宋体"/>
          <w:color w:val="auto"/>
          <w:sz w:val="24"/>
          <w:szCs w:val="28"/>
          <w:highlight w:val="none"/>
        </w:rPr>
        <w:t>本项目的特定资格要求：</w:t>
      </w:r>
      <w:bookmarkEnd w:id="19"/>
    </w:p>
    <w:p w14:paraId="5D692AB0">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r>
        <w:rPr>
          <w:rFonts w:hint="eastAsia" w:ascii="宋体" w:hAnsi="宋体" w:cs="Times New Roman"/>
          <w:color w:val="auto"/>
          <w:sz w:val="24"/>
          <w:szCs w:val="28"/>
          <w:highlight w:val="none"/>
        </w:rPr>
        <w:t>（1）供应商须具有有效期内建筑工程施工总承包三级及以上资质，并取得有效期内安全生产许可证（提供相关证明材料扫描件）。</w:t>
      </w:r>
    </w:p>
    <w:p w14:paraId="12ABF9A5">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r>
        <w:rPr>
          <w:rFonts w:hint="eastAsia" w:ascii="宋体" w:hAnsi="宋体" w:cs="Times New Roman"/>
          <w:color w:val="auto"/>
          <w:sz w:val="24"/>
          <w:szCs w:val="28"/>
          <w:highlight w:val="none"/>
        </w:rPr>
        <w:t>（2）供应商拟派项目负责人须为本单位正式员工</w:t>
      </w:r>
      <w:r>
        <w:rPr>
          <w:rFonts w:hint="eastAsia" w:ascii="宋体" w:hAnsi="宋体" w:cs="Times New Roman"/>
          <w:color w:val="auto"/>
          <w:sz w:val="24"/>
          <w:szCs w:val="28"/>
          <w:highlight w:val="none"/>
          <w:lang w:val="en-US" w:eastAsia="zh-CN"/>
        </w:rPr>
        <w:t>(供应商为其缴纳的2024年8月-2025年1月内任意一个月的社保证明材料加盖公章)</w:t>
      </w:r>
      <w:r>
        <w:rPr>
          <w:rFonts w:hint="eastAsia" w:ascii="宋体" w:hAnsi="宋体" w:cs="Times New Roman"/>
          <w:color w:val="auto"/>
          <w:sz w:val="24"/>
          <w:szCs w:val="28"/>
          <w:highlight w:val="none"/>
        </w:rPr>
        <w:t>，具备建筑工程专业二级及以上注册建造师资格，并具备有效的安全生产考核合格证B类证（提供相关证书及</w:t>
      </w:r>
      <w:r>
        <w:rPr>
          <w:rFonts w:hint="eastAsia" w:ascii="宋体" w:hAnsi="宋体" w:cs="Times New Roman"/>
          <w:color w:val="auto"/>
          <w:sz w:val="24"/>
          <w:szCs w:val="28"/>
          <w:highlight w:val="none"/>
          <w:lang w:val="en-US" w:eastAsia="zh-CN"/>
        </w:rPr>
        <w:t>上述</w:t>
      </w:r>
      <w:r>
        <w:rPr>
          <w:rFonts w:hint="eastAsia" w:ascii="宋体" w:hAnsi="宋体" w:cs="Times New Roman"/>
          <w:color w:val="auto"/>
          <w:sz w:val="24"/>
          <w:szCs w:val="28"/>
          <w:highlight w:val="none"/>
        </w:rPr>
        <w:t>社会保险证明材料扫描件）。</w:t>
      </w:r>
    </w:p>
    <w:p w14:paraId="1C7C7745">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r>
        <w:rPr>
          <w:rFonts w:hint="eastAsia" w:ascii="宋体" w:hAnsi="宋体" w:cs="Times New Roman"/>
          <w:color w:val="auto"/>
          <w:sz w:val="24"/>
          <w:szCs w:val="28"/>
          <w:highlight w:val="none"/>
        </w:rPr>
        <w:t>（3）供应商承诺项目负责人无在建工程 (提供书面承诺书，格式自拟)。</w:t>
      </w:r>
    </w:p>
    <w:p w14:paraId="716FAD10">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 xml:space="preserve">在建工程的认定： </w:t>
      </w:r>
    </w:p>
    <w:p w14:paraId="6228C011">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 xml:space="preserve">  1）项目负责人不得同时在两个或者两个以上单位受聘或者执业： </w:t>
      </w:r>
    </w:p>
    <w:p w14:paraId="5AA7BAD1">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 xml:space="preserve">    a、同时在两个及以上单位签订劳动合同或交纳社会保险； </w:t>
      </w:r>
    </w:p>
    <w:p w14:paraId="67C624D9">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 xml:space="preserve">    b、将本人执（职）业资格证书同时注册在两个及以上单位。 </w:t>
      </w:r>
    </w:p>
    <w:p w14:paraId="4599E33D">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 xml:space="preserve">  2）项目负责人是非变更后无在建工程，或项目负责人是变更后无在建工程（必须原合同工期已满且变更备案之日已满</w:t>
      </w:r>
      <w:r>
        <w:rPr>
          <w:rFonts w:hint="eastAsia" w:ascii="宋体" w:hAnsi="宋体"/>
          <w:color w:val="auto"/>
          <w:sz w:val="24"/>
          <w:szCs w:val="28"/>
          <w:highlight w:val="none"/>
          <w:lang w:val="en-US" w:eastAsia="zh-CN"/>
        </w:rPr>
        <w:t>6</w:t>
      </w:r>
      <w:r>
        <w:rPr>
          <w:rFonts w:hint="eastAsia" w:ascii="宋体" w:hAnsi="宋体"/>
          <w:color w:val="auto"/>
          <w:sz w:val="24"/>
          <w:szCs w:val="28"/>
          <w:highlight w:val="none"/>
        </w:rPr>
        <w:t xml:space="preserve">个月），或因非承包方原因致使工程项目停工或因故不能按期开工、且已办理了项目负责人解锁手续，或项目负责人有在建工程，但该在建工程与本次招标的工程属于同一工程项目、同一项目批文、同一施工地点分段发包或分期施工的情况且总的工程规模在项目负责人执业范围之内。 </w:t>
      </w:r>
    </w:p>
    <w:p w14:paraId="07560CC2">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 xml:space="preserve">  3）项目负责人不得同时在其他企业担任法定代表人、分公司负责人、董事长、总经理、董事、执行董事、监事、财务负责人等企业高级管理岗位。项目负责人不得是个体工商户经营者。</w:t>
      </w:r>
    </w:p>
    <w:p w14:paraId="5AAE455F">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 xml:space="preserve">  4）不得同时在两个及两个以上的工程项目上担任施工单位项目负责人。</w:t>
      </w:r>
    </w:p>
    <w:p w14:paraId="5668648D">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lang w:eastAsia="zh-CN"/>
        </w:rPr>
        <w:t>（</w:t>
      </w:r>
      <w:r>
        <w:rPr>
          <w:rFonts w:hint="eastAsia" w:ascii="宋体" w:hAnsi="宋体"/>
          <w:color w:val="auto"/>
          <w:sz w:val="24"/>
          <w:szCs w:val="28"/>
          <w:highlight w:val="none"/>
          <w:lang w:val="en-US" w:eastAsia="zh-CN"/>
        </w:rPr>
        <w:t>4）</w:t>
      </w:r>
      <w:r>
        <w:rPr>
          <w:rFonts w:hint="eastAsia" w:ascii="宋体" w:hAnsi="宋体"/>
          <w:color w:val="auto"/>
          <w:sz w:val="24"/>
          <w:szCs w:val="28"/>
          <w:highlight w:val="none"/>
        </w:rPr>
        <w:t xml:space="preserve">拒绝下述供应商参加本次采购活动： </w:t>
      </w:r>
    </w:p>
    <w:p w14:paraId="31455694">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 xml:space="preserve">1）供应商单位负责人为同一人或者存在直接控股、管理关系的不同供应商，不得参加同一合同项下的政府采购活动； </w:t>
      </w:r>
    </w:p>
    <w:p w14:paraId="403C305D">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lang w:val="en-US" w:eastAsia="zh-CN"/>
        </w:rPr>
        <w:t>2</w:t>
      </w:r>
      <w:r>
        <w:rPr>
          <w:rFonts w:hint="eastAsia" w:ascii="宋体" w:hAnsi="宋体"/>
          <w:color w:val="auto"/>
          <w:sz w:val="24"/>
          <w:szCs w:val="28"/>
          <w:highlight w:val="none"/>
        </w:rPr>
        <w:t xml:space="preserve">）为采购项目提供整体设计、规范编制或者项目管理、监理、检测等服务的供应商，不得参加本项目的采购活动； </w:t>
      </w:r>
    </w:p>
    <w:p w14:paraId="7E716695">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b/>
          <w:color w:val="auto"/>
          <w:highlight w:val="none"/>
        </w:rPr>
      </w:pPr>
      <w:r>
        <w:rPr>
          <w:rFonts w:hint="eastAsia" w:ascii="宋体" w:hAnsi="宋体"/>
          <w:color w:val="auto"/>
          <w:sz w:val="24"/>
          <w:szCs w:val="28"/>
          <w:highlight w:val="none"/>
          <w:lang w:val="en-US" w:eastAsia="zh-CN"/>
        </w:rPr>
        <w:t>3</w:t>
      </w:r>
      <w:r>
        <w:rPr>
          <w:rFonts w:hint="eastAsia" w:ascii="宋体" w:hAnsi="宋体"/>
          <w:color w:val="auto"/>
          <w:sz w:val="24"/>
          <w:szCs w:val="28"/>
          <w:highlight w:val="none"/>
        </w:rPr>
        <w:t>）供应商被“信用中国”网站（www.creditchina.gov.cn）、“中国政府采购网”(www.ccgp.gov.cn)列入失信被执行人、重大税收违法案件当事人名单、政府采购严重违法失信行为记录名单</w:t>
      </w:r>
      <w:bookmarkStart w:id="20" w:name="_Toc256000003"/>
      <w:bookmarkStart w:id="21" w:name="_Toc73365459"/>
      <w:bookmarkStart w:id="22" w:name="_Toc73364846"/>
      <w:r>
        <w:rPr>
          <w:rFonts w:hint="eastAsia" w:ascii="宋体" w:hAnsi="宋体"/>
          <w:color w:val="auto"/>
          <w:sz w:val="24"/>
          <w:szCs w:val="28"/>
          <w:highlight w:val="none"/>
        </w:rPr>
        <w:t>。</w:t>
      </w:r>
    </w:p>
    <w:p w14:paraId="3EF61A3A">
      <w:pPr>
        <w:pStyle w:val="192"/>
        <w:pageBreakBefore w:val="0"/>
        <w:kinsoku/>
        <w:wordWrap/>
        <w:overflowPunct/>
        <w:topLinePunct w:val="0"/>
        <w:autoSpaceDE/>
        <w:autoSpaceDN/>
        <w:bidi w:val="0"/>
        <w:adjustRightInd/>
        <w:snapToGrid/>
        <w:spacing w:before="0" w:after="0" w:line="360" w:lineRule="auto"/>
        <w:ind w:right="0"/>
        <w:jc w:val="both"/>
        <w:textAlignment w:val="auto"/>
        <w:outlineLvl w:val="9"/>
        <w:rPr>
          <w:rFonts w:ascii="宋体" w:hAnsi="宋体" w:eastAsia="宋体"/>
          <w:b/>
          <w:bCs/>
          <w:color w:val="auto"/>
          <w:highlight w:val="none"/>
        </w:rPr>
      </w:pPr>
      <w:r>
        <w:rPr>
          <w:rFonts w:hint="eastAsia" w:ascii="宋体" w:hAnsi="宋体" w:eastAsia="宋体"/>
          <w:b/>
          <w:bCs/>
          <w:color w:val="auto"/>
          <w:highlight w:val="none"/>
        </w:rPr>
        <w:t>三、获取磋商文件</w:t>
      </w:r>
      <w:bookmarkEnd w:id="20"/>
      <w:bookmarkEnd w:id="21"/>
      <w:bookmarkEnd w:id="22"/>
    </w:p>
    <w:p w14:paraId="707211DD">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lang w:val="en-US" w:eastAsia="zh-CN"/>
        </w:rPr>
        <w:t>1、</w:t>
      </w:r>
      <w:r>
        <w:rPr>
          <w:rFonts w:hint="eastAsia" w:ascii="宋体" w:hAnsi="宋体"/>
          <w:color w:val="auto"/>
          <w:sz w:val="24"/>
          <w:szCs w:val="28"/>
          <w:highlight w:val="none"/>
        </w:rPr>
        <w:t>时间：公告之时起至</w:t>
      </w:r>
      <w:bookmarkStart w:id="23" w:name="EB3611433bb0e24d78a959c34719c3168b"/>
      <w:r>
        <w:rPr>
          <w:rFonts w:hint="eastAsia" w:ascii="宋体" w:hAnsi="宋体"/>
          <w:color w:val="auto"/>
          <w:sz w:val="24"/>
          <w:szCs w:val="28"/>
          <w:highlight w:val="none"/>
        </w:rPr>
        <w:t>202</w:t>
      </w:r>
      <w:r>
        <w:rPr>
          <w:rFonts w:hint="eastAsia" w:ascii="宋体" w:hAnsi="宋体"/>
          <w:color w:val="auto"/>
          <w:sz w:val="24"/>
          <w:szCs w:val="28"/>
          <w:highlight w:val="none"/>
          <w:lang w:val="en-US" w:eastAsia="zh-CN"/>
        </w:rPr>
        <w:t>5</w:t>
      </w:r>
      <w:r>
        <w:rPr>
          <w:rFonts w:hint="eastAsia" w:ascii="宋体" w:hAnsi="宋体"/>
          <w:color w:val="auto"/>
          <w:sz w:val="24"/>
          <w:szCs w:val="28"/>
          <w:highlight w:val="none"/>
        </w:rPr>
        <w:t>-</w:t>
      </w:r>
      <w:r>
        <w:rPr>
          <w:rFonts w:hint="eastAsia" w:ascii="宋体" w:hAnsi="宋体"/>
          <w:color w:val="auto"/>
          <w:sz w:val="24"/>
          <w:szCs w:val="28"/>
          <w:highlight w:val="none"/>
          <w:lang w:val="en-US" w:eastAsia="zh-CN"/>
        </w:rPr>
        <w:t>2</w:t>
      </w:r>
      <w:r>
        <w:rPr>
          <w:rFonts w:hint="eastAsia" w:ascii="宋体" w:hAnsi="宋体"/>
          <w:color w:val="auto"/>
          <w:sz w:val="24"/>
          <w:szCs w:val="28"/>
          <w:highlight w:val="none"/>
        </w:rPr>
        <w:t>-</w:t>
      </w:r>
      <w:r>
        <w:rPr>
          <w:rFonts w:hint="eastAsia" w:ascii="宋体" w:hAnsi="宋体"/>
          <w:color w:val="auto"/>
          <w:sz w:val="24"/>
          <w:szCs w:val="28"/>
          <w:highlight w:val="none"/>
          <w:lang w:val="en-US" w:eastAsia="zh-CN"/>
        </w:rPr>
        <w:t>25</w:t>
      </w:r>
      <w:r>
        <w:rPr>
          <w:rFonts w:hint="eastAsia" w:ascii="宋体" w:hAnsi="宋体"/>
          <w:color w:val="auto"/>
          <w:sz w:val="24"/>
          <w:szCs w:val="28"/>
          <w:highlight w:val="none"/>
        </w:rPr>
        <w:t xml:space="preserve"> </w:t>
      </w:r>
      <w:r>
        <w:rPr>
          <w:rFonts w:hint="eastAsia" w:ascii="宋体" w:hAnsi="宋体"/>
          <w:color w:val="auto"/>
          <w:sz w:val="24"/>
          <w:szCs w:val="28"/>
          <w:highlight w:val="none"/>
          <w:lang w:val="en-US" w:eastAsia="zh-CN"/>
        </w:rPr>
        <w:t>14</w:t>
      </w:r>
      <w:r>
        <w:rPr>
          <w:rFonts w:hint="eastAsia" w:ascii="宋体" w:hAnsi="宋体"/>
          <w:color w:val="auto"/>
          <w:sz w:val="24"/>
          <w:szCs w:val="28"/>
          <w:highlight w:val="none"/>
        </w:rPr>
        <w:t>:</w:t>
      </w:r>
      <w:bookmarkEnd w:id="23"/>
      <w:r>
        <w:rPr>
          <w:rFonts w:hint="eastAsia" w:ascii="宋体" w:hAnsi="宋体"/>
          <w:color w:val="auto"/>
          <w:sz w:val="24"/>
          <w:szCs w:val="28"/>
          <w:highlight w:val="none"/>
          <w:lang w:val="en-US" w:eastAsia="zh-CN"/>
        </w:rPr>
        <w:t>30</w:t>
      </w:r>
      <w:r>
        <w:rPr>
          <w:rFonts w:hint="eastAsia" w:ascii="宋体" w:hAnsi="宋体"/>
          <w:color w:val="auto"/>
          <w:sz w:val="24"/>
          <w:szCs w:val="28"/>
          <w:highlight w:val="none"/>
        </w:rPr>
        <w:t>（北京时间）</w:t>
      </w:r>
    </w:p>
    <w:p w14:paraId="6E2C7E1B">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lang w:val="en-US" w:eastAsia="zh-CN"/>
        </w:rPr>
        <w:t>2、</w:t>
      </w:r>
      <w:r>
        <w:rPr>
          <w:rFonts w:hint="eastAsia" w:ascii="宋体" w:hAnsi="宋体"/>
          <w:color w:val="auto"/>
          <w:sz w:val="24"/>
          <w:szCs w:val="28"/>
          <w:highlight w:val="none"/>
        </w:rPr>
        <w:t>地点：“苏采云”电子交易平台（网址：http://jszfcg.jsczt.cn/）</w:t>
      </w:r>
    </w:p>
    <w:p w14:paraId="608ADEC5">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lang w:val="en-US" w:eastAsia="zh-CN"/>
        </w:rPr>
        <w:t>3、</w:t>
      </w:r>
      <w:r>
        <w:rPr>
          <w:rFonts w:hint="eastAsia" w:ascii="宋体" w:hAnsi="宋体"/>
          <w:color w:val="auto"/>
          <w:sz w:val="24"/>
          <w:szCs w:val="28"/>
          <w:highlight w:val="none"/>
        </w:rPr>
        <w:t xml:space="preserve">方式：在线获取  </w:t>
      </w:r>
    </w:p>
    <w:p w14:paraId="3F88E415">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rPr>
        <w:t>（1）登录</w:t>
      </w:r>
      <w:r>
        <w:rPr>
          <w:rFonts w:ascii="宋体" w:hAnsi="宋体"/>
          <w:color w:val="auto"/>
          <w:sz w:val="24"/>
          <w:szCs w:val="28"/>
          <w:highlight w:val="none"/>
        </w:rPr>
        <w:t>http://www.ccgp-jiangsu.gov.cn/</w:t>
      </w:r>
      <w:r>
        <w:rPr>
          <w:rFonts w:hint="eastAsia" w:ascii="宋体" w:hAnsi="宋体"/>
          <w:color w:val="auto"/>
          <w:sz w:val="24"/>
          <w:szCs w:val="28"/>
          <w:highlight w:val="none"/>
        </w:rPr>
        <w:t>首页点击“苏采云”进入系统。</w:t>
      </w:r>
    </w:p>
    <w:p w14:paraId="64879B16">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rPr>
        <w:t>（2）获取采购文件的方式：“苏采云”系统用户注册--获取“CA数字证书”--CA绑定与登录--网上报名--下载采购文件。</w:t>
      </w:r>
    </w:p>
    <w:p w14:paraId="4081E7CC">
      <w:pPr>
        <w:keepNext w:val="0"/>
        <w:keepLines w:val="0"/>
        <w:pageBreakBefore w:val="0"/>
        <w:widowControl w:val="0"/>
        <w:kinsoku/>
        <w:wordWrap w:val="0"/>
        <w:overflowPunct/>
        <w:topLinePunct/>
        <w:autoSpaceDE/>
        <w:autoSpaceDN/>
        <w:bidi w:val="0"/>
        <w:adjustRightInd/>
        <w:snapToGrid/>
        <w:spacing w:line="360" w:lineRule="auto"/>
        <w:ind w:right="0" w:firstLine="480" w:firstLineChars="200"/>
        <w:jc w:val="both"/>
        <w:textAlignment w:val="auto"/>
        <w:outlineLvl w:val="9"/>
        <w:rPr>
          <w:rStyle w:val="233"/>
          <w:rFonts w:hint="eastAsia" w:ascii="宋体" w:hAnsi="宋体"/>
          <w:color w:val="auto"/>
          <w:sz w:val="24"/>
          <w:szCs w:val="28"/>
          <w:highlight w:val="none"/>
        </w:rPr>
      </w:pPr>
      <w:r>
        <w:rPr>
          <w:rFonts w:hint="eastAsia" w:ascii="宋体" w:hAnsi="宋体"/>
          <w:color w:val="auto"/>
          <w:sz w:val="24"/>
          <w:szCs w:val="28"/>
          <w:highlight w:val="none"/>
        </w:rPr>
        <w:t>操作指南：http://www.ccgp-jiangsu.gov.cn/jiangsu/zlxz/ee/ee3a4bc5a3454aa2b0d9312230633ce9.html</w:t>
      </w:r>
    </w:p>
    <w:p w14:paraId="39993C5D">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lang w:val="en-US" w:eastAsia="zh-CN"/>
        </w:rPr>
        <w:t>4、</w:t>
      </w:r>
      <w:r>
        <w:rPr>
          <w:rFonts w:hint="eastAsia" w:ascii="宋体" w:hAnsi="宋体"/>
          <w:color w:val="auto"/>
          <w:sz w:val="24"/>
          <w:szCs w:val="28"/>
          <w:highlight w:val="none"/>
        </w:rPr>
        <w:t>售价：</w:t>
      </w:r>
      <w:bookmarkStart w:id="24" w:name="EBfbf5c223f9c74f99858ac447a593fb5c"/>
      <w:r>
        <w:rPr>
          <w:rFonts w:hint="eastAsia" w:ascii="宋体" w:hAnsi="宋体"/>
          <w:color w:val="auto"/>
          <w:sz w:val="24"/>
          <w:szCs w:val="28"/>
          <w:highlight w:val="none"/>
        </w:rPr>
        <w:t>免费</w:t>
      </w:r>
      <w:bookmarkEnd w:id="24"/>
      <w:r>
        <w:rPr>
          <w:rFonts w:ascii="宋体" w:hAnsi="宋体"/>
          <w:color w:val="auto"/>
          <w:sz w:val="24"/>
          <w:szCs w:val="28"/>
          <w:highlight w:val="none"/>
        </w:rPr>
        <w:t xml:space="preserve"> </w:t>
      </w:r>
    </w:p>
    <w:p w14:paraId="5064F63C">
      <w:pPr>
        <w:pStyle w:val="192"/>
        <w:pageBreakBefore w:val="0"/>
        <w:kinsoku/>
        <w:wordWrap/>
        <w:overflowPunct/>
        <w:topLinePunct w:val="0"/>
        <w:autoSpaceDE/>
        <w:autoSpaceDN/>
        <w:bidi w:val="0"/>
        <w:adjustRightInd/>
        <w:snapToGrid/>
        <w:spacing w:before="0" w:after="0" w:line="360" w:lineRule="auto"/>
        <w:ind w:right="0"/>
        <w:jc w:val="both"/>
        <w:textAlignment w:val="auto"/>
        <w:outlineLvl w:val="9"/>
        <w:rPr>
          <w:rFonts w:ascii="宋体" w:hAnsi="宋体" w:eastAsia="宋体"/>
          <w:b/>
          <w:bCs/>
          <w:color w:val="auto"/>
          <w:highlight w:val="none"/>
        </w:rPr>
      </w:pPr>
      <w:bookmarkStart w:id="25" w:name="_Toc73364847"/>
      <w:bookmarkStart w:id="26" w:name="_Toc73365460"/>
      <w:bookmarkStart w:id="27" w:name="_Toc256000004"/>
      <w:r>
        <w:rPr>
          <w:rFonts w:hint="eastAsia" w:ascii="宋体" w:hAnsi="宋体" w:eastAsia="宋体"/>
          <w:b/>
          <w:bCs/>
          <w:color w:val="auto"/>
          <w:highlight w:val="none"/>
        </w:rPr>
        <w:t>四、首次响应文件提交</w:t>
      </w:r>
      <w:bookmarkEnd w:id="25"/>
      <w:bookmarkEnd w:id="26"/>
      <w:bookmarkEnd w:id="27"/>
    </w:p>
    <w:p w14:paraId="74025793">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bCs/>
          <w:color w:val="auto"/>
          <w:sz w:val="24"/>
          <w:szCs w:val="28"/>
          <w:highlight w:val="none"/>
        </w:rPr>
      </w:pPr>
      <w:r>
        <w:rPr>
          <w:rFonts w:hint="eastAsia" w:ascii="宋体" w:hAnsi="宋体"/>
          <w:color w:val="auto"/>
          <w:sz w:val="24"/>
          <w:highlight w:val="none"/>
        </w:rPr>
        <w:t>电子响应文件</w:t>
      </w:r>
    </w:p>
    <w:p w14:paraId="57DA7C66">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bCs/>
          <w:color w:val="auto"/>
          <w:sz w:val="24"/>
          <w:szCs w:val="28"/>
          <w:highlight w:val="none"/>
          <w:u w:val="single"/>
        </w:rPr>
      </w:pPr>
      <w:r>
        <w:rPr>
          <w:rFonts w:hint="eastAsia" w:ascii="宋体" w:hAnsi="宋体"/>
          <w:bCs/>
          <w:color w:val="auto"/>
          <w:sz w:val="24"/>
          <w:szCs w:val="28"/>
          <w:highlight w:val="none"/>
          <w:lang w:val="en-US" w:eastAsia="zh-CN"/>
        </w:rPr>
        <w:t>1、递交</w:t>
      </w:r>
      <w:r>
        <w:rPr>
          <w:rFonts w:hint="eastAsia" w:ascii="宋体" w:hAnsi="宋体"/>
          <w:bCs/>
          <w:color w:val="auto"/>
          <w:sz w:val="24"/>
          <w:szCs w:val="28"/>
          <w:highlight w:val="none"/>
        </w:rPr>
        <w:t>截止时间：</w:t>
      </w:r>
      <w:bookmarkStart w:id="28" w:name="EBc44d053eaddd4397a37bc2fc3c3b90e6"/>
      <w:r>
        <w:rPr>
          <w:rFonts w:hint="eastAsia" w:ascii="宋体" w:hAnsi="宋体"/>
          <w:bCs/>
          <w:color w:val="auto"/>
          <w:sz w:val="24"/>
          <w:szCs w:val="28"/>
          <w:highlight w:val="none"/>
        </w:rPr>
        <w:t>202</w:t>
      </w:r>
      <w:r>
        <w:rPr>
          <w:rFonts w:hint="eastAsia" w:ascii="宋体" w:hAnsi="宋体"/>
          <w:bCs/>
          <w:color w:val="auto"/>
          <w:sz w:val="24"/>
          <w:szCs w:val="28"/>
          <w:highlight w:val="none"/>
          <w:lang w:val="en-US" w:eastAsia="zh-CN"/>
        </w:rPr>
        <w:t>5</w:t>
      </w:r>
      <w:r>
        <w:rPr>
          <w:rFonts w:hint="eastAsia" w:ascii="宋体" w:hAnsi="宋体"/>
          <w:bCs/>
          <w:color w:val="auto"/>
          <w:sz w:val="24"/>
          <w:szCs w:val="28"/>
          <w:highlight w:val="none"/>
        </w:rPr>
        <w:t>-</w:t>
      </w:r>
      <w:r>
        <w:rPr>
          <w:rFonts w:hint="eastAsia" w:ascii="宋体" w:hAnsi="宋体"/>
          <w:bCs/>
          <w:color w:val="auto"/>
          <w:sz w:val="24"/>
          <w:szCs w:val="28"/>
          <w:highlight w:val="none"/>
          <w:lang w:val="en-US" w:eastAsia="zh-CN"/>
        </w:rPr>
        <w:t>2</w:t>
      </w:r>
      <w:r>
        <w:rPr>
          <w:rFonts w:hint="eastAsia" w:ascii="宋体" w:hAnsi="宋体"/>
          <w:bCs/>
          <w:color w:val="auto"/>
          <w:sz w:val="24"/>
          <w:szCs w:val="28"/>
          <w:highlight w:val="none"/>
        </w:rPr>
        <w:t>-</w:t>
      </w:r>
      <w:r>
        <w:rPr>
          <w:rFonts w:hint="eastAsia" w:ascii="宋体" w:hAnsi="宋体"/>
          <w:bCs/>
          <w:color w:val="auto"/>
          <w:sz w:val="24"/>
          <w:szCs w:val="28"/>
          <w:highlight w:val="none"/>
          <w:lang w:val="en-US" w:eastAsia="zh-CN"/>
        </w:rPr>
        <w:t>25</w:t>
      </w:r>
      <w:r>
        <w:rPr>
          <w:rFonts w:hint="eastAsia" w:ascii="宋体" w:hAnsi="宋体"/>
          <w:bCs/>
          <w:color w:val="auto"/>
          <w:sz w:val="24"/>
          <w:szCs w:val="28"/>
          <w:highlight w:val="none"/>
        </w:rPr>
        <w:t xml:space="preserve">  </w:t>
      </w:r>
      <w:r>
        <w:rPr>
          <w:rFonts w:hint="eastAsia" w:ascii="宋体" w:hAnsi="宋体"/>
          <w:bCs/>
          <w:color w:val="auto"/>
          <w:sz w:val="24"/>
          <w:szCs w:val="28"/>
          <w:highlight w:val="none"/>
          <w:lang w:val="en-US" w:eastAsia="zh-CN"/>
        </w:rPr>
        <w:t>14</w:t>
      </w:r>
      <w:r>
        <w:rPr>
          <w:rFonts w:hint="eastAsia" w:ascii="宋体" w:hAnsi="宋体"/>
          <w:bCs/>
          <w:color w:val="auto"/>
          <w:sz w:val="24"/>
          <w:szCs w:val="28"/>
          <w:highlight w:val="none"/>
        </w:rPr>
        <w:t>:</w:t>
      </w:r>
      <w:r>
        <w:rPr>
          <w:rFonts w:hint="eastAsia" w:ascii="宋体" w:hAnsi="宋体"/>
          <w:bCs/>
          <w:color w:val="auto"/>
          <w:sz w:val="24"/>
          <w:szCs w:val="28"/>
          <w:highlight w:val="none"/>
          <w:lang w:val="en-US" w:eastAsia="zh-CN"/>
        </w:rPr>
        <w:t>3</w:t>
      </w:r>
      <w:r>
        <w:rPr>
          <w:rFonts w:hint="eastAsia" w:ascii="宋体" w:hAnsi="宋体"/>
          <w:bCs/>
          <w:color w:val="auto"/>
          <w:sz w:val="24"/>
          <w:szCs w:val="28"/>
          <w:highlight w:val="none"/>
        </w:rPr>
        <w:t>0</w:t>
      </w:r>
      <w:bookmarkEnd w:id="28"/>
      <w:r>
        <w:rPr>
          <w:rFonts w:hint="eastAsia" w:ascii="宋体" w:hAnsi="宋体"/>
          <w:color w:val="auto"/>
          <w:sz w:val="24"/>
          <w:szCs w:val="28"/>
          <w:highlight w:val="none"/>
        </w:rPr>
        <w:t>（北京时间）</w:t>
      </w:r>
    </w:p>
    <w:p w14:paraId="4292A07E">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eastAsia="宋体"/>
          <w:color w:val="auto"/>
          <w:sz w:val="24"/>
          <w:szCs w:val="28"/>
          <w:highlight w:val="none"/>
          <w:lang w:eastAsia="zh-CN"/>
        </w:rPr>
      </w:pPr>
      <w:r>
        <w:rPr>
          <w:rFonts w:hint="eastAsia" w:ascii="宋体" w:hAnsi="宋体"/>
          <w:color w:val="auto"/>
          <w:sz w:val="24"/>
          <w:szCs w:val="28"/>
          <w:highlight w:val="none"/>
          <w:lang w:val="en-US" w:eastAsia="zh-CN"/>
        </w:rPr>
        <w:t>2、</w:t>
      </w:r>
      <w:r>
        <w:rPr>
          <w:rFonts w:hint="eastAsia" w:ascii="宋体" w:hAnsi="宋体"/>
          <w:color w:val="auto"/>
          <w:sz w:val="24"/>
          <w:szCs w:val="28"/>
          <w:highlight w:val="none"/>
        </w:rPr>
        <w:t>地点：</w:t>
      </w:r>
      <w:bookmarkStart w:id="29" w:name="EB5dadb72067b4484a9157eb73618cfc06"/>
      <w:r>
        <w:rPr>
          <w:rFonts w:hint="eastAsia" w:ascii="宋体" w:hAnsi="宋体"/>
          <w:color w:val="auto"/>
          <w:sz w:val="24"/>
          <w:szCs w:val="28"/>
          <w:highlight w:val="none"/>
        </w:rPr>
        <w:t>在线提交</w:t>
      </w:r>
      <w:bookmarkEnd w:id="29"/>
    </w:p>
    <w:p w14:paraId="3879DE89">
      <w:pPr>
        <w:keepNext w:val="0"/>
        <w:keepLines w:val="0"/>
        <w:pageBreakBefore w:val="0"/>
        <w:widowControl w:val="0"/>
        <w:kinsoku/>
        <w:wordWrap w:val="0"/>
        <w:overflowPunct/>
        <w:topLinePunct/>
        <w:autoSpaceDE/>
        <w:autoSpaceDN/>
        <w:bidi w:val="0"/>
        <w:adjustRightInd/>
        <w:snapToGrid/>
        <w:spacing w:line="360" w:lineRule="auto"/>
        <w:ind w:right="0" w:firstLine="480" w:firstLineChars="200"/>
        <w:jc w:val="both"/>
        <w:textAlignment w:val="auto"/>
        <w:outlineLvl w:val="9"/>
        <w:rPr>
          <w:rStyle w:val="233"/>
          <w:rFonts w:hint="eastAsia" w:ascii="宋体" w:hAnsi="宋体"/>
          <w:color w:val="auto"/>
          <w:sz w:val="24"/>
          <w:szCs w:val="28"/>
          <w:highlight w:val="none"/>
        </w:rPr>
      </w:pPr>
      <w:r>
        <w:rPr>
          <w:rFonts w:hint="eastAsia" w:ascii="宋体" w:hAnsi="宋体"/>
          <w:color w:val="auto"/>
          <w:sz w:val="24"/>
          <w:szCs w:val="28"/>
          <w:highlight w:val="none"/>
        </w:rPr>
        <w:t xml:space="preserve">操作指南： </w:t>
      </w:r>
      <w:bookmarkStart w:id="30" w:name="_Toc256000005"/>
      <w:bookmarkStart w:id="31" w:name="_Toc73364848"/>
      <w:bookmarkStart w:id="32" w:name="_Toc73365461"/>
      <w:r>
        <w:rPr>
          <w:rFonts w:hint="eastAsia" w:ascii="宋体" w:hAnsi="宋体"/>
          <w:color w:val="auto"/>
          <w:sz w:val="24"/>
          <w:szCs w:val="28"/>
          <w:highlight w:val="none"/>
        </w:rPr>
        <w:t>http://www.ccgp-jiangsu.gov.cn/jiangsu/zlxz/ee/ee3a4bc5a3454aa2b0d9312230633ce9.html</w:t>
      </w:r>
    </w:p>
    <w:p w14:paraId="76457D06">
      <w:pPr>
        <w:pStyle w:val="192"/>
        <w:pageBreakBefore w:val="0"/>
        <w:kinsoku/>
        <w:wordWrap/>
        <w:overflowPunct/>
        <w:topLinePunct w:val="0"/>
        <w:autoSpaceDE/>
        <w:autoSpaceDN/>
        <w:bidi w:val="0"/>
        <w:adjustRightInd/>
        <w:snapToGrid/>
        <w:spacing w:before="0" w:after="0" w:line="360" w:lineRule="auto"/>
        <w:ind w:right="0"/>
        <w:jc w:val="both"/>
        <w:textAlignment w:val="auto"/>
        <w:outlineLvl w:val="9"/>
        <w:rPr>
          <w:rFonts w:ascii="宋体" w:hAnsi="宋体" w:eastAsia="宋体"/>
          <w:b/>
          <w:bCs/>
          <w:color w:val="auto"/>
          <w:highlight w:val="none"/>
        </w:rPr>
      </w:pPr>
      <w:r>
        <w:rPr>
          <w:rFonts w:hint="eastAsia" w:ascii="宋体" w:hAnsi="宋体" w:eastAsia="宋体"/>
          <w:b/>
          <w:bCs/>
          <w:color w:val="auto"/>
          <w:highlight w:val="none"/>
        </w:rPr>
        <w:t>五、开启</w:t>
      </w:r>
      <w:bookmarkEnd w:id="30"/>
      <w:bookmarkEnd w:id="31"/>
      <w:bookmarkEnd w:id="32"/>
    </w:p>
    <w:p w14:paraId="356E12C4">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lang w:val="en-US" w:eastAsia="zh-CN"/>
        </w:rPr>
        <w:t>1、</w:t>
      </w:r>
      <w:r>
        <w:rPr>
          <w:rFonts w:hint="eastAsia" w:ascii="宋体" w:hAnsi="宋体"/>
          <w:color w:val="auto"/>
          <w:sz w:val="24"/>
          <w:szCs w:val="28"/>
          <w:highlight w:val="none"/>
        </w:rPr>
        <w:t>时间：</w:t>
      </w:r>
      <w:bookmarkStart w:id="33" w:name="EBa45f773df26c4d3ba284095b8efb9ed5"/>
      <w:r>
        <w:rPr>
          <w:rFonts w:hint="eastAsia" w:ascii="宋体" w:hAnsi="宋体"/>
          <w:color w:val="auto"/>
          <w:sz w:val="24"/>
          <w:szCs w:val="28"/>
          <w:highlight w:val="none"/>
        </w:rPr>
        <w:t>202</w:t>
      </w:r>
      <w:r>
        <w:rPr>
          <w:rFonts w:hint="eastAsia" w:ascii="宋体" w:hAnsi="宋体"/>
          <w:color w:val="auto"/>
          <w:sz w:val="24"/>
          <w:szCs w:val="28"/>
          <w:highlight w:val="none"/>
          <w:lang w:val="en-US" w:eastAsia="zh-CN"/>
        </w:rPr>
        <w:t>5</w:t>
      </w:r>
      <w:r>
        <w:rPr>
          <w:rFonts w:hint="eastAsia" w:ascii="宋体" w:hAnsi="宋体"/>
          <w:color w:val="auto"/>
          <w:sz w:val="24"/>
          <w:szCs w:val="28"/>
          <w:highlight w:val="none"/>
        </w:rPr>
        <w:t>-</w:t>
      </w:r>
      <w:r>
        <w:rPr>
          <w:rFonts w:hint="eastAsia" w:ascii="宋体" w:hAnsi="宋体"/>
          <w:color w:val="auto"/>
          <w:sz w:val="24"/>
          <w:szCs w:val="28"/>
          <w:highlight w:val="none"/>
          <w:lang w:val="en-US" w:eastAsia="zh-CN"/>
        </w:rPr>
        <w:t>2</w:t>
      </w:r>
      <w:r>
        <w:rPr>
          <w:rFonts w:hint="eastAsia" w:ascii="宋体" w:hAnsi="宋体"/>
          <w:color w:val="auto"/>
          <w:sz w:val="24"/>
          <w:szCs w:val="28"/>
          <w:highlight w:val="none"/>
        </w:rPr>
        <w:t>-</w:t>
      </w:r>
      <w:r>
        <w:rPr>
          <w:rFonts w:hint="eastAsia" w:ascii="宋体" w:hAnsi="宋体"/>
          <w:color w:val="auto"/>
          <w:sz w:val="24"/>
          <w:szCs w:val="28"/>
          <w:highlight w:val="none"/>
          <w:lang w:val="en-US" w:eastAsia="zh-CN"/>
        </w:rPr>
        <w:t>25</w:t>
      </w:r>
      <w:r>
        <w:rPr>
          <w:rFonts w:hint="eastAsia" w:ascii="宋体" w:hAnsi="宋体"/>
          <w:color w:val="auto"/>
          <w:sz w:val="24"/>
          <w:szCs w:val="28"/>
          <w:highlight w:val="none"/>
        </w:rPr>
        <w:t xml:space="preserve">   </w:t>
      </w:r>
      <w:r>
        <w:rPr>
          <w:rFonts w:hint="eastAsia" w:ascii="宋体" w:hAnsi="宋体"/>
          <w:color w:val="auto"/>
          <w:sz w:val="24"/>
          <w:szCs w:val="28"/>
          <w:highlight w:val="none"/>
          <w:lang w:val="en-US" w:eastAsia="zh-CN"/>
        </w:rPr>
        <w:t>14</w:t>
      </w:r>
      <w:r>
        <w:rPr>
          <w:rFonts w:hint="eastAsia" w:ascii="宋体" w:hAnsi="宋体"/>
          <w:color w:val="auto"/>
          <w:sz w:val="24"/>
          <w:szCs w:val="28"/>
          <w:highlight w:val="none"/>
        </w:rPr>
        <w:t>:</w:t>
      </w:r>
      <w:r>
        <w:rPr>
          <w:rFonts w:hint="eastAsia" w:ascii="宋体" w:hAnsi="宋体"/>
          <w:color w:val="auto"/>
          <w:sz w:val="24"/>
          <w:szCs w:val="28"/>
          <w:highlight w:val="none"/>
          <w:lang w:val="en-US" w:eastAsia="zh-CN"/>
        </w:rPr>
        <w:t>3</w:t>
      </w:r>
      <w:r>
        <w:rPr>
          <w:rFonts w:hint="eastAsia" w:ascii="宋体" w:hAnsi="宋体"/>
          <w:color w:val="auto"/>
          <w:sz w:val="24"/>
          <w:szCs w:val="28"/>
          <w:highlight w:val="none"/>
        </w:rPr>
        <w:t>0</w:t>
      </w:r>
      <w:bookmarkEnd w:id="33"/>
      <w:r>
        <w:rPr>
          <w:rFonts w:hint="eastAsia" w:ascii="宋体" w:hAnsi="宋体"/>
          <w:color w:val="auto"/>
          <w:sz w:val="24"/>
          <w:szCs w:val="28"/>
          <w:highlight w:val="none"/>
        </w:rPr>
        <w:t>（北京时间）</w:t>
      </w:r>
    </w:p>
    <w:p w14:paraId="28CF4703">
      <w:pPr>
        <w:keepNext w:val="0"/>
        <w:keepLines w:val="0"/>
        <w:pageBreakBefore w:val="0"/>
        <w:widowControl w:val="0"/>
        <w:kinsoku/>
        <w:wordWrap w:val="0"/>
        <w:overflowPunct/>
        <w:topLinePunct/>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lang w:val="en-US" w:eastAsia="zh-CN"/>
        </w:rPr>
        <w:t>2、</w:t>
      </w:r>
      <w:r>
        <w:rPr>
          <w:rFonts w:hint="eastAsia" w:ascii="宋体" w:hAnsi="宋体"/>
          <w:color w:val="auto"/>
          <w:sz w:val="24"/>
          <w:szCs w:val="28"/>
          <w:highlight w:val="none"/>
        </w:rPr>
        <w:t>地点：</w:t>
      </w:r>
      <w:bookmarkStart w:id="34" w:name="EBbaa17d39a49c4535bcb10d971b5d2238"/>
      <w:r>
        <w:rPr>
          <w:rFonts w:hint="eastAsia" w:ascii="宋体" w:hAnsi="宋体"/>
          <w:color w:val="auto"/>
          <w:sz w:val="24"/>
          <w:szCs w:val="28"/>
          <w:highlight w:val="none"/>
        </w:rPr>
        <w:t>苏采云开标大厅</w:t>
      </w:r>
      <w:bookmarkEnd w:id="34"/>
      <w:bookmarkStart w:id="35" w:name="EB1e3261ca0e404b5ba49c0c1ef6c2e0b2"/>
      <w:bookmarkEnd w:id="35"/>
      <w:bookmarkStart w:id="36" w:name="_Toc73364849"/>
      <w:bookmarkStart w:id="37" w:name="_Toc256000006"/>
      <w:bookmarkStart w:id="38" w:name="_Toc73365462"/>
    </w:p>
    <w:p w14:paraId="36295310">
      <w:pPr>
        <w:keepNext w:val="0"/>
        <w:keepLines w:val="0"/>
        <w:pageBreakBefore w:val="0"/>
        <w:widowControl w:val="0"/>
        <w:kinsoku/>
        <w:wordWrap w:val="0"/>
        <w:overflowPunct/>
        <w:topLinePunct/>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rPr>
        <w:t>（1）本项目通过</w:t>
      </w:r>
      <w:r>
        <w:rPr>
          <w:rFonts w:hint="eastAsia" w:ascii="宋体" w:hAnsi="宋体" w:cs="宋体"/>
          <w:color w:val="auto"/>
          <w:sz w:val="24"/>
          <w:szCs w:val="28"/>
          <w:highlight w:val="none"/>
        </w:rPr>
        <w:t>苏彩云电子</w:t>
      </w:r>
      <w:r>
        <w:rPr>
          <w:rFonts w:hint="eastAsia" w:ascii="宋体" w:hAnsi="宋体"/>
          <w:color w:val="auto"/>
          <w:sz w:val="24"/>
          <w:szCs w:val="28"/>
          <w:highlight w:val="none"/>
        </w:rPr>
        <w:t>交易平台进行采购，供应商须通过《“苏采云”系统供应商操作手册》中指定的政府采购客户端工具在线制作并提交响应文件</w:t>
      </w:r>
      <w:r>
        <w:rPr>
          <w:rFonts w:hint="eastAsia" w:ascii="宋体" w:hAnsi="宋体"/>
          <w:color w:val="auto"/>
          <w:sz w:val="24"/>
          <w:szCs w:val="24"/>
          <w:highlight w:val="none"/>
        </w:rPr>
        <w:t>。</w:t>
      </w:r>
      <w:r>
        <w:rPr>
          <w:rFonts w:hint="eastAsia" w:ascii="宋体" w:hAnsi="宋体"/>
          <w:color w:val="auto"/>
          <w:sz w:val="24"/>
          <w:szCs w:val="28"/>
          <w:highlight w:val="none"/>
        </w:rPr>
        <w:t>截至提交电子响应文件截止时间，电子交易平台投标通道将关闭，供应商未完成电子响应文件有效提交的，其响应将被拒绝。</w:t>
      </w:r>
    </w:p>
    <w:p w14:paraId="4AB3C646">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rPr>
        <w:t>（2）本项目采用远程不见面交易模式，通过不见面交易系统及相应的配套硬件设备（摄像头、话筒、麦克风等）完成远程解密、开标现场异议及回复、开标唱标等交互环节。</w:t>
      </w:r>
    </w:p>
    <w:p w14:paraId="4B2CDC49">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rPr>
        <w:t>不见面交易相关要求和说明如下：</w:t>
      </w:r>
    </w:p>
    <w:p w14:paraId="334B12E5">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rPr>
        <w:t>（</w:t>
      </w:r>
      <w:r>
        <w:rPr>
          <w:rFonts w:hint="eastAsia" w:ascii="宋体" w:hAnsi="宋体"/>
          <w:color w:val="auto"/>
          <w:sz w:val="24"/>
          <w:szCs w:val="28"/>
          <w:highlight w:val="none"/>
          <w:lang w:val="en-US" w:eastAsia="zh-CN"/>
        </w:rPr>
        <w:t>3</w:t>
      </w:r>
      <w:r>
        <w:rPr>
          <w:rFonts w:hint="eastAsia" w:ascii="宋体" w:hAnsi="宋体"/>
          <w:color w:val="auto"/>
          <w:sz w:val="24"/>
          <w:szCs w:val="28"/>
          <w:highlight w:val="none"/>
        </w:rPr>
        <w:t>）不见面开标项目的时间均以国家授时中心发布的时间为准；</w:t>
      </w:r>
    </w:p>
    <w:p w14:paraId="1DA204EB">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rPr>
        <w:t>（</w:t>
      </w:r>
      <w:r>
        <w:rPr>
          <w:rFonts w:hint="eastAsia" w:ascii="宋体" w:hAnsi="宋体"/>
          <w:color w:val="auto"/>
          <w:sz w:val="24"/>
          <w:szCs w:val="28"/>
          <w:highlight w:val="none"/>
          <w:lang w:val="en-US" w:eastAsia="zh-CN"/>
        </w:rPr>
        <w:t>4</w:t>
      </w:r>
      <w:r>
        <w:rPr>
          <w:rFonts w:hint="eastAsia" w:ascii="宋体" w:hAnsi="宋体"/>
          <w:color w:val="auto"/>
          <w:sz w:val="24"/>
          <w:szCs w:val="28"/>
          <w:highlight w:val="none"/>
        </w:rPr>
        <w:t>）开标当日，供应商不必抵达开标现场，仅需在任意地点通过“苏采云”系统（网址：http：//jszfcg.jsczt.cn/）进入系统“开标大厅”参与开标过程；</w:t>
      </w:r>
    </w:p>
    <w:p w14:paraId="67563801">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rPr>
        <w:t>（</w:t>
      </w:r>
      <w:r>
        <w:rPr>
          <w:rFonts w:hint="eastAsia" w:ascii="宋体" w:hAnsi="宋体"/>
          <w:color w:val="auto"/>
          <w:sz w:val="24"/>
          <w:szCs w:val="28"/>
          <w:highlight w:val="none"/>
          <w:lang w:val="en-US" w:eastAsia="zh-CN"/>
        </w:rPr>
        <w:t>5</w:t>
      </w:r>
      <w:r>
        <w:rPr>
          <w:rFonts w:hint="eastAsia" w:ascii="宋体" w:hAnsi="宋体"/>
          <w:color w:val="auto"/>
          <w:sz w:val="24"/>
          <w:szCs w:val="28"/>
          <w:highlight w:val="none"/>
        </w:rPr>
        <w:t>）未按时加入开标会议区并完成登录操作的或未能在开标会议区内全程参与交互的，视为放弃交互和放弃对开评标全过程提疑的权利，供应商将无法看到解密指令、异议回复、唱标等实时情况，并承担由此导致的后果；</w:t>
      </w:r>
    </w:p>
    <w:p w14:paraId="08BFA0D2">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rPr>
        <w:t>（</w:t>
      </w:r>
      <w:r>
        <w:rPr>
          <w:rFonts w:hint="eastAsia" w:ascii="宋体" w:hAnsi="宋体"/>
          <w:color w:val="auto"/>
          <w:sz w:val="24"/>
          <w:szCs w:val="28"/>
          <w:highlight w:val="none"/>
          <w:lang w:val="en-US" w:eastAsia="zh-CN"/>
        </w:rPr>
        <w:t>6</w:t>
      </w:r>
      <w:r>
        <w:rPr>
          <w:rFonts w:hint="eastAsia" w:ascii="宋体" w:hAnsi="宋体"/>
          <w:color w:val="auto"/>
          <w:sz w:val="24"/>
          <w:szCs w:val="28"/>
          <w:highlight w:val="none"/>
        </w:rPr>
        <w:t>）响应文件递交截止时间后，采购人或采购代理机构将在系统内公布供应商名单然后通过开标会议区发出响应文件解密的指令，供应商在各自地点按规定时间自行实施远程解密，供应商解密限定在系统发布解密指令后30分钟之内完成。因供应商网络与电源不稳定、未按操作手册要求配置软硬件、解密锁发生故障或用错、故意不在要求时限内完成解密等自身原因，导致响应文件在规定时间内未能解密、解密失败或解密超时，视为供应商撤销其响应文件；因网上平台发生故障，导致无法按时完成投标文件解密或开、评标工作无法进行的，可根据实际情况相应延迟解密时间或调整开、评标时间（友情提示：若供应商已领取副锁（含多把副锁）请注意正副锁的使用差别）。本项目在限定的解密时间内，只要有一家供应商解密成功，即视为网上招投标平台运行无故障。</w:t>
      </w:r>
    </w:p>
    <w:p w14:paraId="2E9DB923">
      <w:pPr>
        <w:pageBreakBefore w:val="0"/>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olor w:val="auto"/>
          <w:sz w:val="24"/>
          <w:szCs w:val="28"/>
          <w:highlight w:val="none"/>
        </w:rPr>
        <w:t>（</w:t>
      </w:r>
      <w:r>
        <w:rPr>
          <w:rFonts w:hint="eastAsia" w:ascii="宋体" w:hAnsi="宋体"/>
          <w:color w:val="auto"/>
          <w:sz w:val="24"/>
          <w:szCs w:val="28"/>
          <w:highlight w:val="none"/>
          <w:lang w:val="en-US" w:eastAsia="zh-CN"/>
        </w:rPr>
        <w:t>7</w:t>
      </w:r>
      <w:r>
        <w:rPr>
          <w:rFonts w:hint="eastAsia" w:ascii="宋体" w:hAnsi="宋体"/>
          <w:color w:val="auto"/>
          <w:sz w:val="24"/>
          <w:szCs w:val="28"/>
          <w:highlight w:val="none"/>
        </w:rPr>
        <w:t>）因供应商自身软硬件配备不齐全或发生故障等问题而导致在交互过程中出现不稳定或中断等情况的，由供应商自身承担后果。</w:t>
      </w:r>
    </w:p>
    <w:p w14:paraId="2610BD9D">
      <w:pPr>
        <w:pStyle w:val="192"/>
        <w:pageBreakBefore w:val="0"/>
        <w:kinsoku/>
        <w:wordWrap/>
        <w:overflowPunct/>
        <w:topLinePunct w:val="0"/>
        <w:autoSpaceDE/>
        <w:autoSpaceDN/>
        <w:bidi w:val="0"/>
        <w:adjustRightInd/>
        <w:snapToGrid/>
        <w:spacing w:before="0" w:after="0" w:line="360" w:lineRule="auto"/>
        <w:ind w:right="0"/>
        <w:jc w:val="both"/>
        <w:textAlignment w:val="auto"/>
        <w:outlineLvl w:val="9"/>
        <w:rPr>
          <w:rFonts w:hint="eastAsia" w:ascii="宋体" w:hAnsi="宋体" w:eastAsia="宋体" w:cs="Times New Roman"/>
          <w:b w:val="0"/>
          <w:color w:val="auto"/>
          <w:sz w:val="24"/>
          <w:szCs w:val="28"/>
          <w:highlight w:val="none"/>
          <w:lang w:val="en-US" w:eastAsia="zh-CN" w:bidi="ar-SA"/>
        </w:rPr>
      </w:pPr>
      <w:r>
        <w:rPr>
          <w:rFonts w:hint="eastAsia" w:ascii="宋体" w:hAnsi="宋体" w:eastAsia="宋体" w:cs="Times New Roman"/>
          <w:b/>
          <w:bCs/>
          <w:color w:val="auto"/>
          <w:sz w:val="24"/>
          <w:szCs w:val="28"/>
          <w:highlight w:val="none"/>
          <w:lang w:val="en-US" w:eastAsia="zh-CN" w:bidi="ar-SA"/>
        </w:rPr>
        <w:t>六、公告期限</w:t>
      </w:r>
      <w:bookmarkEnd w:id="36"/>
      <w:bookmarkEnd w:id="37"/>
      <w:bookmarkEnd w:id="38"/>
      <w:r>
        <w:rPr>
          <w:rFonts w:hint="eastAsia" w:ascii="宋体" w:hAnsi="宋体" w:eastAsia="宋体" w:cs="Times New Roman"/>
          <w:b/>
          <w:bCs/>
          <w:color w:val="auto"/>
          <w:sz w:val="24"/>
          <w:szCs w:val="28"/>
          <w:highlight w:val="none"/>
          <w:lang w:val="en-US" w:eastAsia="zh-CN" w:bidi="ar-SA"/>
        </w:rPr>
        <w:t>：</w:t>
      </w:r>
      <w:r>
        <w:rPr>
          <w:rFonts w:hint="eastAsia" w:ascii="宋体" w:hAnsi="宋体" w:eastAsia="宋体" w:cs="Times New Roman"/>
          <w:b w:val="0"/>
          <w:color w:val="auto"/>
          <w:sz w:val="24"/>
          <w:szCs w:val="28"/>
          <w:highlight w:val="none"/>
          <w:lang w:val="en-US" w:eastAsia="zh-CN" w:bidi="ar-SA"/>
        </w:rPr>
        <w:t>自本公告发布之日起3个工作日。</w:t>
      </w:r>
    </w:p>
    <w:p w14:paraId="28B4E7BA">
      <w:pPr>
        <w:pStyle w:val="192"/>
        <w:pageBreakBefore w:val="0"/>
        <w:kinsoku/>
        <w:wordWrap/>
        <w:overflowPunct/>
        <w:topLinePunct w:val="0"/>
        <w:autoSpaceDE/>
        <w:autoSpaceDN/>
        <w:bidi w:val="0"/>
        <w:adjustRightInd/>
        <w:snapToGrid/>
        <w:spacing w:before="0" w:after="0" w:line="360" w:lineRule="auto"/>
        <w:ind w:right="0"/>
        <w:jc w:val="both"/>
        <w:textAlignment w:val="auto"/>
        <w:outlineLvl w:val="9"/>
        <w:rPr>
          <w:rFonts w:hint="eastAsia" w:ascii="宋体" w:hAnsi="宋体" w:eastAsia="宋体" w:cs="Times New Roman"/>
          <w:b w:val="0"/>
          <w:color w:val="auto"/>
          <w:sz w:val="24"/>
          <w:szCs w:val="28"/>
          <w:highlight w:val="none"/>
          <w:lang w:val="en-US" w:eastAsia="zh-CN" w:bidi="ar-SA"/>
        </w:rPr>
      </w:pPr>
      <w:bookmarkStart w:id="39" w:name="_Toc256000007"/>
      <w:bookmarkStart w:id="40" w:name="_Toc73365463"/>
      <w:bookmarkStart w:id="41" w:name="_Toc73364850"/>
      <w:r>
        <w:rPr>
          <w:rFonts w:hint="eastAsia" w:ascii="宋体" w:hAnsi="宋体" w:eastAsia="宋体" w:cs="Times New Roman"/>
          <w:b/>
          <w:bCs/>
          <w:color w:val="auto"/>
          <w:sz w:val="24"/>
          <w:szCs w:val="28"/>
          <w:highlight w:val="none"/>
          <w:lang w:val="en-US" w:eastAsia="zh-CN" w:bidi="ar-SA"/>
        </w:rPr>
        <w:t>七、其他补充事宜</w:t>
      </w:r>
      <w:bookmarkEnd w:id="39"/>
      <w:bookmarkEnd w:id="40"/>
      <w:bookmarkEnd w:id="41"/>
      <w:r>
        <w:rPr>
          <w:rFonts w:hint="eastAsia" w:ascii="宋体" w:hAnsi="宋体" w:eastAsia="宋体" w:cs="Times New Roman"/>
          <w:b w:val="0"/>
          <w:color w:val="auto"/>
          <w:sz w:val="24"/>
          <w:szCs w:val="28"/>
          <w:highlight w:val="none"/>
          <w:lang w:val="en-US" w:eastAsia="zh-CN" w:bidi="ar-SA"/>
        </w:rPr>
        <w:t>：</w:t>
      </w:r>
    </w:p>
    <w:p w14:paraId="7329F467">
      <w:pPr>
        <w:keepNext w:val="0"/>
        <w:keepLines w:val="0"/>
        <w:pageBreakBefore w:val="0"/>
        <w:widowControl w:val="0"/>
        <w:kinsoku/>
        <w:wordWrap w:val="0"/>
        <w:overflowPunct/>
        <w:topLinePunct/>
        <w:autoSpaceDE/>
        <w:autoSpaceDN/>
        <w:bidi w:val="0"/>
        <w:adjustRightInd/>
        <w:snapToGrid/>
        <w:spacing w:line="360" w:lineRule="auto"/>
        <w:ind w:right="0" w:firstLine="480" w:firstLineChars="200"/>
        <w:jc w:val="both"/>
        <w:textAlignment w:val="auto"/>
        <w:outlineLvl w:val="9"/>
        <w:rPr>
          <w:rFonts w:hint="default" w:ascii="宋体" w:hAnsi="宋体"/>
          <w:color w:val="auto"/>
          <w:sz w:val="24"/>
          <w:szCs w:val="28"/>
          <w:highlight w:val="none"/>
        </w:rPr>
      </w:pPr>
      <w:bookmarkStart w:id="42" w:name="_Toc73365464"/>
      <w:bookmarkStart w:id="43" w:name="_Toc256000008"/>
      <w:bookmarkStart w:id="44" w:name="_Toc73364851"/>
      <w:r>
        <w:rPr>
          <w:rFonts w:hint="eastAsia" w:ascii="宋体" w:hAnsi="宋体"/>
          <w:color w:val="auto"/>
          <w:sz w:val="24"/>
          <w:szCs w:val="28"/>
          <w:highlight w:val="none"/>
          <w:lang w:val="en-US" w:eastAsia="zh-CN"/>
        </w:rPr>
        <w:t>1、</w:t>
      </w:r>
      <w:r>
        <w:rPr>
          <w:rFonts w:hint="eastAsia" w:ascii="宋体" w:hAnsi="宋体"/>
          <w:color w:val="auto"/>
          <w:sz w:val="24"/>
          <w:szCs w:val="28"/>
          <w:highlight w:val="none"/>
        </w:rPr>
        <w:t>供应商</w:t>
      </w:r>
      <w:r>
        <w:rPr>
          <w:rFonts w:hint="default" w:ascii="宋体" w:hAnsi="宋体"/>
          <w:color w:val="auto"/>
          <w:sz w:val="24"/>
          <w:szCs w:val="28"/>
          <w:highlight w:val="none"/>
        </w:rPr>
        <w:t>在使用系统进行投标的过程中如遇到涉及平台使用的任何问题，应在工作日上午9：00-11:30 下午13:30-17:30期间致电技术支持热线咨询，联系方式：0519-86722803、0519-96722805。</w:t>
      </w:r>
    </w:p>
    <w:p w14:paraId="65A4C6F2">
      <w:pPr>
        <w:keepNext w:val="0"/>
        <w:keepLines w:val="0"/>
        <w:pageBreakBefore w:val="0"/>
        <w:widowControl w:val="0"/>
        <w:kinsoku/>
        <w:wordWrap w:val="0"/>
        <w:overflowPunct/>
        <w:topLinePunct/>
        <w:autoSpaceDE/>
        <w:autoSpaceDN/>
        <w:bidi w:val="0"/>
        <w:adjustRightInd/>
        <w:snapToGrid/>
        <w:spacing w:line="360" w:lineRule="auto"/>
        <w:ind w:right="0" w:firstLine="480" w:firstLineChars="200"/>
        <w:jc w:val="both"/>
        <w:textAlignment w:val="auto"/>
        <w:outlineLvl w:val="9"/>
        <w:rPr>
          <w:rFonts w:hint="default" w:ascii="宋体" w:hAnsi="宋体"/>
          <w:color w:val="auto"/>
          <w:sz w:val="24"/>
          <w:szCs w:val="28"/>
          <w:highlight w:val="none"/>
        </w:rPr>
      </w:pPr>
      <w:r>
        <w:rPr>
          <w:rFonts w:hint="eastAsia" w:ascii="宋体" w:hAnsi="宋体"/>
          <w:color w:val="auto"/>
          <w:sz w:val="24"/>
          <w:szCs w:val="28"/>
          <w:highlight w:val="none"/>
          <w:lang w:val="en-US" w:eastAsia="zh-CN"/>
        </w:rPr>
        <w:t>2、</w:t>
      </w:r>
      <w:r>
        <w:rPr>
          <w:rFonts w:hint="eastAsia" w:ascii="宋体" w:hAnsi="宋体"/>
          <w:color w:val="auto"/>
          <w:sz w:val="24"/>
          <w:szCs w:val="28"/>
          <w:highlight w:val="none"/>
        </w:rPr>
        <w:t>供应商</w:t>
      </w:r>
      <w:r>
        <w:rPr>
          <w:rFonts w:hint="default" w:ascii="宋体" w:hAnsi="宋体"/>
          <w:color w:val="auto"/>
          <w:sz w:val="24"/>
          <w:szCs w:val="28"/>
          <w:highlight w:val="none"/>
        </w:rPr>
        <w:t>投标需提前办理数字认证证书，办理方式和注意事项详见</w:t>
      </w:r>
      <w:r>
        <w:rPr>
          <w:rFonts w:hint="default" w:ascii="宋体" w:hAnsi="宋体"/>
          <w:color w:val="auto"/>
          <w:sz w:val="24"/>
          <w:szCs w:val="28"/>
          <w:highlight w:val="none"/>
          <w:lang w:eastAsia="zh-CN"/>
        </w:rPr>
        <w:t>：</w:t>
      </w:r>
      <w:r>
        <w:rPr>
          <w:rFonts w:hint="default" w:ascii="宋体" w:hAnsi="宋体"/>
          <w:color w:val="auto"/>
          <w:sz w:val="24"/>
          <w:szCs w:val="28"/>
          <w:highlight w:val="none"/>
        </w:rPr>
        <w:t>镇江地区意源（方正）办理方式：镇江市润州区冠城路8号工人大厦7楼公共资源交易中心大厅CA窗口。工作日办公时间：9：00-12：00、13：30-17：30。联系人：邵娟，联系电话：13655287962，办理指南地址：</w:t>
      </w:r>
      <w:r>
        <w:rPr>
          <w:rFonts w:hint="default" w:ascii="宋体" w:hAnsi="宋体"/>
          <w:color w:val="auto"/>
          <w:sz w:val="24"/>
          <w:szCs w:val="28"/>
          <w:highlight w:val="none"/>
        </w:rPr>
        <w:fldChar w:fldCharType="begin"/>
      </w:r>
      <w:r>
        <w:rPr>
          <w:rFonts w:hint="default" w:ascii="宋体" w:hAnsi="宋体"/>
          <w:color w:val="auto"/>
          <w:sz w:val="24"/>
          <w:szCs w:val="28"/>
          <w:highlight w:val="none"/>
        </w:rPr>
        <w:instrText xml:space="preserve"> HYPERLINK "http://jsxcmm.com/help/gys.html。" </w:instrText>
      </w:r>
      <w:r>
        <w:rPr>
          <w:rFonts w:hint="default" w:ascii="宋体" w:hAnsi="宋体"/>
          <w:color w:val="auto"/>
          <w:sz w:val="24"/>
          <w:szCs w:val="28"/>
          <w:highlight w:val="none"/>
        </w:rPr>
        <w:fldChar w:fldCharType="separate"/>
      </w:r>
      <w:r>
        <w:rPr>
          <w:rFonts w:hint="default" w:ascii="宋体" w:hAnsi="宋体"/>
          <w:color w:val="auto"/>
          <w:sz w:val="24"/>
          <w:szCs w:val="28"/>
          <w:highlight w:val="none"/>
        </w:rPr>
        <w:t>http://jsxcmm.com/help/gys.html。</w:t>
      </w:r>
      <w:r>
        <w:rPr>
          <w:rFonts w:hint="default" w:ascii="宋体" w:hAnsi="宋体"/>
          <w:color w:val="auto"/>
          <w:sz w:val="24"/>
          <w:szCs w:val="28"/>
          <w:highlight w:val="none"/>
        </w:rPr>
        <w:fldChar w:fldCharType="end"/>
      </w:r>
    </w:p>
    <w:p w14:paraId="04EED69C">
      <w:pPr>
        <w:keepNext w:val="0"/>
        <w:keepLines w:val="0"/>
        <w:pageBreakBefore w:val="0"/>
        <w:widowControl w:val="0"/>
        <w:kinsoku/>
        <w:wordWrap w:val="0"/>
        <w:overflowPunct/>
        <w:topLinePunct/>
        <w:autoSpaceDE/>
        <w:autoSpaceDN/>
        <w:bidi w:val="0"/>
        <w:adjustRightInd/>
        <w:snapToGrid/>
        <w:spacing w:line="360" w:lineRule="auto"/>
        <w:ind w:right="0" w:firstLine="480" w:firstLineChars="200"/>
        <w:jc w:val="both"/>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lang w:val="en-US" w:eastAsia="zh-CN"/>
        </w:rPr>
        <w:t>3、</w:t>
      </w:r>
      <w:r>
        <w:rPr>
          <w:rFonts w:hint="default" w:ascii="宋体" w:hAnsi="宋体"/>
          <w:color w:val="auto"/>
          <w:sz w:val="24"/>
          <w:szCs w:val="28"/>
          <w:highlight w:val="none"/>
        </w:rPr>
        <w:t>苏采云系统使用谷歌浏览器参与不见面开标。</w:t>
      </w:r>
    </w:p>
    <w:p w14:paraId="6FBDA5A6">
      <w:pPr>
        <w:pStyle w:val="192"/>
        <w:pageBreakBefore w:val="0"/>
        <w:kinsoku/>
        <w:wordWrap/>
        <w:overflowPunct/>
        <w:topLinePunct w:val="0"/>
        <w:autoSpaceDE/>
        <w:autoSpaceDN/>
        <w:bidi w:val="0"/>
        <w:adjustRightInd/>
        <w:snapToGrid/>
        <w:spacing w:before="0" w:after="0" w:line="360" w:lineRule="auto"/>
        <w:ind w:right="0"/>
        <w:jc w:val="both"/>
        <w:textAlignment w:val="auto"/>
        <w:outlineLvl w:val="9"/>
        <w:rPr>
          <w:b/>
          <w:bCs/>
          <w:color w:val="auto"/>
          <w:highlight w:val="none"/>
        </w:rPr>
      </w:pPr>
      <w:r>
        <w:rPr>
          <w:rFonts w:hint="eastAsia" w:ascii="宋体" w:hAnsi="宋体" w:eastAsia="宋体"/>
          <w:b/>
          <w:bCs/>
          <w:color w:val="auto"/>
          <w:highlight w:val="none"/>
        </w:rPr>
        <w:t>八、对本次磋商提出询问，请按以下方式联系。</w:t>
      </w:r>
      <w:bookmarkEnd w:id="42"/>
      <w:bookmarkEnd w:id="43"/>
      <w:bookmarkEnd w:id="44"/>
    </w:p>
    <w:p w14:paraId="4714B266">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ascii="宋体" w:hAnsi="宋体"/>
          <w:color w:val="auto"/>
          <w:sz w:val="24"/>
          <w:szCs w:val="28"/>
          <w:highlight w:val="none"/>
        </w:rPr>
      </w:pPr>
      <w:r>
        <w:rPr>
          <w:rFonts w:hint="eastAsia" w:ascii="宋体" w:hAnsi="宋体" w:cs="宋体"/>
          <w:color w:val="auto"/>
          <w:sz w:val="24"/>
          <w:szCs w:val="28"/>
          <w:highlight w:val="none"/>
        </w:rPr>
        <w:t>1</w:t>
      </w:r>
      <w:r>
        <w:rPr>
          <w:rFonts w:hint="eastAsia" w:ascii="宋体" w:hAnsi="宋体" w:cs="宋体"/>
          <w:color w:val="auto"/>
          <w:sz w:val="24"/>
          <w:szCs w:val="28"/>
          <w:highlight w:val="none"/>
          <w:lang w:eastAsia="zh-CN"/>
        </w:rPr>
        <w:t>、</w:t>
      </w:r>
      <w:r>
        <w:rPr>
          <w:rFonts w:hint="eastAsia" w:ascii="宋体" w:hAnsi="宋体" w:cs="宋体"/>
          <w:color w:val="auto"/>
          <w:sz w:val="24"/>
          <w:szCs w:val="28"/>
          <w:highlight w:val="none"/>
        </w:rPr>
        <w:t>采购人信息</w:t>
      </w:r>
    </w:p>
    <w:p w14:paraId="402152B2">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eastAsia="宋体"/>
          <w:color w:val="auto"/>
          <w:sz w:val="24"/>
          <w:szCs w:val="28"/>
          <w:highlight w:val="none"/>
          <w:lang w:eastAsia="zh-CN"/>
        </w:rPr>
      </w:pPr>
      <w:r>
        <w:rPr>
          <w:rFonts w:hint="eastAsia" w:ascii="宋体" w:hAnsi="宋体"/>
          <w:color w:val="auto"/>
          <w:sz w:val="24"/>
          <w:szCs w:val="28"/>
          <w:highlight w:val="none"/>
        </w:rPr>
        <w:t>名 称：</w:t>
      </w:r>
      <w:r>
        <w:rPr>
          <w:rFonts w:hint="eastAsia" w:ascii="宋体" w:hAnsi="宋体"/>
          <w:color w:val="auto"/>
          <w:sz w:val="24"/>
          <w:szCs w:val="28"/>
          <w:highlight w:val="none"/>
          <w:lang w:eastAsia="zh-CN"/>
        </w:rPr>
        <w:t>句容市白兔镇人民政府</w:t>
      </w:r>
    </w:p>
    <w:p w14:paraId="73C9F2D2">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eastAsia="宋体"/>
          <w:color w:val="auto"/>
          <w:sz w:val="24"/>
          <w:szCs w:val="28"/>
          <w:highlight w:val="none"/>
          <w:lang w:eastAsia="zh-CN"/>
        </w:rPr>
      </w:pPr>
      <w:r>
        <w:rPr>
          <w:rFonts w:hint="eastAsia" w:ascii="宋体" w:hAnsi="宋体"/>
          <w:color w:val="auto"/>
          <w:sz w:val="24"/>
          <w:szCs w:val="28"/>
          <w:highlight w:val="none"/>
        </w:rPr>
        <w:t>地 址：</w:t>
      </w:r>
      <w:r>
        <w:rPr>
          <w:rFonts w:hint="eastAsia" w:ascii="宋体" w:hAnsi="宋体"/>
          <w:color w:val="auto"/>
          <w:sz w:val="24"/>
          <w:szCs w:val="28"/>
          <w:highlight w:val="none"/>
          <w:lang w:eastAsia="zh-CN"/>
        </w:rPr>
        <w:t>江苏省镇江句容市白兔集镇</w:t>
      </w:r>
    </w:p>
    <w:p w14:paraId="05291156">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eastAsia="宋体" w:cs="Times New Roman"/>
          <w:color w:val="auto"/>
          <w:sz w:val="24"/>
          <w:szCs w:val="28"/>
          <w:highlight w:val="none"/>
          <w:lang w:val="en-US" w:eastAsia="zh-CN"/>
        </w:rPr>
      </w:pPr>
      <w:r>
        <w:rPr>
          <w:rFonts w:hint="eastAsia" w:ascii="宋体" w:hAnsi="宋体" w:cs="Times New Roman"/>
          <w:color w:val="auto"/>
          <w:sz w:val="24"/>
          <w:szCs w:val="28"/>
          <w:highlight w:val="none"/>
        </w:rPr>
        <w:t>联系方式：13505296360</w:t>
      </w:r>
    </w:p>
    <w:p w14:paraId="29DB499B">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r>
        <w:rPr>
          <w:rFonts w:hint="eastAsia" w:ascii="宋体" w:hAnsi="宋体" w:cs="Times New Roman"/>
          <w:color w:val="auto"/>
          <w:sz w:val="24"/>
          <w:szCs w:val="28"/>
          <w:highlight w:val="none"/>
        </w:rPr>
        <w:t>2</w:t>
      </w:r>
      <w:r>
        <w:rPr>
          <w:rFonts w:hint="eastAsia" w:ascii="宋体" w:hAnsi="宋体" w:cs="Times New Roman"/>
          <w:color w:val="auto"/>
          <w:sz w:val="24"/>
          <w:szCs w:val="28"/>
          <w:highlight w:val="none"/>
          <w:lang w:eastAsia="zh-CN"/>
        </w:rPr>
        <w:t>、</w:t>
      </w:r>
      <w:r>
        <w:rPr>
          <w:rFonts w:hint="eastAsia" w:ascii="宋体" w:hAnsi="宋体" w:cs="Times New Roman"/>
          <w:color w:val="auto"/>
          <w:sz w:val="24"/>
          <w:szCs w:val="28"/>
          <w:highlight w:val="none"/>
        </w:rPr>
        <w:t>采购代理机构信息</w:t>
      </w:r>
    </w:p>
    <w:p w14:paraId="3B99BDC9">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lang w:eastAsia="zh-CN"/>
        </w:rPr>
      </w:pPr>
      <w:r>
        <w:rPr>
          <w:rFonts w:hint="eastAsia" w:ascii="宋体" w:hAnsi="宋体" w:cs="Times New Roman"/>
          <w:color w:val="auto"/>
          <w:sz w:val="24"/>
          <w:szCs w:val="28"/>
          <w:highlight w:val="none"/>
        </w:rPr>
        <w:t>名 称：</w:t>
      </w:r>
      <w:r>
        <w:rPr>
          <w:rFonts w:hint="eastAsia" w:ascii="宋体" w:hAnsi="宋体" w:cs="Times New Roman"/>
          <w:color w:val="auto"/>
          <w:sz w:val="24"/>
          <w:szCs w:val="28"/>
          <w:highlight w:val="none"/>
          <w:lang w:eastAsia="zh-CN"/>
        </w:rPr>
        <w:t>江苏省设备成套股份有限公司</w:t>
      </w:r>
    </w:p>
    <w:p w14:paraId="7D41EC0F">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lang w:eastAsia="zh-CN"/>
        </w:rPr>
      </w:pPr>
      <w:r>
        <w:rPr>
          <w:rFonts w:hint="eastAsia" w:ascii="宋体" w:hAnsi="宋体" w:cs="Times New Roman"/>
          <w:color w:val="auto"/>
          <w:sz w:val="24"/>
          <w:szCs w:val="28"/>
          <w:highlight w:val="none"/>
        </w:rPr>
        <w:t>地 址：</w:t>
      </w:r>
      <w:r>
        <w:rPr>
          <w:rFonts w:hint="eastAsia" w:ascii="宋体" w:hAnsi="宋体" w:cs="Times New Roman"/>
          <w:color w:val="auto"/>
          <w:sz w:val="24"/>
          <w:szCs w:val="28"/>
          <w:highlight w:val="none"/>
          <w:lang w:eastAsia="zh-CN"/>
        </w:rPr>
        <w:t>南京市鼓楼区清江南路18号鼓楼创新广场D栋10楼1006室</w:t>
      </w:r>
    </w:p>
    <w:p w14:paraId="148305C1">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lang w:eastAsia="zh-CN"/>
        </w:rPr>
      </w:pPr>
      <w:r>
        <w:rPr>
          <w:rFonts w:hint="eastAsia" w:ascii="宋体" w:hAnsi="宋体" w:cs="Times New Roman"/>
          <w:color w:val="auto"/>
          <w:sz w:val="24"/>
          <w:szCs w:val="28"/>
          <w:highlight w:val="none"/>
        </w:rPr>
        <w:t>联系方式：</w:t>
      </w:r>
      <w:r>
        <w:rPr>
          <w:rFonts w:hint="eastAsia" w:ascii="宋体" w:hAnsi="宋体" w:cs="Times New Roman"/>
          <w:color w:val="auto"/>
          <w:sz w:val="24"/>
          <w:szCs w:val="28"/>
          <w:highlight w:val="none"/>
          <w:lang w:eastAsia="zh-CN"/>
        </w:rPr>
        <w:t>025-86636512</w:t>
      </w:r>
    </w:p>
    <w:p w14:paraId="1BCCE38D">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r>
        <w:rPr>
          <w:rFonts w:hint="eastAsia" w:ascii="宋体" w:hAnsi="宋体" w:cs="Times New Roman"/>
          <w:color w:val="auto"/>
          <w:sz w:val="24"/>
          <w:szCs w:val="28"/>
          <w:highlight w:val="none"/>
        </w:rPr>
        <w:t>3</w:t>
      </w:r>
      <w:r>
        <w:rPr>
          <w:rFonts w:hint="eastAsia" w:ascii="宋体" w:hAnsi="宋体" w:cs="Times New Roman"/>
          <w:color w:val="auto"/>
          <w:sz w:val="24"/>
          <w:szCs w:val="28"/>
          <w:highlight w:val="none"/>
          <w:lang w:eastAsia="zh-CN"/>
        </w:rPr>
        <w:t>、</w:t>
      </w:r>
      <w:r>
        <w:rPr>
          <w:rFonts w:hint="eastAsia" w:ascii="宋体" w:hAnsi="宋体" w:cs="Times New Roman"/>
          <w:color w:val="auto"/>
          <w:sz w:val="24"/>
          <w:szCs w:val="28"/>
          <w:highlight w:val="none"/>
        </w:rPr>
        <w:t>项目联系方式</w:t>
      </w:r>
    </w:p>
    <w:p w14:paraId="4F5CA507">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lang w:eastAsia="zh-CN"/>
        </w:rPr>
      </w:pPr>
      <w:r>
        <w:rPr>
          <w:rFonts w:hint="eastAsia" w:ascii="宋体" w:hAnsi="宋体" w:cs="Times New Roman"/>
          <w:color w:val="auto"/>
          <w:sz w:val="24"/>
          <w:szCs w:val="28"/>
          <w:highlight w:val="none"/>
        </w:rPr>
        <w:t>项目联系人：</w:t>
      </w:r>
      <w:r>
        <w:rPr>
          <w:rFonts w:hint="eastAsia" w:ascii="宋体" w:hAnsi="宋体" w:cs="Times New Roman"/>
          <w:color w:val="auto"/>
          <w:sz w:val="24"/>
          <w:szCs w:val="28"/>
          <w:highlight w:val="none"/>
          <w:lang w:eastAsia="zh-CN"/>
        </w:rPr>
        <w:t>张平</w:t>
      </w:r>
    </w:p>
    <w:p w14:paraId="5D062F57">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lang w:eastAsia="zh-CN"/>
        </w:rPr>
      </w:pPr>
      <w:r>
        <w:rPr>
          <w:rFonts w:hint="eastAsia" w:ascii="宋体" w:hAnsi="宋体" w:cs="Times New Roman"/>
          <w:color w:val="auto"/>
          <w:sz w:val="24"/>
          <w:szCs w:val="28"/>
          <w:highlight w:val="none"/>
        </w:rPr>
        <w:t>电话：</w:t>
      </w:r>
      <w:r>
        <w:rPr>
          <w:rFonts w:hint="eastAsia" w:ascii="宋体" w:hAnsi="宋体" w:cs="Times New Roman"/>
          <w:color w:val="auto"/>
          <w:sz w:val="24"/>
          <w:szCs w:val="28"/>
          <w:highlight w:val="none"/>
          <w:lang w:eastAsia="zh-CN"/>
        </w:rPr>
        <w:t>13914490882</w:t>
      </w:r>
    </w:p>
    <w:p w14:paraId="6EB6B176">
      <w:pPr>
        <w:pStyle w:val="192"/>
        <w:pageBreakBefore w:val="0"/>
        <w:kinsoku/>
        <w:wordWrap/>
        <w:overflowPunct/>
        <w:topLinePunct w:val="0"/>
        <w:autoSpaceDE/>
        <w:autoSpaceDN/>
        <w:bidi w:val="0"/>
        <w:adjustRightInd/>
        <w:snapToGrid/>
        <w:spacing w:before="0" w:after="0" w:line="360" w:lineRule="auto"/>
        <w:ind w:right="0"/>
        <w:jc w:val="both"/>
        <w:textAlignment w:val="auto"/>
        <w:outlineLvl w:val="9"/>
        <w:rPr>
          <w:rFonts w:hint="eastAsia" w:ascii="宋体" w:hAnsi="宋体" w:eastAsia="宋体"/>
          <w:b/>
          <w:bCs/>
          <w:color w:val="auto"/>
          <w:highlight w:val="none"/>
        </w:rPr>
      </w:pPr>
      <w:bookmarkStart w:id="45" w:name="_Toc73364852"/>
      <w:bookmarkStart w:id="46" w:name="_Toc73365465"/>
      <w:bookmarkStart w:id="47" w:name="_Toc256000009"/>
      <w:r>
        <w:rPr>
          <w:rFonts w:hint="eastAsia" w:ascii="宋体" w:hAnsi="宋体" w:eastAsia="宋体"/>
          <w:b/>
          <w:bCs/>
          <w:color w:val="auto"/>
          <w:highlight w:val="none"/>
        </w:rPr>
        <w:t>九、注意事项</w:t>
      </w:r>
      <w:bookmarkEnd w:id="45"/>
      <w:bookmarkEnd w:id="46"/>
      <w:bookmarkEnd w:id="47"/>
    </w:p>
    <w:p w14:paraId="13ACDC51">
      <w:pPr>
        <w:keepNext w:val="0"/>
        <w:keepLines w:val="0"/>
        <w:pageBreakBefore w:val="0"/>
        <w:widowControl/>
        <w:kinsoku/>
        <w:wordWrap w:val="0"/>
        <w:overflowPunct/>
        <w:topLinePunct/>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bookmarkStart w:id="48" w:name="EBcc5e545016af4675b3c62ff4ab859aac"/>
      <w:r>
        <w:rPr>
          <w:rFonts w:hint="eastAsia" w:ascii="宋体" w:hAnsi="宋体" w:cs="Times New Roman"/>
          <w:color w:val="auto"/>
          <w:sz w:val="24"/>
          <w:szCs w:val="28"/>
          <w:highlight w:val="none"/>
        </w:rPr>
        <w:t>1</w:t>
      </w:r>
      <w:r>
        <w:rPr>
          <w:rFonts w:hint="eastAsia" w:ascii="宋体" w:hAnsi="宋体" w:cs="Times New Roman"/>
          <w:color w:val="auto"/>
          <w:sz w:val="24"/>
          <w:szCs w:val="28"/>
          <w:highlight w:val="none"/>
          <w:lang w:eastAsia="zh-CN"/>
        </w:rPr>
        <w:t>、</w:t>
      </w:r>
      <w:r>
        <w:rPr>
          <w:rFonts w:hint="eastAsia" w:ascii="宋体" w:hAnsi="宋体" w:cs="Times New Roman"/>
          <w:color w:val="auto"/>
          <w:sz w:val="24"/>
          <w:szCs w:val="28"/>
          <w:highlight w:val="none"/>
        </w:rPr>
        <w:t>本项目通过电子交易平台进行采购，请供应商提前详细阅读《“苏采云”系统供应商操作手册》。下载地址：http://www.ccgp-jiangsu.gov.cn/jiangsu/zlxz/ee/ee3a4bc5a3454aa2b0d9312230633ce9.html。供应商在系统使用过程中如遇到涉及平台使用的任何问题，应在工作日上午9：00-11:30 下午13:30-17:30期间致电技术支持热线咨询，联系方式：0519-86722803  0519-86722805。</w:t>
      </w:r>
    </w:p>
    <w:p w14:paraId="67BA3EA2">
      <w:pPr>
        <w:keepNext w:val="0"/>
        <w:keepLines w:val="0"/>
        <w:pageBreakBefore w:val="0"/>
        <w:widowControl/>
        <w:kinsoku/>
        <w:wordWrap w:val="0"/>
        <w:overflowPunct/>
        <w:topLinePunct/>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r>
        <w:rPr>
          <w:rFonts w:hint="eastAsia" w:ascii="宋体" w:hAnsi="宋体" w:cs="Times New Roman"/>
          <w:color w:val="auto"/>
          <w:sz w:val="24"/>
          <w:szCs w:val="28"/>
          <w:highlight w:val="none"/>
        </w:rPr>
        <w:t xml:space="preserve">2.供应商需提前办理数字认证证书(政务CA及方正签章)，办理方式和注意事项详见: </w:t>
      </w:r>
      <w:r>
        <w:rPr>
          <w:rFonts w:hint="eastAsia" w:ascii="宋体" w:hAnsi="宋体" w:cs="Times New Roman"/>
          <w:color w:val="auto"/>
          <w:sz w:val="24"/>
          <w:szCs w:val="28"/>
          <w:highlight w:val="none"/>
        </w:rPr>
        <w:fldChar w:fldCharType="begin"/>
      </w:r>
      <w:r>
        <w:rPr>
          <w:rFonts w:hint="eastAsia" w:ascii="宋体" w:hAnsi="宋体" w:cs="Times New Roman"/>
          <w:color w:val="auto"/>
          <w:sz w:val="24"/>
          <w:szCs w:val="28"/>
          <w:highlight w:val="none"/>
        </w:rPr>
        <w:instrText xml:space="preserve">HYPERLINK "http://jsxcmm.com/help/help.html"</w:instrText>
      </w:r>
      <w:r>
        <w:rPr>
          <w:rFonts w:hint="eastAsia" w:ascii="宋体" w:hAnsi="宋体" w:cs="Times New Roman"/>
          <w:color w:val="auto"/>
          <w:sz w:val="24"/>
          <w:szCs w:val="28"/>
          <w:highlight w:val="none"/>
        </w:rPr>
        <w:fldChar w:fldCharType="separate"/>
      </w:r>
      <w:r>
        <w:rPr>
          <w:rFonts w:hint="eastAsia" w:ascii="宋体" w:hAnsi="宋体" w:cs="Times New Roman"/>
          <w:color w:val="auto"/>
          <w:sz w:val="24"/>
          <w:szCs w:val="28"/>
          <w:highlight w:val="none"/>
        </w:rPr>
        <w:t>http://jsxcmm.com/help/help.html</w:t>
      </w:r>
      <w:r>
        <w:rPr>
          <w:rFonts w:hint="eastAsia" w:ascii="宋体" w:hAnsi="宋体" w:cs="Times New Roman"/>
          <w:color w:val="auto"/>
          <w:sz w:val="24"/>
          <w:szCs w:val="28"/>
          <w:highlight w:val="none"/>
        </w:rPr>
        <w:fldChar w:fldCharType="end"/>
      </w:r>
      <w:r>
        <w:rPr>
          <w:rFonts w:hint="eastAsia" w:ascii="宋体" w:hAnsi="宋体" w:cs="Times New Roman"/>
          <w:color w:val="auto"/>
          <w:sz w:val="24"/>
          <w:szCs w:val="28"/>
          <w:highlight w:val="none"/>
        </w:rPr>
        <w:t>。</w:t>
      </w:r>
    </w:p>
    <w:p w14:paraId="090983B0">
      <w:pPr>
        <w:keepNext w:val="0"/>
        <w:keepLines w:val="0"/>
        <w:pageBreakBefore w:val="0"/>
        <w:widowControl/>
        <w:kinsoku/>
        <w:wordWrap w:val="0"/>
        <w:overflowPunct/>
        <w:topLinePunct/>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r>
        <w:rPr>
          <w:rFonts w:hint="eastAsia" w:ascii="宋体" w:hAnsi="宋体" w:cs="Times New Roman"/>
          <w:color w:val="auto"/>
          <w:sz w:val="24"/>
          <w:szCs w:val="28"/>
          <w:highlight w:val="none"/>
        </w:rPr>
        <w:t>镇江地区意源（方正）办理方式：镇江市润州区冠城路8号工人大厦7楼公共资源交易中心大厅CA窗口。工作日办公时间：9：00-12：00、13：30-17：30。联系人：邵娟，联系电话：13655287962，办理指南地址：http://jsxcmm.com/help/gys.html。</w:t>
      </w:r>
    </w:p>
    <w:p w14:paraId="121FC0A9">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rPr>
      </w:pPr>
      <w:r>
        <w:rPr>
          <w:rFonts w:hint="eastAsia" w:ascii="宋体" w:hAnsi="宋体" w:cs="Times New Roman"/>
          <w:color w:val="auto"/>
          <w:sz w:val="24"/>
          <w:szCs w:val="28"/>
          <w:highlight w:val="none"/>
        </w:rPr>
        <w:t>3.苏采云系统使用稳定谷歌浏览器。</w:t>
      </w:r>
    </w:p>
    <w:bookmarkEnd w:id="48"/>
    <w:p w14:paraId="5284AC35">
      <w:pPr>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cs="Times New Roman"/>
          <w:color w:val="auto"/>
          <w:sz w:val="24"/>
          <w:szCs w:val="28"/>
          <w:highlight w:val="none"/>
          <w:lang w:eastAsia="zh-CN"/>
        </w:rPr>
      </w:pPr>
      <w:r>
        <w:rPr>
          <w:rFonts w:hint="eastAsia" w:ascii="宋体" w:hAnsi="宋体" w:cs="Times New Roman"/>
          <w:color w:val="auto"/>
          <w:sz w:val="24"/>
          <w:szCs w:val="28"/>
          <w:highlight w:val="none"/>
          <w:lang w:eastAsia="zh-CN"/>
        </w:rPr>
        <w:t>江苏省设备成套股份有限公司</w:t>
      </w:r>
    </w:p>
    <w:p w14:paraId="681453B8">
      <w:pPr>
        <w:pageBreakBefore w:val="0"/>
        <w:kinsoku/>
        <w:wordWrap/>
        <w:overflowPunct/>
        <w:topLinePunct w:val="0"/>
        <w:autoSpaceDE/>
        <w:autoSpaceDN/>
        <w:bidi w:val="0"/>
        <w:adjustRightInd/>
        <w:snapToGrid/>
        <w:spacing w:line="360" w:lineRule="auto"/>
        <w:ind w:right="0" w:firstLine="480" w:firstLineChars="200"/>
        <w:jc w:val="right"/>
        <w:textAlignment w:val="auto"/>
        <w:outlineLvl w:val="9"/>
        <w:rPr>
          <w:rFonts w:hint="eastAsia" w:ascii="宋体" w:hAnsi="宋体" w:cs="宋体"/>
          <w:color w:val="auto"/>
          <w:sz w:val="24"/>
          <w:szCs w:val="28"/>
          <w:highlight w:val="yellow"/>
        </w:rPr>
      </w:pPr>
      <w:r>
        <w:rPr>
          <w:rFonts w:hint="eastAsia" w:ascii="宋体" w:hAnsi="宋体" w:cs="宋体"/>
          <w:color w:val="auto"/>
          <w:sz w:val="24"/>
          <w:szCs w:val="28"/>
          <w:highlight w:val="none"/>
        </w:rPr>
        <w:t>日期：</w:t>
      </w:r>
      <w:bookmarkStart w:id="49" w:name="EBd1723022ad2146beac3bb129e27cfe99"/>
      <w:r>
        <w:rPr>
          <w:rFonts w:hint="eastAsia" w:ascii="宋体" w:hAnsi="宋体" w:cs="宋体"/>
          <w:color w:val="auto"/>
          <w:sz w:val="24"/>
          <w:szCs w:val="28"/>
          <w:highlight w:val="none"/>
        </w:rPr>
        <w:t>202</w:t>
      </w:r>
      <w:r>
        <w:rPr>
          <w:rFonts w:hint="eastAsia" w:ascii="宋体" w:hAnsi="宋体" w:cs="宋体"/>
          <w:color w:val="auto"/>
          <w:sz w:val="24"/>
          <w:szCs w:val="28"/>
          <w:highlight w:val="none"/>
          <w:lang w:val="en-US" w:eastAsia="zh-CN"/>
        </w:rPr>
        <w:t>5</w:t>
      </w:r>
      <w:r>
        <w:rPr>
          <w:rFonts w:hint="eastAsia" w:ascii="宋体" w:hAnsi="宋体" w:cs="宋体"/>
          <w:color w:val="auto"/>
          <w:sz w:val="24"/>
          <w:szCs w:val="28"/>
          <w:highlight w:val="none"/>
        </w:rPr>
        <w:t>年</w:t>
      </w:r>
      <w:r>
        <w:rPr>
          <w:rFonts w:hint="eastAsia" w:ascii="宋体" w:hAnsi="宋体" w:cs="宋体"/>
          <w:color w:val="auto"/>
          <w:sz w:val="24"/>
          <w:szCs w:val="28"/>
          <w:highlight w:val="none"/>
          <w:lang w:val="en-US" w:eastAsia="zh-CN"/>
        </w:rPr>
        <w:t>2</w:t>
      </w:r>
      <w:r>
        <w:rPr>
          <w:rFonts w:hint="eastAsia" w:ascii="宋体" w:hAnsi="宋体" w:cs="宋体"/>
          <w:color w:val="auto"/>
          <w:sz w:val="24"/>
          <w:szCs w:val="28"/>
          <w:highlight w:val="none"/>
        </w:rPr>
        <w:t>月</w:t>
      </w:r>
      <w:r>
        <w:rPr>
          <w:rFonts w:hint="eastAsia" w:ascii="宋体" w:hAnsi="宋体" w:cs="宋体"/>
          <w:color w:val="auto"/>
          <w:sz w:val="24"/>
          <w:szCs w:val="28"/>
          <w:highlight w:val="none"/>
          <w:lang w:val="en-US" w:eastAsia="zh-CN"/>
        </w:rPr>
        <w:t>11</w:t>
      </w:r>
      <w:r>
        <w:rPr>
          <w:rFonts w:hint="eastAsia" w:ascii="宋体" w:hAnsi="宋体" w:cs="宋体"/>
          <w:color w:val="auto"/>
          <w:sz w:val="24"/>
          <w:szCs w:val="28"/>
          <w:highlight w:val="none"/>
        </w:rPr>
        <w:t>日</w:t>
      </w:r>
      <w:bookmarkEnd w:id="49"/>
      <w:bookmarkStart w:id="50" w:name="_Toc73365466"/>
      <w:bookmarkStart w:id="51" w:name="_Toc256000010"/>
      <w:bookmarkStart w:id="52" w:name="_Toc73364853"/>
    </w:p>
    <w:p w14:paraId="557A738D">
      <w:pPr>
        <w:rPr>
          <w:rFonts w:hint="eastAsia" w:ascii="宋体" w:hAnsi="宋体"/>
          <w:color w:val="auto"/>
          <w:sz w:val="36"/>
          <w:highlight w:val="none"/>
        </w:rPr>
      </w:pPr>
      <w:r>
        <w:rPr>
          <w:rFonts w:hint="eastAsia" w:ascii="宋体" w:hAnsi="宋体"/>
          <w:color w:val="auto"/>
          <w:sz w:val="36"/>
          <w:highlight w:val="none"/>
        </w:rPr>
        <w:br w:type="page"/>
      </w:r>
    </w:p>
    <w:p w14:paraId="5AC75CDA">
      <w:pPr>
        <w:pStyle w:val="191"/>
        <w:jc w:val="center"/>
        <w:rPr>
          <w:rFonts w:hint="eastAsia" w:ascii="宋体" w:hAnsi="宋体"/>
          <w:color w:val="auto"/>
          <w:sz w:val="36"/>
          <w:highlight w:val="none"/>
        </w:rPr>
      </w:pPr>
      <w:r>
        <w:rPr>
          <w:rFonts w:hint="eastAsia" w:ascii="宋体" w:hAnsi="宋体"/>
          <w:color w:val="auto"/>
          <w:sz w:val="36"/>
          <w:highlight w:val="none"/>
        </w:rPr>
        <w:t>第二部分  供应商须知</w:t>
      </w:r>
      <w:bookmarkEnd w:id="50"/>
      <w:bookmarkEnd w:id="51"/>
      <w:bookmarkEnd w:id="52"/>
    </w:p>
    <w:p w14:paraId="59991D92">
      <w:pPr>
        <w:pStyle w:val="193"/>
        <w:keepNext w:val="0"/>
        <w:keepLines w:val="0"/>
        <w:spacing w:before="0" w:after="0" w:line="360" w:lineRule="auto"/>
        <w:jc w:val="center"/>
        <w:rPr>
          <w:rFonts w:ascii="宋体" w:hAnsi="宋体"/>
          <w:bCs w:val="0"/>
          <w:color w:val="auto"/>
          <w:highlight w:val="none"/>
          <w:lang w:val="en-US" w:eastAsia="zh-CN"/>
        </w:rPr>
      </w:pPr>
      <w:bookmarkStart w:id="53" w:name="EBa296f577883c4f0bbc5440ff75db1386"/>
      <w:r>
        <w:rPr>
          <w:rFonts w:hint="eastAsia"/>
          <w:color w:val="auto"/>
          <w:sz w:val="20"/>
          <w:highlight w:val="none"/>
        </w:rPr>
        <w:t xml:space="preserve"> </w:t>
      </w:r>
      <w:bookmarkEnd w:id="53"/>
      <w:bookmarkStart w:id="54" w:name="EB5cd81c9ed9c74e6abb08406c193c2747"/>
      <w:r>
        <w:rPr>
          <w:rFonts w:hint="eastAsia"/>
          <w:color w:val="auto"/>
          <w:sz w:val="20"/>
          <w:highlight w:val="none"/>
        </w:rPr>
        <w:t xml:space="preserve"> </w:t>
      </w:r>
      <w:bookmarkEnd w:id="54"/>
      <w:r>
        <w:rPr>
          <w:rFonts w:hint="eastAsia" w:ascii="宋体" w:hAnsi="宋体"/>
          <w:bCs w:val="0"/>
          <w:color w:val="auto"/>
          <w:highlight w:val="none"/>
          <w:lang w:val="en-US" w:eastAsia="zh-CN"/>
        </w:rPr>
        <w:t>前附表</w:t>
      </w:r>
    </w:p>
    <w:tbl>
      <w:tblPr>
        <w:tblStyle w:val="2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2"/>
        <w:gridCol w:w="1984"/>
        <w:gridCol w:w="6787"/>
      </w:tblGrid>
      <w:tr w14:paraId="1DBBC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2" w:type="dxa"/>
            <w:noWrap w:val="0"/>
            <w:vAlign w:val="center"/>
          </w:tcPr>
          <w:p w14:paraId="7DA66712">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序号</w:t>
            </w:r>
          </w:p>
        </w:tc>
        <w:tc>
          <w:tcPr>
            <w:tcW w:w="1984" w:type="dxa"/>
            <w:noWrap w:val="0"/>
            <w:vAlign w:val="center"/>
          </w:tcPr>
          <w:p w14:paraId="0ED284A9">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事项</w:t>
            </w:r>
          </w:p>
        </w:tc>
        <w:tc>
          <w:tcPr>
            <w:tcW w:w="6787" w:type="dxa"/>
            <w:noWrap w:val="0"/>
            <w:vAlign w:val="center"/>
          </w:tcPr>
          <w:p w14:paraId="7840E4D1">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本项目规定</w:t>
            </w:r>
          </w:p>
        </w:tc>
      </w:tr>
      <w:tr w14:paraId="73C04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7" w:hRule="atLeast"/>
        </w:trPr>
        <w:tc>
          <w:tcPr>
            <w:tcW w:w="812" w:type="dxa"/>
            <w:noWrap w:val="0"/>
            <w:vAlign w:val="center"/>
          </w:tcPr>
          <w:p w14:paraId="229B69D3">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1</w:t>
            </w:r>
          </w:p>
        </w:tc>
        <w:tc>
          <w:tcPr>
            <w:tcW w:w="1984" w:type="dxa"/>
            <w:noWrap w:val="0"/>
            <w:vAlign w:val="center"/>
          </w:tcPr>
          <w:p w14:paraId="1EA6B94A">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报价要求</w:t>
            </w:r>
          </w:p>
        </w:tc>
        <w:tc>
          <w:tcPr>
            <w:tcW w:w="6787" w:type="dxa"/>
            <w:noWrap w:val="0"/>
            <w:vAlign w:val="center"/>
          </w:tcPr>
          <w:p w14:paraId="4CCD43EA">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本次磋商响应报价的币种为人民币。</w:t>
            </w:r>
          </w:p>
          <w:p w14:paraId="0B6A5D65">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供应商应按采购文件所提供的各报价表格式报价。</w:t>
            </w:r>
          </w:p>
          <w:p w14:paraId="590CB5C0">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供应商应对本项目报出最具有竞争力的价格，应包括本次采购要求所有费用（含税费）。</w:t>
            </w:r>
          </w:p>
          <w:p w14:paraId="7A7A6224">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最低投标报价不能作为成交的保证。</w:t>
            </w:r>
          </w:p>
          <w:p w14:paraId="5B38AB70">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成交价即为合同签约价。</w:t>
            </w:r>
          </w:p>
        </w:tc>
      </w:tr>
      <w:tr w14:paraId="322B3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812" w:type="dxa"/>
            <w:noWrap w:val="0"/>
            <w:vAlign w:val="center"/>
          </w:tcPr>
          <w:p w14:paraId="6F21763C">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2</w:t>
            </w:r>
          </w:p>
        </w:tc>
        <w:tc>
          <w:tcPr>
            <w:tcW w:w="1984" w:type="dxa"/>
            <w:noWrap w:val="0"/>
            <w:vAlign w:val="center"/>
          </w:tcPr>
          <w:p w14:paraId="609B6CCE">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转包及分包</w:t>
            </w:r>
          </w:p>
        </w:tc>
        <w:tc>
          <w:tcPr>
            <w:tcW w:w="6787" w:type="dxa"/>
            <w:noWrap w:val="0"/>
            <w:vAlign w:val="center"/>
          </w:tcPr>
          <w:p w14:paraId="0D50D8D7">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项目依法不得转包</w:t>
            </w:r>
          </w:p>
          <w:p w14:paraId="13AF5BFE">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本项目不同意分包。</w:t>
            </w:r>
          </w:p>
        </w:tc>
      </w:tr>
      <w:tr w14:paraId="18854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812" w:type="dxa"/>
            <w:noWrap w:val="0"/>
            <w:vAlign w:val="center"/>
          </w:tcPr>
          <w:p w14:paraId="08AABA9A">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3</w:t>
            </w:r>
          </w:p>
        </w:tc>
        <w:tc>
          <w:tcPr>
            <w:tcW w:w="1984" w:type="dxa"/>
            <w:noWrap w:val="0"/>
            <w:vAlign w:val="center"/>
          </w:tcPr>
          <w:p w14:paraId="0018BAAF">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开标前答疑会</w:t>
            </w:r>
          </w:p>
        </w:tc>
        <w:tc>
          <w:tcPr>
            <w:tcW w:w="6787" w:type="dxa"/>
            <w:noWrap w:val="0"/>
            <w:vAlign w:val="center"/>
          </w:tcPr>
          <w:p w14:paraId="231A92F6">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不组织</w:t>
            </w:r>
          </w:p>
        </w:tc>
      </w:tr>
      <w:tr w14:paraId="39425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812" w:type="dxa"/>
            <w:noWrap w:val="0"/>
            <w:vAlign w:val="center"/>
          </w:tcPr>
          <w:p w14:paraId="5F48FABF">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4</w:t>
            </w:r>
          </w:p>
        </w:tc>
        <w:tc>
          <w:tcPr>
            <w:tcW w:w="1984" w:type="dxa"/>
            <w:noWrap w:val="0"/>
            <w:vAlign w:val="center"/>
          </w:tcPr>
          <w:p w14:paraId="73B4E081">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现场踏勘</w:t>
            </w:r>
          </w:p>
        </w:tc>
        <w:tc>
          <w:tcPr>
            <w:tcW w:w="6787" w:type="dxa"/>
            <w:noWrap w:val="0"/>
            <w:vAlign w:val="center"/>
          </w:tcPr>
          <w:p w14:paraId="3C4A17F1">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不统一组织</w:t>
            </w:r>
          </w:p>
        </w:tc>
      </w:tr>
      <w:tr w14:paraId="4D918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812" w:type="dxa"/>
            <w:noWrap w:val="0"/>
            <w:vAlign w:val="center"/>
          </w:tcPr>
          <w:p w14:paraId="3E36F56E">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5</w:t>
            </w:r>
          </w:p>
        </w:tc>
        <w:tc>
          <w:tcPr>
            <w:tcW w:w="1984" w:type="dxa"/>
            <w:noWrap w:val="0"/>
            <w:vAlign w:val="center"/>
          </w:tcPr>
          <w:p w14:paraId="65B64CA5">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演示</w:t>
            </w:r>
          </w:p>
        </w:tc>
        <w:tc>
          <w:tcPr>
            <w:tcW w:w="6787" w:type="dxa"/>
            <w:noWrap w:val="0"/>
            <w:vAlign w:val="center"/>
          </w:tcPr>
          <w:p w14:paraId="2D34DF23">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无</w:t>
            </w:r>
          </w:p>
        </w:tc>
      </w:tr>
      <w:tr w14:paraId="0AA47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812" w:type="dxa"/>
            <w:noWrap w:val="0"/>
            <w:vAlign w:val="center"/>
          </w:tcPr>
          <w:p w14:paraId="7E209295">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6</w:t>
            </w:r>
          </w:p>
        </w:tc>
        <w:tc>
          <w:tcPr>
            <w:tcW w:w="1984" w:type="dxa"/>
            <w:noWrap w:val="0"/>
            <w:vAlign w:val="center"/>
          </w:tcPr>
          <w:p w14:paraId="78124EAB">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样品</w:t>
            </w:r>
          </w:p>
        </w:tc>
        <w:tc>
          <w:tcPr>
            <w:tcW w:w="6787" w:type="dxa"/>
            <w:noWrap w:val="0"/>
            <w:vAlign w:val="center"/>
          </w:tcPr>
          <w:p w14:paraId="4D310C90">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不要求提供。</w:t>
            </w:r>
          </w:p>
        </w:tc>
      </w:tr>
      <w:tr w14:paraId="104EA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812" w:type="dxa"/>
            <w:noWrap w:val="0"/>
            <w:vAlign w:val="center"/>
          </w:tcPr>
          <w:p w14:paraId="29571B65">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7</w:t>
            </w:r>
          </w:p>
        </w:tc>
        <w:tc>
          <w:tcPr>
            <w:tcW w:w="1984" w:type="dxa"/>
            <w:noWrap w:val="0"/>
            <w:vAlign w:val="center"/>
          </w:tcPr>
          <w:p w14:paraId="5FE2DA61">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是否允许采购进口产品</w:t>
            </w:r>
          </w:p>
        </w:tc>
        <w:tc>
          <w:tcPr>
            <w:tcW w:w="6787" w:type="dxa"/>
            <w:noWrap w:val="0"/>
            <w:vAlign w:val="center"/>
          </w:tcPr>
          <w:p w14:paraId="65CB4471">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本项目不适用。</w:t>
            </w:r>
          </w:p>
        </w:tc>
      </w:tr>
      <w:tr w14:paraId="34D2C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812" w:type="dxa"/>
            <w:noWrap w:val="0"/>
            <w:vAlign w:val="center"/>
          </w:tcPr>
          <w:p w14:paraId="699FF12B">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8</w:t>
            </w:r>
          </w:p>
        </w:tc>
        <w:tc>
          <w:tcPr>
            <w:tcW w:w="1984" w:type="dxa"/>
            <w:noWrap w:val="0"/>
            <w:vAlign w:val="center"/>
          </w:tcPr>
          <w:p w14:paraId="6039F57C">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项目属性与核心标的</w:t>
            </w:r>
          </w:p>
        </w:tc>
        <w:tc>
          <w:tcPr>
            <w:tcW w:w="6787" w:type="dxa"/>
            <w:noWrap w:val="0"/>
            <w:vAlign w:val="center"/>
          </w:tcPr>
          <w:p w14:paraId="7EA34BC3">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本项目属性：工程类项目。</w:t>
            </w:r>
          </w:p>
          <w:p w14:paraId="2AE6EF69">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本项目核心标的为：</w:t>
            </w:r>
            <w:r>
              <w:rPr>
                <w:rFonts w:hint="eastAsia" w:ascii="宋体" w:hAnsi="宋体" w:cs="楷体"/>
                <w:color w:val="auto"/>
                <w:sz w:val="24"/>
                <w:szCs w:val="24"/>
                <w:highlight w:val="none"/>
                <w:lang w:eastAsia="zh-CN"/>
              </w:rPr>
              <w:t>现代农业产业园—半坡农创园工程</w:t>
            </w:r>
            <w:r>
              <w:rPr>
                <w:rFonts w:hint="eastAsia" w:ascii="宋体" w:hAnsi="宋体" w:cs="楷体"/>
                <w:color w:val="auto"/>
                <w:sz w:val="24"/>
                <w:szCs w:val="24"/>
                <w:highlight w:val="none"/>
              </w:rPr>
              <w:t>。</w:t>
            </w:r>
          </w:p>
        </w:tc>
      </w:tr>
      <w:tr w14:paraId="2325A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812" w:type="dxa"/>
            <w:noWrap w:val="0"/>
            <w:vAlign w:val="center"/>
          </w:tcPr>
          <w:p w14:paraId="3DED537B">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9</w:t>
            </w:r>
          </w:p>
        </w:tc>
        <w:tc>
          <w:tcPr>
            <w:tcW w:w="1984" w:type="dxa"/>
            <w:noWrap w:val="0"/>
            <w:vAlign w:val="center"/>
          </w:tcPr>
          <w:p w14:paraId="48442725">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采购标的对应的中小企业划分标准所属行业</w:t>
            </w:r>
          </w:p>
        </w:tc>
        <w:tc>
          <w:tcPr>
            <w:tcW w:w="6787" w:type="dxa"/>
            <w:noWrap w:val="0"/>
            <w:vAlign w:val="center"/>
          </w:tcPr>
          <w:p w14:paraId="788DB2B2">
            <w:pPr>
              <w:spacing w:line="360" w:lineRule="auto"/>
              <w:rPr>
                <w:rFonts w:hint="eastAsia" w:ascii="宋体" w:hAnsi="宋体" w:cs="楷体"/>
                <w:b/>
                <w:color w:val="auto"/>
                <w:sz w:val="24"/>
                <w:szCs w:val="24"/>
                <w:highlight w:val="none"/>
              </w:rPr>
            </w:pPr>
            <w:r>
              <w:rPr>
                <w:rFonts w:hint="eastAsia" w:ascii="宋体" w:hAnsi="宋体" w:cs="楷体"/>
                <w:color w:val="auto"/>
                <w:sz w:val="24"/>
                <w:szCs w:val="24"/>
                <w:highlight w:val="none"/>
              </w:rPr>
              <w:t>标的：</w:t>
            </w:r>
            <w:r>
              <w:rPr>
                <w:rFonts w:hint="eastAsia" w:ascii="宋体" w:hAnsi="宋体" w:cs="楷体"/>
                <w:color w:val="auto"/>
                <w:sz w:val="24"/>
                <w:szCs w:val="24"/>
                <w:highlight w:val="none"/>
                <w:lang w:eastAsia="zh-CN"/>
              </w:rPr>
              <w:t>现代农业产业园—半坡农创园工程</w:t>
            </w:r>
            <w:r>
              <w:rPr>
                <w:rFonts w:hint="eastAsia" w:ascii="宋体" w:hAnsi="宋体" w:cs="楷体"/>
                <w:b/>
                <w:color w:val="auto"/>
                <w:sz w:val="24"/>
                <w:szCs w:val="24"/>
                <w:highlight w:val="none"/>
              </w:rPr>
              <w:t>，属于</w:t>
            </w:r>
            <w:r>
              <w:rPr>
                <w:rFonts w:hint="eastAsia" w:ascii="宋体" w:hAnsi="宋体" w:cs="楷体"/>
                <w:b/>
                <w:color w:val="auto"/>
                <w:sz w:val="24"/>
                <w:szCs w:val="24"/>
                <w:highlight w:val="none"/>
                <w:u w:val="single"/>
              </w:rPr>
              <w:t>建筑业</w:t>
            </w:r>
            <w:r>
              <w:rPr>
                <w:rFonts w:hint="eastAsia" w:ascii="宋体" w:hAnsi="宋体" w:cs="楷体"/>
                <w:b/>
                <w:color w:val="auto"/>
                <w:sz w:val="24"/>
                <w:szCs w:val="24"/>
                <w:highlight w:val="none"/>
              </w:rPr>
              <w:t>行业；</w:t>
            </w:r>
          </w:p>
          <w:p w14:paraId="2F7E3649">
            <w:pPr>
              <w:spacing w:line="360" w:lineRule="auto"/>
              <w:rPr>
                <w:color w:val="auto"/>
                <w:highlight w:val="none"/>
              </w:rPr>
            </w:pPr>
            <w:r>
              <w:rPr>
                <w:rFonts w:hint="eastAsia" w:ascii="宋体" w:hAnsi="宋体" w:cs="楷体"/>
                <w:color w:val="auto"/>
                <w:sz w:val="24"/>
                <w:szCs w:val="24"/>
                <w:highlight w:val="none"/>
              </w:rPr>
              <w:t>企业划型标准请对照《关于印发中小企业划型标准规定的通知》（工信部联企业[2011]300号）。</w:t>
            </w:r>
          </w:p>
        </w:tc>
      </w:tr>
      <w:tr w14:paraId="775F5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1" w:hRule="atLeast"/>
        </w:trPr>
        <w:tc>
          <w:tcPr>
            <w:tcW w:w="812" w:type="dxa"/>
            <w:noWrap w:val="0"/>
            <w:vAlign w:val="center"/>
          </w:tcPr>
          <w:p w14:paraId="5605D17B">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10</w:t>
            </w:r>
          </w:p>
        </w:tc>
        <w:tc>
          <w:tcPr>
            <w:tcW w:w="1984" w:type="dxa"/>
            <w:noWrap w:val="0"/>
            <w:vAlign w:val="center"/>
          </w:tcPr>
          <w:p w14:paraId="6121F21A">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节能产品、环境标志产品</w:t>
            </w:r>
          </w:p>
        </w:tc>
        <w:tc>
          <w:tcPr>
            <w:tcW w:w="6787" w:type="dxa"/>
            <w:noWrap w:val="0"/>
            <w:vAlign w:val="center"/>
          </w:tcPr>
          <w:p w14:paraId="574969B2">
            <w:pPr>
              <w:spacing w:line="360" w:lineRule="auto"/>
              <w:rPr>
                <w:rFonts w:ascii="宋体" w:hAnsi="宋体" w:cs="楷体"/>
                <w:color w:val="auto"/>
                <w:sz w:val="24"/>
                <w:szCs w:val="24"/>
                <w:highlight w:val="none"/>
              </w:rPr>
            </w:pPr>
            <w:r>
              <w:rPr>
                <w:rFonts w:hint="eastAsia" w:ascii="宋体" w:hAnsi="宋体" w:cs="楷体"/>
                <w:color w:val="auto"/>
                <w:sz w:val="24"/>
                <w:szCs w:val="24"/>
                <w:highlight w:val="none"/>
              </w:rPr>
              <w:t>本项目不适用。</w:t>
            </w:r>
          </w:p>
        </w:tc>
      </w:tr>
      <w:tr w14:paraId="29528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38" w:hRule="atLeast"/>
        </w:trPr>
        <w:tc>
          <w:tcPr>
            <w:tcW w:w="812" w:type="dxa"/>
            <w:noWrap w:val="0"/>
            <w:vAlign w:val="center"/>
          </w:tcPr>
          <w:p w14:paraId="60F00FF2">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11</w:t>
            </w:r>
          </w:p>
        </w:tc>
        <w:tc>
          <w:tcPr>
            <w:tcW w:w="1984" w:type="dxa"/>
            <w:noWrap w:val="0"/>
            <w:vAlign w:val="center"/>
          </w:tcPr>
          <w:p w14:paraId="3ACD4FB1">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中小企业信用融资</w:t>
            </w:r>
          </w:p>
        </w:tc>
        <w:tc>
          <w:tcPr>
            <w:tcW w:w="6787" w:type="dxa"/>
            <w:noWrap w:val="0"/>
            <w:vAlign w:val="center"/>
          </w:tcPr>
          <w:p w14:paraId="5B6DD29E">
            <w:pPr>
              <w:spacing w:line="360" w:lineRule="auto"/>
              <w:jc w:val="left"/>
              <w:rPr>
                <w:rFonts w:ascii="宋体" w:hAnsi="宋体" w:cs="楷体"/>
                <w:color w:val="auto"/>
                <w:sz w:val="24"/>
                <w:szCs w:val="24"/>
                <w:highlight w:val="none"/>
              </w:rPr>
            </w:pPr>
            <w:r>
              <w:rPr>
                <w:rFonts w:hint="eastAsia" w:ascii="宋体" w:hAnsi="宋体" w:cs="楷体"/>
                <w:color w:val="auto"/>
                <w:sz w:val="24"/>
                <w:szCs w:val="24"/>
                <w:highlight w:val="none"/>
              </w:rPr>
              <w:t>为进一步发挥政府采购政策导向作用，有效缓解企业融资难题，推进完善应收账款融资服务平台的融资服务功能，促进中小微企业平稳健康发展，</w:t>
            </w:r>
            <w:bookmarkStart w:id="55" w:name="_Hlk136445673"/>
            <w:r>
              <w:rPr>
                <w:rFonts w:hint="eastAsia" w:ascii="宋体" w:hAnsi="宋体" w:cs="楷体"/>
                <w:color w:val="auto"/>
                <w:sz w:val="24"/>
                <w:szCs w:val="24"/>
                <w:highlight w:val="none"/>
              </w:rPr>
              <w:t>镇江市财政局和中国人民银行镇江市中心支行联合印发《关于转发〈关于深入推进政府采购线上合同信用融资工作的通知〉的通知》</w:t>
            </w:r>
            <w:bookmarkEnd w:id="55"/>
            <w:r>
              <w:rPr>
                <w:rFonts w:hint="eastAsia" w:ascii="宋体" w:hAnsi="宋体" w:cs="楷体"/>
                <w:color w:val="auto"/>
                <w:sz w:val="24"/>
                <w:szCs w:val="24"/>
                <w:highlight w:val="none"/>
              </w:rPr>
              <w:t>，</w:t>
            </w:r>
            <w:bookmarkStart w:id="56" w:name="_Hlk136444446"/>
            <w:r>
              <w:rPr>
                <w:rFonts w:hint="eastAsia" w:ascii="宋体" w:hAnsi="宋体" w:cs="楷体"/>
                <w:color w:val="auto"/>
                <w:sz w:val="24"/>
                <w:szCs w:val="24"/>
                <w:highlight w:val="none"/>
              </w:rPr>
              <w:t>采购项目中标人如有融资需求，可在签订政府采购合同时向采购人说明融资需求，由采购人在录入合同时标注融资需求后，凭政府采购合同在相关金融机构办理无抵押、低利率授信申请。</w:t>
            </w:r>
            <w:bookmarkEnd w:id="56"/>
            <w:r>
              <w:rPr>
                <w:rFonts w:hint="eastAsia" w:ascii="宋体" w:hAnsi="宋体" w:cs="楷体"/>
                <w:color w:val="auto"/>
                <w:sz w:val="24"/>
                <w:szCs w:val="24"/>
                <w:highlight w:val="none"/>
              </w:rPr>
              <w:t>办理流程详见江苏政府采购网“政采贷”栏目，网址：</w:t>
            </w:r>
            <w:r>
              <w:rPr>
                <w:rFonts w:ascii="宋体" w:hAnsi="宋体" w:cs="楷体"/>
                <w:color w:val="auto"/>
                <w:sz w:val="24"/>
                <w:szCs w:val="24"/>
                <w:highlight w:val="none"/>
              </w:rPr>
              <w:t>http://www.ccgp-jiangsu.gov.cn/jiangsu/paying.html</w:t>
            </w:r>
            <w:r>
              <w:rPr>
                <w:rFonts w:hint="eastAsia" w:ascii="宋体" w:hAnsi="宋体" w:cs="楷体"/>
                <w:color w:val="auto"/>
                <w:sz w:val="24"/>
                <w:szCs w:val="24"/>
                <w:highlight w:val="none"/>
              </w:rPr>
              <w:t>咨询电话：镇江市财政局政府采购处0</w:t>
            </w:r>
            <w:r>
              <w:rPr>
                <w:rFonts w:ascii="宋体" w:hAnsi="宋体" w:cs="楷体"/>
                <w:color w:val="auto"/>
                <w:sz w:val="24"/>
                <w:szCs w:val="24"/>
                <w:highlight w:val="none"/>
              </w:rPr>
              <w:t>511-80909958</w:t>
            </w:r>
            <w:r>
              <w:rPr>
                <w:rFonts w:hint="eastAsia" w:ascii="宋体" w:hAnsi="宋体" w:cs="楷体"/>
                <w:color w:val="auto"/>
                <w:sz w:val="24"/>
                <w:szCs w:val="24"/>
                <w:highlight w:val="none"/>
              </w:rPr>
              <w:t>。</w:t>
            </w:r>
          </w:p>
        </w:tc>
      </w:tr>
      <w:tr w14:paraId="46264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812" w:type="dxa"/>
            <w:noWrap w:val="0"/>
            <w:vAlign w:val="center"/>
          </w:tcPr>
          <w:p w14:paraId="3FF671F1">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12</w:t>
            </w:r>
          </w:p>
        </w:tc>
        <w:tc>
          <w:tcPr>
            <w:tcW w:w="1984" w:type="dxa"/>
            <w:noWrap w:val="0"/>
            <w:vAlign w:val="center"/>
          </w:tcPr>
          <w:p w14:paraId="541223E0">
            <w:pPr>
              <w:spacing w:line="360" w:lineRule="auto"/>
              <w:jc w:val="center"/>
              <w:rPr>
                <w:rFonts w:ascii="宋体" w:hAnsi="宋体" w:cs="楷体"/>
                <w:color w:val="auto"/>
                <w:sz w:val="24"/>
                <w:szCs w:val="24"/>
                <w:highlight w:val="none"/>
              </w:rPr>
            </w:pPr>
            <w:r>
              <w:rPr>
                <w:rFonts w:hint="eastAsia" w:ascii="宋体" w:hAnsi="宋体" w:cs="楷体"/>
                <w:color w:val="auto"/>
                <w:sz w:val="24"/>
                <w:szCs w:val="24"/>
                <w:highlight w:val="none"/>
              </w:rPr>
              <w:t>特别说明</w:t>
            </w:r>
          </w:p>
        </w:tc>
        <w:tc>
          <w:tcPr>
            <w:tcW w:w="6787" w:type="dxa"/>
            <w:noWrap w:val="0"/>
            <w:vAlign w:val="center"/>
          </w:tcPr>
          <w:p w14:paraId="25B25FD1">
            <w:pPr>
              <w:spacing w:line="360" w:lineRule="auto"/>
              <w:rPr>
                <w:rFonts w:ascii="宋体" w:hAnsi="宋体" w:cs="楷体"/>
                <w:iCs/>
                <w:color w:val="auto"/>
                <w:sz w:val="24"/>
                <w:szCs w:val="24"/>
                <w:highlight w:val="none"/>
              </w:rPr>
            </w:pPr>
            <w:r>
              <w:rPr>
                <w:rFonts w:hint="eastAsia" w:ascii="宋体" w:hAnsi="宋体" w:cs="隶书"/>
                <w:iCs/>
                <w:color w:val="auto"/>
                <w:sz w:val="24"/>
                <w:szCs w:val="24"/>
                <w:highlight w:val="none"/>
              </w:rPr>
              <w:t>无</w:t>
            </w:r>
          </w:p>
        </w:tc>
      </w:tr>
    </w:tbl>
    <w:p w14:paraId="2B55DBDB">
      <w:pPr>
        <w:rPr>
          <w:color w:val="auto"/>
          <w:highlight w:val="none"/>
        </w:rPr>
      </w:pPr>
    </w:p>
    <w:p w14:paraId="40892D9F">
      <w:pPr>
        <w:rPr>
          <w:rFonts w:hint="eastAsia" w:ascii="宋体" w:hAnsi="宋体" w:eastAsia="宋体"/>
          <w:color w:val="auto"/>
          <w:sz w:val="32"/>
          <w:highlight w:val="none"/>
        </w:rPr>
      </w:pPr>
      <w:bookmarkStart w:id="57" w:name="_Toc73365467"/>
      <w:bookmarkStart w:id="58" w:name="_Toc256000011"/>
      <w:bookmarkStart w:id="59" w:name="_Toc73364854"/>
      <w:r>
        <w:rPr>
          <w:rFonts w:hint="eastAsia" w:ascii="宋体" w:hAnsi="宋体" w:eastAsia="宋体"/>
          <w:color w:val="auto"/>
          <w:sz w:val="32"/>
          <w:highlight w:val="none"/>
        </w:rPr>
        <w:br w:type="page"/>
      </w:r>
    </w:p>
    <w:p w14:paraId="31728E2E">
      <w:pPr>
        <w:pStyle w:val="192"/>
        <w:rPr>
          <w:rFonts w:ascii="宋体" w:hAnsi="宋体" w:eastAsia="宋体"/>
          <w:color w:val="auto"/>
          <w:sz w:val="32"/>
          <w:highlight w:val="none"/>
        </w:rPr>
      </w:pPr>
      <w:r>
        <w:rPr>
          <w:rFonts w:hint="eastAsia" w:ascii="宋体" w:hAnsi="宋体" w:eastAsia="宋体"/>
          <w:color w:val="auto"/>
          <w:sz w:val="32"/>
          <w:highlight w:val="none"/>
        </w:rPr>
        <w:t>一、总  则</w:t>
      </w:r>
      <w:bookmarkEnd w:id="57"/>
      <w:bookmarkEnd w:id="58"/>
      <w:bookmarkEnd w:id="59"/>
    </w:p>
    <w:p w14:paraId="4649176A">
      <w:pPr>
        <w:pStyle w:val="193"/>
        <w:keepNext w:val="0"/>
        <w:keepLines w:val="0"/>
        <w:pageBreakBefore w:val="0"/>
        <w:widowControl w:val="0"/>
        <w:kinsoku/>
        <w:wordWrap w:val="0"/>
        <w:overflowPunct/>
        <w:topLinePunct/>
        <w:autoSpaceDE/>
        <w:autoSpaceDN/>
        <w:bidi w:val="0"/>
        <w:adjustRightInd/>
        <w:snapToGrid/>
        <w:spacing w:before="0" w:after="0" w:line="360" w:lineRule="auto"/>
        <w:textAlignment w:val="auto"/>
        <w:rPr>
          <w:rFonts w:ascii="宋体" w:hAnsi="宋体"/>
          <w:color w:val="auto"/>
          <w:sz w:val="30"/>
          <w:highlight w:val="none"/>
        </w:rPr>
      </w:pPr>
      <w:bookmarkStart w:id="60" w:name="_Toc73364855"/>
      <w:bookmarkStart w:id="61" w:name="_Toc256000012"/>
      <w:bookmarkStart w:id="62" w:name="_Toc73365468"/>
      <w:r>
        <w:rPr>
          <w:rFonts w:hint="eastAsia" w:ascii="宋体" w:hAnsi="宋体"/>
          <w:color w:val="auto"/>
          <w:sz w:val="30"/>
          <w:highlight w:val="none"/>
        </w:rPr>
        <w:t>1．适用范围</w:t>
      </w:r>
      <w:bookmarkEnd w:id="60"/>
      <w:bookmarkEnd w:id="61"/>
      <w:bookmarkEnd w:id="62"/>
    </w:p>
    <w:p w14:paraId="2B6EE2C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1.1本磋商文件仅适用于</w:t>
      </w:r>
      <w:r>
        <w:rPr>
          <w:rFonts w:hint="eastAsia" w:ascii="宋体" w:hAnsi="宋体"/>
          <w:color w:val="auto"/>
          <w:sz w:val="24"/>
          <w:szCs w:val="28"/>
          <w:highlight w:val="none"/>
          <w:lang w:eastAsia="zh-CN"/>
        </w:rPr>
        <w:t>现代农业产业园—半坡农创园工程</w:t>
      </w:r>
      <w:r>
        <w:rPr>
          <w:rFonts w:hint="eastAsia" w:ascii="宋体" w:hAnsi="宋体" w:cs="隶书"/>
          <w:color w:val="auto"/>
          <w:sz w:val="24"/>
          <w:highlight w:val="none"/>
        </w:rPr>
        <w:t>。</w:t>
      </w:r>
    </w:p>
    <w:p w14:paraId="12F2148D">
      <w:pPr>
        <w:pStyle w:val="193"/>
        <w:keepNext w:val="0"/>
        <w:keepLines w:val="0"/>
        <w:pageBreakBefore w:val="0"/>
        <w:widowControl w:val="0"/>
        <w:kinsoku/>
        <w:wordWrap w:val="0"/>
        <w:overflowPunct/>
        <w:topLinePunct/>
        <w:autoSpaceDE/>
        <w:autoSpaceDN/>
        <w:bidi w:val="0"/>
        <w:adjustRightInd/>
        <w:snapToGrid/>
        <w:spacing w:before="0" w:after="0" w:line="360" w:lineRule="auto"/>
        <w:textAlignment w:val="auto"/>
        <w:rPr>
          <w:rFonts w:ascii="宋体" w:hAnsi="宋体"/>
          <w:color w:val="auto"/>
          <w:sz w:val="30"/>
          <w:highlight w:val="none"/>
        </w:rPr>
      </w:pPr>
      <w:bookmarkStart w:id="63" w:name="_Toc73365469"/>
      <w:bookmarkStart w:id="64" w:name="_Toc73364856"/>
      <w:bookmarkStart w:id="65" w:name="_Toc256000013"/>
      <w:r>
        <w:rPr>
          <w:rFonts w:hint="eastAsia" w:ascii="宋体" w:hAnsi="宋体"/>
          <w:color w:val="auto"/>
          <w:sz w:val="30"/>
          <w:highlight w:val="none"/>
        </w:rPr>
        <w:t>2．定义</w:t>
      </w:r>
      <w:bookmarkEnd w:id="63"/>
      <w:bookmarkEnd w:id="64"/>
      <w:bookmarkEnd w:id="65"/>
    </w:p>
    <w:p w14:paraId="012A9F2F">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磋商文件中下列术语应解释为：</w:t>
      </w:r>
    </w:p>
    <w:p w14:paraId="09A60B4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2.1“磋商组织方”系指采购代理机构或采购单位，即：</w:t>
      </w:r>
      <w:r>
        <w:rPr>
          <w:rFonts w:hint="eastAsia" w:ascii="宋体" w:hAnsi="宋体"/>
          <w:color w:val="auto"/>
          <w:sz w:val="24"/>
          <w:highlight w:val="none"/>
          <w:lang w:eastAsia="zh-CN"/>
        </w:rPr>
        <w:t>江苏省设备成套股份有限公司</w:t>
      </w:r>
      <w:r>
        <w:rPr>
          <w:rFonts w:hint="eastAsia" w:ascii="宋体" w:hAnsi="宋体"/>
          <w:color w:val="auto"/>
          <w:sz w:val="24"/>
          <w:highlight w:val="none"/>
        </w:rPr>
        <w:t>。</w:t>
      </w:r>
    </w:p>
    <w:p w14:paraId="3F2E128E">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s="隶书"/>
          <w:color w:val="auto"/>
          <w:sz w:val="24"/>
          <w:highlight w:val="none"/>
        </w:rPr>
      </w:pPr>
      <w:r>
        <w:rPr>
          <w:rFonts w:hint="eastAsia" w:ascii="宋体" w:hAnsi="宋体"/>
          <w:color w:val="auto"/>
          <w:sz w:val="24"/>
          <w:highlight w:val="none"/>
        </w:rPr>
        <w:t>2.2“采购人”系指依法进行政府采购的国家机关、事业单位、团体组织，即：</w:t>
      </w:r>
      <w:r>
        <w:rPr>
          <w:rFonts w:hint="eastAsia" w:ascii="宋体" w:hAnsi="宋体"/>
          <w:color w:val="auto"/>
          <w:sz w:val="24"/>
          <w:szCs w:val="28"/>
          <w:highlight w:val="none"/>
          <w:lang w:eastAsia="zh-CN"/>
        </w:rPr>
        <w:t>句容市白兔镇人民政府</w:t>
      </w:r>
      <w:r>
        <w:rPr>
          <w:rFonts w:hint="eastAsia" w:ascii="宋体" w:hAnsi="宋体"/>
          <w:color w:val="auto"/>
          <w:sz w:val="24"/>
          <w:highlight w:val="none"/>
        </w:rPr>
        <w:t>。</w:t>
      </w:r>
    </w:p>
    <w:p w14:paraId="6C86D0D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2.3“供应商”系指向采购人提供货物、工程或者服务的法人、其他组织或者自然人。</w:t>
      </w:r>
    </w:p>
    <w:p w14:paraId="632A424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2.4“工程”系指本磋商文件所述采购标的，即</w:t>
      </w:r>
      <w:bookmarkStart w:id="66" w:name="EBec1f6c4cc37b4caa9954b6d54854e118"/>
      <w:r>
        <w:rPr>
          <w:rFonts w:hint="eastAsia" w:ascii="宋体" w:hAnsi="宋体"/>
          <w:color w:val="auto"/>
          <w:sz w:val="24"/>
          <w:szCs w:val="28"/>
          <w:highlight w:val="none"/>
          <w:lang w:eastAsia="zh-CN"/>
        </w:rPr>
        <w:t>现代农业产业园—半坡农创园工程</w:t>
      </w:r>
      <w:r>
        <w:rPr>
          <w:rFonts w:hint="eastAsia" w:ascii="宋体" w:hAnsi="宋体"/>
          <w:color w:val="auto"/>
          <w:sz w:val="24"/>
          <w:highlight w:val="none"/>
        </w:rPr>
        <w:t>。</w:t>
      </w:r>
      <w:bookmarkEnd w:id="66"/>
    </w:p>
    <w:p w14:paraId="751D6856">
      <w:pPr>
        <w:pStyle w:val="193"/>
        <w:keepNext w:val="0"/>
        <w:keepLines w:val="0"/>
        <w:pageBreakBefore w:val="0"/>
        <w:widowControl w:val="0"/>
        <w:kinsoku/>
        <w:wordWrap w:val="0"/>
        <w:overflowPunct/>
        <w:topLinePunct/>
        <w:autoSpaceDE/>
        <w:autoSpaceDN/>
        <w:bidi w:val="0"/>
        <w:adjustRightInd/>
        <w:snapToGrid/>
        <w:spacing w:before="0" w:after="0" w:line="360" w:lineRule="auto"/>
        <w:textAlignment w:val="auto"/>
        <w:rPr>
          <w:rFonts w:ascii="宋体" w:hAnsi="宋体"/>
          <w:color w:val="auto"/>
          <w:sz w:val="30"/>
          <w:highlight w:val="none"/>
        </w:rPr>
      </w:pPr>
      <w:bookmarkStart w:id="67" w:name="_Toc73364857"/>
      <w:bookmarkStart w:id="68" w:name="_Toc256000014"/>
      <w:bookmarkStart w:id="69" w:name="_Toc73365470"/>
      <w:r>
        <w:rPr>
          <w:rFonts w:hint="eastAsia" w:ascii="宋体" w:hAnsi="宋体"/>
          <w:color w:val="auto"/>
          <w:sz w:val="30"/>
          <w:highlight w:val="none"/>
        </w:rPr>
        <w:t>3．本次采购方式</w:t>
      </w:r>
      <w:bookmarkEnd w:id="67"/>
      <w:bookmarkEnd w:id="68"/>
      <w:bookmarkEnd w:id="69"/>
    </w:p>
    <w:p w14:paraId="7D1DC5B9">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3.1本次采购采取竞争性磋商采购方式：综合评分法。</w:t>
      </w:r>
    </w:p>
    <w:p w14:paraId="063DB9E2">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3.2是否接受进口产品：否</w:t>
      </w:r>
      <w:bookmarkStart w:id="70" w:name="EBb827a1ee09c24503810ef107662edd9b"/>
      <w:r>
        <w:rPr>
          <w:rFonts w:ascii="宋体" w:hAnsi="宋体"/>
          <w:color w:val="auto"/>
          <w:sz w:val="24"/>
          <w:highlight w:val="none"/>
        </w:rPr>
        <w:t xml:space="preserve"> </w:t>
      </w:r>
      <w:bookmarkEnd w:id="70"/>
      <w:bookmarkStart w:id="71" w:name="EB864908c2907a43c2b4173db210221033"/>
      <w:r>
        <w:rPr>
          <w:rFonts w:ascii="宋体" w:hAnsi="宋体"/>
          <w:color w:val="auto"/>
          <w:sz w:val="24"/>
          <w:highlight w:val="none"/>
        </w:rPr>
        <w:t xml:space="preserve"> </w:t>
      </w:r>
      <w:bookmarkEnd w:id="71"/>
      <w:bookmarkStart w:id="72" w:name="EB326aa1936df44aef9d1be4dfa91c7594"/>
      <w:r>
        <w:rPr>
          <w:rFonts w:ascii="宋体" w:hAnsi="宋体"/>
          <w:color w:val="auto"/>
          <w:sz w:val="24"/>
          <w:highlight w:val="none"/>
        </w:rPr>
        <w:t xml:space="preserve"> </w:t>
      </w:r>
      <w:bookmarkEnd w:id="72"/>
    </w:p>
    <w:p w14:paraId="3C028BB5">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3.3本项目资格审查方式：资格后审</w:t>
      </w:r>
      <w:bookmarkStart w:id="73" w:name="EB554d20e884b34f068f9abf5c2900c4d1"/>
      <w:r>
        <w:rPr>
          <w:rFonts w:ascii="宋体" w:hAnsi="宋体"/>
          <w:color w:val="auto"/>
          <w:sz w:val="24"/>
          <w:highlight w:val="none"/>
        </w:rPr>
        <w:t xml:space="preserve"> </w:t>
      </w:r>
      <w:bookmarkEnd w:id="73"/>
      <w:bookmarkStart w:id="74" w:name="EB95604dcf296947de98be329cdd95192a"/>
      <w:r>
        <w:rPr>
          <w:rFonts w:ascii="宋体" w:hAnsi="宋体"/>
          <w:color w:val="auto"/>
          <w:sz w:val="24"/>
          <w:highlight w:val="none"/>
        </w:rPr>
        <w:t xml:space="preserve"> </w:t>
      </w:r>
      <w:bookmarkEnd w:id="74"/>
      <w:bookmarkStart w:id="75" w:name="EBeaa6884fb96b4a01bb14112961cfa20a"/>
      <w:r>
        <w:rPr>
          <w:rFonts w:ascii="宋体" w:hAnsi="宋体"/>
          <w:color w:val="auto"/>
          <w:sz w:val="24"/>
          <w:highlight w:val="none"/>
        </w:rPr>
        <w:t xml:space="preserve"> </w:t>
      </w:r>
      <w:bookmarkEnd w:id="75"/>
    </w:p>
    <w:p w14:paraId="00B15B51">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szCs w:val="28"/>
          <w:highlight w:val="none"/>
        </w:rPr>
      </w:pPr>
      <w:r>
        <w:rPr>
          <w:rFonts w:hint="eastAsia" w:ascii="宋体" w:hAnsi="宋体"/>
          <w:color w:val="auto"/>
          <w:sz w:val="24"/>
          <w:highlight w:val="none"/>
        </w:rPr>
        <w:t>3.4 本次采购确定的成交人数量：</w:t>
      </w:r>
      <w:bookmarkStart w:id="76" w:name="EB239bc7938d02463888f23182e5e568e7"/>
      <w:r>
        <w:rPr>
          <w:rFonts w:hint="eastAsia" w:ascii="宋体" w:hAnsi="宋体"/>
          <w:color w:val="auto"/>
          <w:sz w:val="24"/>
          <w:szCs w:val="28"/>
          <w:highlight w:val="none"/>
        </w:rPr>
        <w:t>1名</w:t>
      </w:r>
      <w:bookmarkEnd w:id="76"/>
      <w:r>
        <w:rPr>
          <w:rFonts w:ascii="宋体" w:hAnsi="宋体"/>
          <w:color w:val="auto"/>
          <w:sz w:val="24"/>
          <w:szCs w:val="28"/>
          <w:highlight w:val="none"/>
        </w:rPr>
        <w:t xml:space="preserve"> </w:t>
      </w:r>
      <w:bookmarkStart w:id="77" w:name="EB65f1af548e51428190f46d10e71d9afc"/>
      <w:bookmarkEnd w:id="77"/>
    </w:p>
    <w:p w14:paraId="128E1BA7">
      <w:pPr>
        <w:pStyle w:val="193"/>
        <w:keepNext w:val="0"/>
        <w:keepLines w:val="0"/>
        <w:pageBreakBefore w:val="0"/>
        <w:widowControl w:val="0"/>
        <w:kinsoku/>
        <w:wordWrap w:val="0"/>
        <w:overflowPunct/>
        <w:topLinePunct/>
        <w:autoSpaceDE/>
        <w:autoSpaceDN/>
        <w:bidi w:val="0"/>
        <w:adjustRightInd/>
        <w:snapToGrid/>
        <w:spacing w:before="0" w:after="0" w:line="360" w:lineRule="auto"/>
        <w:textAlignment w:val="auto"/>
        <w:rPr>
          <w:rFonts w:ascii="宋体" w:hAnsi="宋体"/>
          <w:color w:val="auto"/>
          <w:sz w:val="30"/>
          <w:highlight w:val="none"/>
        </w:rPr>
      </w:pPr>
      <w:bookmarkStart w:id="78" w:name="_Toc73364858"/>
      <w:bookmarkStart w:id="79" w:name="_Toc256000015"/>
      <w:bookmarkStart w:id="80" w:name="_Toc73365471"/>
      <w:r>
        <w:rPr>
          <w:rFonts w:hint="eastAsia" w:ascii="宋体" w:hAnsi="宋体"/>
          <w:color w:val="auto"/>
          <w:sz w:val="30"/>
          <w:highlight w:val="none"/>
        </w:rPr>
        <w:t>4．磋商费用</w:t>
      </w:r>
      <w:bookmarkEnd w:id="78"/>
      <w:bookmarkEnd w:id="79"/>
      <w:bookmarkEnd w:id="80"/>
    </w:p>
    <w:p w14:paraId="031CBAD7">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b/>
          <w:color w:val="auto"/>
          <w:sz w:val="24"/>
          <w:highlight w:val="none"/>
        </w:rPr>
      </w:pPr>
      <w:r>
        <w:rPr>
          <w:rFonts w:hint="eastAsia" w:ascii="宋体" w:hAnsi="宋体"/>
          <w:color w:val="auto"/>
          <w:sz w:val="24"/>
          <w:highlight w:val="none"/>
        </w:rPr>
        <w:t>4.1 供应商应自行承担所有与参加磋商有关的费用</w:t>
      </w:r>
      <w:r>
        <w:rPr>
          <w:rFonts w:hint="eastAsia" w:ascii="宋体" w:hAnsi="宋体"/>
          <w:b/>
          <w:color w:val="auto"/>
          <w:sz w:val="24"/>
          <w:highlight w:val="none"/>
        </w:rPr>
        <w:t>。</w:t>
      </w:r>
    </w:p>
    <w:p w14:paraId="3CF79FF6">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bCs/>
          <w:color w:val="auto"/>
          <w:sz w:val="24"/>
          <w:highlight w:val="none"/>
        </w:rPr>
      </w:pPr>
      <w:bookmarkStart w:id="81" w:name="EB43d98a67a624490d81135a7e75760740"/>
      <w:r>
        <w:rPr>
          <w:rFonts w:hint="eastAsia" w:ascii="宋体" w:hAnsi="宋体"/>
          <w:bCs/>
          <w:color w:val="auto"/>
          <w:sz w:val="24"/>
          <w:highlight w:val="none"/>
        </w:rPr>
        <w:t>成交供应商须向磋商组织方支付采购代理服务费，收费标准</w:t>
      </w:r>
      <w:r>
        <w:rPr>
          <w:rFonts w:hint="eastAsia" w:ascii="宋体" w:hAnsi="宋体"/>
          <w:bCs/>
          <w:color w:val="auto"/>
          <w:sz w:val="24"/>
          <w:highlight w:val="none"/>
          <w:lang w:eastAsia="zh-CN"/>
        </w:rPr>
        <w:t>：参照《招标代理服务收费管理暂行办法》(国家发展计划委员会“计价格【2002】1980号”)代理工程招标收费基准费率标准的70%收取采购代理服务费。成交供应商如果未按规定缴纳代理服务费，</w:t>
      </w:r>
      <w:r>
        <w:rPr>
          <w:rFonts w:hint="eastAsia" w:ascii="宋体" w:hAnsi="宋体"/>
          <w:bCs/>
          <w:color w:val="auto"/>
          <w:sz w:val="24"/>
          <w:highlight w:val="none"/>
          <w:lang w:val="en-US" w:eastAsia="zh-CN"/>
        </w:rPr>
        <w:t>采购</w:t>
      </w:r>
      <w:r>
        <w:rPr>
          <w:rFonts w:hint="eastAsia" w:ascii="宋体" w:hAnsi="宋体"/>
          <w:bCs/>
          <w:color w:val="auto"/>
          <w:sz w:val="24"/>
          <w:highlight w:val="none"/>
          <w:lang w:eastAsia="zh-CN"/>
        </w:rPr>
        <w:t>组织方将保留诉讼的权利。</w:t>
      </w:r>
    </w:p>
    <w:p w14:paraId="3D8F432C">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bCs/>
          <w:color w:val="auto"/>
          <w:sz w:val="24"/>
          <w:highlight w:val="none"/>
        </w:rPr>
      </w:pPr>
      <w:r>
        <w:rPr>
          <w:rFonts w:hint="eastAsia" w:ascii="宋体" w:hAnsi="宋体"/>
          <w:bCs/>
          <w:color w:val="auto"/>
          <w:sz w:val="24"/>
          <w:highlight w:val="none"/>
        </w:rPr>
        <w:t xml:space="preserve">代理费用收款信息：    </w:t>
      </w:r>
    </w:p>
    <w:p w14:paraId="1797DB51">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bCs/>
          <w:color w:val="auto"/>
          <w:sz w:val="24"/>
          <w:highlight w:val="none"/>
        </w:rPr>
      </w:pPr>
      <w:r>
        <w:rPr>
          <w:rFonts w:hint="eastAsia" w:ascii="宋体" w:hAnsi="宋体"/>
          <w:bCs/>
          <w:color w:val="auto"/>
          <w:sz w:val="24"/>
          <w:highlight w:val="none"/>
        </w:rPr>
        <w:t>收款单位：</w:t>
      </w:r>
      <w:r>
        <w:rPr>
          <w:rFonts w:hint="eastAsia" w:ascii="宋体" w:hAnsi="宋体"/>
          <w:bCs/>
          <w:color w:val="auto"/>
          <w:sz w:val="24"/>
          <w:highlight w:val="none"/>
          <w:lang w:eastAsia="zh-CN"/>
        </w:rPr>
        <w:t>江苏省设备成套股份有限公司</w:t>
      </w:r>
      <w:r>
        <w:rPr>
          <w:rFonts w:hint="eastAsia" w:ascii="宋体" w:hAnsi="宋体"/>
          <w:bCs/>
          <w:color w:val="auto"/>
          <w:sz w:val="24"/>
          <w:highlight w:val="none"/>
        </w:rPr>
        <w:t xml:space="preserve">    </w:t>
      </w:r>
    </w:p>
    <w:p w14:paraId="03B73F92">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hint="eastAsia" w:ascii="宋体" w:hAnsi="宋体"/>
          <w:bCs/>
          <w:color w:val="auto"/>
          <w:sz w:val="24"/>
          <w:highlight w:val="none"/>
        </w:rPr>
      </w:pPr>
      <w:r>
        <w:rPr>
          <w:rFonts w:hint="eastAsia" w:ascii="宋体" w:hAnsi="宋体"/>
          <w:bCs/>
          <w:color w:val="auto"/>
          <w:sz w:val="24"/>
          <w:highlight w:val="none"/>
        </w:rPr>
        <w:t>收款账号：93060154740006335</w:t>
      </w:r>
    </w:p>
    <w:p w14:paraId="16844144">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bCs/>
          <w:color w:val="auto"/>
          <w:sz w:val="24"/>
          <w:highlight w:val="none"/>
        </w:rPr>
      </w:pPr>
      <w:r>
        <w:rPr>
          <w:rFonts w:hint="eastAsia" w:ascii="宋体" w:hAnsi="宋体"/>
          <w:bCs/>
          <w:color w:val="auto"/>
          <w:sz w:val="24"/>
          <w:highlight w:val="none"/>
        </w:rPr>
        <w:t>开户银行：</w:t>
      </w:r>
      <w:bookmarkEnd w:id="81"/>
      <w:r>
        <w:rPr>
          <w:rFonts w:hint="eastAsia" w:ascii="宋体" w:hAnsi="宋体"/>
          <w:bCs/>
          <w:color w:val="auto"/>
          <w:sz w:val="24"/>
          <w:highlight w:val="none"/>
        </w:rPr>
        <w:t>浦发银行南京北京西路支行</w:t>
      </w:r>
    </w:p>
    <w:p w14:paraId="2F22DABB">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4.2不论磋商的结果如何，磋商组织方在任何情况下均无义务和责任承担上述费用。</w:t>
      </w:r>
    </w:p>
    <w:p w14:paraId="2482F4DD">
      <w:pPr>
        <w:pStyle w:val="193"/>
        <w:keepNext w:val="0"/>
        <w:keepLines w:val="0"/>
        <w:pageBreakBefore w:val="0"/>
        <w:widowControl w:val="0"/>
        <w:kinsoku/>
        <w:wordWrap w:val="0"/>
        <w:overflowPunct/>
        <w:topLinePunct/>
        <w:autoSpaceDE/>
        <w:autoSpaceDN/>
        <w:bidi w:val="0"/>
        <w:adjustRightInd/>
        <w:snapToGrid/>
        <w:spacing w:before="0" w:after="0" w:line="360" w:lineRule="auto"/>
        <w:textAlignment w:val="auto"/>
        <w:rPr>
          <w:rFonts w:ascii="宋体" w:hAnsi="宋体"/>
          <w:color w:val="auto"/>
          <w:sz w:val="30"/>
          <w:highlight w:val="none"/>
        </w:rPr>
      </w:pPr>
      <w:bookmarkStart w:id="82" w:name="_Toc256000016"/>
      <w:bookmarkStart w:id="83" w:name="_Toc73364859"/>
      <w:bookmarkStart w:id="84" w:name="_Toc73365472"/>
      <w:r>
        <w:rPr>
          <w:rFonts w:hint="eastAsia" w:ascii="宋体" w:hAnsi="宋体"/>
          <w:color w:val="auto"/>
          <w:sz w:val="30"/>
          <w:highlight w:val="none"/>
        </w:rPr>
        <w:t>5．政策功能</w:t>
      </w:r>
      <w:bookmarkEnd w:id="82"/>
      <w:bookmarkEnd w:id="83"/>
      <w:bookmarkEnd w:id="84"/>
    </w:p>
    <w:p w14:paraId="18870CA6">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bookmarkStart w:id="85" w:name="EB39beb4a8f399413b834ec4cdb7b2bea0"/>
      <w:r>
        <w:rPr>
          <w:rFonts w:hint="eastAsia" w:ascii="宋体" w:hAnsi="宋体"/>
          <w:color w:val="auto"/>
          <w:sz w:val="24"/>
          <w:highlight w:val="none"/>
        </w:rPr>
        <w:t>5.1支持中小企业发展</w:t>
      </w:r>
    </w:p>
    <w:p w14:paraId="64492B89">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5.1.1中小企业，是指在中华人民共和国境内依法设立，依据国务院批准的中小企业划分标准确定的中型企业、小型企业和微型企业，但与大企业的负责人为同一人，或者与大企业存在直接控股、管理关系的除外。</w:t>
      </w:r>
    </w:p>
    <w:p w14:paraId="02AABD8A">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符合中小企业划分标准的个体工商户，在政府采购活动中视同中小企业。</w:t>
      </w:r>
    </w:p>
    <w:p w14:paraId="342D6136">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5.1.2在政府采购活动中，投标人提供的货物、工程或者服务符合下列情形的，享受中小企业扶持政策：</w:t>
      </w:r>
    </w:p>
    <w:p w14:paraId="71A0F699">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5.1.2.1在货物采购项目中，货物由中小企业制造，即货物由中小企业生产且使用该中小企业商号或者注册商标；</w:t>
      </w:r>
    </w:p>
    <w:p w14:paraId="10FCE96C">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5.1.2.2在工程采购项目中，工程由中小企业承建，即工程施工单位为中小企业；</w:t>
      </w:r>
    </w:p>
    <w:p w14:paraId="2216D538">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5.1.2.3在服务采购项目中，服务由中小企业承接，即提供服务的人员为中小企业依照《中华人民共和国劳动合同法》订立劳动合同的从业人员。</w:t>
      </w:r>
    </w:p>
    <w:p w14:paraId="0A3E9777">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在货物采购项目中，投标人提供的货物既有中小企业制造货物，也有大型企业制造货物的，不享受中小企业扶持政策。</w:t>
      </w:r>
    </w:p>
    <w:p w14:paraId="56DD08A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以联合体形式参加政府采购活动，联合体各方均为中小企业的，联合体视同中小企业。其中，联合体各方均为小微企业的，联合体视同小微企业。</w:t>
      </w:r>
    </w:p>
    <w:p w14:paraId="0FEA2621">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5.1.3根据《政府采购促进中小企业发展管理办法》要求，对于专门面向中小企业或小型、微型企业的项目，只面向中小企业或小型、微型企业采购。对于非专门面向中小企业的项目，对小型和微型企业的价格给予5%的扣除，用扣除后的价格参与评审。大中型企业和其他自然人、法人或者其他组织与小型、微型企业组成联合体共同参加投标，如果联合协议中约定，小型、微型企业的协议合同金额占到联合体协议合同总金额30%以上的，给予联合体2%的价格扣除。联合体各方均为小型、微型企业的，联合体视同为小型、微型企业给予5%价格扣除，用扣除后的价格参与评审。组成联合体的大中型企业和其他自然人、法人或者其他组织，与小型、微型企业之间不得存在投资关系。</w:t>
      </w:r>
    </w:p>
    <w:p w14:paraId="5A1DF83C">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5.1.4根据《财政部司法部关于政府采购支持监狱企业发展有关问题的通知》（财库〔2014〕68号）要求，本项目对监狱和戒毒企业，给予5%的价格扣除，用扣除后的价格参与评审。监狱和戒毒企业应当提供由省级以上监狱管理局、戒毒管理局（含新疆生产建设兵团）出具的属于监狱企业的证明文件。</w:t>
      </w:r>
    </w:p>
    <w:p w14:paraId="52F67A8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5.1.5根据《关于促进残疾人就业政府采购政策的通知》（财库〔2017〕141号）要求，残疾人福利性单位视同小型、微型企业，享受与小型、微型企业产品价格同比例扣除的优惠政策。本项目对残疾人福利性单位，给予5%的价格扣除，用扣除后的价格参与评审。符合条件的残疾人福利性单位应当提供《残疾人福利性单位声明函》，并对声明的真实性负责。</w:t>
      </w:r>
    </w:p>
    <w:p w14:paraId="42A2C5F3">
      <w:pPr>
        <w:keepNext w:val="0"/>
        <w:keepLines w:val="0"/>
        <w:pageBreakBefore w:val="0"/>
        <w:widowControl w:val="0"/>
        <w:kinsoku/>
        <w:wordWrap w:val="0"/>
        <w:overflowPunct/>
        <w:topLinePunct/>
        <w:autoSpaceDE/>
        <w:autoSpaceDN/>
        <w:bidi w:val="0"/>
        <w:adjustRightInd/>
        <w:snapToGrid/>
        <w:spacing w:line="360" w:lineRule="auto"/>
        <w:ind w:firstLine="482" w:firstLineChars="200"/>
        <w:textAlignment w:val="auto"/>
        <w:rPr>
          <w:rFonts w:hint="eastAsia" w:ascii="宋体" w:hAnsi="宋体" w:eastAsia="宋体"/>
          <w:b/>
          <w:bCs/>
          <w:color w:val="auto"/>
          <w:sz w:val="24"/>
          <w:highlight w:val="none"/>
          <w:lang w:val="en-US" w:eastAsia="zh-CN"/>
        </w:rPr>
      </w:pPr>
      <w:r>
        <w:rPr>
          <w:rFonts w:hint="eastAsia" w:ascii="宋体" w:hAnsi="宋体"/>
          <w:b/>
          <w:bCs/>
          <w:color w:val="auto"/>
          <w:sz w:val="24"/>
          <w:highlight w:val="none"/>
          <w:lang w:val="en-US" w:eastAsia="zh-CN"/>
        </w:rPr>
        <w:t>注：监狱企业、残疾人福利性单位属于小型、微型企业的，不重复享受政策。</w:t>
      </w:r>
    </w:p>
    <w:p w14:paraId="60049F4C">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5.1.6中小企业享受扶持政策获得政府采购合同的，小微企业不得将合同分包给大中型企业，中型企业不得将合同分包给大型企业。</w:t>
      </w:r>
    </w:p>
    <w:p w14:paraId="333DF4AE">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5.2强制采购信息安全产品</w:t>
      </w:r>
    </w:p>
    <w:p w14:paraId="3094F264">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信息安全产品指国家质检总局国家认监委《信息安全产品强制性认证目录》，并获得强制性产品认证证书的产品。</w:t>
      </w:r>
    </w:p>
    <w:p w14:paraId="5F8E16C4">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5.3支持绿色发展</w:t>
      </w:r>
    </w:p>
    <w:p w14:paraId="19FCE6F3">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ascii="宋体" w:hAnsi="宋体"/>
          <w:color w:val="auto"/>
          <w:sz w:val="24"/>
          <w:highlight w:val="none"/>
        </w:rPr>
        <w:t>5.3.1</w:t>
      </w:r>
      <w:r>
        <w:rPr>
          <w:rFonts w:hint="eastAsia" w:ascii="宋体" w:hAnsi="宋体"/>
          <w:color w:val="auto"/>
          <w:sz w:val="24"/>
          <w:highlight w:val="none"/>
        </w:rPr>
        <w:t>根据《财政部 发展改革委 生态环境部 市场监管总局关于调整优化节能产品 环境标志产品政府采购执行机制的通知》（财库〔2019〕9号）的规定，对政府采购节能产品、环境标志产品实施品目清单管理。供应商所投产品属于品目清单范围的，依据国家确定的认证机构出具的、处于有效期之内的节能产品、环境标志产品认证证书，对获得证书的产品实施政府优先采购或强制采购。</w:t>
      </w:r>
    </w:p>
    <w:p w14:paraId="169D6116">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w:t>
      </w:r>
      <w:r>
        <w:rPr>
          <w:rFonts w:ascii="宋体" w:hAnsi="宋体"/>
          <w:color w:val="auto"/>
          <w:sz w:val="24"/>
          <w:highlight w:val="none"/>
        </w:rPr>
        <w:t>3.2</w:t>
      </w:r>
      <w:r>
        <w:rPr>
          <w:rFonts w:hint="eastAsia" w:ascii="宋体" w:hAnsi="宋体"/>
          <w:color w:val="auto"/>
          <w:sz w:val="24"/>
          <w:highlight w:val="none"/>
        </w:rPr>
        <w:t>本项目中涉及商品包装和快递包装的，参考《财政部办公厅关于印发《商品包装政府采购需求标准（试行）》、《快递包装政府采购需求标准（试行）》的通知》</w:t>
      </w:r>
      <w:bookmarkStart w:id="86" w:name="_Hlk132634610"/>
      <w:r>
        <w:rPr>
          <w:rFonts w:hint="eastAsia" w:ascii="宋体" w:hAnsi="宋体"/>
          <w:color w:val="auto"/>
          <w:sz w:val="24"/>
          <w:highlight w:val="none"/>
        </w:rPr>
        <w:t>（财办库〔2020〕123号）</w:t>
      </w:r>
      <w:bookmarkEnd w:id="86"/>
      <w:r>
        <w:rPr>
          <w:rFonts w:hint="eastAsia" w:ascii="宋体" w:hAnsi="宋体"/>
          <w:color w:val="auto"/>
          <w:sz w:val="24"/>
          <w:highlight w:val="none"/>
        </w:rPr>
        <w:t>规定的包装需求标准。</w:t>
      </w:r>
    </w:p>
    <w:p w14:paraId="486C0B4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5.3.3纳入政府采购管理的装修、修缮等项目，鼓励参考财政部办公厅 住房城乡建设部办公厅 工业和信息化部办公厅关于印发《政府采购支持绿色建材促进建筑品质提升政策项目实施指南》的通知（财办库〔2023〕52号）规定的需求标准。</w:t>
      </w:r>
    </w:p>
    <w:p w14:paraId="7B99C48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5.3.4采购人采购数据中心相关设备、运维服务，按照《绿色数据中心政府采购需求标准（试行）》实施相关采购活动。</w:t>
      </w:r>
    </w:p>
    <w:p w14:paraId="05B0DA6E">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5.4 根据国家扶持中小企业的有关政策，采购项目中标人在履约过程中如遇到资金困难，凭政府采购合同在相关金融机构办理授信申请，相关事宜请查阅“镇江市公共资源交易服务平台---政府采购”网站。</w:t>
      </w:r>
    </w:p>
    <w:p w14:paraId="417124AE">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5.5支持创新发展</w:t>
      </w:r>
    </w:p>
    <w:p w14:paraId="08D56D54">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5.5.1采购人优先采购被认定为重点推广应用、首台（套）重大装备、重点领域首版次软件的自主创新产品。</w:t>
      </w:r>
    </w:p>
    <w:p w14:paraId="244B3420">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5.6平等对待内外资企业和符合条件的破产重整企业</w:t>
      </w:r>
    </w:p>
    <w:p w14:paraId="7D38CC72">
      <w:pPr>
        <w:keepNext w:val="0"/>
        <w:keepLines w:val="0"/>
        <w:pageBreakBefore w:val="0"/>
        <w:widowControl w:val="0"/>
        <w:kinsoku/>
        <w:wordWrap w:val="0"/>
        <w:overflowPunct/>
        <w:topLinePunct/>
        <w:autoSpaceDE/>
        <w:autoSpaceDN/>
        <w:bidi w:val="0"/>
        <w:adjustRightInd/>
        <w:snapToGrid/>
        <w:spacing w:line="360" w:lineRule="auto"/>
        <w:ind w:firstLine="480" w:firstLineChars="200"/>
        <w:textAlignment w:val="auto"/>
        <w:rPr>
          <w:rFonts w:ascii="宋体" w:hAnsi="宋体"/>
          <w:color w:val="auto"/>
          <w:sz w:val="24"/>
          <w:highlight w:val="none"/>
        </w:rPr>
      </w:pPr>
      <w:r>
        <w:rPr>
          <w:rFonts w:hint="eastAsia" w:ascii="宋体" w:hAnsi="宋体"/>
          <w:color w:val="auto"/>
          <w:sz w:val="24"/>
          <w:highlight w:val="none"/>
        </w:rPr>
        <w:t>5.6.1平等对待内外资企业和符合条件的破产重整企业，切实保障企业公平竞争，平等维护企业的合法利益。</w:t>
      </w:r>
    </w:p>
    <w:bookmarkEnd w:id="85"/>
    <w:p w14:paraId="3EA71AB8">
      <w:pPr>
        <w:pStyle w:val="192"/>
        <w:rPr>
          <w:rFonts w:ascii="宋体" w:hAnsi="宋体" w:eastAsia="宋体"/>
          <w:color w:val="auto"/>
          <w:sz w:val="32"/>
          <w:highlight w:val="none"/>
        </w:rPr>
      </w:pPr>
      <w:bookmarkStart w:id="87" w:name="_Toc73364860"/>
      <w:bookmarkStart w:id="88" w:name="_Toc73365473"/>
      <w:bookmarkStart w:id="89" w:name="_Toc256000017"/>
      <w:r>
        <w:rPr>
          <w:rFonts w:hint="eastAsia" w:ascii="宋体" w:hAnsi="宋体" w:eastAsia="宋体"/>
          <w:color w:val="auto"/>
          <w:sz w:val="32"/>
          <w:highlight w:val="none"/>
        </w:rPr>
        <w:t>二、磋商文件</w:t>
      </w:r>
      <w:bookmarkEnd w:id="87"/>
      <w:bookmarkEnd w:id="88"/>
      <w:bookmarkEnd w:id="89"/>
    </w:p>
    <w:p w14:paraId="214C7CAD">
      <w:pPr>
        <w:pStyle w:val="193"/>
        <w:keepNext w:val="0"/>
        <w:keepLines w:val="0"/>
        <w:pageBreakBefore w:val="0"/>
        <w:widowControl w:val="0"/>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90" w:name="_Toc73365474"/>
      <w:bookmarkStart w:id="91" w:name="_Toc256000018"/>
      <w:bookmarkStart w:id="92" w:name="_Toc73364861"/>
      <w:r>
        <w:rPr>
          <w:rFonts w:hint="eastAsia" w:ascii="宋体" w:hAnsi="宋体"/>
          <w:color w:val="auto"/>
          <w:sz w:val="30"/>
          <w:highlight w:val="none"/>
        </w:rPr>
        <w:t>6．磋商文件组成</w:t>
      </w:r>
      <w:bookmarkEnd w:id="90"/>
      <w:bookmarkEnd w:id="91"/>
      <w:bookmarkEnd w:id="92"/>
    </w:p>
    <w:p w14:paraId="37C54A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6.1磋商文件包括：</w:t>
      </w:r>
    </w:p>
    <w:p w14:paraId="59AEC2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olor w:val="auto"/>
          <w:sz w:val="24"/>
          <w:highlight w:val="none"/>
          <w:lang w:eastAsia="zh-CN"/>
        </w:rPr>
      </w:pPr>
      <w:r>
        <w:rPr>
          <w:rFonts w:hint="eastAsia" w:ascii="宋体" w:hAnsi="宋体"/>
          <w:color w:val="auto"/>
          <w:sz w:val="24"/>
          <w:highlight w:val="none"/>
        </w:rPr>
        <w:t>（1）磋商</w:t>
      </w:r>
      <w:r>
        <w:rPr>
          <w:rFonts w:hint="eastAsia" w:ascii="宋体" w:hAnsi="宋体"/>
          <w:color w:val="auto"/>
          <w:sz w:val="24"/>
          <w:highlight w:val="none"/>
          <w:lang w:val="en-US" w:eastAsia="zh-CN"/>
        </w:rPr>
        <w:t>公告</w:t>
      </w:r>
    </w:p>
    <w:p w14:paraId="09CF0B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（2）供应商须知</w:t>
      </w:r>
    </w:p>
    <w:p w14:paraId="4C2DC0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（3）合同</w:t>
      </w:r>
    </w:p>
    <w:p w14:paraId="051D68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（4）采购需求</w:t>
      </w:r>
    </w:p>
    <w:p w14:paraId="3ABE69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（5）评审办法和标准</w:t>
      </w:r>
    </w:p>
    <w:p w14:paraId="6E6CBC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（6）磋商响应文件（格式）</w:t>
      </w:r>
    </w:p>
    <w:p w14:paraId="4A45F4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6.2供应商获取本文件后，应认真阅读本文件中所有的事项、格式条款和规范等要求。</w:t>
      </w:r>
    </w:p>
    <w:p w14:paraId="5624F3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6.3</w:t>
      </w:r>
      <w:r>
        <w:rPr>
          <w:rFonts w:hint="eastAsia" w:ascii="宋体" w:hAnsi="宋体"/>
          <w:b/>
          <w:color w:val="auto"/>
          <w:sz w:val="24"/>
          <w:highlight w:val="none"/>
          <w:u w:val="single"/>
        </w:rPr>
        <w:t>除非有特殊要求，磋商文件不单独提供标的所在地自然环境、气象条件、公用设施等情况，供应商被视为熟悉上述与签订和履行合同有关的一切情况</w:t>
      </w:r>
      <w:r>
        <w:rPr>
          <w:rFonts w:hint="eastAsia" w:ascii="宋体" w:hAnsi="宋体"/>
          <w:b/>
          <w:color w:val="auto"/>
          <w:sz w:val="24"/>
          <w:highlight w:val="none"/>
        </w:rPr>
        <w:t>。</w:t>
      </w:r>
    </w:p>
    <w:p w14:paraId="70C7FBD3">
      <w:pPr>
        <w:pStyle w:val="193"/>
        <w:keepNext w:val="0"/>
        <w:keepLines w:val="0"/>
        <w:pageBreakBefore w:val="0"/>
        <w:widowControl w:val="0"/>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93" w:name="_Toc73365475"/>
      <w:bookmarkStart w:id="94" w:name="_Toc256000019"/>
      <w:bookmarkStart w:id="95" w:name="_Toc73364862"/>
      <w:r>
        <w:rPr>
          <w:rFonts w:hint="eastAsia" w:ascii="宋体" w:hAnsi="宋体"/>
          <w:color w:val="auto"/>
          <w:sz w:val="30"/>
          <w:highlight w:val="none"/>
        </w:rPr>
        <w:t>7．磋商文件的澄清和修改</w:t>
      </w:r>
      <w:bookmarkEnd w:id="93"/>
      <w:bookmarkEnd w:id="94"/>
      <w:bookmarkEnd w:id="95"/>
    </w:p>
    <w:p w14:paraId="743226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7.1任何要求对磋商文件进行澄清的供应商，应及时联系项目联系人。</w:t>
      </w:r>
    </w:p>
    <w:p w14:paraId="48A759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 xml:space="preserve">7.2 </w:t>
      </w:r>
      <w:r>
        <w:rPr>
          <w:rFonts w:hint="eastAsia" w:ascii="宋体" w:hAnsi="宋体"/>
          <w:b/>
          <w:color w:val="auto"/>
          <w:sz w:val="24"/>
          <w:highlight w:val="none"/>
        </w:rPr>
        <w:t>按照权责相一致原则，供应商提出的对于磋商文件主要商务、技术指标的相关澄清、修改要求，由采购人负责答复并视情况作出澄清或修改的决定。</w:t>
      </w:r>
    </w:p>
    <w:p w14:paraId="7F2D7D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7.3磋商组织方可以对已发出的磋商文件进行必要的澄清或者修改。澄清或者修改将在“江苏政府采购”网站上发布澄清公告。澄清或者修改的内容为磋商文件的组成部分。</w:t>
      </w:r>
    </w:p>
    <w:p w14:paraId="245AE8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7.4澄清或者修改的内容可能影响磋商响应文件编制的，磋商组织方将在磋商截止时间至少5日前，在系统中以书面形式通知所有已获取磋商文件的潜在供应商, 供应商请登录系统查看相应内容；不足5日的，磋商组织方将顺延提交首次磋商响应文件的截止时间。</w:t>
      </w:r>
    </w:p>
    <w:p w14:paraId="67BA860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b/>
          <w:color w:val="auto"/>
          <w:sz w:val="24"/>
          <w:highlight w:val="none"/>
        </w:rPr>
      </w:pPr>
      <w:r>
        <w:rPr>
          <w:rFonts w:hint="eastAsia" w:ascii="宋体" w:hAnsi="宋体"/>
          <w:b/>
          <w:color w:val="auto"/>
          <w:sz w:val="24"/>
          <w:highlight w:val="none"/>
        </w:rPr>
        <w:t>7.5如澄清或修改公告有重新发布电子磋商文件的，供应商应下载最新发布的电子磋商文件制作响应文件。</w:t>
      </w:r>
      <w:r>
        <w:rPr>
          <w:rFonts w:ascii="宋体" w:hAnsi="宋体"/>
          <w:b/>
          <w:color w:val="auto"/>
          <w:sz w:val="24"/>
          <w:highlight w:val="none"/>
        </w:rPr>
        <w:t>因供应商自身原因未能及时获取的</w:t>
      </w:r>
      <w:r>
        <w:rPr>
          <w:rFonts w:hint="eastAsia" w:ascii="宋体" w:hAnsi="宋体"/>
          <w:b/>
          <w:color w:val="auto"/>
          <w:sz w:val="24"/>
          <w:highlight w:val="none"/>
        </w:rPr>
        <w:t>，一切后果由供应商自行承担。</w:t>
      </w:r>
    </w:p>
    <w:p w14:paraId="20F6CACB">
      <w:pPr>
        <w:rPr>
          <w:rFonts w:hint="eastAsia"/>
          <w:color w:val="auto"/>
          <w:highlight w:val="none"/>
        </w:rPr>
      </w:pPr>
      <w:bookmarkStart w:id="96" w:name="EB6b6863424e2e48afbb4b6eb8be474c89"/>
      <w:r>
        <w:rPr>
          <w:rFonts w:hint="eastAsia"/>
          <w:color w:val="auto"/>
          <w:sz w:val="20"/>
          <w:highlight w:val="none"/>
        </w:rPr>
        <w:t xml:space="preserve"> </w:t>
      </w:r>
      <w:bookmarkEnd w:id="96"/>
    </w:p>
    <w:p w14:paraId="3162F8AB">
      <w:pPr>
        <w:rPr>
          <w:color w:val="auto"/>
          <w:highlight w:val="none"/>
        </w:rPr>
      </w:pPr>
      <w:bookmarkStart w:id="97" w:name="EB72d70437ecc14e52b97911dcb0eba452"/>
      <w:r>
        <w:rPr>
          <w:rFonts w:hint="eastAsia"/>
          <w:color w:val="auto"/>
          <w:sz w:val="20"/>
          <w:highlight w:val="none"/>
        </w:rPr>
        <w:t xml:space="preserve"> </w:t>
      </w:r>
      <w:bookmarkEnd w:id="97"/>
    </w:p>
    <w:p w14:paraId="669C4C86">
      <w:pPr>
        <w:pStyle w:val="192"/>
        <w:rPr>
          <w:rFonts w:ascii="宋体" w:hAnsi="宋体" w:eastAsia="宋体"/>
          <w:color w:val="auto"/>
          <w:sz w:val="32"/>
          <w:highlight w:val="none"/>
        </w:rPr>
      </w:pPr>
      <w:bookmarkStart w:id="98" w:name="_Toc256000020"/>
      <w:bookmarkStart w:id="99" w:name="_Toc73364863"/>
      <w:bookmarkStart w:id="100" w:name="_Toc73365476"/>
      <w:r>
        <w:rPr>
          <w:rFonts w:hint="eastAsia" w:ascii="宋体" w:hAnsi="宋体" w:eastAsia="宋体"/>
          <w:color w:val="auto"/>
          <w:sz w:val="32"/>
          <w:highlight w:val="none"/>
        </w:rPr>
        <w:t>三、磋商响应文件</w:t>
      </w:r>
      <w:bookmarkEnd w:id="98"/>
      <w:bookmarkEnd w:id="99"/>
      <w:bookmarkEnd w:id="100"/>
    </w:p>
    <w:p w14:paraId="39984343">
      <w:pPr>
        <w:pStyle w:val="193"/>
        <w:keepNext w:val="0"/>
        <w:keepLines w:val="0"/>
        <w:pageBreakBefore w:val="0"/>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01" w:name="_Toc73364864"/>
      <w:bookmarkStart w:id="102" w:name="_Toc73365477"/>
      <w:bookmarkStart w:id="103" w:name="_Toc256000021"/>
      <w:r>
        <w:rPr>
          <w:rFonts w:hint="eastAsia" w:ascii="宋体" w:hAnsi="宋体"/>
          <w:color w:val="auto"/>
          <w:sz w:val="30"/>
          <w:highlight w:val="none"/>
        </w:rPr>
        <w:t>8．编制响应文件的工具</w:t>
      </w:r>
      <w:bookmarkEnd w:id="101"/>
      <w:bookmarkEnd w:id="102"/>
      <w:bookmarkEnd w:id="103"/>
    </w:p>
    <w:p w14:paraId="510B990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8.1供应商须通“苏采云”系统供应商操作手册要求的响应文件制作软件编制响应文件。</w:t>
      </w:r>
    </w:p>
    <w:p w14:paraId="06C928EB">
      <w:pPr>
        <w:pStyle w:val="193"/>
        <w:keepNext w:val="0"/>
        <w:keepLines w:val="0"/>
        <w:pageBreakBefore w:val="0"/>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04" w:name="_Toc73365478"/>
      <w:bookmarkStart w:id="105" w:name="_Toc256000022"/>
      <w:bookmarkStart w:id="106" w:name="_Toc73364865"/>
      <w:r>
        <w:rPr>
          <w:rFonts w:hint="eastAsia" w:ascii="宋体" w:hAnsi="宋体"/>
          <w:color w:val="auto"/>
          <w:sz w:val="30"/>
          <w:highlight w:val="none"/>
        </w:rPr>
        <w:t>9．响应文件语言及度量衡单位</w:t>
      </w:r>
      <w:bookmarkEnd w:id="104"/>
      <w:bookmarkEnd w:id="105"/>
      <w:bookmarkEnd w:id="106"/>
    </w:p>
    <w:p w14:paraId="596A6F1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9.1供应商的响应文件以及供应商就有关磋商的所有来往通知、函件和文件均应使用简体中文。供应商提交的支持性文件可以使用另一种语言，但相应内容应翻译成中文，在解释响应文件时以中文文本为准。</w:t>
      </w:r>
    </w:p>
    <w:p w14:paraId="093F2A6A">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9.2响应文件中所使用的计量单位除磋商文件中另有特殊规定外，一律使用法定计量单位。</w:t>
      </w:r>
    </w:p>
    <w:p w14:paraId="57C3BD6F">
      <w:pPr>
        <w:pStyle w:val="193"/>
        <w:keepNext w:val="0"/>
        <w:keepLines w:val="0"/>
        <w:pageBreakBefore w:val="0"/>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07" w:name="_Toc256000023"/>
      <w:bookmarkStart w:id="108" w:name="_Toc73365479"/>
      <w:bookmarkStart w:id="109" w:name="_Toc73364866"/>
      <w:r>
        <w:rPr>
          <w:rFonts w:hint="eastAsia" w:ascii="宋体" w:hAnsi="宋体"/>
          <w:color w:val="auto"/>
          <w:sz w:val="30"/>
          <w:highlight w:val="none"/>
        </w:rPr>
        <w:t>10．响应文件的构成</w:t>
      </w:r>
      <w:bookmarkEnd w:id="107"/>
      <w:bookmarkEnd w:id="108"/>
      <w:bookmarkEnd w:id="109"/>
    </w:p>
    <w:p w14:paraId="5F4490BF">
      <w:pPr>
        <w:pStyle w:val="245"/>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10.1响应文件分为资格部分、商务部分和技术部分。</w:t>
      </w:r>
    </w:p>
    <w:p w14:paraId="0A672B77">
      <w:pPr>
        <w:pStyle w:val="245"/>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10.2资格部分系指供应商提交的证明其有资格参加磋商的文件。</w:t>
      </w:r>
    </w:p>
    <w:p w14:paraId="03C8A322">
      <w:pPr>
        <w:pStyle w:val="245"/>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10.3商务部分系指供应商提交的证明其成交后有能力履行合同的文件。</w:t>
      </w:r>
    </w:p>
    <w:p w14:paraId="7A0924E6">
      <w:pPr>
        <w:pStyle w:val="245"/>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10.4技术部分系指供应商提交的能够证明其提供的工程（货物或服务）符合磋商文件规定的文件。</w:t>
      </w:r>
    </w:p>
    <w:p w14:paraId="5295EFDF">
      <w:pPr>
        <w:pStyle w:val="245"/>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10.5具体填写格式详见磋商文件第六部分。</w:t>
      </w:r>
    </w:p>
    <w:p w14:paraId="47CF80FF">
      <w:pPr>
        <w:pStyle w:val="193"/>
        <w:keepNext w:val="0"/>
        <w:keepLines w:val="0"/>
        <w:pageBreakBefore w:val="0"/>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10" w:name="_Toc256000024"/>
      <w:bookmarkStart w:id="111" w:name="_Toc73365480"/>
      <w:bookmarkStart w:id="112" w:name="_Toc73364867"/>
      <w:r>
        <w:rPr>
          <w:rFonts w:hint="eastAsia" w:ascii="宋体" w:hAnsi="宋体"/>
          <w:color w:val="auto"/>
          <w:sz w:val="30"/>
          <w:highlight w:val="none"/>
        </w:rPr>
        <w:t>11．响应文件的编写</w:t>
      </w:r>
      <w:bookmarkEnd w:id="110"/>
      <w:bookmarkEnd w:id="111"/>
      <w:bookmarkEnd w:id="112"/>
    </w:p>
    <w:p w14:paraId="7AD921C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b/>
          <w:color w:val="auto"/>
          <w:sz w:val="24"/>
          <w:highlight w:val="none"/>
        </w:rPr>
      </w:pPr>
      <w:r>
        <w:rPr>
          <w:rFonts w:hint="eastAsia" w:ascii="宋体" w:hAnsi="宋体"/>
          <w:color w:val="auto"/>
          <w:sz w:val="24"/>
          <w:highlight w:val="none"/>
        </w:rPr>
        <w:t>11.1供应商应仔细阅读磋商文件，按照磋商文件的要求编制响应文件。响应文件应当对磋商文件提出的要求和条件作出明确响应。</w:t>
      </w:r>
    </w:p>
    <w:p w14:paraId="153EB89B">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b/>
          <w:color w:val="auto"/>
          <w:sz w:val="24"/>
          <w:highlight w:val="none"/>
        </w:rPr>
      </w:pPr>
      <w:r>
        <w:rPr>
          <w:rFonts w:hint="eastAsia" w:ascii="宋体" w:hAnsi="宋体"/>
          <w:color w:val="auto"/>
          <w:sz w:val="24"/>
          <w:highlight w:val="none"/>
        </w:rPr>
        <w:t>11.2</w:t>
      </w:r>
      <w:r>
        <w:rPr>
          <w:rFonts w:hint="eastAsia" w:ascii="宋体" w:hAnsi="宋体"/>
          <w:b/>
          <w:color w:val="auto"/>
          <w:sz w:val="24"/>
          <w:highlight w:val="none"/>
        </w:rPr>
        <w:t>供应商在编制响应文件时，各模块内容须填写或提交到对应位置，无相应内容可填的项应填写“无”、“没有相应指标”等明确的回答文字。</w:t>
      </w:r>
    </w:p>
    <w:p w14:paraId="554D35A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11.3响应文件编排混乱、文字表达不清或上传资料内容模糊所引起的不利后果，由供应商自行承担。</w:t>
      </w:r>
    </w:p>
    <w:p w14:paraId="3E2CE49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b/>
          <w:color w:val="auto"/>
          <w:sz w:val="24"/>
          <w:highlight w:val="none"/>
        </w:rPr>
      </w:pPr>
      <w:r>
        <w:rPr>
          <w:rFonts w:hint="eastAsia" w:ascii="宋体" w:hAnsi="宋体"/>
          <w:color w:val="auto"/>
          <w:sz w:val="24"/>
          <w:highlight w:val="none"/>
        </w:rPr>
        <w:t>11.4</w:t>
      </w:r>
      <w:r>
        <w:rPr>
          <w:rFonts w:hint="eastAsia" w:ascii="宋体" w:hAnsi="宋体"/>
          <w:b/>
          <w:color w:val="auto"/>
          <w:sz w:val="24"/>
          <w:highlight w:val="none"/>
        </w:rPr>
        <w:t>供应商必须保证响应文件所提供的全部资料合法、真实、可靠。</w:t>
      </w:r>
    </w:p>
    <w:p w14:paraId="3AFFC3B4">
      <w:pPr>
        <w:pStyle w:val="193"/>
        <w:keepNext w:val="0"/>
        <w:keepLines w:val="0"/>
        <w:pageBreakBefore w:val="0"/>
        <w:tabs>
          <w:tab w:val="left" w:pos="5191"/>
        </w:tabs>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13" w:name="_Toc256000025"/>
      <w:bookmarkStart w:id="114" w:name="_Toc73364868"/>
      <w:bookmarkStart w:id="115" w:name="_Toc73365481"/>
      <w:r>
        <w:rPr>
          <w:rFonts w:hint="eastAsia" w:ascii="宋体" w:hAnsi="宋体"/>
          <w:color w:val="auto"/>
          <w:sz w:val="30"/>
          <w:highlight w:val="none"/>
        </w:rPr>
        <w:t>12．响应报价</w:t>
      </w:r>
      <w:bookmarkEnd w:id="113"/>
      <w:bookmarkEnd w:id="114"/>
      <w:bookmarkEnd w:id="115"/>
      <w:r>
        <w:rPr>
          <w:rFonts w:ascii="宋体" w:hAnsi="宋体"/>
          <w:color w:val="auto"/>
          <w:sz w:val="30"/>
          <w:highlight w:val="none"/>
        </w:rPr>
        <w:tab/>
      </w:r>
    </w:p>
    <w:p w14:paraId="559F7D3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bookmarkStart w:id="116" w:name="EBdf1224c9869e4463a955117a0de4c3b6"/>
      <w:r>
        <w:rPr>
          <w:rFonts w:hint="eastAsia" w:ascii="宋体" w:hAnsi="宋体"/>
          <w:color w:val="auto"/>
          <w:sz w:val="24"/>
          <w:highlight w:val="none"/>
        </w:rPr>
        <w:t xml:space="preserve">12.1磋商应以人民币报价（保留至小数点后2位，四舍五入）。 </w:t>
      </w:r>
    </w:p>
    <w:p w14:paraId="327E922E">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 xml:space="preserve">12.2供应商应按磋商文件所提供的各报价表格式报价。 </w:t>
      </w:r>
    </w:p>
    <w:p w14:paraId="5F90F2F5">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 xml:space="preserve">12.3供应商对本项目所涉及的工程，应报出具有竞争力的价格，项目相关所有费用需单独列明（应包括施工设备、劳务、管理、材料、安装、维护、清理、利润、税金及政策性文件规定的各项应有费用等）。本工程项目采用工程量清单报价方式，供应商应根据磋商文件所提供的工程量清单并充分考虑施工现场状况、施工期间各种建材的市场风险和国家政策性调整风险系数等，计算综合单价，综合单价成交后不作调整。合同价款调整方法在合同中约定。 </w:t>
      </w:r>
    </w:p>
    <w:p w14:paraId="4FC1A0A5">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 xml:space="preserve">12.4 每种工程量只允许有一种报价，任何有选择报价将不予接受。供应商必须对磋商文件中所采购的所有工程量进行报价，只报其中部分工程量的磋商响应文件无效。 </w:t>
      </w:r>
    </w:p>
    <w:p w14:paraId="6D003461">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 xml:space="preserve">12.5 供应商不得将以下不可竞争费用降低标准计取： </w:t>
      </w:r>
    </w:p>
    <w:p w14:paraId="48DCD9E9">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 xml:space="preserve">（1）财政、税收、物价等部门批准的税金和行政性规费； </w:t>
      </w:r>
    </w:p>
    <w:p w14:paraId="1800473E">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 xml:space="preserve">（2）磋商文件明确的有关费用比例； </w:t>
      </w:r>
    </w:p>
    <w:p w14:paraId="5EDC6DA0">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 xml:space="preserve">（3）磋商文件中已经明确固定价格的材料、采购人供应的材料及暂定暂估的费用。 </w:t>
      </w:r>
    </w:p>
    <w:p w14:paraId="031D9320">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12.6供应商应按磋商文件的要求在响应文件里提供磋商首轮报价，并根据首轮报价在所附的首轮明细报价表上列明所提供工程的明细报价。</w:t>
      </w:r>
    </w:p>
    <w:p w14:paraId="076D8811">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12.7在磋商过程中未对磋商内容作出实质性变更、修改的情况下，如最后报价超过首轮报价，则最后报价无效，以其首轮报价作为最终报价。</w:t>
      </w:r>
    </w:p>
    <w:p w14:paraId="0353292A">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b/>
          <w:color w:val="auto"/>
          <w:sz w:val="24"/>
          <w:highlight w:val="none"/>
          <w:u w:val="single"/>
        </w:rPr>
      </w:pPr>
      <w:r>
        <w:rPr>
          <w:rFonts w:hint="eastAsia" w:ascii="宋体" w:hAnsi="宋体"/>
          <w:color w:val="auto"/>
          <w:sz w:val="24"/>
          <w:highlight w:val="none"/>
        </w:rPr>
        <w:t>12.8</w:t>
      </w:r>
      <w:r>
        <w:rPr>
          <w:rFonts w:hint="eastAsia" w:ascii="宋体" w:hAnsi="宋体"/>
          <w:b w:val="0"/>
          <w:color w:val="auto"/>
          <w:sz w:val="24"/>
          <w:highlight w:val="none"/>
          <w:u w:val="none"/>
        </w:rPr>
        <w:t>供应商在开标流程完成后供应商未在磋商小组规定的时间（自发起30分钟）内完成最后报价的视为放弃报价，自动退出此次磋商，其响应按无效响应处理，不参与后续的项目流程。最后报价须加盖电子签章。（开标流程结束后，供应商须继续关注开标大厅，若评审组长发起最后报价，开标大厅会显示“立即报价”界面。 若供应商在有效报价时间内未进行报价，则视为放弃报价。）</w:t>
      </w:r>
    </w:p>
    <w:p w14:paraId="036823BE">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 xml:space="preserve">12.9最低磋商报价不能作为成交的唯一保证。 </w:t>
      </w:r>
    </w:p>
    <w:p w14:paraId="29587C9B">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12.10磋商最后报价即为合同签约价。</w:t>
      </w:r>
      <w:bookmarkEnd w:id="116"/>
    </w:p>
    <w:p w14:paraId="7580CC45">
      <w:pPr>
        <w:pStyle w:val="193"/>
        <w:keepNext w:val="0"/>
        <w:keepLines w:val="0"/>
        <w:pageBreakBefore w:val="0"/>
        <w:tabs>
          <w:tab w:val="left" w:pos="5191"/>
        </w:tabs>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17" w:name="_Toc73364869"/>
      <w:bookmarkStart w:id="118" w:name="_Toc73365482"/>
      <w:bookmarkStart w:id="119" w:name="_Toc256000026"/>
      <w:r>
        <w:rPr>
          <w:rFonts w:hint="eastAsia" w:ascii="宋体" w:hAnsi="宋体"/>
          <w:color w:val="auto"/>
          <w:sz w:val="30"/>
          <w:highlight w:val="none"/>
        </w:rPr>
        <w:t>13．磋商保证金</w:t>
      </w:r>
      <w:bookmarkEnd w:id="117"/>
      <w:bookmarkEnd w:id="118"/>
      <w:bookmarkEnd w:id="119"/>
    </w:p>
    <w:p w14:paraId="17DF8E95">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bookmarkStart w:id="120" w:name="EBffce9a1083124a32b81da965a376b38b"/>
      <w:r>
        <w:rPr>
          <w:rFonts w:hint="eastAsia" w:ascii="宋体" w:hAnsi="宋体"/>
          <w:color w:val="auto"/>
          <w:sz w:val="24"/>
          <w:highlight w:val="none"/>
        </w:rPr>
        <w:t>13.1本项目不收磋商保证金。</w:t>
      </w:r>
      <w:bookmarkEnd w:id="120"/>
      <w:r>
        <w:rPr>
          <w:rFonts w:ascii="宋体" w:hAnsi="宋体"/>
          <w:color w:val="auto"/>
          <w:sz w:val="24"/>
          <w:highlight w:val="none"/>
        </w:rPr>
        <w:t xml:space="preserve"> </w:t>
      </w:r>
    </w:p>
    <w:p w14:paraId="70D1ACFE">
      <w:pPr>
        <w:pStyle w:val="193"/>
        <w:keepNext w:val="0"/>
        <w:keepLines w:val="0"/>
        <w:pageBreakBefore w:val="0"/>
        <w:tabs>
          <w:tab w:val="left" w:pos="5191"/>
        </w:tabs>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21" w:name="_Toc73365483"/>
      <w:bookmarkStart w:id="122" w:name="_Toc73364870"/>
      <w:bookmarkStart w:id="123" w:name="_Toc256000027"/>
      <w:r>
        <w:rPr>
          <w:rFonts w:hint="eastAsia" w:ascii="宋体" w:hAnsi="宋体"/>
          <w:color w:val="auto"/>
          <w:sz w:val="30"/>
          <w:highlight w:val="none"/>
        </w:rPr>
        <w:t>14．磋商响应有效期</w:t>
      </w:r>
      <w:bookmarkEnd w:id="121"/>
      <w:bookmarkEnd w:id="122"/>
      <w:bookmarkEnd w:id="123"/>
    </w:p>
    <w:p w14:paraId="7F6D8E45">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14.1磋商有效期为：磋商响应文件自磋商之日起</w:t>
      </w:r>
      <w:bookmarkStart w:id="124" w:name="EBe5331d116298431aa240d61d189e1ecb"/>
      <w:r>
        <w:rPr>
          <w:rFonts w:hint="eastAsia" w:ascii="宋体" w:hAnsi="宋体"/>
          <w:b/>
          <w:color w:val="auto"/>
          <w:sz w:val="24"/>
          <w:highlight w:val="none"/>
        </w:rPr>
        <w:t>90天</w:t>
      </w:r>
      <w:bookmarkEnd w:id="124"/>
      <w:r>
        <w:rPr>
          <w:rFonts w:hint="eastAsia" w:ascii="宋体" w:hAnsi="宋体"/>
          <w:color w:val="auto"/>
          <w:sz w:val="24"/>
          <w:highlight w:val="none"/>
        </w:rPr>
        <w:t>内有效。供应商一旦领取了本磋商文件并参加磋商，即被认为接受了磋商有效期的约定。</w:t>
      </w:r>
    </w:p>
    <w:p w14:paraId="7D679196">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14.2在特殊情况下，采购人于原磋商有效期满之前，可向供应商提出延长磋商有效期的要求。这种要求与答复均应采用书面形式（如信件、传真或电报等）。供应商可以拒绝采购人的这一要求而放弃磋商。同意延长的供应商既不能要求也不允许修改其磋商响应文件。</w:t>
      </w:r>
    </w:p>
    <w:p w14:paraId="7132D1F8">
      <w:pPr>
        <w:pStyle w:val="193"/>
        <w:keepNext w:val="0"/>
        <w:keepLines w:val="0"/>
        <w:pageBreakBefore w:val="0"/>
        <w:tabs>
          <w:tab w:val="left" w:pos="5191"/>
        </w:tabs>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25" w:name="_Toc73365484"/>
      <w:bookmarkStart w:id="126" w:name="_Toc256000028"/>
      <w:bookmarkStart w:id="127" w:name="_Toc73364871"/>
      <w:r>
        <w:rPr>
          <w:rFonts w:hint="eastAsia" w:ascii="宋体" w:hAnsi="宋体"/>
          <w:color w:val="auto"/>
          <w:sz w:val="30"/>
          <w:highlight w:val="none"/>
        </w:rPr>
        <w:t>15. 响应文件的式样和签署</w:t>
      </w:r>
      <w:bookmarkEnd w:id="125"/>
      <w:bookmarkEnd w:id="126"/>
      <w:bookmarkEnd w:id="127"/>
    </w:p>
    <w:p w14:paraId="33BDF16A">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15.1供应商应通过响应文件制作软件使用数字认证证书对响应文件进行合成、电子签章及加密打包。</w:t>
      </w:r>
    </w:p>
    <w:p w14:paraId="0F296427">
      <w:pPr>
        <w:pStyle w:val="193"/>
        <w:keepNext w:val="0"/>
        <w:keepLines w:val="0"/>
        <w:pageBreakBefore w:val="0"/>
        <w:tabs>
          <w:tab w:val="left" w:pos="5191"/>
        </w:tabs>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28" w:name="_Toc73364872"/>
      <w:bookmarkStart w:id="129" w:name="_Toc73365485"/>
      <w:bookmarkStart w:id="130" w:name="_Toc256000029"/>
      <w:r>
        <w:rPr>
          <w:rFonts w:hint="eastAsia" w:ascii="宋体" w:hAnsi="宋体"/>
          <w:color w:val="auto"/>
          <w:sz w:val="30"/>
          <w:highlight w:val="none"/>
        </w:rPr>
        <w:t>16．响应文件的提交</w:t>
      </w:r>
      <w:bookmarkEnd w:id="128"/>
      <w:bookmarkEnd w:id="129"/>
      <w:bookmarkEnd w:id="130"/>
    </w:p>
    <w:p w14:paraId="079C48FE">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16.1响应文件提交</w:t>
      </w:r>
    </w:p>
    <w:p w14:paraId="67E88A84">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b/>
          <w:color w:val="auto"/>
          <w:sz w:val="24"/>
          <w:highlight w:val="none"/>
          <w:u w:val="single"/>
        </w:rPr>
      </w:pPr>
      <w:r>
        <w:rPr>
          <w:rFonts w:hint="eastAsia" w:ascii="宋体" w:hAnsi="宋体"/>
          <w:color w:val="auto"/>
          <w:sz w:val="24"/>
          <w:highlight w:val="none"/>
        </w:rPr>
        <w:t>16.1.1供应商须在磋商文件规定的截止时间前，通过响应文件编制软件或登录电子交易平台在规定时间内完成提交，提交成功后系统将发送回执。</w:t>
      </w:r>
      <w:r>
        <w:rPr>
          <w:rFonts w:hint="eastAsia" w:ascii="宋体" w:hAnsi="宋体"/>
          <w:b/>
          <w:color w:val="auto"/>
          <w:sz w:val="24"/>
          <w:highlight w:val="none"/>
          <w:u w:val="single"/>
        </w:rPr>
        <w:t>时间以电子交易平台时间为准。</w:t>
      </w:r>
    </w:p>
    <w:p w14:paraId="57666D3A">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b/>
          <w:color w:val="auto"/>
          <w:sz w:val="24"/>
          <w:highlight w:val="none"/>
          <w:u w:val="single"/>
        </w:rPr>
      </w:pPr>
      <w:r>
        <w:rPr>
          <w:rFonts w:hint="eastAsia" w:ascii="宋体" w:hAnsi="宋体"/>
          <w:color w:val="auto"/>
          <w:sz w:val="24"/>
          <w:highlight w:val="none"/>
        </w:rPr>
        <w:t>16.1.2</w:t>
      </w:r>
      <w:r>
        <w:rPr>
          <w:rFonts w:hint="eastAsia" w:ascii="宋体" w:hAnsi="宋体"/>
          <w:b/>
          <w:color w:val="auto"/>
          <w:sz w:val="24"/>
          <w:highlight w:val="none"/>
          <w:u w:val="single"/>
        </w:rPr>
        <w:t>截止时间以后传输的响应文件，电子交易平台将拒绝接收。供应商应充分考虑网络环境、网络带宽等风险因素。</w:t>
      </w:r>
    </w:p>
    <w:p w14:paraId="2DEAE5CF">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b/>
          <w:color w:val="auto"/>
          <w:sz w:val="24"/>
          <w:highlight w:val="none"/>
          <w:u w:val="single"/>
        </w:rPr>
      </w:pPr>
      <w:r>
        <w:rPr>
          <w:rFonts w:hint="eastAsia" w:ascii="宋体" w:hAnsi="宋体"/>
          <w:color w:val="auto"/>
          <w:sz w:val="24"/>
          <w:highlight w:val="none"/>
        </w:rPr>
        <w:t>16.1.3</w:t>
      </w:r>
      <w:r>
        <w:rPr>
          <w:rFonts w:hint="eastAsia" w:ascii="宋体" w:hAnsi="宋体"/>
          <w:b/>
          <w:color w:val="auto"/>
          <w:sz w:val="24"/>
          <w:highlight w:val="none"/>
          <w:u w:val="single"/>
        </w:rPr>
        <w:t>提交完成后至解密前，</w:t>
      </w:r>
      <w:r>
        <w:rPr>
          <w:rFonts w:hint="eastAsia" w:ascii="宋体" w:hAnsi="宋体"/>
          <w:b/>
          <w:color w:val="auto"/>
          <w:sz w:val="24"/>
          <w:szCs w:val="20"/>
          <w:highlight w:val="none"/>
          <w:u w:val="single"/>
        </w:rPr>
        <w:t>供应商</w:t>
      </w:r>
      <w:r>
        <w:rPr>
          <w:rFonts w:hint="eastAsia" w:ascii="宋体" w:hAnsi="宋体"/>
          <w:b/>
          <w:color w:val="auto"/>
          <w:sz w:val="24"/>
          <w:highlight w:val="none"/>
          <w:u w:val="single"/>
        </w:rPr>
        <w:t>不能对加密响应文件时所使用的数字认证证书进行更新、续费，否则可能引起的响应文件解密失败等相关后果由供应商自行承担。</w:t>
      </w:r>
    </w:p>
    <w:p w14:paraId="4641813A">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b/>
          <w:color w:val="auto"/>
          <w:sz w:val="24"/>
          <w:highlight w:val="none"/>
          <w:u w:val="single"/>
        </w:rPr>
      </w:pPr>
      <w:r>
        <w:rPr>
          <w:rFonts w:hint="eastAsia" w:ascii="宋体" w:hAnsi="宋体"/>
          <w:color w:val="auto"/>
          <w:sz w:val="24"/>
          <w:highlight w:val="none"/>
        </w:rPr>
        <w:t>16.1.4因不可抗力事件造成的响应文件的损坏、丢失的，磋商组织方不承担责任。</w:t>
      </w:r>
    </w:p>
    <w:p w14:paraId="1A3A7266">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16.2 磋商组织方可以通过修改磋商文件自行酌情延长截止时间，在此情况下，推迟提交截止时间将以书面形式通知已获取磋商文件的潜在供应商，并在“江苏政府采购”上发布公告。供应商应及时自行登录系统查看相应内容。</w:t>
      </w:r>
    </w:p>
    <w:p w14:paraId="466F5B13">
      <w:pPr>
        <w:pStyle w:val="193"/>
        <w:keepNext w:val="0"/>
        <w:keepLines w:val="0"/>
        <w:pageBreakBefore w:val="0"/>
        <w:tabs>
          <w:tab w:val="left" w:pos="5191"/>
        </w:tabs>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31" w:name="_Toc73364873"/>
      <w:bookmarkStart w:id="132" w:name="_Toc256000030"/>
      <w:bookmarkStart w:id="133" w:name="_Toc73365486"/>
      <w:r>
        <w:rPr>
          <w:rFonts w:hint="eastAsia" w:ascii="宋体" w:hAnsi="宋体"/>
          <w:color w:val="auto"/>
          <w:sz w:val="30"/>
          <w:highlight w:val="none"/>
        </w:rPr>
        <w:t>17．响应文件的补充、修改或者撤回</w:t>
      </w:r>
      <w:bookmarkEnd w:id="131"/>
      <w:bookmarkEnd w:id="132"/>
      <w:bookmarkEnd w:id="133"/>
    </w:p>
    <w:p w14:paraId="4715F834">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17.1</w:t>
      </w:r>
      <w:r>
        <w:rPr>
          <w:rFonts w:ascii="宋体" w:hAnsi="宋体"/>
          <w:color w:val="auto"/>
          <w:sz w:val="24"/>
          <w:highlight w:val="none"/>
        </w:rPr>
        <w:t>在提交截止时间前</w:t>
      </w:r>
      <w:r>
        <w:rPr>
          <w:rFonts w:hint="eastAsia" w:ascii="宋体" w:hAnsi="宋体"/>
          <w:color w:val="auto"/>
          <w:sz w:val="24"/>
          <w:highlight w:val="none"/>
        </w:rPr>
        <w:t>，</w:t>
      </w:r>
      <w:r>
        <w:rPr>
          <w:rFonts w:ascii="宋体" w:hAnsi="宋体"/>
          <w:color w:val="auto"/>
          <w:sz w:val="24"/>
          <w:highlight w:val="none"/>
        </w:rPr>
        <w:t>供应商可以对所</w:t>
      </w:r>
      <w:r>
        <w:rPr>
          <w:rFonts w:hint="eastAsia" w:ascii="宋体" w:hAnsi="宋体"/>
          <w:color w:val="auto"/>
          <w:sz w:val="24"/>
          <w:highlight w:val="none"/>
        </w:rPr>
        <w:t>提交</w:t>
      </w:r>
      <w:r>
        <w:rPr>
          <w:rFonts w:ascii="宋体" w:hAnsi="宋体"/>
          <w:color w:val="auto"/>
          <w:sz w:val="24"/>
          <w:highlight w:val="none"/>
        </w:rPr>
        <w:t>的电子响应文件进行撤回。</w:t>
      </w:r>
    </w:p>
    <w:p w14:paraId="019AE79A">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17.2</w:t>
      </w:r>
      <w:r>
        <w:rPr>
          <w:rFonts w:ascii="宋体" w:hAnsi="宋体"/>
          <w:color w:val="auto"/>
          <w:sz w:val="24"/>
          <w:highlight w:val="none"/>
        </w:rPr>
        <w:t>在提交截止时间前，供应商可以对所</w:t>
      </w:r>
      <w:r>
        <w:rPr>
          <w:rFonts w:hint="eastAsia" w:ascii="宋体" w:hAnsi="宋体"/>
          <w:color w:val="auto"/>
          <w:sz w:val="24"/>
          <w:highlight w:val="none"/>
        </w:rPr>
        <w:t>提交</w:t>
      </w:r>
      <w:r>
        <w:rPr>
          <w:rFonts w:ascii="宋体" w:hAnsi="宋体"/>
          <w:color w:val="auto"/>
          <w:sz w:val="24"/>
          <w:highlight w:val="none"/>
        </w:rPr>
        <w:t>的纸质响应文件进行补充、修改或者撤回，并</w:t>
      </w:r>
      <w:r>
        <w:rPr>
          <w:rFonts w:hint="eastAsia" w:ascii="宋体" w:hAnsi="宋体"/>
          <w:color w:val="auto"/>
          <w:sz w:val="24"/>
          <w:highlight w:val="none"/>
        </w:rPr>
        <w:t>书面通知磋商组织方</w:t>
      </w:r>
      <w:r>
        <w:rPr>
          <w:rFonts w:ascii="宋体" w:hAnsi="宋体"/>
          <w:color w:val="auto"/>
          <w:sz w:val="24"/>
          <w:highlight w:val="none"/>
        </w:rPr>
        <w:t>。补充、修改的内容应当</w:t>
      </w:r>
      <w:r>
        <w:rPr>
          <w:rFonts w:hint="eastAsia" w:ascii="宋体" w:hAnsi="宋体"/>
          <w:color w:val="auto"/>
          <w:sz w:val="24"/>
          <w:highlight w:val="none"/>
        </w:rPr>
        <w:t>加盖公章</w:t>
      </w:r>
      <w:r>
        <w:rPr>
          <w:rFonts w:ascii="宋体" w:hAnsi="宋体"/>
          <w:color w:val="auto"/>
          <w:sz w:val="24"/>
          <w:highlight w:val="none"/>
        </w:rPr>
        <w:t>，</w:t>
      </w:r>
      <w:r>
        <w:rPr>
          <w:rFonts w:hint="eastAsia" w:ascii="宋体" w:hAnsi="宋体"/>
          <w:color w:val="auto"/>
          <w:sz w:val="24"/>
          <w:highlight w:val="none"/>
        </w:rPr>
        <w:t>并注明“</w:t>
      </w:r>
      <w:r>
        <w:rPr>
          <w:rFonts w:ascii="宋体" w:hAnsi="宋体"/>
          <w:color w:val="auto"/>
          <w:sz w:val="24"/>
          <w:highlight w:val="none"/>
        </w:rPr>
        <w:t>补充</w:t>
      </w:r>
      <w:r>
        <w:rPr>
          <w:rFonts w:hint="eastAsia" w:ascii="宋体" w:hAnsi="宋体"/>
          <w:color w:val="auto"/>
          <w:sz w:val="24"/>
          <w:highlight w:val="none"/>
        </w:rPr>
        <w:t>”、“修改”或“撤回”字样。</w:t>
      </w:r>
      <w:r>
        <w:rPr>
          <w:rFonts w:ascii="宋体" w:hAnsi="宋体"/>
          <w:color w:val="auto"/>
          <w:sz w:val="24"/>
          <w:highlight w:val="none"/>
        </w:rPr>
        <w:t>补充、修改的内容作为响应文件的组成部分</w:t>
      </w:r>
      <w:r>
        <w:rPr>
          <w:rFonts w:hint="eastAsia" w:ascii="宋体" w:hAnsi="宋体"/>
          <w:color w:val="auto"/>
          <w:sz w:val="24"/>
          <w:highlight w:val="none"/>
        </w:rPr>
        <w:t>。</w:t>
      </w:r>
    </w:p>
    <w:p w14:paraId="7F80F4C9">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17.3在提交截止时间之后，供应商不得对其响应文件作任何修改或撤回。</w:t>
      </w:r>
    </w:p>
    <w:p w14:paraId="73156E16">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17.4在提交截止时间至磋商文件中规定的磋商有效期满之间，供应商不得撤回其响应。</w:t>
      </w:r>
    </w:p>
    <w:p w14:paraId="04E3F453">
      <w:pPr>
        <w:rPr>
          <w:color w:val="auto"/>
          <w:highlight w:val="none"/>
        </w:rPr>
      </w:pPr>
      <w:bookmarkStart w:id="134" w:name="EB7e4f79ed53944800a53d98770de9ecd4"/>
      <w:r>
        <w:rPr>
          <w:rFonts w:hint="eastAsia"/>
          <w:color w:val="auto"/>
          <w:sz w:val="20"/>
          <w:highlight w:val="none"/>
        </w:rPr>
        <w:t xml:space="preserve"> </w:t>
      </w:r>
      <w:bookmarkEnd w:id="134"/>
    </w:p>
    <w:p w14:paraId="13301909">
      <w:pPr>
        <w:pStyle w:val="192"/>
        <w:rPr>
          <w:rFonts w:ascii="宋体" w:hAnsi="宋体" w:eastAsia="宋体"/>
          <w:color w:val="auto"/>
          <w:sz w:val="32"/>
          <w:highlight w:val="none"/>
        </w:rPr>
      </w:pPr>
      <w:bookmarkStart w:id="135" w:name="_Toc256000031"/>
      <w:bookmarkStart w:id="136" w:name="_Toc73365487"/>
      <w:bookmarkStart w:id="137" w:name="_Toc73364874"/>
      <w:r>
        <w:rPr>
          <w:rFonts w:hint="eastAsia" w:ascii="宋体" w:hAnsi="宋体" w:eastAsia="宋体"/>
          <w:color w:val="auto"/>
          <w:sz w:val="32"/>
          <w:highlight w:val="none"/>
        </w:rPr>
        <w:t>四、磋商与评审</w:t>
      </w:r>
      <w:bookmarkEnd w:id="135"/>
      <w:bookmarkEnd w:id="136"/>
      <w:bookmarkEnd w:id="137"/>
    </w:p>
    <w:p w14:paraId="6F95FB8F">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rPr>
          <w:rFonts w:ascii="宋体" w:hAnsi="宋体"/>
          <w:color w:val="auto"/>
          <w:sz w:val="30"/>
          <w:highlight w:val="none"/>
        </w:rPr>
      </w:pPr>
      <w:bookmarkStart w:id="138" w:name="_Toc73365488"/>
      <w:bookmarkStart w:id="139" w:name="_Toc256000032"/>
      <w:bookmarkStart w:id="140" w:name="_Toc73364875"/>
      <w:r>
        <w:rPr>
          <w:rFonts w:hint="eastAsia" w:ascii="宋体" w:hAnsi="宋体"/>
          <w:color w:val="auto"/>
          <w:sz w:val="30"/>
          <w:highlight w:val="none"/>
        </w:rPr>
        <w:t>18．磋商</w:t>
      </w:r>
      <w:bookmarkEnd w:id="138"/>
      <w:bookmarkEnd w:id="139"/>
      <w:bookmarkEnd w:id="140"/>
    </w:p>
    <w:p w14:paraId="49015A2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18.1供应商应当在磋商前做好充分准备，携带CA数字证书准时参加磋商。</w:t>
      </w:r>
    </w:p>
    <w:p w14:paraId="63CE051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18.2</w:t>
      </w:r>
      <w:r>
        <w:rPr>
          <w:rFonts w:hint="eastAsia" w:ascii="宋体" w:hAnsi="宋体"/>
          <w:b/>
          <w:color w:val="auto"/>
          <w:sz w:val="24"/>
          <w:highlight w:val="none"/>
        </w:rPr>
        <w:t>供应商不足3家，不进入解密程序。</w:t>
      </w:r>
    </w:p>
    <w:p w14:paraId="27EC983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18.3</w:t>
      </w:r>
      <w:r>
        <w:rPr>
          <w:rFonts w:hint="eastAsia" w:ascii="宋体" w:hAnsi="宋体"/>
          <w:b/>
          <w:color w:val="auto"/>
          <w:sz w:val="24"/>
          <w:highlight w:val="none"/>
        </w:rPr>
        <w:t>磋商时，磋商组织方将在系统内公布供应商名单，发出解密的指令，供应商自行实施解密，限定在主持人发布解密指令后</w:t>
      </w:r>
      <w:r>
        <w:rPr>
          <w:rFonts w:hint="eastAsia" w:ascii="宋体" w:hAnsi="宋体"/>
          <w:b/>
          <w:color w:val="auto"/>
          <w:sz w:val="24"/>
          <w:highlight w:val="none"/>
          <w:lang w:val="en-US" w:eastAsia="zh-CN"/>
        </w:rPr>
        <w:t>限定时间</w:t>
      </w:r>
      <w:r>
        <w:rPr>
          <w:rFonts w:hint="eastAsia" w:ascii="宋体" w:hAnsi="宋体"/>
          <w:b/>
          <w:color w:val="auto"/>
          <w:sz w:val="24"/>
          <w:highlight w:val="none"/>
        </w:rPr>
        <w:t>内完成。解密时，供应商必须使用与制作响应文件时同一数字认证证书对响应文件进行解密，否则解密将会失败。</w:t>
      </w:r>
    </w:p>
    <w:p w14:paraId="1670C53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b/>
          <w:color w:val="auto"/>
          <w:sz w:val="24"/>
          <w:highlight w:val="none"/>
        </w:rPr>
      </w:pPr>
      <w:r>
        <w:rPr>
          <w:rFonts w:hint="eastAsia" w:ascii="宋体" w:hAnsi="宋体"/>
          <w:color w:val="auto"/>
          <w:sz w:val="24"/>
          <w:highlight w:val="none"/>
        </w:rPr>
        <w:t>18.4因供应商原因造成响应文件未解密或解密失败或无法正常打开响应文件的，磋商组织方将拒绝其响应。部分供应商的响应文件未解密或解密失败的，程序可以继续进行。</w:t>
      </w:r>
      <w:r>
        <w:rPr>
          <w:rFonts w:hint="eastAsia" w:ascii="宋体" w:hAnsi="宋体"/>
          <w:b/>
          <w:color w:val="auto"/>
          <w:sz w:val="24"/>
          <w:highlight w:val="none"/>
        </w:rPr>
        <w:t>若解密成功的供应商不足三家，不进入后续程序。</w:t>
      </w:r>
    </w:p>
    <w:p w14:paraId="60EDDAF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b/>
          <w:color w:val="auto"/>
          <w:sz w:val="24"/>
          <w:highlight w:val="none"/>
        </w:rPr>
      </w:pPr>
      <w:r>
        <w:rPr>
          <w:rFonts w:hint="eastAsia" w:ascii="宋体" w:hAnsi="宋体"/>
          <w:color w:val="auto"/>
          <w:sz w:val="24"/>
          <w:highlight w:val="none"/>
        </w:rPr>
        <w:t>18.5本项目在限定的解密时间内，只要有任一家供应商解密成功，即视为电子交易平台运行无故障。</w:t>
      </w:r>
    </w:p>
    <w:p w14:paraId="4775084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18.6供应商须配合磋商工作，否则自行承担后果。</w:t>
      </w:r>
    </w:p>
    <w:p w14:paraId="460B8800">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rPr>
          <w:rFonts w:ascii="宋体" w:hAnsi="宋体"/>
          <w:color w:val="auto"/>
          <w:sz w:val="30"/>
          <w:highlight w:val="none"/>
        </w:rPr>
      </w:pPr>
      <w:bookmarkStart w:id="141" w:name="_Toc256000033"/>
      <w:bookmarkStart w:id="142" w:name="_Toc73365489"/>
      <w:bookmarkStart w:id="143" w:name="_Toc73364876"/>
      <w:r>
        <w:rPr>
          <w:rFonts w:hint="eastAsia" w:ascii="宋体" w:hAnsi="宋体"/>
          <w:color w:val="auto"/>
          <w:sz w:val="30"/>
          <w:highlight w:val="none"/>
        </w:rPr>
        <w:t>19．磋商小组组成</w:t>
      </w:r>
      <w:bookmarkEnd w:id="141"/>
      <w:bookmarkEnd w:id="142"/>
      <w:bookmarkEnd w:id="143"/>
    </w:p>
    <w:p w14:paraId="25F963E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19.1磋商小组将由采购人代表和评审专家组成，成员人数为3人或3人以上单数。</w:t>
      </w:r>
    </w:p>
    <w:p w14:paraId="4944DB19">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rPr>
          <w:rFonts w:ascii="宋体" w:hAnsi="宋体"/>
          <w:color w:val="auto"/>
          <w:sz w:val="30"/>
          <w:highlight w:val="none"/>
        </w:rPr>
      </w:pPr>
      <w:bookmarkStart w:id="144" w:name="_Toc73365490"/>
      <w:bookmarkStart w:id="145" w:name="_Toc256000034"/>
      <w:bookmarkStart w:id="146" w:name="_Toc73364877"/>
      <w:r>
        <w:rPr>
          <w:rFonts w:hint="eastAsia" w:ascii="宋体" w:hAnsi="宋体"/>
          <w:color w:val="auto"/>
          <w:sz w:val="30"/>
          <w:highlight w:val="none"/>
        </w:rPr>
        <w:t>20．无效磋商的情形</w:t>
      </w:r>
      <w:bookmarkEnd w:id="144"/>
      <w:bookmarkEnd w:id="145"/>
      <w:bookmarkEnd w:id="146"/>
    </w:p>
    <w:p w14:paraId="0BAAF55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供应商存在下列情况之一的，其磋商无效：</w:t>
      </w:r>
    </w:p>
    <w:p w14:paraId="498BB5A6">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ascii="宋体" w:hAnsi="宋体"/>
          <w:b/>
          <w:color w:val="auto"/>
          <w:sz w:val="24"/>
          <w:highlight w:val="none"/>
          <w:u w:val="single"/>
        </w:rPr>
      </w:pPr>
      <w:r>
        <w:rPr>
          <w:rFonts w:hint="eastAsia" w:ascii="宋体" w:hAnsi="宋体"/>
          <w:b/>
          <w:color w:val="auto"/>
          <w:sz w:val="24"/>
          <w:highlight w:val="none"/>
          <w:u w:val="single"/>
        </w:rPr>
        <w:t>（1）响应文件未按磋商文件要求签署、盖章的；</w:t>
      </w:r>
    </w:p>
    <w:p w14:paraId="21543F6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ascii="宋体" w:hAnsi="宋体"/>
          <w:b/>
          <w:color w:val="auto"/>
          <w:sz w:val="24"/>
          <w:highlight w:val="none"/>
          <w:u w:val="single"/>
        </w:rPr>
      </w:pPr>
      <w:r>
        <w:rPr>
          <w:rFonts w:hint="eastAsia" w:ascii="宋体" w:hAnsi="宋体"/>
          <w:b/>
          <w:color w:val="auto"/>
          <w:sz w:val="24"/>
          <w:highlight w:val="none"/>
          <w:u w:val="single"/>
        </w:rPr>
        <w:t>（2）不具备磋商文件中规定的资格要求的；</w:t>
      </w:r>
    </w:p>
    <w:p w14:paraId="24CA1A30">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ascii="宋体" w:hAnsi="宋体"/>
          <w:b/>
          <w:color w:val="auto"/>
          <w:sz w:val="24"/>
          <w:highlight w:val="none"/>
          <w:u w:val="single"/>
        </w:rPr>
      </w:pPr>
      <w:r>
        <w:rPr>
          <w:rFonts w:hint="eastAsia" w:ascii="宋体" w:hAnsi="宋体"/>
          <w:b/>
          <w:color w:val="auto"/>
          <w:sz w:val="24"/>
          <w:highlight w:val="none"/>
          <w:u w:val="single"/>
        </w:rPr>
        <w:t>（3）在磋商过程中未对磋商内容作出实质性变更、修改的情况下，首轮报价或最终报价超过磋商文件中规定的预算金额或最高限价的；</w:t>
      </w:r>
    </w:p>
    <w:p w14:paraId="6FAA4916">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r>
        <w:rPr>
          <w:rFonts w:hint="eastAsia" w:ascii="宋体" w:hAnsi="宋体"/>
          <w:b/>
          <w:color w:val="auto"/>
          <w:sz w:val="24"/>
          <w:highlight w:val="none"/>
          <w:u w:val="single"/>
        </w:rPr>
        <w:t>（4）供应商未在磋商小组规定的时间内完成最后报价的视为放弃报价，自动退出此次磋商，其响应按无效响应处理，不参与后续的项目流程；</w:t>
      </w:r>
    </w:p>
    <w:p w14:paraId="348E5A21">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ascii="宋体" w:hAnsi="宋体"/>
          <w:b/>
          <w:color w:val="auto"/>
          <w:sz w:val="24"/>
          <w:highlight w:val="none"/>
          <w:u w:val="single"/>
        </w:rPr>
      </w:pPr>
      <w:r>
        <w:rPr>
          <w:rFonts w:hint="eastAsia" w:ascii="宋体" w:hAnsi="宋体"/>
          <w:b/>
          <w:color w:val="auto"/>
          <w:sz w:val="24"/>
          <w:highlight w:val="none"/>
          <w:u w:val="single"/>
        </w:rPr>
        <w:t>（5）响应文件含有采购人不能接受的附加条件的；</w:t>
      </w:r>
    </w:p>
    <w:p w14:paraId="22885AAC">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r>
        <w:rPr>
          <w:rFonts w:hint="eastAsia" w:ascii="宋体" w:hAnsi="宋体"/>
          <w:b/>
          <w:color w:val="auto"/>
          <w:sz w:val="24"/>
          <w:highlight w:val="none"/>
          <w:u w:val="single"/>
        </w:rPr>
        <w:t>（6）不符合法律、法规和磋商文件规定的其它实质性条款（须经磋商小组半数以上同意）；</w:t>
      </w:r>
    </w:p>
    <w:p w14:paraId="3FC11D29">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bookmarkStart w:id="147" w:name="EB1a6133a9061749489c10f63f90f17fb6"/>
      <w:r>
        <w:rPr>
          <w:rFonts w:hint="eastAsia" w:ascii="宋体" w:hAnsi="宋体"/>
          <w:b/>
          <w:color w:val="auto"/>
          <w:sz w:val="24"/>
          <w:highlight w:val="none"/>
          <w:u w:val="single"/>
        </w:rPr>
        <w:t xml:space="preserve">（7）如有委托代理人，未提供供应商为其缴纳社保证明材料的； </w:t>
      </w:r>
    </w:p>
    <w:p w14:paraId="46C7D68F">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r>
        <w:rPr>
          <w:rFonts w:hint="eastAsia" w:ascii="宋体" w:hAnsi="宋体"/>
          <w:b/>
          <w:color w:val="auto"/>
          <w:sz w:val="24"/>
          <w:highlight w:val="none"/>
          <w:u w:val="single"/>
        </w:rPr>
        <w:t xml:space="preserve">（8）供应商未通过符合性审查的； </w:t>
      </w:r>
    </w:p>
    <w:p w14:paraId="2376BB82">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r>
        <w:rPr>
          <w:rFonts w:hint="eastAsia" w:ascii="宋体" w:hAnsi="宋体"/>
          <w:b/>
          <w:color w:val="auto"/>
          <w:sz w:val="24"/>
          <w:highlight w:val="none"/>
          <w:u w:val="single"/>
        </w:rPr>
        <w:t xml:space="preserve">（9）单位负责人为同一人或者存在直接控股、管理关系的不同供应商参加同一合同项下的政府采购活动的； </w:t>
      </w:r>
    </w:p>
    <w:p w14:paraId="1460C94D">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r>
        <w:rPr>
          <w:rFonts w:hint="eastAsia" w:ascii="宋体" w:hAnsi="宋体"/>
          <w:b/>
          <w:color w:val="auto"/>
          <w:sz w:val="24"/>
          <w:highlight w:val="none"/>
          <w:u w:val="single"/>
        </w:rPr>
        <w:t xml:space="preserve">（10）评标委员会认为供应商的报价明显低于其他通过符合性审查供应商的报价，有可能影响工程（货物或服务）质量 或者不能诚信履约，且不能提供相关材料证明其报价合理性的； </w:t>
      </w:r>
    </w:p>
    <w:p w14:paraId="3670A421">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r>
        <w:rPr>
          <w:rFonts w:hint="eastAsia" w:ascii="宋体" w:hAnsi="宋体"/>
          <w:b/>
          <w:color w:val="auto"/>
          <w:sz w:val="24"/>
          <w:highlight w:val="none"/>
          <w:u w:val="single"/>
        </w:rPr>
        <w:t xml:space="preserve">（11）供应商被“信用中国”网站（www.creditchina.gov.cn）、中国政府采购网（www.ccgp.gov.cn）列入失信被执行人、重大税收违法案件当事人名单、政府采购严重违法失信行为记录名单的； </w:t>
      </w:r>
    </w:p>
    <w:p w14:paraId="679A0BC4">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r>
        <w:rPr>
          <w:rFonts w:hint="eastAsia" w:ascii="宋体" w:hAnsi="宋体"/>
          <w:b/>
          <w:color w:val="auto"/>
          <w:sz w:val="24"/>
          <w:highlight w:val="none"/>
          <w:u w:val="single"/>
        </w:rPr>
        <w:t xml:space="preserve">（12）技术部分负偏离程度过大或过多，经评委会认定影响采购人实际使用的； </w:t>
      </w:r>
    </w:p>
    <w:p w14:paraId="4DD6FA41">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r>
        <w:rPr>
          <w:rFonts w:hint="eastAsia" w:ascii="宋体" w:hAnsi="宋体"/>
          <w:b/>
          <w:color w:val="auto"/>
          <w:sz w:val="24"/>
          <w:highlight w:val="none"/>
          <w:u w:val="single"/>
        </w:rPr>
        <w:t xml:space="preserve">（13）供应商存在串通磋商情形的； </w:t>
      </w:r>
    </w:p>
    <w:p w14:paraId="18783A7C">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r>
        <w:rPr>
          <w:rFonts w:hint="eastAsia" w:ascii="宋体" w:hAnsi="宋体"/>
          <w:b/>
          <w:color w:val="auto"/>
          <w:sz w:val="24"/>
          <w:highlight w:val="none"/>
          <w:u w:val="single"/>
        </w:rPr>
        <w:t xml:space="preserve">（14）供应商在报价时采用选择性报价的； </w:t>
      </w:r>
    </w:p>
    <w:p w14:paraId="1E3CFD6D">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r>
        <w:rPr>
          <w:rFonts w:hint="eastAsia" w:ascii="宋体" w:hAnsi="宋体"/>
          <w:b/>
          <w:color w:val="auto"/>
          <w:sz w:val="24"/>
          <w:highlight w:val="none"/>
          <w:u w:val="single"/>
        </w:rPr>
        <w:t xml:space="preserve">（15）由于供应商原因，未在规定时间内对响应文件进行有效解密的； </w:t>
      </w:r>
    </w:p>
    <w:p w14:paraId="645D35E1">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r>
        <w:rPr>
          <w:rFonts w:hint="eastAsia" w:ascii="宋体" w:hAnsi="宋体"/>
          <w:b/>
          <w:color w:val="auto"/>
          <w:sz w:val="24"/>
          <w:highlight w:val="none"/>
          <w:u w:val="single"/>
        </w:rPr>
        <w:t xml:space="preserve">（16）响应文件中提供了虚假或失实资料的； </w:t>
      </w:r>
    </w:p>
    <w:p w14:paraId="4D42DFB4">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b/>
          <w:color w:val="auto"/>
          <w:sz w:val="24"/>
          <w:highlight w:val="none"/>
          <w:u w:val="single"/>
        </w:rPr>
      </w:pPr>
      <w:r>
        <w:rPr>
          <w:rFonts w:hint="eastAsia" w:ascii="宋体" w:hAnsi="宋体"/>
          <w:b/>
          <w:color w:val="auto"/>
          <w:sz w:val="24"/>
          <w:highlight w:val="none"/>
          <w:u w:val="single"/>
        </w:rPr>
        <w:t>（17）《中小企业声明函》填写不实的</w:t>
      </w:r>
      <w:bookmarkEnd w:id="147"/>
      <w:r>
        <w:rPr>
          <w:rFonts w:hint="eastAsia" w:ascii="宋体" w:hAnsi="宋体"/>
          <w:b/>
          <w:color w:val="auto"/>
          <w:sz w:val="24"/>
          <w:highlight w:val="none"/>
          <w:u w:val="single"/>
        </w:rPr>
        <w:t>。</w:t>
      </w:r>
    </w:p>
    <w:p w14:paraId="7C1F6D56">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rPr>
          <w:rFonts w:ascii="宋体" w:hAnsi="宋体"/>
          <w:color w:val="auto"/>
          <w:sz w:val="30"/>
          <w:highlight w:val="none"/>
        </w:rPr>
      </w:pPr>
      <w:bookmarkStart w:id="148" w:name="_Toc256000035"/>
      <w:bookmarkStart w:id="149" w:name="_Toc73364878"/>
      <w:bookmarkStart w:id="150" w:name="_Toc73365491"/>
      <w:r>
        <w:rPr>
          <w:rFonts w:hint="eastAsia" w:ascii="宋体" w:hAnsi="宋体"/>
          <w:color w:val="auto"/>
          <w:sz w:val="30"/>
          <w:highlight w:val="none"/>
        </w:rPr>
        <w:t>21．串通磋商的情形</w:t>
      </w:r>
      <w:bookmarkEnd w:id="148"/>
      <w:bookmarkEnd w:id="149"/>
      <w:bookmarkEnd w:id="150"/>
    </w:p>
    <w:p w14:paraId="59AE60F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有下列情形之一的，视为供应商串通磋商，磋商无效：</w:t>
      </w:r>
    </w:p>
    <w:p w14:paraId="060AE1C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（1）不同供应商的响应文件由同一单位或者个人编制；</w:t>
      </w:r>
    </w:p>
    <w:p w14:paraId="013ED04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（2）不同供应商委托同一单位或者个人办理磋商事宜；</w:t>
      </w:r>
    </w:p>
    <w:p w14:paraId="6CC646F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（3）不同供应商的响应文件载明的项目管理成员或者联系人员为同一人；</w:t>
      </w:r>
    </w:p>
    <w:p w14:paraId="4F513D1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（4）不同供应商的响应文件异常一致或者磋商报价呈规律性差异；</w:t>
      </w:r>
    </w:p>
    <w:p w14:paraId="189703D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（5）不同供应商的响应文件相互混装。</w:t>
      </w:r>
    </w:p>
    <w:p w14:paraId="71810DD1">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rPr>
          <w:rFonts w:ascii="宋体" w:hAnsi="宋体"/>
          <w:color w:val="auto"/>
          <w:sz w:val="30"/>
          <w:highlight w:val="none"/>
        </w:rPr>
      </w:pPr>
      <w:bookmarkStart w:id="151" w:name="_Toc73364879"/>
      <w:bookmarkStart w:id="152" w:name="_Toc73365492"/>
      <w:bookmarkStart w:id="153" w:name="_Toc256000036"/>
      <w:r>
        <w:rPr>
          <w:rFonts w:hint="eastAsia" w:ascii="宋体" w:hAnsi="宋体"/>
          <w:color w:val="auto"/>
          <w:sz w:val="30"/>
          <w:highlight w:val="none"/>
        </w:rPr>
        <w:t>22．响应文件的澄清</w:t>
      </w:r>
      <w:bookmarkEnd w:id="151"/>
      <w:bookmarkEnd w:id="152"/>
      <w:bookmarkEnd w:id="153"/>
    </w:p>
    <w:p w14:paraId="1A46B8F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22.1供应商应根据磋商小组要求对相关问题进行澄清、说明或者补正，并加盖公章。供应商的澄清、说明或者补正不得超出响应文件的范围或者改变响应文件的实质性内容。</w:t>
      </w:r>
    </w:p>
    <w:p w14:paraId="1867E82A">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rPr>
          <w:rFonts w:ascii="宋体" w:hAnsi="宋体"/>
          <w:color w:val="auto"/>
          <w:sz w:val="30"/>
          <w:highlight w:val="none"/>
        </w:rPr>
      </w:pPr>
      <w:bookmarkStart w:id="154" w:name="_Toc256000037"/>
      <w:bookmarkStart w:id="155" w:name="_Toc73364880"/>
      <w:bookmarkStart w:id="156" w:name="_Toc73365493"/>
      <w:r>
        <w:rPr>
          <w:rFonts w:hint="eastAsia" w:ascii="宋体" w:hAnsi="宋体"/>
          <w:color w:val="auto"/>
          <w:sz w:val="30"/>
          <w:highlight w:val="none"/>
        </w:rPr>
        <w:t>23．磋商内容</w:t>
      </w:r>
      <w:bookmarkEnd w:id="154"/>
      <w:bookmarkEnd w:id="155"/>
      <w:bookmarkEnd w:id="156"/>
    </w:p>
    <w:p w14:paraId="048391B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23.1磋商小组与符合条件的供应商就磋商文件中的技术、服务要求及合同草案条款等进行磋商。</w:t>
      </w:r>
    </w:p>
    <w:p w14:paraId="0BD7964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23.2在磋商过程中，磋商小组可以根据磋商文件和磋商情况实质性变动采购需求中的技术、服务要求以及合同草案条款，但不得变动磋商文件中的其他内容。实质性变动的内容，须经采购人代表书面确认后进行。</w:t>
      </w:r>
    </w:p>
    <w:p w14:paraId="5663678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根据磋商文件和磋商情况作出的实质性变动是磋商文件的有效组成部分，磋商小组将及时以书面形式同时通知所有参加磋商的供应商。</w:t>
      </w:r>
    </w:p>
    <w:p w14:paraId="70AC0B5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u w:val="single"/>
        </w:rPr>
      </w:pPr>
      <w:r>
        <w:rPr>
          <w:rFonts w:hint="eastAsia" w:ascii="宋体" w:hAnsi="宋体"/>
          <w:color w:val="auto"/>
          <w:sz w:val="24"/>
          <w:highlight w:val="none"/>
          <w:u w:val="single"/>
        </w:rPr>
        <w:t>供应商应当按照磋商文件的变动情况和磋商小组的要求重新提交响应文件，并由其法定代表人或授权委托代理人签字或者加盖公章。由授权委托代理人签字的，应当附法定代表人授权书。</w:t>
      </w:r>
    </w:p>
    <w:p w14:paraId="717CA01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23.3已提交响应文件的供应商，由于磋商小组实质性变动采购需求中的技术、服务要求以及合同草案条款，在提交最后报价之前，可以根据磋商情况退出磋商。若采购需求未发生实质性变动，供应商不得退出磋商。</w:t>
      </w:r>
    </w:p>
    <w:p w14:paraId="59569960">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rPr>
          <w:rFonts w:ascii="宋体" w:hAnsi="宋体"/>
          <w:color w:val="auto"/>
          <w:sz w:val="30"/>
          <w:highlight w:val="none"/>
        </w:rPr>
      </w:pPr>
      <w:bookmarkStart w:id="157" w:name="_Toc256000038"/>
      <w:bookmarkStart w:id="158" w:name="_Toc73364881"/>
      <w:bookmarkStart w:id="159" w:name="_Toc73365494"/>
      <w:r>
        <w:rPr>
          <w:rFonts w:hint="eastAsia" w:ascii="宋体" w:hAnsi="宋体"/>
          <w:color w:val="auto"/>
          <w:sz w:val="30"/>
          <w:highlight w:val="none"/>
        </w:rPr>
        <w:t>24．最后报价的提交</w:t>
      </w:r>
      <w:bookmarkEnd w:id="157"/>
      <w:bookmarkEnd w:id="158"/>
      <w:bookmarkEnd w:id="159"/>
    </w:p>
    <w:p w14:paraId="44434A2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24.1磋商文件能够详细列明采购标的的技术、服务要求的，磋商结束后，磋商小组应当要求所有实质性响应的供应商在规定时间内提交最后总报价和最后明细报价，提交最后报价的供应商不得少于3家。</w:t>
      </w:r>
    </w:p>
    <w:p w14:paraId="0098FD7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总报价和最后明细报价。</w:t>
      </w:r>
    </w:p>
    <w:p w14:paraId="224AE64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最后报价是供应商响应文件的有效组成部分。符合《政府采购竞争性磋商采购方式管理暂行办法》第三条第四项及本须知第25.2项情形的，提交最后报价的供应商可以为2家。</w:t>
      </w:r>
    </w:p>
    <w:p w14:paraId="7183DCC6">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rPr>
          <w:rFonts w:ascii="宋体" w:hAnsi="宋体"/>
          <w:color w:val="auto"/>
          <w:sz w:val="30"/>
          <w:highlight w:val="none"/>
        </w:rPr>
      </w:pPr>
      <w:bookmarkStart w:id="160" w:name="_Toc256000039"/>
      <w:bookmarkStart w:id="161" w:name="_Toc73364882"/>
      <w:bookmarkStart w:id="162" w:name="_Toc73365495"/>
      <w:r>
        <w:rPr>
          <w:rFonts w:hint="eastAsia" w:ascii="宋体" w:hAnsi="宋体"/>
          <w:color w:val="auto"/>
          <w:sz w:val="30"/>
          <w:highlight w:val="none"/>
        </w:rPr>
        <w:t>25．</w:t>
      </w:r>
      <w:r>
        <w:rPr>
          <w:rFonts w:ascii="宋体" w:hAnsi="宋体"/>
          <w:color w:val="auto"/>
          <w:sz w:val="30"/>
          <w:highlight w:val="none"/>
        </w:rPr>
        <w:t>竞争性磋商</w:t>
      </w:r>
      <w:r>
        <w:rPr>
          <w:rFonts w:hint="eastAsia" w:ascii="宋体" w:hAnsi="宋体"/>
          <w:color w:val="auto"/>
          <w:sz w:val="30"/>
          <w:highlight w:val="none"/>
        </w:rPr>
        <w:t>特殊情况处理</w:t>
      </w:r>
      <w:bookmarkEnd w:id="160"/>
      <w:bookmarkEnd w:id="161"/>
      <w:bookmarkEnd w:id="162"/>
    </w:p>
    <w:p w14:paraId="42C6F05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25.1</w:t>
      </w:r>
      <w:r>
        <w:rPr>
          <w:rFonts w:ascii="宋体" w:hAnsi="宋体"/>
          <w:color w:val="auto"/>
          <w:sz w:val="24"/>
          <w:highlight w:val="none"/>
        </w:rPr>
        <w:t>出现下列情形之一的，应当终止竞争性磋商采购活动，发布项目终止公告并说明原因，重新开展采购活动：</w:t>
      </w:r>
    </w:p>
    <w:p w14:paraId="3AC3622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因情况变化，不再符合规定的竞争性磋商采购方式适用情形的；</w:t>
      </w:r>
    </w:p>
    <w:p w14:paraId="1BEFF4D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出现影响采购公正的违法、违规行为的</w:t>
      </w:r>
      <w:r>
        <w:rPr>
          <w:rFonts w:hint="eastAsia" w:ascii="宋体" w:hAnsi="宋体"/>
          <w:color w:val="auto"/>
          <w:sz w:val="24"/>
          <w:highlight w:val="none"/>
        </w:rPr>
        <w:t>；</w:t>
      </w:r>
    </w:p>
    <w:p w14:paraId="72355CC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（3）除《政府采购竞争性磋商采购方式管理暂行办法》第三条第四项规定的情形外，在采购过程中符合要求的供应商或者报价未超过采购预算的供应商不足3家的。</w:t>
      </w:r>
    </w:p>
    <w:p w14:paraId="6E4E1B17">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ascii="宋体" w:hAnsi="宋体"/>
          <w:b/>
          <w:color w:val="auto"/>
          <w:sz w:val="24"/>
          <w:highlight w:val="none"/>
        </w:rPr>
      </w:pPr>
      <w:r>
        <w:rPr>
          <w:rFonts w:hint="eastAsia" w:ascii="宋体" w:hAnsi="宋体"/>
          <w:b/>
          <w:color w:val="auto"/>
          <w:sz w:val="24"/>
          <w:highlight w:val="none"/>
        </w:rPr>
        <w:t>25.2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6ABE70D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ascii="宋体" w:hAnsi="宋体"/>
          <w:color w:val="auto"/>
          <w:sz w:val="24"/>
          <w:highlight w:val="none"/>
        </w:rPr>
      </w:pPr>
      <w:r>
        <w:rPr>
          <w:rFonts w:hint="eastAsia" w:ascii="宋体" w:hAnsi="宋体"/>
          <w:color w:val="auto"/>
          <w:sz w:val="24"/>
          <w:highlight w:val="none"/>
        </w:rPr>
        <w:t>25.3因重大变故，采购任务取消的则该磋商活动取消，采购人应当将取消理由通知所有供应商。</w:t>
      </w:r>
    </w:p>
    <w:p w14:paraId="291638C8">
      <w:pPr>
        <w:pStyle w:val="192"/>
        <w:rPr>
          <w:rFonts w:ascii="宋体" w:hAnsi="宋体" w:eastAsia="宋体"/>
          <w:color w:val="auto"/>
          <w:sz w:val="32"/>
          <w:highlight w:val="none"/>
        </w:rPr>
      </w:pPr>
      <w:bookmarkStart w:id="163" w:name="_Toc73365496"/>
      <w:bookmarkStart w:id="164" w:name="_Toc256000040"/>
      <w:bookmarkStart w:id="165" w:name="_Toc73364883"/>
      <w:r>
        <w:rPr>
          <w:rFonts w:hint="eastAsia" w:ascii="宋体" w:hAnsi="宋体" w:eastAsia="宋体"/>
          <w:color w:val="auto"/>
          <w:sz w:val="32"/>
          <w:highlight w:val="none"/>
        </w:rPr>
        <w:t>五、确定成交结果</w:t>
      </w:r>
      <w:bookmarkEnd w:id="163"/>
      <w:bookmarkEnd w:id="164"/>
      <w:bookmarkEnd w:id="165"/>
    </w:p>
    <w:p w14:paraId="13DFCE85">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rPr>
          <w:rFonts w:hint="eastAsia" w:ascii="宋体" w:hAnsi="宋体"/>
          <w:color w:val="auto"/>
          <w:sz w:val="30"/>
          <w:highlight w:val="none"/>
        </w:rPr>
      </w:pPr>
      <w:bookmarkStart w:id="166" w:name="_Toc73365497"/>
      <w:bookmarkStart w:id="167" w:name="_Toc73364884"/>
      <w:bookmarkStart w:id="168" w:name="_Toc256000041"/>
      <w:r>
        <w:rPr>
          <w:rFonts w:hint="eastAsia" w:ascii="宋体" w:hAnsi="宋体"/>
          <w:color w:val="auto"/>
          <w:sz w:val="30"/>
          <w:highlight w:val="none"/>
        </w:rPr>
        <w:t>26．确定成交供应商</w:t>
      </w:r>
      <w:bookmarkEnd w:id="166"/>
      <w:bookmarkEnd w:id="167"/>
      <w:bookmarkEnd w:id="168"/>
    </w:p>
    <w:p w14:paraId="5CABDA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bookmarkStart w:id="169" w:name="EB3fe0db93f0354614add263878fac6db4"/>
      <w:r>
        <w:rPr>
          <w:rFonts w:hint="eastAsia" w:ascii="宋体" w:hAnsi="宋体"/>
          <w:color w:val="auto"/>
          <w:sz w:val="24"/>
          <w:highlight w:val="none"/>
        </w:rPr>
        <w:t>26.1采购代理机构在评审结束后2个工作日内将评审报告送采购人。</w:t>
      </w:r>
    </w:p>
    <w:p w14:paraId="55D81A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26.</w:t>
      </w:r>
      <w:bookmarkEnd w:id="169"/>
      <w:r>
        <w:rPr>
          <w:rFonts w:hint="eastAsia" w:ascii="宋体" w:hAnsi="宋体"/>
          <w:color w:val="auto"/>
          <w:sz w:val="24"/>
          <w:highlight w:val="none"/>
        </w:rPr>
        <w:t>2采购人自收到评审报告之日起5个工作日内，在评审报告确定的成交候选供应商名单中按顺序确定成交供应商。</w:t>
      </w:r>
    </w:p>
    <w:p w14:paraId="395810F7">
      <w:pPr>
        <w:pStyle w:val="192"/>
        <w:rPr>
          <w:rFonts w:hint="eastAsia" w:ascii="宋体" w:hAnsi="宋体" w:eastAsia="宋体"/>
          <w:color w:val="auto"/>
          <w:sz w:val="32"/>
          <w:highlight w:val="none"/>
        </w:rPr>
      </w:pPr>
      <w:bookmarkStart w:id="170" w:name="_Toc73365498"/>
      <w:bookmarkStart w:id="171" w:name="_Toc256000042"/>
      <w:bookmarkStart w:id="172" w:name="_Toc73364885"/>
      <w:r>
        <w:rPr>
          <w:rFonts w:hint="eastAsia" w:ascii="宋体" w:hAnsi="宋体" w:eastAsia="宋体"/>
          <w:color w:val="auto"/>
          <w:sz w:val="32"/>
          <w:highlight w:val="none"/>
        </w:rPr>
        <w:t>六、授予合同</w:t>
      </w:r>
      <w:bookmarkEnd w:id="170"/>
      <w:bookmarkEnd w:id="171"/>
      <w:bookmarkEnd w:id="172"/>
    </w:p>
    <w:p w14:paraId="7B3F07BF">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outlineLvl w:val="9"/>
        <w:rPr>
          <w:rFonts w:hint="eastAsia" w:ascii="宋体" w:hAnsi="宋体"/>
          <w:color w:val="auto"/>
          <w:sz w:val="30"/>
          <w:highlight w:val="none"/>
        </w:rPr>
      </w:pPr>
      <w:bookmarkStart w:id="173" w:name="_Toc256000043"/>
      <w:bookmarkStart w:id="174" w:name="_Toc73365499"/>
      <w:bookmarkStart w:id="175" w:name="_Toc73364886"/>
      <w:r>
        <w:rPr>
          <w:rFonts w:hint="eastAsia" w:ascii="宋体" w:hAnsi="宋体"/>
          <w:color w:val="auto"/>
          <w:sz w:val="30"/>
          <w:highlight w:val="none"/>
        </w:rPr>
        <w:t>27．磋商组织方接受和拒绝任何或所有响应的权利</w:t>
      </w:r>
      <w:bookmarkEnd w:id="173"/>
      <w:bookmarkEnd w:id="174"/>
      <w:bookmarkEnd w:id="175"/>
    </w:p>
    <w:p w14:paraId="37AB15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27.1为维护国家和社会公共利益，磋商组织方保留在授标之前任何时候接受或拒绝任何供应商成交的权利，且对受影响的供应商不承担任何责任。</w:t>
      </w:r>
    </w:p>
    <w:p w14:paraId="4C2F0C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27.2因不可抗力或成交供应商不能履约等情形，磋商组织方保留与其他候选供应商签订合同的权利。</w:t>
      </w:r>
    </w:p>
    <w:p w14:paraId="22D15B40">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outlineLvl w:val="9"/>
        <w:rPr>
          <w:rFonts w:hint="eastAsia" w:ascii="宋体" w:hAnsi="宋体"/>
          <w:color w:val="auto"/>
          <w:sz w:val="30"/>
          <w:highlight w:val="none"/>
        </w:rPr>
      </w:pPr>
      <w:bookmarkStart w:id="176" w:name="_Toc73365500"/>
      <w:bookmarkStart w:id="177" w:name="_Toc73364887"/>
      <w:bookmarkStart w:id="178" w:name="_Toc256000044"/>
      <w:r>
        <w:rPr>
          <w:rFonts w:hint="eastAsia" w:ascii="宋体" w:hAnsi="宋体"/>
          <w:color w:val="auto"/>
          <w:sz w:val="30"/>
          <w:highlight w:val="none"/>
        </w:rPr>
        <w:t>28．成交通知书</w:t>
      </w:r>
      <w:bookmarkEnd w:id="176"/>
      <w:bookmarkEnd w:id="177"/>
      <w:bookmarkEnd w:id="178"/>
    </w:p>
    <w:p w14:paraId="74D1E2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28.1自成交供应商确定之日起2个工作日内，采购代理机构向成交供应商发出成交通知书，同时编制发布采购结果公告。</w:t>
      </w:r>
    </w:p>
    <w:p w14:paraId="4B1AB8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28.2成交通知书发出后，采购人不得违法改变成交结果，成交供应商无正当理由不得放弃成交。</w:t>
      </w:r>
    </w:p>
    <w:p w14:paraId="06F96DC2">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outlineLvl w:val="9"/>
        <w:rPr>
          <w:rFonts w:hint="eastAsia" w:ascii="宋体" w:hAnsi="宋体"/>
          <w:color w:val="auto"/>
          <w:sz w:val="30"/>
          <w:highlight w:val="none"/>
        </w:rPr>
      </w:pPr>
      <w:bookmarkStart w:id="179" w:name="_Toc73364888"/>
      <w:bookmarkStart w:id="180" w:name="_Toc73365501"/>
      <w:bookmarkStart w:id="181" w:name="_Toc256000045"/>
      <w:r>
        <w:rPr>
          <w:rFonts w:hint="eastAsia" w:ascii="宋体" w:hAnsi="宋体"/>
          <w:color w:val="auto"/>
          <w:sz w:val="30"/>
          <w:highlight w:val="none"/>
        </w:rPr>
        <w:t>29．签订合同</w:t>
      </w:r>
      <w:bookmarkEnd w:id="179"/>
      <w:bookmarkEnd w:id="180"/>
      <w:bookmarkEnd w:id="181"/>
    </w:p>
    <w:p w14:paraId="079622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29.1采购人应当自成交通知书发出之日起</w:t>
      </w:r>
      <w:bookmarkStart w:id="182" w:name="EB51d9b032aa7249af80d45424dadc155d"/>
      <w:r>
        <w:rPr>
          <w:rFonts w:hint="eastAsia" w:ascii="宋体" w:hAnsi="宋体"/>
          <w:color w:val="auto"/>
          <w:sz w:val="24"/>
          <w:szCs w:val="24"/>
          <w:highlight w:val="none"/>
        </w:rPr>
        <w:t>15</w:t>
      </w:r>
      <w:r>
        <w:rPr>
          <w:rFonts w:hint="eastAsia" w:ascii="宋体" w:hAnsi="宋体"/>
          <w:color w:val="auto"/>
          <w:sz w:val="24"/>
          <w:highlight w:val="none"/>
        </w:rPr>
        <w:t>日</w:t>
      </w:r>
      <w:bookmarkEnd w:id="182"/>
      <w:r>
        <w:rPr>
          <w:rFonts w:hint="eastAsia" w:ascii="宋体" w:hAnsi="宋体"/>
          <w:color w:val="auto"/>
          <w:sz w:val="24"/>
          <w:highlight w:val="none"/>
        </w:rPr>
        <w:t>内，按照磋商文件、成交供应商磋商响应文件以及磋商过程中确定的事项，与成交供应商签订政府采购合同。采购人不得向成交供应商提出任何不合理的要求作为签订合同的条件。</w:t>
      </w:r>
    </w:p>
    <w:p w14:paraId="0A76C5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29.2成交供应商拒绝与采购人签订合同的，采购人可以按照评审报告推荐的成交人名单排序，确定下一候选人为成交供应商，也可以重新开展政府采购活动。成交供应商无正当理由拒不与采购人签订合同的，报政府采购监管部门依法处理。</w:t>
      </w:r>
    </w:p>
    <w:p w14:paraId="576699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29.3政府采购合同应当包括采购人与成交人的名称和住所、标的、数量、质量、价款或者报酬、履行期限及地点和方式、验收要求、违约责任、解决争议的方法等内容。</w:t>
      </w:r>
    </w:p>
    <w:p w14:paraId="2F1EB2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29.4采购人应当自采购合同签订之日起2个工作日内，将政府采购合同在政府采购指定媒体予以公告。</w:t>
      </w:r>
    </w:p>
    <w:p w14:paraId="097DF3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29.5合同履行中，采购人需追加与合同标的相同的服务时，在不改变合同其他条款的前提下，可以与成交人协商签订补充合同，但所有补充合同的采购金额不得超过原合同采购金额的百分之十。</w:t>
      </w:r>
    </w:p>
    <w:p w14:paraId="0792B4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29.6采购人若由于各种客观原因，必须对采购项目所牵涉的货物和服务进行适当的减少时，在双方协商一致的前提下，可以按照磋商采购时的价格水平做相应的调减，并据此签订补充合同。</w:t>
      </w:r>
    </w:p>
    <w:p w14:paraId="2756A0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olor w:val="auto"/>
          <w:sz w:val="24"/>
          <w:highlight w:val="none"/>
        </w:rPr>
      </w:pPr>
      <w:r>
        <w:rPr>
          <w:rFonts w:hint="eastAsia" w:ascii="宋体" w:hAnsi="宋体"/>
          <w:color w:val="auto"/>
          <w:sz w:val="24"/>
          <w:highlight w:val="none"/>
        </w:rPr>
        <w:t>29.7采购人与成交供应商应当根据合同的约定依法履行合同义务。政府采购合同的履行、违约责任和解决争议的方法等适用</w:t>
      </w:r>
      <w:bookmarkStart w:id="183" w:name="EB756a2e5eaf4942b0afe0c5074e4df86a"/>
      <w:r>
        <w:rPr>
          <w:rFonts w:hint="eastAsia" w:ascii="宋体" w:hAnsi="宋体"/>
          <w:color w:val="auto"/>
          <w:sz w:val="24"/>
          <w:szCs w:val="24"/>
          <w:highlight w:val="none"/>
        </w:rPr>
        <w:t>《中华人民共和国民法典》</w:t>
      </w:r>
      <w:bookmarkEnd w:id="183"/>
      <w:r>
        <w:rPr>
          <w:rFonts w:hint="eastAsia" w:ascii="宋体" w:hAnsi="宋体"/>
          <w:color w:val="auto"/>
          <w:sz w:val="24"/>
          <w:highlight w:val="none"/>
        </w:rPr>
        <w:t>。</w:t>
      </w:r>
    </w:p>
    <w:p w14:paraId="07E050A5">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outlineLvl w:val="9"/>
        <w:rPr>
          <w:rFonts w:hint="eastAsia" w:ascii="宋体" w:hAnsi="宋体"/>
          <w:color w:val="auto"/>
          <w:sz w:val="30"/>
          <w:highlight w:val="none"/>
          <w:lang w:eastAsia="zh-CN"/>
        </w:rPr>
      </w:pPr>
      <w:bookmarkStart w:id="184" w:name="_Toc256000046"/>
      <w:bookmarkStart w:id="185" w:name="_Toc73364889"/>
      <w:bookmarkStart w:id="186" w:name="_Toc73365502"/>
      <w:r>
        <w:rPr>
          <w:rFonts w:hint="eastAsia" w:ascii="宋体" w:hAnsi="宋体"/>
          <w:color w:val="auto"/>
          <w:sz w:val="30"/>
          <w:highlight w:val="none"/>
        </w:rPr>
        <w:t>30．履约保证金</w:t>
      </w:r>
      <w:bookmarkEnd w:id="184"/>
      <w:bookmarkEnd w:id="185"/>
      <w:bookmarkEnd w:id="186"/>
    </w:p>
    <w:p w14:paraId="371311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bookmarkStart w:id="187" w:name="_Toc73364890"/>
      <w:bookmarkStart w:id="188" w:name="_Toc73365503"/>
      <w:bookmarkStart w:id="189" w:name="_Toc256000047"/>
      <w:r>
        <w:rPr>
          <w:rFonts w:hint="eastAsia" w:ascii="宋体" w:hAnsi="宋体"/>
          <w:color w:val="auto"/>
          <w:sz w:val="24"/>
          <w:highlight w:val="none"/>
        </w:rPr>
        <w:t>30.1</w:t>
      </w:r>
      <w:r>
        <w:rPr>
          <w:rFonts w:hint="eastAsia" w:ascii="宋体" w:hAnsi="宋体"/>
          <w:color w:val="auto"/>
          <w:sz w:val="24"/>
          <w:szCs w:val="24"/>
          <w:highlight w:val="none"/>
        </w:rPr>
        <w:t>本项目无需缴纳履约保证金。</w:t>
      </w:r>
    </w:p>
    <w:p w14:paraId="2740E435">
      <w:pPr>
        <w:pStyle w:val="192"/>
        <w:rPr>
          <w:rFonts w:ascii="宋体" w:hAnsi="宋体" w:eastAsia="宋体"/>
          <w:color w:val="auto"/>
          <w:sz w:val="32"/>
          <w:highlight w:val="none"/>
        </w:rPr>
      </w:pPr>
      <w:r>
        <w:rPr>
          <w:rFonts w:hint="eastAsia" w:ascii="宋体" w:hAnsi="宋体" w:eastAsia="宋体"/>
          <w:color w:val="auto"/>
          <w:sz w:val="32"/>
          <w:highlight w:val="none"/>
        </w:rPr>
        <w:t>七、询问、质疑、投诉</w:t>
      </w:r>
      <w:bookmarkEnd w:id="187"/>
      <w:bookmarkEnd w:id="188"/>
      <w:bookmarkEnd w:id="189"/>
    </w:p>
    <w:p w14:paraId="72FFA66C">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90" w:name="_Toc73364891"/>
      <w:bookmarkStart w:id="191" w:name="_Toc73365504"/>
      <w:bookmarkStart w:id="192" w:name="_Toc256000048"/>
      <w:r>
        <w:rPr>
          <w:rFonts w:hint="eastAsia" w:ascii="宋体" w:hAnsi="宋体"/>
          <w:color w:val="auto"/>
          <w:sz w:val="30"/>
          <w:highlight w:val="none"/>
        </w:rPr>
        <w:t>31．询问</w:t>
      </w:r>
      <w:bookmarkEnd w:id="190"/>
      <w:bookmarkEnd w:id="191"/>
      <w:bookmarkEnd w:id="192"/>
    </w:p>
    <w:p w14:paraId="070BB2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31.1供应商对磋商活动事项有疑问的，可以向采购人或磋商组织方提出询问，采购人或磋商组织方将依法作出答复，但答复的内容不得涉及商业秘密。</w:t>
      </w:r>
    </w:p>
    <w:p w14:paraId="428765BC">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93" w:name="_Toc73364892"/>
      <w:bookmarkStart w:id="194" w:name="_Toc73365505"/>
      <w:bookmarkStart w:id="195" w:name="_Toc256000049"/>
      <w:r>
        <w:rPr>
          <w:rFonts w:hint="eastAsia" w:ascii="宋体" w:hAnsi="宋体"/>
          <w:color w:val="auto"/>
          <w:sz w:val="30"/>
          <w:highlight w:val="none"/>
        </w:rPr>
        <w:t>32．质疑</w:t>
      </w:r>
      <w:bookmarkEnd w:id="193"/>
      <w:bookmarkEnd w:id="194"/>
      <w:bookmarkEnd w:id="195"/>
    </w:p>
    <w:p w14:paraId="58F3F2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32.1提出质疑的供应商应当是参与所质疑项目采购活动的供应商。供应商认为磋商文件、采购过程和成交结果使自己的合法权益受到损害的，可以在知道或者应知其权益受到损害之日起七个工作日内，将质疑文件原件送达采购人，同时送达一份至磋商组织方。</w:t>
      </w:r>
      <w:bookmarkStart w:id="196" w:name="EBe57b2086e1964f6c9a98adb43196769d"/>
      <w:r>
        <w:rPr>
          <w:rFonts w:ascii="宋体" w:hAnsi="宋体"/>
          <w:color w:val="auto"/>
          <w:sz w:val="20"/>
          <w:highlight w:val="none"/>
        </w:rPr>
        <w:t xml:space="preserve"> </w:t>
      </w:r>
      <w:bookmarkEnd w:id="196"/>
      <w:bookmarkStart w:id="197" w:name="EB14c12432eda944b6b81906a07b050baa"/>
      <w:r>
        <w:rPr>
          <w:rFonts w:ascii="宋体" w:hAnsi="宋体"/>
          <w:color w:val="auto"/>
          <w:sz w:val="20"/>
          <w:highlight w:val="none"/>
        </w:rPr>
        <w:t xml:space="preserve"> </w:t>
      </w:r>
      <w:bookmarkEnd w:id="197"/>
    </w:p>
    <w:p w14:paraId="0092DD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以上规定的供应商应知其权益受到损害之日，是指：</w:t>
      </w:r>
    </w:p>
    <w:p w14:paraId="7D2A96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（1）对可以质疑的磋商文件提出质疑的，为收到磋商文件之日或者磋商文件公告期限届满之日；</w:t>
      </w:r>
    </w:p>
    <w:p w14:paraId="5DF5F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（2）对采购过程提出质疑的，为各采购程序环节结束之日；</w:t>
      </w:r>
    </w:p>
    <w:p w14:paraId="20414F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（3）对成交结果提出质疑的，为结果公告期限届满之日。</w:t>
      </w:r>
    </w:p>
    <w:p w14:paraId="52BF2F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32.2供应商应按照“谁主张、谁举证”的原则对质疑内容提供相关证明材料，并对质疑内容的真实性承担责任。供应商不得虚假质疑和恶意质疑，如通过捏造事实、伪造证明材料等方式提出异议或投诉，阻碍招投标活动正常进行的，属于严重不良行为，磋商组织方将提请财政部门将其列入不良行为记录名单，并依法予以处罚。</w:t>
      </w:r>
    </w:p>
    <w:p w14:paraId="3F1CBF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b/>
          <w:color w:val="auto"/>
          <w:sz w:val="24"/>
          <w:highlight w:val="none"/>
        </w:rPr>
      </w:pPr>
      <w:r>
        <w:rPr>
          <w:rFonts w:hint="eastAsia" w:ascii="宋体" w:hAnsi="宋体"/>
          <w:color w:val="auto"/>
          <w:sz w:val="24"/>
          <w:highlight w:val="none"/>
        </w:rPr>
        <w:t>32.3供应商应当在法定质疑期内一次性提出针对同一采购程序环节的质疑。供应商如在法定期限内对同一采购程序环节提出多次质疑的，将只对供应商第一次质疑作出答复。</w:t>
      </w:r>
      <w:r>
        <w:rPr>
          <w:rFonts w:hint="eastAsia" w:ascii="宋体" w:hAnsi="宋体"/>
          <w:b/>
          <w:color w:val="auto"/>
          <w:sz w:val="24"/>
          <w:highlight w:val="none"/>
        </w:rPr>
        <w:t>供应商如对采购需求提出质疑，除向采购人递交质疑文件外，同时向磋商组织方递交质疑文件，采购人负责处理和答复涉及采购需求的质疑内容。</w:t>
      </w:r>
    </w:p>
    <w:p w14:paraId="6C6BAC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32.4质疑流程及注意事项见“镇江市公共资源交易服务平台—政府采购”网站下载中心。</w:t>
      </w:r>
    </w:p>
    <w:p w14:paraId="783B55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32.5采购人或磋商组织方在收到供应商的书面质疑后将及时组织调查核实，在七个工作日内作出答复，并以书面或在网站公告形式通知质疑供应商和其他有关供应商，答复的内容不涉及商业秘密。</w:t>
      </w:r>
    </w:p>
    <w:p w14:paraId="3B5851A8">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198" w:name="_Toc73364893"/>
      <w:bookmarkStart w:id="199" w:name="_Toc256000050"/>
      <w:bookmarkStart w:id="200" w:name="_Toc73365506"/>
      <w:r>
        <w:rPr>
          <w:rFonts w:hint="eastAsia" w:ascii="宋体" w:hAnsi="宋体"/>
          <w:color w:val="auto"/>
          <w:sz w:val="30"/>
          <w:highlight w:val="none"/>
        </w:rPr>
        <w:t>33．投诉</w:t>
      </w:r>
      <w:bookmarkEnd w:id="198"/>
      <w:bookmarkEnd w:id="199"/>
      <w:bookmarkEnd w:id="200"/>
    </w:p>
    <w:p w14:paraId="73BF5A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33.1质疑供应商对采购人、磋商组织方的答复不满意，或者采购人、磋商组织方未在规定的时间内作出答复的，可以在答复期满后十五个工作日内向采购项目同级财政部门投诉。</w:t>
      </w:r>
    </w:p>
    <w:p w14:paraId="02ECD508">
      <w:pPr>
        <w:pStyle w:val="192"/>
        <w:rPr>
          <w:rFonts w:ascii="宋体" w:hAnsi="宋体" w:eastAsia="宋体"/>
          <w:color w:val="auto"/>
          <w:sz w:val="32"/>
          <w:highlight w:val="none"/>
        </w:rPr>
      </w:pPr>
      <w:bookmarkStart w:id="201" w:name="_Toc73365507"/>
      <w:bookmarkStart w:id="202" w:name="_Toc256000051"/>
      <w:bookmarkStart w:id="203" w:name="_Toc73364894"/>
      <w:r>
        <w:rPr>
          <w:rFonts w:hint="eastAsia" w:ascii="宋体" w:hAnsi="宋体" w:eastAsia="宋体"/>
          <w:color w:val="auto"/>
          <w:sz w:val="32"/>
          <w:highlight w:val="none"/>
        </w:rPr>
        <w:t>八、诚实信用和解释权</w:t>
      </w:r>
      <w:bookmarkEnd w:id="201"/>
      <w:bookmarkEnd w:id="202"/>
      <w:bookmarkEnd w:id="203"/>
    </w:p>
    <w:p w14:paraId="1A5122A3">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204" w:name="_Toc73365508"/>
      <w:bookmarkStart w:id="205" w:name="_Toc256000052"/>
      <w:bookmarkStart w:id="206" w:name="_Toc73364895"/>
      <w:r>
        <w:rPr>
          <w:rFonts w:hint="eastAsia" w:ascii="宋体" w:hAnsi="宋体"/>
          <w:color w:val="auto"/>
          <w:sz w:val="30"/>
          <w:highlight w:val="none"/>
        </w:rPr>
        <w:t>34．诚实信用</w:t>
      </w:r>
      <w:bookmarkEnd w:id="204"/>
      <w:bookmarkEnd w:id="205"/>
      <w:bookmarkEnd w:id="206"/>
    </w:p>
    <w:p w14:paraId="729A4A6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34.1供应商之间不得相互串通磋商报价，不得妨碍其他供应商的公平竞争，不得损害采购人和其他供应商的合法权益。</w:t>
      </w:r>
    </w:p>
    <w:p w14:paraId="12AA6DD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34.2供应商不得以向磋商组织方工作人员、磋商小组成员行贿或者采取其他不正当手段谋取成交。经查实供应商有此行为的，将在“江苏政府采购”网站公告，政府采购管理部门将供应商列入不良行为记录名单，按照政府采购有关规定处理。</w:t>
      </w:r>
    </w:p>
    <w:p w14:paraId="3DF60D8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34.3供应商不得虚假承诺，否则，按照提供虚假材料谋取中标/成交处理。</w:t>
      </w:r>
    </w:p>
    <w:p w14:paraId="6EBB943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34</w:t>
      </w:r>
      <w:r>
        <w:rPr>
          <w:rFonts w:ascii="宋体" w:hAnsi="宋体"/>
          <w:color w:val="auto"/>
          <w:sz w:val="24"/>
          <w:highlight w:val="none"/>
        </w:rPr>
        <w:t>.4供应商应自觉遵守</w:t>
      </w:r>
      <w:r>
        <w:rPr>
          <w:rFonts w:hint="eastAsia" w:ascii="宋体" w:hAnsi="宋体"/>
          <w:color w:val="auto"/>
          <w:sz w:val="24"/>
          <w:highlight w:val="none"/>
        </w:rPr>
        <w:t>磋商</w:t>
      </w:r>
      <w:r>
        <w:rPr>
          <w:rFonts w:ascii="宋体" w:hAnsi="宋体"/>
          <w:color w:val="auto"/>
          <w:sz w:val="24"/>
          <w:highlight w:val="none"/>
        </w:rPr>
        <w:t>纪律，扰乱</w:t>
      </w:r>
      <w:r>
        <w:rPr>
          <w:rFonts w:hint="eastAsia" w:ascii="宋体" w:hAnsi="宋体"/>
          <w:color w:val="auto"/>
          <w:sz w:val="24"/>
          <w:highlight w:val="none"/>
        </w:rPr>
        <w:t>磋商</w:t>
      </w:r>
      <w:r>
        <w:rPr>
          <w:rFonts w:ascii="宋体" w:hAnsi="宋体"/>
          <w:color w:val="auto"/>
          <w:sz w:val="24"/>
          <w:highlight w:val="none"/>
        </w:rPr>
        <w:t>现场秩序的，属于失信行为，根据《江苏省政府采购供应商监督管理暂行办法》，失信行为将被记入供应商诚信档案。</w:t>
      </w:r>
    </w:p>
    <w:p w14:paraId="7B1BC4A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34</w:t>
      </w:r>
      <w:r>
        <w:rPr>
          <w:rFonts w:ascii="宋体" w:hAnsi="宋体"/>
          <w:color w:val="auto"/>
          <w:sz w:val="24"/>
          <w:highlight w:val="none"/>
        </w:rPr>
        <w:t>.5</w:t>
      </w:r>
      <w:r>
        <w:rPr>
          <w:rFonts w:hint="eastAsia" w:ascii="宋体" w:hAnsi="宋体"/>
          <w:color w:val="auto"/>
          <w:sz w:val="24"/>
          <w:highlight w:val="none"/>
        </w:rPr>
        <w:t>根据《财政部关于在政府采购活动中查询及使用信息记录有关问题的通知》（财库〔2016〕125号）、江苏省财政厅《关于做好政府采购信用信息查询使用及登记等工作的通知》（苏财购〔2016〕50号）等文件精神，采购人在项目资格审查时对参加本项目的各供应商进行信用记录查询，信用记录查询渠道为“信用中国”网站（www.creditchina.gov.cn ）、中国政府采购网（www.ccgp.gov.cn ）、“信用江苏”网站（http://credit.jiangsu.gov.cn/ ），信用记录查询截止时间为项目资格审查结束时，信用信息查询记录及证据留存的具体方式为打印或网页截图。对存在失信信息的供应商（列入失信被执行人、重大税收违法案件当事人名单、政府采购严重违法失信行为记录名单及其他不符合《中华人民共和国政府采购法》第二十二条规定条件的供应商）应当拒绝其参与政府采购活动。</w:t>
      </w:r>
    </w:p>
    <w:p w14:paraId="4A584F63">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207" w:name="_Toc73365509"/>
      <w:bookmarkStart w:id="208" w:name="_Toc73364896"/>
      <w:bookmarkStart w:id="209" w:name="_Toc256000053"/>
      <w:r>
        <w:rPr>
          <w:rFonts w:hint="eastAsia" w:ascii="宋体" w:hAnsi="宋体"/>
          <w:color w:val="auto"/>
          <w:sz w:val="30"/>
          <w:highlight w:val="none"/>
        </w:rPr>
        <w:t>35．解释权</w:t>
      </w:r>
      <w:bookmarkEnd w:id="207"/>
      <w:bookmarkEnd w:id="208"/>
      <w:bookmarkEnd w:id="209"/>
    </w:p>
    <w:p w14:paraId="49D659B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35.1除相关法律、法规规定外，本磋商文件的解释权归</w:t>
      </w:r>
      <w:r>
        <w:rPr>
          <w:rFonts w:hint="eastAsia" w:ascii="宋体" w:hAnsi="宋体"/>
          <w:color w:val="auto"/>
          <w:sz w:val="24"/>
          <w:highlight w:val="none"/>
          <w:lang w:eastAsia="zh-CN"/>
        </w:rPr>
        <w:t>江苏省设备成套股份有限公司</w:t>
      </w:r>
      <w:r>
        <w:rPr>
          <w:rFonts w:hint="eastAsia" w:ascii="宋体" w:hAnsi="宋体"/>
          <w:color w:val="auto"/>
          <w:sz w:val="24"/>
          <w:highlight w:val="none"/>
        </w:rPr>
        <w:t>所有。</w:t>
      </w:r>
    </w:p>
    <w:p w14:paraId="08B3FE95">
      <w:pPr>
        <w:pStyle w:val="193"/>
        <w:keepNext w:val="0"/>
        <w:keepLines w:val="0"/>
        <w:pageBreakBefore w:val="0"/>
        <w:widowControl w:val="0"/>
        <w:tabs>
          <w:tab w:val="left" w:pos="5191"/>
        </w:tabs>
        <w:kinsoku/>
        <w:wordWrap/>
        <w:overflowPunct/>
        <w:topLinePunct w:val="0"/>
        <w:autoSpaceDE/>
        <w:autoSpaceDN/>
        <w:bidi w:val="0"/>
        <w:adjustRightInd/>
        <w:snapToGrid/>
        <w:spacing w:before="0" w:after="0" w:line="360" w:lineRule="auto"/>
        <w:textAlignment w:val="auto"/>
        <w:outlineLvl w:val="9"/>
        <w:rPr>
          <w:rFonts w:ascii="宋体" w:hAnsi="宋体"/>
          <w:color w:val="auto"/>
          <w:sz w:val="30"/>
          <w:highlight w:val="none"/>
        </w:rPr>
      </w:pPr>
      <w:bookmarkStart w:id="210" w:name="_Toc73365510"/>
      <w:bookmarkStart w:id="211" w:name="_Toc256000054"/>
      <w:bookmarkStart w:id="212" w:name="_Toc73364897"/>
      <w:r>
        <w:rPr>
          <w:rFonts w:hint="eastAsia" w:ascii="宋体" w:hAnsi="宋体"/>
          <w:color w:val="auto"/>
          <w:sz w:val="30"/>
          <w:highlight w:val="none"/>
        </w:rPr>
        <w:t>36．适用法律及约束力</w:t>
      </w:r>
      <w:bookmarkEnd w:id="210"/>
      <w:bookmarkEnd w:id="211"/>
      <w:bookmarkEnd w:id="212"/>
    </w:p>
    <w:p w14:paraId="0CFAF47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pPr>
      <w:r>
        <w:rPr>
          <w:rFonts w:hint="eastAsia" w:ascii="宋体" w:hAnsi="宋体"/>
          <w:color w:val="auto"/>
          <w:sz w:val="24"/>
          <w:highlight w:val="none"/>
        </w:rPr>
        <w:t>36.1</w:t>
      </w:r>
      <w:r>
        <w:rPr>
          <w:rFonts w:hint="eastAsia" w:ascii="宋体" w:hAnsi="宋体"/>
          <w:b/>
          <w:color w:val="auto"/>
          <w:sz w:val="24"/>
          <w:highlight w:val="none"/>
        </w:rPr>
        <w:t>供应商一旦获取了本磋商文件并参加磋商，即被认为接受了本磋商文件的规定和约束。</w:t>
      </w:r>
    </w:p>
    <w:p w14:paraId="428829C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olor w:val="auto"/>
          <w:sz w:val="24"/>
          <w:highlight w:val="none"/>
        </w:rPr>
        <w:sectPr>
          <w:footerReference r:id="rId4" w:type="first"/>
          <w:footerReference r:id="rId3" w:type="default"/>
          <w:pgSz w:w="11907" w:h="16840"/>
          <w:pgMar w:top="1440" w:right="1270" w:bottom="1440" w:left="1270" w:header="851" w:footer="851" w:gutter="0"/>
          <w:cols w:space="720" w:num="1"/>
          <w:titlePg/>
          <w:docGrid w:linePitch="360" w:charSpace="0"/>
        </w:sectPr>
      </w:pPr>
      <w:r>
        <w:rPr>
          <w:rFonts w:hint="eastAsia" w:ascii="宋体" w:hAnsi="宋体"/>
          <w:color w:val="auto"/>
          <w:sz w:val="24"/>
          <w:highlight w:val="none"/>
        </w:rPr>
        <w:t>36.2本次采购及由本次采购产生的合同受中华人民共和国法律制约和保护。</w:t>
      </w:r>
      <w:bookmarkStart w:id="213" w:name="EB419d05b8a1254ef8af4578a7646e1195"/>
      <w:bookmarkEnd w:id="213"/>
      <w:bookmarkStart w:id="214" w:name="_Toc73364899"/>
      <w:bookmarkStart w:id="215" w:name="_Toc73365512"/>
      <w:bookmarkStart w:id="216" w:name="_Toc256000056"/>
    </w:p>
    <w:p w14:paraId="5AB4686D">
      <w:pPr>
        <w:jc w:val="center"/>
        <w:rPr>
          <w:rFonts w:hint="eastAsia" w:ascii="宋体" w:hAnsi="宋体"/>
          <w:b/>
          <w:color w:val="auto"/>
          <w:sz w:val="30"/>
          <w:szCs w:val="24"/>
          <w:highlight w:val="none"/>
        </w:rPr>
      </w:pPr>
    </w:p>
    <w:p w14:paraId="12561024">
      <w:pPr>
        <w:jc w:val="center"/>
        <w:rPr>
          <w:color w:val="auto"/>
          <w:highlight w:val="none"/>
        </w:rPr>
      </w:pPr>
      <w:r>
        <w:rPr>
          <w:rFonts w:hint="eastAsia" w:ascii="宋体" w:hAnsi="宋体"/>
          <w:b/>
          <w:color w:val="auto"/>
          <w:sz w:val="30"/>
          <w:szCs w:val="24"/>
          <w:highlight w:val="none"/>
        </w:rPr>
        <w:t>第三部分  拟签订的合同文本（施工类）</w:t>
      </w:r>
    </w:p>
    <w:p w14:paraId="7556D233">
      <w:pPr>
        <w:rPr>
          <w:rFonts w:hint="eastAsia" w:ascii="宋体" w:hAnsi="宋体" w:cs="宋体"/>
          <w:color w:val="auto"/>
          <w:sz w:val="24"/>
          <w:szCs w:val="24"/>
          <w:highlight w:val="none"/>
        </w:rPr>
      </w:pPr>
      <w:bookmarkStart w:id="217" w:name="_Toc22000633"/>
    </w:p>
    <w:p w14:paraId="76D108A7">
      <w:pPr>
        <w:jc w:val="left"/>
        <w:rPr>
          <w:rFonts w:hint="eastAsia" w:ascii="宋体" w:hAnsi="宋体" w:eastAsia="宋体" w:cs="宋体"/>
          <w:bCs/>
          <w:sz w:val="32"/>
          <w:szCs w:val="32"/>
        </w:rPr>
      </w:pPr>
      <w:r>
        <w:rPr>
          <w:rFonts w:hint="eastAsia" w:ascii="宋体" w:hAnsi="宋体" w:eastAsia="宋体" w:cs="宋体"/>
          <w:bCs/>
          <w:sz w:val="32"/>
          <w:szCs w:val="32"/>
          <w:highlight w:val="white"/>
        </w:rPr>
        <w:t>（2024年版）</w:t>
      </w:r>
    </w:p>
    <w:p w14:paraId="6ED1021E">
      <w:pPr>
        <w:jc w:val="center"/>
        <w:rPr>
          <w:rFonts w:hint="eastAsia" w:ascii="宋体" w:hAnsi="宋体" w:eastAsia="宋体" w:cs="宋体"/>
          <w:b/>
          <w:sz w:val="72"/>
          <w:szCs w:val="52"/>
          <w:highlight w:val="white"/>
        </w:rPr>
      </w:pPr>
    </w:p>
    <w:p w14:paraId="3B3BD2D3">
      <w:pPr>
        <w:jc w:val="center"/>
        <w:rPr>
          <w:rFonts w:hint="eastAsia" w:ascii="宋体" w:hAnsi="宋体" w:eastAsia="宋体" w:cs="宋体"/>
          <w:b/>
          <w:sz w:val="72"/>
          <w:szCs w:val="52"/>
          <w:highlight w:val="white"/>
        </w:rPr>
      </w:pPr>
    </w:p>
    <w:p w14:paraId="4A747288">
      <w:pPr>
        <w:jc w:val="center"/>
        <w:rPr>
          <w:rFonts w:hint="eastAsia" w:ascii="宋体" w:hAnsi="宋体" w:eastAsia="宋体" w:cs="宋体"/>
          <w:b/>
          <w:sz w:val="52"/>
          <w:szCs w:val="52"/>
        </w:rPr>
      </w:pPr>
      <w:r>
        <w:rPr>
          <w:rFonts w:hint="eastAsia" w:ascii="宋体" w:hAnsi="宋体" w:eastAsia="宋体" w:cs="宋体"/>
          <w:b/>
          <w:sz w:val="72"/>
          <w:szCs w:val="52"/>
          <w:highlight w:val="white"/>
        </w:rPr>
        <w:t>建设工程施工合同</w:t>
      </w:r>
      <w:r>
        <w:rPr>
          <w:rFonts w:hint="eastAsia" w:ascii="宋体" w:hAnsi="宋体" w:eastAsia="宋体" w:cs="宋体"/>
          <w:b/>
          <w:sz w:val="52"/>
          <w:szCs w:val="52"/>
          <w:highlight w:val="white"/>
        </w:rPr>
        <w:br w:type="textWrapping"/>
      </w:r>
    </w:p>
    <w:p w14:paraId="411AA08E">
      <w:pPr>
        <w:jc w:val="center"/>
        <w:rPr>
          <w:rFonts w:hint="eastAsia" w:ascii="宋体" w:hAnsi="宋体" w:eastAsia="宋体" w:cs="宋体"/>
          <w:b/>
          <w:color w:val="0000FF"/>
          <w:sz w:val="32"/>
          <w:szCs w:val="32"/>
        </w:rPr>
      </w:pPr>
      <w:r>
        <w:rPr>
          <w:rFonts w:hint="eastAsia" w:ascii="宋体" w:hAnsi="宋体" w:eastAsia="宋体" w:cs="宋体"/>
          <w:b/>
          <w:color w:val="auto"/>
          <w:sz w:val="32"/>
          <w:szCs w:val="32"/>
        </w:rPr>
        <w:t>现代农业产业园—半坡农创园工程</w:t>
      </w:r>
    </w:p>
    <w:p w14:paraId="07F37DF1">
      <w:pPr>
        <w:jc w:val="center"/>
        <w:rPr>
          <w:rFonts w:hint="eastAsia" w:ascii="宋体" w:hAnsi="宋体" w:eastAsia="宋体" w:cs="宋体"/>
          <w:b/>
          <w:sz w:val="72"/>
          <w:szCs w:val="72"/>
        </w:rPr>
      </w:pPr>
    </w:p>
    <w:p w14:paraId="5C0C904B">
      <w:pPr>
        <w:jc w:val="center"/>
        <w:rPr>
          <w:rFonts w:hint="eastAsia" w:ascii="宋体" w:hAnsi="宋体" w:eastAsia="宋体" w:cs="宋体"/>
          <w:b/>
          <w:sz w:val="52"/>
          <w:szCs w:val="52"/>
        </w:rPr>
      </w:pPr>
    </w:p>
    <w:p w14:paraId="1BB3B996">
      <w:pPr>
        <w:rPr>
          <w:rFonts w:hint="eastAsia" w:ascii="宋体" w:hAnsi="宋体" w:eastAsia="宋体" w:cs="宋体"/>
          <w:b/>
          <w:sz w:val="28"/>
          <w:szCs w:val="28"/>
        </w:rPr>
      </w:pPr>
    </w:p>
    <w:p w14:paraId="3E0FEEA9">
      <w:pPr>
        <w:rPr>
          <w:rFonts w:hint="eastAsia" w:ascii="宋体" w:hAnsi="宋体" w:eastAsia="宋体" w:cs="宋体"/>
          <w:b/>
          <w:sz w:val="28"/>
          <w:szCs w:val="28"/>
        </w:rPr>
      </w:pPr>
    </w:p>
    <w:p w14:paraId="5823002B">
      <w:pPr>
        <w:rPr>
          <w:rFonts w:hint="eastAsia" w:ascii="宋体" w:hAnsi="宋体" w:eastAsia="宋体" w:cs="宋体"/>
          <w:b/>
          <w:sz w:val="28"/>
          <w:szCs w:val="28"/>
        </w:rPr>
      </w:pPr>
    </w:p>
    <w:p w14:paraId="0C0AD742">
      <w:pPr>
        <w:ind w:right="2719" w:rightChars="1295" w:firstLine="3665" w:firstLineChars="1304"/>
        <w:jc w:val="distribute"/>
        <w:rPr>
          <w:rFonts w:hint="eastAsia" w:ascii="宋体" w:hAnsi="宋体" w:eastAsia="宋体" w:cs="宋体"/>
          <w:b/>
          <w:sz w:val="28"/>
          <w:szCs w:val="28"/>
        </w:rPr>
      </w:pPr>
    </w:p>
    <w:p w14:paraId="266EA2CC">
      <w:pPr>
        <w:ind w:right="2719" w:rightChars="1295" w:firstLine="3665" w:firstLineChars="1304"/>
        <w:jc w:val="distribute"/>
        <w:rPr>
          <w:rFonts w:hint="eastAsia" w:ascii="宋体" w:hAnsi="宋体" w:eastAsia="宋体" w:cs="宋体"/>
          <w:b/>
          <w:sz w:val="28"/>
          <w:szCs w:val="28"/>
        </w:rPr>
      </w:pPr>
    </w:p>
    <w:p w14:paraId="658C3F2A">
      <w:pPr>
        <w:ind w:right="2719" w:rightChars="1295" w:firstLine="3665" w:firstLineChars="1304"/>
        <w:jc w:val="distribute"/>
        <w:rPr>
          <w:rFonts w:hint="eastAsia" w:ascii="宋体" w:hAnsi="宋体" w:eastAsia="宋体" w:cs="宋体"/>
          <w:b/>
          <w:sz w:val="28"/>
          <w:szCs w:val="28"/>
        </w:rPr>
      </w:pPr>
    </w:p>
    <w:p w14:paraId="4C77F937">
      <w:pPr>
        <w:ind w:right="2719" w:rightChars="1295" w:firstLine="2738" w:firstLineChars="1304"/>
        <w:jc w:val="distribute"/>
        <w:rPr>
          <w:rFonts w:hint="eastAsia" w:ascii="宋体" w:hAnsi="宋体" w:eastAsia="宋体" w:cs="宋体"/>
          <w:b/>
          <w:sz w:val="32"/>
          <w:szCs w:val="28"/>
        </w:rPr>
      </w:pPr>
      <w:r>
        <w:rPr>
          <w:rFonts w:hint="eastAsia" w:ascii="宋体" w:hAnsi="宋体" w:eastAsia="宋体" w:cs="宋体"/>
        </w:rP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723900" cy="457200"/>
                <wp:effectExtent l="4445" t="4445" r="18415" b="10795"/>
                <wp:wrapNone/>
                <wp:docPr id="1" name="文本框 1"/>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5C2D4B71">
                            <w:pPr>
                              <w:rPr>
                                <w:b/>
                                <w:bCs/>
                                <w:sz w:val="32"/>
                              </w:rPr>
                            </w:pPr>
                            <w:r>
                              <w:rPr>
                                <w:rFonts w:hint="eastAsia"/>
                                <w:b/>
                                <w:bCs/>
                                <w:sz w:val="32"/>
                                <w:highlight w:val="white"/>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&#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O0earoEAgAADAQAAA4AAAAAAAAAAQAgAAAAJwEA&#10;AGRycy9lMm9Eb2MueG1sUEsFBgAAAAAGAAYAWQEAAJ0FAAAAAA==&#10;">
                <v:fill on="f" focussize="0,0"/>
                <v:stroke color="#FFFFFF" joinstyle="miter"/>
                <v:imagedata o:title=""/>
                <o:lock v:ext="edit" aspectratio="f"/>
                <v:textbox>
                  <w:txbxContent>
                    <w:p w14:paraId="5C2D4B71">
                      <w:pPr>
                        <w:rPr>
                          <w:b/>
                          <w:bCs/>
                          <w:sz w:val="32"/>
                        </w:rPr>
                      </w:pPr>
                      <w:r>
                        <w:rPr>
                          <w:rFonts w:hint="eastAsia"/>
                          <w:b/>
                          <w:bCs/>
                          <w:sz w:val="32"/>
                          <w:highlight w:val="white"/>
                        </w:rPr>
                        <w:t>制定</w:t>
                      </w:r>
                    </w:p>
                  </w:txbxContent>
                </v:textbox>
              </v:shape>
            </w:pict>
          </mc:Fallback>
        </mc:AlternateContent>
      </w:r>
      <w:r>
        <w:rPr>
          <w:rFonts w:hint="eastAsia" w:ascii="宋体" w:hAnsi="宋体" w:eastAsia="宋体" w:cs="宋体"/>
          <w:b/>
          <w:sz w:val="32"/>
          <w:szCs w:val="28"/>
          <w:highlight w:val="white"/>
        </w:rPr>
        <w:t>住房城乡建设部</w:t>
      </w:r>
    </w:p>
    <w:p w14:paraId="7EC088C2">
      <w:pPr>
        <w:ind w:right="2719" w:rightChars="1295" w:firstLine="2750" w:firstLineChars="856"/>
        <w:jc w:val="distribute"/>
        <w:rPr>
          <w:rFonts w:ascii="仿宋" w:hAnsi="仿宋" w:eastAsia="仿宋"/>
          <w:b/>
          <w:sz w:val="32"/>
          <w:szCs w:val="28"/>
        </w:rPr>
      </w:pPr>
      <w:r>
        <w:rPr>
          <w:rFonts w:hint="eastAsia" w:ascii="宋体" w:hAnsi="宋体" w:eastAsia="宋体" w:cs="宋体"/>
          <w:b/>
          <w:sz w:val="32"/>
          <w:szCs w:val="28"/>
          <w:highlight w:val="white"/>
        </w:rPr>
        <w:t>国家工商行政管理总局</w:t>
      </w:r>
    </w:p>
    <w:p w14:paraId="6216D2C1">
      <w:pPr>
        <w:rPr>
          <w:rFonts w:hint="eastAsia" w:ascii="仿宋" w:hAnsi="仿宋" w:eastAsia="仿宋"/>
          <w:b/>
        </w:rPr>
      </w:pPr>
    </w:p>
    <w:p w14:paraId="60A3C0F6">
      <w:pPr>
        <w:pStyle w:val="308"/>
        <w:spacing w:before="0" w:line="360" w:lineRule="auto"/>
        <w:jc w:val="center"/>
        <w:outlineLvl w:val="1"/>
        <w:rPr>
          <w:rFonts w:hint="eastAsia" w:ascii="宋体" w:hAnsi="宋体" w:eastAsia="宋体" w:cs="宋体"/>
          <w:b w:val="0"/>
          <w:color w:val="auto"/>
          <w:sz w:val="24"/>
          <w:szCs w:val="24"/>
          <w:lang w:val="zh-CN"/>
        </w:rPr>
      </w:pPr>
      <w:bookmarkStart w:id="218" w:name="_Toc534878624"/>
      <w:r>
        <w:rPr>
          <w:rFonts w:hint="eastAsia" w:ascii="宋体" w:hAnsi="宋体" w:eastAsia="宋体" w:cs="宋体"/>
          <w:b w:val="0"/>
          <w:color w:val="auto"/>
          <w:sz w:val="24"/>
          <w:szCs w:val="24"/>
          <w:highlight w:val="white"/>
          <w:lang w:val="zh-CN"/>
        </w:rPr>
        <w:t>说  明</w:t>
      </w:r>
      <w:bookmarkEnd w:id="218"/>
    </w:p>
    <w:p w14:paraId="35ADCCB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为了指导建设工程施工合同当事人的签约行为，维护合同当事人的合法权益，依据《中华人民共和国合同法》、《中华人民共和国建筑法》、《中华人民共和国招标投标法》以及相关法律法规，住房城乡建设部、国家工商行政管理总局对《建设工程施工合同（示范文本）》（GF-2013-0201）进行了修订，制定了《建设工程施工合同（示范文本）》（GF-2017-0201）（以下简称《示范文本》）。为了便于合同当事人使用《示范文本》，现就有关问题说明如下：</w:t>
      </w:r>
    </w:p>
    <w:p w14:paraId="7C19979C">
      <w:pPr>
        <w:spacing w:line="360" w:lineRule="auto"/>
        <w:ind w:firstLine="480" w:firstLineChars="200"/>
        <w:outlineLvl w:val="1"/>
        <w:rPr>
          <w:rFonts w:hint="eastAsia" w:ascii="宋体" w:hAnsi="宋体" w:eastAsia="宋体" w:cs="宋体"/>
          <w:bCs/>
          <w:sz w:val="24"/>
          <w:szCs w:val="24"/>
        </w:rPr>
      </w:pPr>
      <w:bookmarkStart w:id="219" w:name="_Toc534878625"/>
      <w:r>
        <w:rPr>
          <w:rFonts w:hint="eastAsia" w:ascii="宋体" w:hAnsi="宋体" w:eastAsia="宋体" w:cs="宋体"/>
          <w:bCs/>
          <w:sz w:val="24"/>
          <w:szCs w:val="24"/>
          <w:highlight w:val="white"/>
        </w:rPr>
        <w:t>一、《示范文本》的组成</w:t>
      </w:r>
      <w:bookmarkEnd w:id="219"/>
    </w:p>
    <w:p w14:paraId="6FC973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《示范文本》由合同协议书、通用合同条款和专用合同条款三部分组成。</w:t>
      </w:r>
    </w:p>
    <w:p w14:paraId="79164386">
      <w:pPr>
        <w:spacing w:line="360" w:lineRule="auto"/>
        <w:ind w:firstLine="480" w:firstLineChars="200"/>
        <w:outlineLvl w:val="1"/>
        <w:rPr>
          <w:rFonts w:hint="eastAsia" w:ascii="宋体" w:hAnsi="宋体" w:eastAsia="宋体" w:cs="宋体"/>
          <w:bCs/>
          <w:sz w:val="24"/>
          <w:szCs w:val="24"/>
        </w:rPr>
      </w:pPr>
      <w:bookmarkStart w:id="220" w:name="_Toc534878626"/>
      <w:r>
        <w:rPr>
          <w:rFonts w:hint="eastAsia" w:ascii="宋体" w:hAnsi="宋体" w:eastAsia="宋体" w:cs="宋体"/>
          <w:bCs/>
          <w:sz w:val="24"/>
          <w:szCs w:val="24"/>
          <w:highlight w:val="white"/>
        </w:rPr>
        <w:t>（一）合同协议书</w:t>
      </w:r>
      <w:bookmarkEnd w:id="220"/>
    </w:p>
    <w:p w14:paraId="6E7C759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3A6058AE">
      <w:pPr>
        <w:spacing w:line="360" w:lineRule="auto"/>
        <w:ind w:firstLine="480" w:firstLineChars="200"/>
        <w:outlineLvl w:val="1"/>
        <w:rPr>
          <w:rFonts w:hint="eastAsia" w:ascii="宋体" w:hAnsi="宋体" w:eastAsia="宋体" w:cs="宋体"/>
          <w:sz w:val="24"/>
          <w:szCs w:val="24"/>
        </w:rPr>
      </w:pPr>
      <w:bookmarkStart w:id="221" w:name="_Toc534878627"/>
      <w:r>
        <w:rPr>
          <w:rFonts w:hint="eastAsia" w:ascii="宋体" w:hAnsi="宋体" w:eastAsia="宋体" w:cs="宋体"/>
          <w:sz w:val="24"/>
          <w:szCs w:val="24"/>
          <w:highlight w:val="white"/>
        </w:rPr>
        <w:t>（二）通用合同条款</w:t>
      </w:r>
      <w:bookmarkEnd w:id="221"/>
    </w:p>
    <w:p w14:paraId="393CC65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通用合同条款是合同当事人根据《中华人民共和国建筑法》、《中华人民共和国合同法》等法律法规的规定，就工程建设的实施及相关事项，对合同当事人的权利义务作出的原则性约定。</w:t>
      </w:r>
    </w:p>
    <w:p w14:paraId="03C9781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216BB13B">
      <w:pPr>
        <w:spacing w:line="360" w:lineRule="auto"/>
        <w:ind w:firstLine="480" w:firstLineChars="200"/>
        <w:outlineLvl w:val="1"/>
        <w:rPr>
          <w:rFonts w:hint="eastAsia" w:ascii="宋体" w:hAnsi="宋体" w:eastAsia="宋体" w:cs="宋体"/>
          <w:sz w:val="24"/>
          <w:szCs w:val="24"/>
        </w:rPr>
      </w:pPr>
      <w:bookmarkStart w:id="222" w:name="_Toc534878628"/>
      <w:r>
        <w:rPr>
          <w:rFonts w:hint="eastAsia" w:ascii="宋体" w:hAnsi="宋体" w:eastAsia="宋体" w:cs="宋体"/>
          <w:sz w:val="24"/>
          <w:szCs w:val="24"/>
          <w:highlight w:val="white"/>
        </w:rPr>
        <w:t>（三）专用合同条款</w:t>
      </w:r>
      <w:bookmarkEnd w:id="222"/>
    </w:p>
    <w:p w14:paraId="4B2CFC3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37599629">
      <w:pPr>
        <w:spacing w:line="360" w:lineRule="auto"/>
        <w:ind w:right="25" w:rightChars="12"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1.专用合同条款的编号应与相应的通用合同条款的编号一致；</w:t>
      </w:r>
    </w:p>
    <w:p w14:paraId="6428A3D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2.合同当事人可以通过对专用合同条款的修改，满足具体建设工程的特殊要求，避免直接修改通用合同条款；</w:t>
      </w:r>
    </w:p>
    <w:p w14:paraId="665B0EF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3.在专用合同条款中有横道线的地方，合同当事人可针对相应的通用合同条款进行细化、完善、补充、修改或另行约定；如无细化、完善、补充、修改或另行约定，则填写“无”或划“/”。</w:t>
      </w:r>
    </w:p>
    <w:p w14:paraId="2B9E6F17">
      <w:pPr>
        <w:spacing w:line="360" w:lineRule="auto"/>
        <w:ind w:firstLine="480" w:firstLineChars="200"/>
        <w:outlineLvl w:val="1"/>
        <w:rPr>
          <w:rFonts w:hint="eastAsia" w:ascii="宋体" w:hAnsi="宋体" w:eastAsia="宋体" w:cs="宋体"/>
          <w:b/>
          <w:sz w:val="24"/>
          <w:szCs w:val="24"/>
        </w:rPr>
      </w:pPr>
      <w:bookmarkStart w:id="223" w:name="_Toc534878629"/>
      <w:r>
        <w:rPr>
          <w:rFonts w:hint="eastAsia" w:ascii="宋体" w:hAnsi="宋体" w:eastAsia="宋体" w:cs="宋体"/>
          <w:bCs/>
          <w:sz w:val="24"/>
          <w:szCs w:val="24"/>
          <w:highlight w:val="white"/>
        </w:rPr>
        <w:t>二、《示范文本》的性质和适用范围</w:t>
      </w:r>
      <w:bookmarkEnd w:id="223"/>
    </w:p>
    <w:p w14:paraId="634B944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14:paraId="6148876A">
      <w:pPr>
        <w:widowControl/>
        <w:jc w:val="left"/>
        <w:rPr>
          <w:rFonts w:hint="eastAsia" w:ascii="宋体" w:hAnsi="宋体" w:eastAsia="宋体" w:cs="宋体"/>
          <w:sz w:val="24"/>
          <w:szCs w:val="24"/>
        </w:rPr>
        <w:sectPr>
          <w:headerReference r:id="rId5" w:type="default"/>
          <w:footerReference r:id="rId6" w:type="default"/>
          <w:footerReference r:id="rId7" w:type="even"/>
          <w:pgSz w:w="11906" w:h="16838"/>
          <w:pgMar w:top="1418" w:right="1555" w:bottom="1418" w:left="1531" w:header="851" w:footer="992" w:gutter="0"/>
          <w:pgNumType w:fmt="decimal"/>
          <w:cols w:space="720" w:num="1"/>
          <w:docGrid w:type="lines" w:linePitch="312" w:charSpace="0"/>
        </w:sectPr>
      </w:pPr>
    </w:p>
    <w:p w14:paraId="78249EE2">
      <w:pPr>
        <w:rPr>
          <w:rFonts w:hint="eastAsia" w:ascii="仿宋" w:hAnsi="仿宋" w:eastAsia="仿宋"/>
          <w:b/>
          <w:sz w:val="44"/>
          <w:szCs w:val="44"/>
        </w:rPr>
      </w:pPr>
      <w:bookmarkStart w:id="224" w:name="EBac3c285aa5fb4670af4ad02d960b8e8c"/>
      <w:r>
        <w:rPr>
          <w:rFonts w:hint="eastAsia" w:ascii="仿宋" w:hAnsi="仿宋" w:eastAsia="仿宋"/>
          <w:sz w:val="20"/>
          <w:highlight w:val="white"/>
        </w:rPr>
        <w:t xml:space="preserve"> </w:t>
      </w:r>
      <w:bookmarkEnd w:id="224"/>
      <w:bookmarkStart w:id="225" w:name="EBc765addf6780448395ffd58f73702aed"/>
      <w:r>
        <w:rPr>
          <w:rFonts w:hint="eastAsia" w:ascii="仿宋" w:hAnsi="仿宋" w:eastAsia="仿宋"/>
          <w:sz w:val="20"/>
          <w:highlight w:val="white"/>
        </w:rPr>
        <w:t xml:space="preserve"> </w:t>
      </w:r>
      <w:bookmarkEnd w:id="225"/>
      <w:r>
        <w:rPr>
          <w:rFonts w:hint="eastAsia" w:ascii="仿宋" w:hAnsi="仿宋" w:eastAsia="仿宋"/>
          <w:sz w:val="20"/>
          <w:highlight w:val="white"/>
        </w:rPr>
        <w:t xml:space="preserve">                   </w:t>
      </w:r>
      <w:r>
        <w:rPr>
          <w:rFonts w:hint="eastAsia" w:ascii="宋体" w:hAnsi="宋体" w:eastAsia="宋体" w:cs="宋体"/>
          <w:sz w:val="44"/>
          <w:szCs w:val="44"/>
          <w:highlight w:val="white"/>
        </w:rPr>
        <w:t>第一部分 合同协议书</w:t>
      </w:r>
    </w:p>
    <w:p w14:paraId="1C886F03">
      <w:pPr>
        <w:spacing w:line="360" w:lineRule="auto"/>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highlight w:val="white"/>
        </w:rPr>
        <w:t>发包人（全称）：</w:t>
      </w:r>
      <w:r>
        <w:rPr>
          <w:rFonts w:hint="eastAsia" w:ascii="宋体" w:hAnsi="宋体" w:eastAsia="宋体" w:cs="宋体"/>
          <w:b/>
          <w:color w:val="auto"/>
          <w:sz w:val="24"/>
          <w:szCs w:val="24"/>
          <w:highlight w:val="white"/>
          <w:u w:val="single"/>
        </w:rPr>
        <w:t xml:space="preserve">句容市白兔镇人民政府       </w:t>
      </w:r>
    </w:p>
    <w:p w14:paraId="6552BFF8">
      <w:pPr>
        <w:pStyle w:val="2"/>
        <w:spacing w:before="0" w:after="0" w:line="360" w:lineRule="auto"/>
        <w:ind w:firstLine="480" w:firstLineChars="200"/>
        <w:rPr>
          <w:rFonts w:hint="eastAsia" w:ascii="宋体" w:hAnsi="宋体" w:eastAsia="宋体" w:cs="宋体"/>
          <w:color w:val="auto"/>
          <w:sz w:val="24"/>
          <w:szCs w:val="24"/>
          <w:highlight w:val="white"/>
        </w:rPr>
      </w:pPr>
      <w:r>
        <w:rPr>
          <w:rFonts w:hint="eastAsia" w:ascii="宋体" w:hAnsi="宋体" w:eastAsia="宋体" w:cs="宋体"/>
          <w:color w:val="auto"/>
          <w:sz w:val="24"/>
          <w:szCs w:val="24"/>
          <w:highlight w:val="white"/>
        </w:rPr>
        <w:t>代建人（全称）；句容市城市建设投资有限责任公司</w:t>
      </w:r>
    </w:p>
    <w:p w14:paraId="70A6AA3D">
      <w:pPr>
        <w:spacing w:line="360" w:lineRule="auto"/>
        <w:ind w:firstLine="482" w:firstLineChars="200"/>
        <w:rPr>
          <w:rFonts w:hint="eastAsia" w:ascii="宋体" w:hAnsi="宋体" w:eastAsia="宋体" w:cs="宋体"/>
          <w:b/>
          <w:color w:val="auto"/>
          <w:sz w:val="24"/>
          <w:szCs w:val="24"/>
          <w:u w:val="single"/>
        </w:rPr>
      </w:pPr>
      <w:r>
        <w:rPr>
          <w:rFonts w:hint="eastAsia" w:ascii="宋体" w:hAnsi="宋体" w:eastAsia="宋体" w:cs="宋体"/>
          <w:b/>
          <w:color w:val="auto"/>
          <w:sz w:val="24"/>
          <w:szCs w:val="24"/>
          <w:highlight w:val="white"/>
        </w:rPr>
        <w:t>承包人（全称）：</w:t>
      </w:r>
      <w:bookmarkStart w:id="226" w:name="EB814c213d03744bc2b0425e047312c28f"/>
      <w:bookmarkEnd w:id="226"/>
      <w:r>
        <w:rPr>
          <w:rFonts w:hint="eastAsia" w:ascii="宋体" w:hAnsi="宋体" w:eastAsia="宋体" w:cs="宋体"/>
          <w:b/>
          <w:color w:val="auto"/>
          <w:sz w:val="24"/>
          <w:szCs w:val="24"/>
          <w:highlight w:val="white"/>
          <w:u w:val="single"/>
        </w:rPr>
        <w:t>*****************</w:t>
      </w:r>
      <w:r>
        <w:rPr>
          <w:rFonts w:hint="eastAsia" w:ascii="宋体" w:hAnsi="宋体" w:eastAsia="宋体" w:cs="宋体"/>
          <w:b/>
          <w:color w:val="auto"/>
          <w:sz w:val="24"/>
          <w:szCs w:val="24"/>
          <w:u w:val="single"/>
        </w:rPr>
        <w:t xml:space="preserve">           </w:t>
      </w:r>
    </w:p>
    <w:p w14:paraId="2E3C09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根据《中华人民共和国合同法》、《中华人民共和国建筑法》及有关法律规定，遵循平等、自愿、公平和诚实信用的原则，双方就</w:t>
      </w:r>
      <w:bookmarkStart w:id="227" w:name="EB8948d452327c499eb970400ebba478cb"/>
      <w:bookmarkEnd w:id="227"/>
      <w:r>
        <w:rPr>
          <w:rFonts w:hint="eastAsia" w:ascii="宋体" w:hAnsi="宋体" w:eastAsia="宋体" w:cs="宋体"/>
          <w:sz w:val="24"/>
          <w:szCs w:val="24"/>
          <w:highlight w:val="white"/>
        </w:rPr>
        <w:t>工程施工及有关事项协商一致，共同达成如下协议：</w:t>
      </w:r>
    </w:p>
    <w:p w14:paraId="63320EB8">
      <w:pPr>
        <w:pStyle w:val="5"/>
        <w:spacing w:before="0" w:after="0" w:line="360" w:lineRule="auto"/>
        <w:ind w:firstLine="480" w:firstLineChars="200"/>
        <w:rPr>
          <w:rFonts w:hint="eastAsia" w:ascii="宋体" w:hAnsi="宋体" w:eastAsia="宋体" w:cs="宋体"/>
          <w:sz w:val="24"/>
          <w:szCs w:val="24"/>
        </w:rPr>
      </w:pPr>
      <w:r>
        <w:rPr>
          <w:rFonts w:hint="eastAsia" w:ascii="宋体" w:hAnsi="宋体" w:eastAsia="宋体" w:cs="宋体"/>
          <w:b w:val="0"/>
          <w:sz w:val="24"/>
          <w:szCs w:val="24"/>
          <w:highlight w:val="white"/>
        </w:rPr>
        <w:t>一、工程概况</w:t>
      </w:r>
    </w:p>
    <w:p w14:paraId="5AFA1397">
      <w:pPr>
        <w:spacing w:line="360" w:lineRule="auto"/>
        <w:ind w:firstLine="480" w:firstLineChars="200"/>
        <w:rPr>
          <w:rFonts w:hint="eastAsia" w:ascii="宋体" w:hAnsi="宋体" w:eastAsia="宋体" w:cs="宋体"/>
          <w:color w:val="auto"/>
          <w:sz w:val="24"/>
          <w:szCs w:val="24"/>
          <w:u w:val="single"/>
        </w:rPr>
      </w:pPr>
      <w:r>
        <w:rPr>
          <w:rFonts w:hint="eastAsia" w:ascii="宋体" w:hAnsi="宋体" w:eastAsia="宋体" w:cs="宋体"/>
          <w:bCs/>
          <w:color w:val="auto"/>
          <w:sz w:val="24"/>
          <w:szCs w:val="24"/>
          <w:highlight w:val="white"/>
        </w:rPr>
        <w:t>1.工程名称</w:t>
      </w:r>
      <w:r>
        <w:rPr>
          <w:rFonts w:hint="eastAsia" w:ascii="宋体" w:hAnsi="宋体" w:eastAsia="宋体" w:cs="宋体"/>
          <w:color w:val="auto"/>
          <w:sz w:val="24"/>
          <w:szCs w:val="24"/>
          <w:highlight w:val="white"/>
        </w:rPr>
        <w:t>：</w:t>
      </w:r>
      <w:r>
        <w:rPr>
          <w:rFonts w:hint="eastAsia" w:ascii="宋体" w:hAnsi="宋体" w:eastAsia="宋体" w:cs="宋体"/>
          <w:color w:val="auto"/>
          <w:sz w:val="24"/>
          <w:szCs w:val="24"/>
          <w:highlight w:val="white"/>
          <w:u w:val="single"/>
        </w:rPr>
        <w:t xml:space="preserve"> 现代农业产业园—半坡农创园工程         </w:t>
      </w:r>
      <w:r>
        <w:rPr>
          <w:rFonts w:hint="eastAsia" w:ascii="宋体" w:hAnsi="宋体" w:eastAsia="宋体" w:cs="宋体"/>
          <w:color w:val="auto"/>
          <w:sz w:val="24"/>
          <w:szCs w:val="24"/>
          <w:highlight w:val="white"/>
        </w:rPr>
        <w:t>。</w:t>
      </w:r>
    </w:p>
    <w:p w14:paraId="1A401C4D">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highlight w:val="white"/>
        </w:rPr>
        <w:t>2.工程地点：</w:t>
      </w:r>
      <w:r>
        <w:rPr>
          <w:rFonts w:hint="eastAsia" w:ascii="宋体" w:hAnsi="宋体" w:eastAsia="宋体" w:cs="宋体"/>
          <w:color w:val="auto"/>
          <w:sz w:val="24"/>
          <w:szCs w:val="24"/>
          <w:highlight w:val="white"/>
          <w:u w:val="single"/>
        </w:rPr>
        <w:t xml:space="preserve">  句容市白兔镇中心村  </w:t>
      </w:r>
      <w:r>
        <w:rPr>
          <w:rFonts w:hint="eastAsia" w:ascii="宋体" w:hAnsi="宋体" w:eastAsia="宋体" w:cs="宋体"/>
          <w:color w:val="auto"/>
          <w:sz w:val="24"/>
          <w:szCs w:val="24"/>
          <w:highlight w:val="white"/>
        </w:rPr>
        <w:t>。</w:t>
      </w:r>
    </w:p>
    <w:p w14:paraId="026FA802">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highlight w:val="white"/>
        </w:rPr>
        <w:t>3.工程立项批准文号：</w:t>
      </w:r>
      <w:r>
        <w:rPr>
          <w:rFonts w:hint="eastAsia" w:ascii="宋体" w:hAnsi="宋体" w:eastAsia="宋体" w:cs="宋体"/>
          <w:color w:val="auto"/>
          <w:sz w:val="24"/>
          <w:szCs w:val="24"/>
          <w:highlight w:val="white"/>
          <w:u w:val="single"/>
        </w:rPr>
        <w:t xml:space="preserve">句政务办投资（2024）61号             </w:t>
      </w:r>
      <w:r>
        <w:rPr>
          <w:rFonts w:hint="eastAsia" w:ascii="宋体" w:hAnsi="宋体" w:eastAsia="宋体" w:cs="宋体"/>
          <w:bCs/>
          <w:color w:val="auto"/>
          <w:sz w:val="24"/>
          <w:szCs w:val="24"/>
          <w:highlight w:val="white"/>
        </w:rPr>
        <w:t>。</w:t>
      </w:r>
    </w:p>
    <w:p w14:paraId="5D97D750">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highlight w:val="white"/>
        </w:rPr>
        <w:t>4.资金来源：</w:t>
      </w:r>
      <w:r>
        <w:rPr>
          <w:rFonts w:hint="eastAsia" w:ascii="宋体" w:hAnsi="宋体" w:eastAsia="宋体" w:cs="宋体"/>
          <w:bCs/>
          <w:color w:val="auto"/>
          <w:sz w:val="24"/>
          <w:szCs w:val="24"/>
          <w:highlight w:val="white"/>
          <w:u w:val="single"/>
        </w:rPr>
        <w:t xml:space="preserve">   上级资金               </w:t>
      </w:r>
      <w:r>
        <w:rPr>
          <w:rFonts w:hint="eastAsia" w:ascii="宋体" w:hAnsi="宋体" w:eastAsia="宋体" w:cs="宋体"/>
          <w:bCs/>
          <w:color w:val="auto"/>
          <w:sz w:val="24"/>
          <w:szCs w:val="24"/>
          <w:highlight w:val="white"/>
        </w:rPr>
        <w:t>。</w:t>
      </w:r>
    </w:p>
    <w:p w14:paraId="699B0E0C">
      <w:pPr>
        <w:spacing w:line="360" w:lineRule="auto"/>
        <w:ind w:firstLine="480" w:firstLineChars="200"/>
        <w:rPr>
          <w:rFonts w:hint="eastAsia" w:ascii="宋体" w:hAnsi="宋体" w:eastAsia="宋体" w:cs="宋体"/>
          <w:bCs/>
          <w:color w:val="auto"/>
          <w:sz w:val="24"/>
          <w:szCs w:val="24"/>
          <w:highlight w:val="white"/>
          <w:u w:val="single"/>
        </w:rPr>
      </w:pPr>
      <w:r>
        <w:rPr>
          <w:rFonts w:hint="eastAsia" w:ascii="宋体" w:hAnsi="宋体" w:eastAsia="宋体" w:cs="宋体"/>
          <w:bCs/>
          <w:color w:val="auto"/>
          <w:sz w:val="24"/>
          <w:szCs w:val="24"/>
          <w:highlight w:val="white"/>
        </w:rPr>
        <w:t>5.工程内容：</w:t>
      </w:r>
      <w:bookmarkStart w:id="228" w:name="EB795f8e80c7e74d9d9755e82115db844f"/>
      <w:bookmarkEnd w:id="228"/>
      <w:r>
        <w:rPr>
          <w:rFonts w:hint="eastAsia" w:ascii="宋体" w:hAnsi="宋体" w:eastAsia="宋体" w:cs="宋体"/>
          <w:bCs/>
          <w:color w:val="auto"/>
          <w:sz w:val="24"/>
          <w:szCs w:val="24"/>
          <w:highlight w:val="white"/>
          <w:u w:val="single"/>
        </w:rPr>
        <w:t xml:space="preserve">   蔬菜大棚，土地整治，排水沟及配套设施          </w:t>
      </w:r>
      <w:r>
        <w:rPr>
          <w:rFonts w:hint="eastAsia" w:ascii="宋体" w:hAnsi="宋体" w:eastAsia="宋体" w:cs="宋体"/>
          <w:bCs/>
          <w:color w:val="auto"/>
          <w:sz w:val="24"/>
          <w:szCs w:val="24"/>
          <w:highlight w:val="white"/>
        </w:rPr>
        <w:t>。</w:t>
      </w:r>
    </w:p>
    <w:p w14:paraId="3C19BE49">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color w:val="auto"/>
          <w:sz w:val="24"/>
          <w:szCs w:val="24"/>
          <w:highlight w:val="white"/>
        </w:rPr>
        <w:t>群体工程应附《承包人承揽工程项目一览表》（附件1）。</w:t>
      </w:r>
    </w:p>
    <w:p w14:paraId="0D269994">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highlight w:val="white"/>
        </w:rPr>
        <w:t>6.工程承包范围：</w:t>
      </w:r>
    </w:p>
    <w:p w14:paraId="0B5B4C8B">
      <w:pPr>
        <w:spacing w:line="360" w:lineRule="auto"/>
        <w:ind w:firstLine="480" w:firstLineChars="200"/>
        <w:rPr>
          <w:rFonts w:hint="eastAsia" w:ascii="宋体" w:hAnsi="宋体" w:eastAsia="宋体" w:cs="宋体"/>
          <w:color w:val="auto"/>
          <w:sz w:val="24"/>
          <w:szCs w:val="24"/>
          <w:highlight w:val="white"/>
          <w:u w:val="single"/>
        </w:rPr>
      </w:pPr>
      <w:r>
        <w:rPr>
          <w:rFonts w:hint="eastAsia" w:ascii="宋体" w:hAnsi="宋体" w:eastAsia="宋体" w:cs="宋体"/>
          <w:color w:val="auto"/>
          <w:sz w:val="24"/>
          <w:szCs w:val="24"/>
          <w:highlight w:val="white"/>
          <w:u w:val="single"/>
        </w:rPr>
        <w:t>图纸及清单内全部内容。</w:t>
      </w:r>
    </w:p>
    <w:p w14:paraId="10EE1D1A">
      <w:pPr>
        <w:pStyle w:val="5"/>
        <w:spacing w:before="0" w:after="0" w:line="360" w:lineRule="auto"/>
        <w:ind w:firstLine="480" w:firstLineChars="200"/>
        <w:rPr>
          <w:rFonts w:hint="eastAsia" w:ascii="宋体" w:hAnsi="宋体" w:eastAsia="宋体" w:cs="宋体"/>
          <w:b w:val="0"/>
          <w:color w:val="auto"/>
          <w:sz w:val="24"/>
          <w:szCs w:val="24"/>
        </w:rPr>
      </w:pPr>
      <w:r>
        <w:rPr>
          <w:rFonts w:hint="eastAsia" w:ascii="宋体" w:hAnsi="宋体" w:eastAsia="宋体" w:cs="宋体"/>
          <w:b w:val="0"/>
          <w:color w:val="auto"/>
          <w:sz w:val="24"/>
          <w:szCs w:val="24"/>
          <w:highlight w:val="white"/>
        </w:rPr>
        <w:t>二、合同工期</w:t>
      </w:r>
    </w:p>
    <w:p w14:paraId="74F6411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计划开工日期：</w:t>
      </w:r>
      <w:bookmarkStart w:id="229" w:name="EB9cc0e774f145463e99421fbfb64bbbd4"/>
      <w:bookmarkEnd w:id="229"/>
      <w:r>
        <w:rPr>
          <w:rFonts w:hint="eastAsia" w:ascii="宋体" w:hAnsi="宋体" w:eastAsia="宋体" w:cs="宋体"/>
          <w:color w:val="auto"/>
          <w:sz w:val="24"/>
          <w:szCs w:val="24"/>
          <w:highlight w:val="white"/>
        </w:rPr>
        <w:t xml:space="preserve">  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w:t>
      </w:r>
    </w:p>
    <w:p w14:paraId="35CB55E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计划竣工日期：</w:t>
      </w:r>
      <w:bookmarkStart w:id="230" w:name="EB8c4514a4e74d445cb69700e8bc11c14a"/>
      <w:bookmarkEnd w:id="230"/>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年</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月</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日。</w:t>
      </w:r>
    </w:p>
    <w:p w14:paraId="4CF4323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工期总日历天数：</w:t>
      </w:r>
      <w:bookmarkStart w:id="231" w:name="EB99643152d0a840bc934d0f8e0e3d8e93"/>
      <w:bookmarkEnd w:id="231"/>
      <w:r>
        <w:rPr>
          <w:rFonts w:hint="eastAsia" w:ascii="宋体" w:hAnsi="宋体" w:eastAsia="宋体" w:cs="宋体"/>
          <w:color w:val="auto"/>
          <w:sz w:val="24"/>
          <w:szCs w:val="24"/>
          <w:highlight w:val="white"/>
          <w:u w:val="single"/>
        </w:rPr>
        <w:t xml:space="preserve"> 150 </w:t>
      </w:r>
      <w:r>
        <w:rPr>
          <w:rFonts w:hint="eastAsia" w:ascii="宋体" w:hAnsi="宋体" w:eastAsia="宋体" w:cs="宋体"/>
          <w:color w:val="auto"/>
          <w:sz w:val="24"/>
          <w:szCs w:val="24"/>
          <w:highlight w:val="white"/>
        </w:rPr>
        <w:t>天。工期总日历天数与根据前述计划开竣工日期计算的工期天数不一致的，以工期总日历天数为准。</w:t>
      </w:r>
    </w:p>
    <w:p w14:paraId="7BC79F61">
      <w:pPr>
        <w:pStyle w:val="5"/>
        <w:spacing w:before="0" w:after="0" w:line="360" w:lineRule="auto"/>
        <w:ind w:firstLine="480" w:firstLineChars="200"/>
        <w:rPr>
          <w:rFonts w:hint="eastAsia" w:ascii="宋体" w:hAnsi="宋体" w:eastAsia="宋体" w:cs="宋体"/>
          <w:sz w:val="24"/>
          <w:szCs w:val="24"/>
        </w:rPr>
      </w:pPr>
      <w:r>
        <w:rPr>
          <w:rFonts w:hint="eastAsia" w:ascii="宋体" w:hAnsi="宋体" w:eastAsia="宋体" w:cs="宋体"/>
          <w:b w:val="0"/>
          <w:sz w:val="24"/>
          <w:szCs w:val="24"/>
          <w:highlight w:val="white"/>
        </w:rPr>
        <w:t>三、质量标准</w:t>
      </w:r>
    </w:p>
    <w:p w14:paraId="02B0DC1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工程质量符合</w:t>
      </w:r>
      <w:bookmarkStart w:id="232" w:name="EBb223682902a9401295df4db9c77636b0"/>
      <w:bookmarkEnd w:id="232"/>
      <w:r>
        <w:rPr>
          <w:rFonts w:hint="eastAsia" w:ascii="宋体" w:hAnsi="宋体" w:eastAsia="宋体" w:cs="宋体"/>
          <w:sz w:val="24"/>
          <w:szCs w:val="24"/>
          <w:highlight w:val="white"/>
          <w:u w:val="single"/>
        </w:rPr>
        <w:t xml:space="preserve">  合格  </w:t>
      </w:r>
      <w:r>
        <w:rPr>
          <w:rFonts w:hint="eastAsia" w:ascii="宋体" w:hAnsi="宋体" w:eastAsia="宋体" w:cs="宋体"/>
          <w:sz w:val="24"/>
          <w:szCs w:val="24"/>
          <w:highlight w:val="white"/>
        </w:rPr>
        <w:t>标准。</w:t>
      </w:r>
    </w:p>
    <w:p w14:paraId="570E386A">
      <w:pPr>
        <w:pStyle w:val="5"/>
        <w:spacing w:before="0" w:after="0" w:line="360" w:lineRule="auto"/>
        <w:ind w:firstLine="480" w:firstLineChars="200"/>
        <w:rPr>
          <w:rFonts w:hint="eastAsia" w:ascii="宋体" w:hAnsi="宋体" w:eastAsia="宋体" w:cs="宋体"/>
          <w:sz w:val="24"/>
          <w:szCs w:val="24"/>
        </w:rPr>
      </w:pPr>
      <w:r>
        <w:rPr>
          <w:rFonts w:hint="eastAsia" w:ascii="宋体" w:hAnsi="宋体" w:eastAsia="宋体" w:cs="宋体"/>
          <w:b w:val="0"/>
          <w:sz w:val="24"/>
          <w:szCs w:val="24"/>
          <w:highlight w:val="white"/>
        </w:rPr>
        <w:t>四、签约合同价与合同价格形式</w:t>
      </w:r>
      <w:r>
        <w:rPr>
          <w:rFonts w:hint="eastAsia" w:ascii="宋体" w:hAnsi="宋体" w:eastAsia="宋体" w:cs="宋体"/>
          <w:b w:val="0"/>
          <w:sz w:val="24"/>
          <w:szCs w:val="24"/>
          <w:highlight w:val="white"/>
        </w:rPr>
        <w:tab/>
      </w:r>
    </w:p>
    <w:p w14:paraId="71CC1EF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1.签约合同价为：</w:t>
      </w:r>
    </w:p>
    <w:p w14:paraId="3B9D217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不含税金额为人民币（大写</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元），税额为人民币（大写）</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元），签约合同价价税合计人民币（大写）</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元），适用税率为</w:t>
      </w:r>
      <w:r>
        <w:rPr>
          <w:rFonts w:hint="eastAsia" w:ascii="宋体" w:hAnsi="宋体" w:eastAsia="宋体" w:cs="宋体"/>
          <w:color w:val="auto"/>
          <w:sz w:val="24"/>
          <w:szCs w:val="24"/>
          <w:u w:val="single"/>
        </w:rPr>
        <w:t xml:space="preserve"> 9% </w:t>
      </w:r>
      <w:r>
        <w:rPr>
          <w:rFonts w:hint="eastAsia" w:ascii="宋体" w:hAnsi="宋体" w:eastAsia="宋体" w:cs="宋体"/>
          <w:color w:val="auto"/>
          <w:sz w:val="24"/>
          <w:szCs w:val="24"/>
        </w:rPr>
        <w:t>。合同执行期间，如遇国家税收政策变化导致税率调整，对未履行部分合同价款所适用税率，以调整后的国家税收政策为准。同时，因税率调整导致税额变化，合同中不含税金额不变，本合同金额/合同总价随合同税额变化而相应变化。</w:t>
      </w:r>
    </w:p>
    <w:p w14:paraId="6B8902A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其中：</w:t>
      </w:r>
    </w:p>
    <w:p w14:paraId="4158140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（1）安全文明施工费：</w:t>
      </w:r>
    </w:p>
    <w:p w14:paraId="34599289">
      <w:pPr>
        <w:tabs>
          <w:tab w:val="left" w:pos="6163"/>
        </w:tabs>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人民币（大写）</w:t>
      </w:r>
      <w:bookmarkStart w:id="233" w:name="EBc462d7aaf941439f92ac126957ce0819"/>
      <w:bookmarkEnd w:id="233"/>
      <w:r>
        <w:rPr>
          <w:rFonts w:hint="eastAsia" w:ascii="宋体" w:hAnsi="宋体" w:eastAsia="宋体" w:cs="宋体"/>
          <w:color w:val="auto"/>
          <w:sz w:val="24"/>
          <w:szCs w:val="24"/>
          <w:highlight w:val="white"/>
        </w:rPr>
        <w:t>(¥</w:t>
      </w:r>
      <w:bookmarkStart w:id="234" w:name="EB0a8b2b5679ed4a08b171ecb2dc1604db"/>
      <w:bookmarkEnd w:id="234"/>
      <w:r>
        <w:rPr>
          <w:rFonts w:hint="eastAsia" w:ascii="宋体" w:hAnsi="宋体" w:eastAsia="宋体" w:cs="宋体"/>
          <w:color w:val="auto"/>
          <w:sz w:val="24"/>
          <w:szCs w:val="24"/>
          <w:highlight w:val="white"/>
        </w:rPr>
        <w:t>元)</w:t>
      </w:r>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r>
        <w:rPr>
          <w:rFonts w:hint="eastAsia" w:ascii="宋体" w:hAnsi="宋体" w:eastAsia="宋体" w:cs="宋体"/>
          <w:color w:val="auto"/>
          <w:sz w:val="24"/>
          <w:szCs w:val="24"/>
          <w:highlight w:val="white"/>
        </w:rPr>
        <w:tab/>
      </w:r>
    </w:p>
    <w:p w14:paraId="2A0BA85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（2）材料和工程设备暂估价金额：</w:t>
      </w:r>
    </w:p>
    <w:p w14:paraId="5F9797C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人民币（大写）</w:t>
      </w:r>
      <w:bookmarkStart w:id="235" w:name="EB105b4adea13346fe81339aabb67d9322"/>
      <w:bookmarkEnd w:id="235"/>
      <w:r>
        <w:rPr>
          <w:rFonts w:hint="eastAsia" w:ascii="宋体" w:hAnsi="宋体" w:eastAsia="宋体" w:cs="宋体"/>
          <w:color w:val="auto"/>
          <w:sz w:val="24"/>
          <w:szCs w:val="24"/>
          <w:highlight w:val="white"/>
        </w:rPr>
        <w:t>(¥</w:t>
      </w:r>
      <w:bookmarkStart w:id="236" w:name="EBdc59e63cd21f4bad8054663f6406d960"/>
      <w:bookmarkEnd w:id="236"/>
      <w:r>
        <w:rPr>
          <w:rFonts w:hint="eastAsia" w:ascii="宋体" w:hAnsi="宋体" w:eastAsia="宋体" w:cs="宋体"/>
          <w:color w:val="auto"/>
          <w:sz w:val="24"/>
          <w:szCs w:val="24"/>
          <w:highlight w:val="white"/>
        </w:rPr>
        <w:t>元)</w:t>
      </w:r>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6B29063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（3）专业工程暂估价金额：</w:t>
      </w:r>
    </w:p>
    <w:p w14:paraId="459E191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人民币（大写）</w:t>
      </w:r>
      <w:bookmarkStart w:id="237" w:name="EBdb177241dd7e484e8be53f204f120baf"/>
      <w:bookmarkEnd w:id="237"/>
      <w:r>
        <w:rPr>
          <w:rFonts w:hint="eastAsia" w:ascii="宋体" w:hAnsi="宋体" w:eastAsia="宋体" w:cs="宋体"/>
          <w:color w:val="auto"/>
          <w:sz w:val="24"/>
          <w:szCs w:val="24"/>
          <w:highlight w:val="white"/>
        </w:rPr>
        <w:t>(¥</w:t>
      </w:r>
      <w:bookmarkStart w:id="238" w:name="EB90d82504cc9a4f7ab931cc799f368863"/>
      <w:bookmarkEnd w:id="238"/>
      <w:r>
        <w:rPr>
          <w:rFonts w:hint="eastAsia" w:ascii="宋体" w:hAnsi="宋体" w:eastAsia="宋体" w:cs="宋体"/>
          <w:color w:val="auto"/>
          <w:sz w:val="24"/>
          <w:szCs w:val="24"/>
          <w:highlight w:val="white"/>
        </w:rPr>
        <w:t>元)</w:t>
      </w:r>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37E46F2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（4）暂列金额：</w:t>
      </w:r>
    </w:p>
    <w:p w14:paraId="24B0CC5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人民币（大写）</w:t>
      </w:r>
      <w:bookmarkStart w:id="239" w:name="EB88963641ea9240e6a8e5e2360de5a8fa"/>
      <w:bookmarkEnd w:id="239"/>
      <w:r>
        <w:rPr>
          <w:rFonts w:hint="eastAsia" w:ascii="宋体" w:hAnsi="宋体" w:eastAsia="宋体" w:cs="宋体"/>
          <w:color w:val="auto"/>
          <w:sz w:val="24"/>
          <w:szCs w:val="24"/>
          <w:highlight w:val="white"/>
        </w:rPr>
        <w:t>(¥</w:t>
      </w:r>
      <w:bookmarkStart w:id="240" w:name="EBa7484863104f4f2da57559e601cda929"/>
      <w:bookmarkEnd w:id="240"/>
      <w:r>
        <w:rPr>
          <w:rFonts w:hint="eastAsia" w:ascii="宋体" w:hAnsi="宋体" w:eastAsia="宋体" w:cs="宋体"/>
          <w:color w:val="auto"/>
          <w:sz w:val="24"/>
          <w:szCs w:val="24"/>
          <w:highlight w:val="white"/>
        </w:rPr>
        <w:t>元)</w:t>
      </w:r>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57A1B7D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2.合同价格形式：</w:t>
      </w:r>
      <w:bookmarkStart w:id="241" w:name="EB2d8a6c7c59e246af89d72f17a158f873"/>
      <w:bookmarkEnd w:id="241"/>
      <w:r>
        <w:rPr>
          <w:rFonts w:hint="eastAsia" w:ascii="宋体" w:hAnsi="宋体" w:eastAsia="宋体" w:cs="宋体"/>
          <w:color w:val="auto"/>
          <w:sz w:val="24"/>
          <w:szCs w:val="24"/>
          <w:highlight w:val="white"/>
          <w:u w:val="single"/>
        </w:rPr>
        <w:t xml:space="preserve">      </w:t>
      </w:r>
      <w:r>
        <w:rPr>
          <w:rFonts w:hint="eastAsia" w:ascii="宋体" w:hAnsi="宋体" w:eastAsia="宋体" w:cs="宋体"/>
          <w:b/>
          <w:color w:val="auto"/>
          <w:sz w:val="24"/>
          <w:szCs w:val="24"/>
          <w:highlight w:val="white"/>
          <w:u w:val="single"/>
        </w:rPr>
        <w:t>固定单价</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w:t>
      </w:r>
    </w:p>
    <w:p w14:paraId="07C3BDFA">
      <w:pPr>
        <w:pStyle w:val="5"/>
        <w:spacing w:before="0" w:after="0" w:line="360" w:lineRule="auto"/>
        <w:ind w:firstLine="480" w:firstLineChars="200"/>
        <w:rPr>
          <w:rFonts w:hint="eastAsia" w:ascii="宋体" w:hAnsi="宋体" w:eastAsia="宋体" w:cs="宋体"/>
          <w:b w:val="0"/>
          <w:color w:val="auto"/>
          <w:sz w:val="24"/>
          <w:szCs w:val="24"/>
        </w:rPr>
      </w:pPr>
      <w:r>
        <w:rPr>
          <w:rFonts w:hint="eastAsia" w:ascii="宋体" w:hAnsi="宋体" w:eastAsia="宋体" w:cs="宋体"/>
          <w:b w:val="0"/>
          <w:color w:val="auto"/>
          <w:sz w:val="24"/>
          <w:szCs w:val="24"/>
          <w:highlight w:val="white"/>
        </w:rPr>
        <w:t>五、项目经理</w:t>
      </w:r>
    </w:p>
    <w:p w14:paraId="6B83BFF4">
      <w:pPr>
        <w:spacing w:line="360" w:lineRule="auto"/>
        <w:ind w:firstLine="480" w:firstLineChars="200"/>
        <w:rPr>
          <w:rFonts w:hint="eastAsia" w:ascii="宋体" w:hAnsi="宋体" w:eastAsia="宋体" w:cs="宋体"/>
          <w:color w:val="auto"/>
          <w:sz w:val="24"/>
          <w:szCs w:val="24"/>
          <w:highlight w:val="white"/>
        </w:rPr>
      </w:pPr>
      <w:r>
        <w:rPr>
          <w:rFonts w:hint="eastAsia" w:ascii="宋体" w:hAnsi="宋体" w:eastAsia="宋体" w:cs="宋体"/>
          <w:color w:val="auto"/>
          <w:sz w:val="24"/>
          <w:szCs w:val="24"/>
          <w:highlight w:val="white"/>
        </w:rPr>
        <w:t>承包人项目经理：</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w:t>
      </w:r>
    </w:p>
    <w:p w14:paraId="7C5D41BD">
      <w:pPr>
        <w:spacing w:line="360" w:lineRule="auto"/>
        <w:ind w:firstLine="480" w:firstLineChars="200"/>
        <w:rPr>
          <w:rFonts w:hint="eastAsia" w:ascii="宋体" w:hAnsi="宋体" w:eastAsia="宋体" w:cs="宋体"/>
          <w:color w:val="auto"/>
          <w:sz w:val="24"/>
          <w:szCs w:val="24"/>
          <w:highlight w:val="white"/>
          <w:u w:val="single"/>
        </w:rPr>
      </w:pPr>
      <w:r>
        <w:rPr>
          <w:rFonts w:hint="eastAsia" w:ascii="宋体" w:hAnsi="宋体" w:eastAsia="宋体" w:cs="宋体"/>
          <w:color w:val="auto"/>
          <w:sz w:val="24"/>
          <w:szCs w:val="24"/>
          <w:highlight w:val="white"/>
        </w:rPr>
        <w:t>项目经理执业资格证书号：</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u w:val="single"/>
        </w:rPr>
        <w:t>*****</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w:t>
      </w:r>
    </w:p>
    <w:p w14:paraId="0E2DCCFB">
      <w:pPr>
        <w:spacing w:line="360" w:lineRule="auto"/>
        <w:ind w:firstLine="480" w:firstLineChars="200"/>
        <w:rPr>
          <w:rFonts w:hint="eastAsia" w:ascii="宋体" w:hAnsi="宋体" w:eastAsia="宋体" w:cs="宋体"/>
          <w:color w:val="auto"/>
          <w:sz w:val="24"/>
          <w:szCs w:val="24"/>
          <w:highlight w:val="white"/>
          <w:u w:val="single"/>
        </w:rPr>
      </w:pPr>
      <w:r>
        <w:rPr>
          <w:rFonts w:hint="eastAsia" w:ascii="宋体" w:hAnsi="宋体" w:eastAsia="宋体" w:cs="宋体"/>
          <w:color w:val="auto"/>
          <w:sz w:val="24"/>
          <w:szCs w:val="24"/>
          <w:highlight w:val="white"/>
        </w:rPr>
        <w:t>项目经理身份证号：</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u w:val="single"/>
        </w:rPr>
        <w:t>*****</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w:t>
      </w:r>
    </w:p>
    <w:p w14:paraId="613CC18F">
      <w:pPr>
        <w:spacing w:line="360" w:lineRule="auto"/>
        <w:ind w:firstLine="480" w:firstLineChars="200"/>
        <w:rPr>
          <w:rFonts w:hint="eastAsia" w:ascii="宋体" w:hAnsi="宋体" w:eastAsia="宋体" w:cs="宋体"/>
          <w:color w:val="auto"/>
          <w:sz w:val="24"/>
          <w:szCs w:val="24"/>
          <w:highlight w:val="white"/>
          <w:u w:val="single"/>
        </w:rPr>
      </w:pPr>
      <w:r>
        <w:rPr>
          <w:rFonts w:hint="eastAsia" w:ascii="宋体" w:hAnsi="宋体" w:eastAsia="宋体" w:cs="宋体"/>
          <w:color w:val="auto"/>
          <w:sz w:val="24"/>
          <w:szCs w:val="24"/>
          <w:highlight w:val="white"/>
        </w:rPr>
        <w:t>项目经理联系方式：</w:t>
      </w:r>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366EE920">
      <w:pPr>
        <w:pStyle w:val="5"/>
        <w:spacing w:before="0" w:after="0" w:line="360" w:lineRule="auto"/>
        <w:ind w:firstLine="480" w:firstLineChars="200"/>
        <w:rPr>
          <w:rFonts w:hint="eastAsia" w:ascii="宋体" w:hAnsi="宋体" w:eastAsia="宋体" w:cs="宋体"/>
          <w:color w:val="auto"/>
          <w:sz w:val="24"/>
          <w:szCs w:val="24"/>
        </w:rPr>
      </w:pPr>
      <w:r>
        <w:rPr>
          <w:rFonts w:hint="eastAsia" w:ascii="宋体" w:hAnsi="宋体" w:eastAsia="宋体" w:cs="宋体"/>
          <w:b w:val="0"/>
          <w:color w:val="auto"/>
          <w:sz w:val="24"/>
          <w:szCs w:val="24"/>
          <w:highlight w:val="white"/>
        </w:rPr>
        <w:t>六、合同文件构成</w:t>
      </w:r>
    </w:p>
    <w:p w14:paraId="1E65AE72">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highlight w:val="white"/>
        </w:rPr>
        <w:t>本协议书与下列文件一起构成合同文件：</w:t>
      </w:r>
    </w:p>
    <w:p w14:paraId="0E1DFBFC">
      <w:pPr>
        <w:autoSpaceDE w:val="0"/>
        <w:autoSpaceDN w:val="0"/>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（1）中标通知书（如果有）；</w:t>
      </w:r>
    </w:p>
    <w:p w14:paraId="32257C97">
      <w:pPr>
        <w:autoSpaceDE w:val="0"/>
        <w:autoSpaceDN w:val="0"/>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 xml:space="preserve">（2）投标函及其附录（如果有）； </w:t>
      </w:r>
    </w:p>
    <w:p w14:paraId="6B506640">
      <w:pPr>
        <w:autoSpaceDE w:val="0"/>
        <w:autoSpaceDN w:val="0"/>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（3）专用合同条款及其附件；</w:t>
      </w:r>
    </w:p>
    <w:p w14:paraId="4AEB5696">
      <w:pPr>
        <w:autoSpaceDE w:val="0"/>
        <w:autoSpaceDN w:val="0"/>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（4）通用合同条款；</w:t>
      </w:r>
    </w:p>
    <w:p w14:paraId="59EA6ED3">
      <w:pPr>
        <w:autoSpaceDE w:val="0"/>
        <w:autoSpaceDN w:val="0"/>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（5）技术标准和要求；</w:t>
      </w:r>
    </w:p>
    <w:p w14:paraId="21FD9A01">
      <w:pPr>
        <w:autoSpaceDE w:val="0"/>
        <w:autoSpaceDN w:val="0"/>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（6）图纸；</w:t>
      </w:r>
    </w:p>
    <w:p w14:paraId="66FCF5B0">
      <w:pPr>
        <w:autoSpaceDE w:val="0"/>
        <w:autoSpaceDN w:val="0"/>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（7）已标价工程量清单或预算书；</w:t>
      </w:r>
    </w:p>
    <w:p w14:paraId="3E52EB2A">
      <w:pPr>
        <w:autoSpaceDE w:val="0"/>
        <w:autoSpaceDN w:val="0"/>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（8）其他合同文件。</w:t>
      </w:r>
    </w:p>
    <w:p w14:paraId="16A3529D">
      <w:pPr>
        <w:autoSpaceDE w:val="0"/>
        <w:autoSpaceDN w:val="0"/>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在合同订立及履行过程中形成的与合同有关的文件均构成合同文件组成部分。</w:t>
      </w:r>
    </w:p>
    <w:p w14:paraId="1A91DEFE">
      <w:pPr>
        <w:autoSpaceDE w:val="0"/>
        <w:autoSpaceDN w:val="0"/>
        <w:adjustRightIn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上述各项合同文件包括合同当事人就该项合同文件所作出的补充和修改，属于同一类内容的文件，应以最新签署的为准。专用合同条款及其附件须经合同当事人签字或盖章。</w:t>
      </w:r>
    </w:p>
    <w:p w14:paraId="6C02AD3D">
      <w:pPr>
        <w:pStyle w:val="5"/>
        <w:spacing w:before="0" w:after="0" w:line="360" w:lineRule="auto"/>
        <w:ind w:firstLine="480" w:firstLineChars="200"/>
        <w:rPr>
          <w:rFonts w:hint="eastAsia" w:ascii="宋体" w:hAnsi="宋体" w:eastAsia="宋体" w:cs="宋体"/>
          <w:b w:val="0"/>
          <w:color w:val="auto"/>
          <w:sz w:val="24"/>
          <w:szCs w:val="24"/>
        </w:rPr>
      </w:pPr>
      <w:r>
        <w:rPr>
          <w:rFonts w:hint="eastAsia" w:ascii="宋体" w:hAnsi="宋体" w:eastAsia="宋体" w:cs="宋体"/>
          <w:b w:val="0"/>
          <w:color w:val="auto"/>
          <w:sz w:val="24"/>
          <w:szCs w:val="24"/>
          <w:highlight w:val="white"/>
        </w:rPr>
        <w:t>七、承诺</w:t>
      </w:r>
    </w:p>
    <w:p w14:paraId="712951A2">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highlight w:val="white"/>
        </w:rPr>
        <w:t>1.发包人承诺按照法律规定履行项目审批手续、筹集工程建设资金并按照合同约定的期限和方式支付合同价款。</w:t>
      </w:r>
    </w:p>
    <w:p w14:paraId="320660F7">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highlight w:val="white"/>
        </w:rPr>
        <w:t>2.承包人承诺按照法律规定及合同约定组织完成工程施工，确保工程质量和安全，不进行转包及违法分包，并在缺陷责任期及保修期内承担相应的工程维修责任。</w:t>
      </w:r>
    </w:p>
    <w:p w14:paraId="7B45CF68">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highlight w:val="white"/>
        </w:rPr>
        <w:t>3.发包人和承包人通过招投标形式签订合同的，双方理解并承诺不再就同一工程另行签订与合同实质性内容相背离的协议。</w:t>
      </w:r>
    </w:p>
    <w:p w14:paraId="555E5522">
      <w:pPr>
        <w:spacing w:line="360" w:lineRule="auto"/>
        <w:ind w:firstLine="482" w:firstLineChars="200"/>
        <w:rPr>
          <w:rFonts w:hint="eastAsia" w:ascii="宋体" w:hAnsi="宋体" w:eastAsia="宋体" w:cs="宋体"/>
          <w:bCs/>
          <w:sz w:val="24"/>
          <w:szCs w:val="24"/>
        </w:rPr>
      </w:pPr>
      <w:r>
        <w:rPr>
          <w:rFonts w:hint="eastAsia" w:ascii="宋体" w:hAnsi="宋体" w:eastAsia="宋体" w:cs="宋体"/>
          <w:b/>
          <w:sz w:val="24"/>
          <w:szCs w:val="24"/>
          <w:highlight w:val="white"/>
        </w:rPr>
        <w:t>八、词语含义</w:t>
      </w:r>
    </w:p>
    <w:p w14:paraId="48DE003A">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highlight w:val="white"/>
        </w:rPr>
        <w:t>本协议书中词语含义与第二部分通用合同条款中赋予的含义相同。</w:t>
      </w:r>
    </w:p>
    <w:p w14:paraId="4DFD3538">
      <w:pPr>
        <w:pStyle w:val="5"/>
        <w:spacing w:before="0" w:after="0" w:line="360" w:lineRule="auto"/>
        <w:ind w:firstLine="482"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highlight w:val="white"/>
        </w:rPr>
        <w:t xml:space="preserve"> </w:t>
      </w:r>
      <w:r>
        <w:rPr>
          <w:rFonts w:hint="eastAsia" w:ascii="宋体" w:hAnsi="宋体" w:eastAsia="宋体" w:cs="宋体"/>
          <w:b w:val="0"/>
          <w:color w:val="auto"/>
          <w:sz w:val="24"/>
          <w:szCs w:val="24"/>
          <w:highlight w:val="white"/>
        </w:rPr>
        <w:t>九、签订时间</w:t>
      </w:r>
    </w:p>
    <w:p w14:paraId="4B7542FB">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highlight w:val="white"/>
        </w:rPr>
        <w:t>本合同于</w:t>
      </w:r>
      <w:bookmarkStart w:id="242" w:name="EBa76e539fbbcf4fafbe772ad86d82f489"/>
      <w:bookmarkEnd w:id="242"/>
      <w:r>
        <w:rPr>
          <w:rFonts w:hint="eastAsia" w:ascii="宋体" w:hAnsi="宋体" w:eastAsia="宋体" w:cs="宋体"/>
          <w:bCs/>
          <w:color w:val="auto"/>
          <w:sz w:val="24"/>
          <w:szCs w:val="24"/>
          <w:highlight w:val="white"/>
          <w:u w:val="single"/>
        </w:rPr>
        <w:t xml:space="preserve">  ** </w:t>
      </w:r>
      <w:r>
        <w:rPr>
          <w:rFonts w:hint="eastAsia" w:ascii="宋体" w:hAnsi="宋体" w:eastAsia="宋体" w:cs="宋体"/>
          <w:bCs/>
          <w:color w:val="auto"/>
          <w:sz w:val="24"/>
          <w:szCs w:val="24"/>
          <w:highlight w:val="white"/>
        </w:rPr>
        <w:t>签订。</w:t>
      </w:r>
    </w:p>
    <w:p w14:paraId="036A0FB9">
      <w:pPr>
        <w:pStyle w:val="5"/>
        <w:spacing w:before="0" w:after="0" w:line="360" w:lineRule="auto"/>
        <w:ind w:firstLine="482"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highlight w:val="white"/>
        </w:rPr>
        <w:t xml:space="preserve"> </w:t>
      </w:r>
      <w:r>
        <w:rPr>
          <w:rFonts w:hint="eastAsia" w:ascii="宋体" w:hAnsi="宋体" w:eastAsia="宋体" w:cs="宋体"/>
          <w:b w:val="0"/>
          <w:color w:val="auto"/>
          <w:sz w:val="24"/>
          <w:szCs w:val="24"/>
          <w:highlight w:val="white"/>
        </w:rPr>
        <w:t>十、签订地点</w:t>
      </w:r>
    </w:p>
    <w:p w14:paraId="0F21C990">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highlight w:val="white"/>
        </w:rPr>
        <w:t>本合同在</w:t>
      </w:r>
      <w:bookmarkStart w:id="243" w:name="EB2f506739e67749f9ab02fe566677a05f"/>
      <w:bookmarkEnd w:id="243"/>
      <w:r>
        <w:rPr>
          <w:rFonts w:hint="eastAsia" w:ascii="宋体" w:hAnsi="宋体" w:eastAsia="宋体" w:cs="宋体"/>
          <w:bCs/>
          <w:color w:val="auto"/>
          <w:sz w:val="24"/>
          <w:szCs w:val="24"/>
          <w:highlight w:val="white"/>
          <w:u w:val="single"/>
        </w:rPr>
        <w:t xml:space="preserve">   *******   </w:t>
      </w:r>
      <w:r>
        <w:rPr>
          <w:rFonts w:hint="eastAsia" w:ascii="宋体" w:hAnsi="宋体" w:eastAsia="宋体" w:cs="宋体"/>
          <w:bCs/>
          <w:color w:val="auto"/>
          <w:sz w:val="24"/>
          <w:szCs w:val="24"/>
          <w:highlight w:val="white"/>
        </w:rPr>
        <w:t>签订。</w:t>
      </w:r>
    </w:p>
    <w:p w14:paraId="6A89124C">
      <w:pPr>
        <w:pStyle w:val="5"/>
        <w:spacing w:before="0" w:after="0"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 w:val="0"/>
          <w:color w:val="auto"/>
          <w:sz w:val="24"/>
          <w:szCs w:val="24"/>
          <w:highlight w:val="white"/>
        </w:rPr>
        <w:t>十一、补充协议</w:t>
      </w:r>
    </w:p>
    <w:p w14:paraId="5741299A">
      <w:pPr>
        <w:spacing w:line="360" w:lineRule="auto"/>
        <w:ind w:firstLine="480" w:firstLineChars="200"/>
        <w:rPr>
          <w:rFonts w:hint="eastAsia" w:ascii="宋体" w:hAnsi="宋体" w:eastAsia="宋体" w:cs="宋体"/>
          <w:b/>
          <w:bCs/>
          <w:sz w:val="24"/>
          <w:szCs w:val="24"/>
        </w:rPr>
      </w:pPr>
      <w:r>
        <w:rPr>
          <w:rFonts w:hint="eastAsia" w:ascii="宋体" w:hAnsi="宋体" w:eastAsia="宋体" w:cs="宋体"/>
          <w:bCs/>
          <w:sz w:val="24"/>
          <w:szCs w:val="24"/>
          <w:highlight w:val="white"/>
        </w:rPr>
        <w:t>合同未尽事宜，合同当事人另行签订补充协议，补充协议是合同的组成部分。</w:t>
      </w:r>
    </w:p>
    <w:p w14:paraId="4906CC94">
      <w:pPr>
        <w:pStyle w:val="5"/>
        <w:spacing w:before="0" w:after="0" w:line="360" w:lineRule="auto"/>
        <w:ind w:firstLine="480" w:firstLineChars="200"/>
        <w:rPr>
          <w:rFonts w:hint="eastAsia" w:ascii="宋体" w:hAnsi="宋体" w:eastAsia="宋体" w:cs="宋体"/>
          <w:bCs/>
          <w:sz w:val="24"/>
          <w:szCs w:val="24"/>
        </w:rPr>
      </w:pPr>
      <w:r>
        <w:rPr>
          <w:rFonts w:hint="eastAsia" w:ascii="宋体" w:hAnsi="宋体" w:eastAsia="宋体" w:cs="宋体"/>
          <w:b w:val="0"/>
          <w:sz w:val="24"/>
          <w:szCs w:val="24"/>
          <w:highlight w:val="white"/>
        </w:rPr>
        <w:t>十二、合同生效</w:t>
      </w:r>
    </w:p>
    <w:p w14:paraId="51990DEA">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highlight w:val="white"/>
        </w:rPr>
        <w:t>本合同自</w:t>
      </w:r>
      <w:bookmarkStart w:id="244" w:name="EBe96b94978cdd4cebbac34511681b317c"/>
      <w:bookmarkEnd w:id="244"/>
      <w:r>
        <w:rPr>
          <w:rFonts w:hint="eastAsia" w:ascii="宋体" w:hAnsi="宋体" w:eastAsia="宋体" w:cs="宋体"/>
          <w:bCs/>
          <w:sz w:val="24"/>
          <w:szCs w:val="24"/>
          <w:highlight w:val="white"/>
          <w:u w:val="single"/>
        </w:rPr>
        <w:t xml:space="preserve">   盖章    </w:t>
      </w:r>
      <w:r>
        <w:rPr>
          <w:rFonts w:hint="eastAsia" w:ascii="宋体" w:hAnsi="宋体" w:eastAsia="宋体" w:cs="宋体"/>
          <w:bCs/>
          <w:sz w:val="24"/>
          <w:szCs w:val="24"/>
          <w:highlight w:val="white"/>
        </w:rPr>
        <w:t>生效。</w:t>
      </w:r>
    </w:p>
    <w:p w14:paraId="1C24CCC1">
      <w:pPr>
        <w:pStyle w:val="5"/>
        <w:spacing w:before="0" w:after="0" w:line="360" w:lineRule="auto"/>
        <w:ind w:firstLine="480" w:firstLineChars="200"/>
        <w:rPr>
          <w:rFonts w:hint="eastAsia" w:ascii="宋体" w:hAnsi="宋体" w:eastAsia="宋体" w:cs="宋体"/>
          <w:bCs/>
          <w:sz w:val="24"/>
          <w:szCs w:val="24"/>
        </w:rPr>
      </w:pPr>
      <w:r>
        <w:rPr>
          <w:rFonts w:hint="eastAsia" w:ascii="宋体" w:hAnsi="宋体" w:eastAsia="宋体" w:cs="宋体"/>
          <w:b w:val="0"/>
          <w:sz w:val="24"/>
          <w:szCs w:val="24"/>
          <w:highlight w:val="white"/>
        </w:rPr>
        <w:t>十三、合同份数</w:t>
      </w:r>
    </w:p>
    <w:p w14:paraId="05F8ECB8">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highlight w:val="white"/>
        </w:rPr>
        <w:t>本合同一式</w:t>
      </w:r>
      <w:bookmarkStart w:id="245" w:name="EB62c24263150b4e1c859bbabe8fd6c127"/>
      <w:bookmarkEnd w:id="245"/>
      <w:r>
        <w:rPr>
          <w:rFonts w:hint="eastAsia" w:ascii="宋体" w:hAnsi="宋体" w:eastAsia="宋体" w:cs="宋体"/>
          <w:bCs/>
          <w:sz w:val="24"/>
          <w:szCs w:val="24"/>
          <w:highlight w:val="white"/>
          <w:u w:val="single"/>
        </w:rPr>
        <w:t xml:space="preserve">  陆  </w:t>
      </w:r>
      <w:r>
        <w:rPr>
          <w:rFonts w:hint="eastAsia" w:ascii="宋体" w:hAnsi="宋体" w:eastAsia="宋体" w:cs="宋体"/>
          <w:bCs/>
          <w:sz w:val="24"/>
          <w:szCs w:val="24"/>
          <w:highlight w:val="white"/>
        </w:rPr>
        <w:t xml:space="preserve"> 份，均具有同等法律效力，发包人执</w:t>
      </w:r>
      <w:bookmarkStart w:id="246" w:name="EBd25ceeba14904f09af77ef7968776fec"/>
      <w:bookmarkEnd w:id="246"/>
      <w:r>
        <w:rPr>
          <w:rFonts w:hint="eastAsia" w:ascii="宋体" w:hAnsi="宋体" w:eastAsia="宋体" w:cs="宋体"/>
          <w:bCs/>
          <w:sz w:val="24"/>
          <w:szCs w:val="24"/>
          <w:highlight w:val="white"/>
          <w:u w:val="single"/>
        </w:rPr>
        <w:t xml:space="preserve"> 贰 </w:t>
      </w:r>
      <w:r>
        <w:rPr>
          <w:rFonts w:hint="eastAsia" w:ascii="宋体" w:hAnsi="宋体" w:eastAsia="宋体" w:cs="宋体"/>
          <w:bCs/>
          <w:sz w:val="24"/>
          <w:szCs w:val="24"/>
          <w:highlight w:val="white"/>
        </w:rPr>
        <w:t>份，代建人贰份，承包人执</w:t>
      </w:r>
      <w:bookmarkStart w:id="247" w:name="EB1c486b3cb31946b795a693d835d3e8e2"/>
      <w:bookmarkEnd w:id="247"/>
      <w:r>
        <w:rPr>
          <w:rFonts w:hint="eastAsia" w:ascii="宋体" w:hAnsi="宋体" w:eastAsia="宋体" w:cs="宋体"/>
          <w:bCs/>
          <w:sz w:val="24"/>
          <w:szCs w:val="24"/>
          <w:highlight w:val="white"/>
        </w:rPr>
        <w:t xml:space="preserve"> </w:t>
      </w:r>
      <w:r>
        <w:rPr>
          <w:rFonts w:hint="eastAsia" w:ascii="宋体" w:hAnsi="宋体" w:eastAsia="宋体" w:cs="宋体"/>
          <w:bCs/>
          <w:sz w:val="24"/>
          <w:szCs w:val="24"/>
          <w:highlight w:val="white"/>
          <w:u w:val="single"/>
        </w:rPr>
        <w:t xml:space="preserve"> 贰</w:t>
      </w:r>
      <w:r>
        <w:rPr>
          <w:rFonts w:hint="eastAsia" w:ascii="宋体" w:hAnsi="宋体" w:eastAsia="宋体" w:cs="宋体"/>
          <w:bCs/>
          <w:sz w:val="24"/>
          <w:szCs w:val="24"/>
          <w:highlight w:val="white"/>
        </w:rPr>
        <w:t>份。</w:t>
      </w:r>
      <w:r>
        <w:rPr>
          <w:rFonts w:hint="eastAsia" w:ascii="宋体" w:hAnsi="宋体" w:eastAsia="宋体" w:cs="宋体"/>
          <w:sz w:val="24"/>
          <w:szCs w:val="24"/>
          <w:highlight w:val="white"/>
        </w:rPr>
        <w:t xml:space="preserve"> </w:t>
      </w:r>
    </w:p>
    <w:p w14:paraId="3A5E1E1C">
      <w:pPr>
        <w:rPr>
          <w:rFonts w:ascii="仿宋" w:hAnsi="仿宋" w:eastAsia="仿宋"/>
          <w:highlight w:val="cyan"/>
        </w:rPr>
      </w:pPr>
    </w:p>
    <w:tbl>
      <w:tblPr>
        <w:tblStyle w:val="29"/>
        <w:tblW w:w="0" w:type="auto"/>
        <w:tblInd w:w="0" w:type="dxa"/>
        <w:tblLayout w:type="autofit"/>
        <w:tblCellMar>
          <w:top w:w="0" w:type="dxa"/>
          <w:left w:w="108" w:type="dxa"/>
          <w:bottom w:w="0" w:type="dxa"/>
          <w:right w:w="108" w:type="dxa"/>
        </w:tblCellMar>
      </w:tblPr>
      <w:tblGrid>
        <w:gridCol w:w="3012"/>
        <w:gridCol w:w="3012"/>
        <w:gridCol w:w="3012"/>
      </w:tblGrid>
      <w:tr w14:paraId="320B7647">
        <w:tblPrEx>
          <w:tblCellMar>
            <w:top w:w="0" w:type="dxa"/>
            <w:left w:w="108" w:type="dxa"/>
            <w:bottom w:w="0" w:type="dxa"/>
            <w:right w:w="108" w:type="dxa"/>
          </w:tblCellMar>
        </w:tblPrEx>
        <w:tc>
          <w:tcPr>
            <w:tcW w:w="3012" w:type="dxa"/>
            <w:noWrap w:val="0"/>
            <w:vAlign w:val="top"/>
          </w:tcPr>
          <w:p w14:paraId="3B97DDF4">
            <w:pPr>
              <w:rPr>
                <w:rFonts w:hint="eastAsia" w:ascii="宋体" w:hAnsi="宋体" w:eastAsia="宋体" w:cs="宋体"/>
                <w:b/>
                <w:sz w:val="24"/>
                <w:szCs w:val="24"/>
                <w:highlight w:val="white"/>
              </w:rPr>
            </w:pPr>
            <w:r>
              <w:rPr>
                <w:rFonts w:hint="eastAsia" w:ascii="宋体" w:hAnsi="宋体" w:eastAsia="宋体" w:cs="宋体"/>
                <w:sz w:val="24"/>
                <w:szCs w:val="24"/>
                <w:highlight w:val="white"/>
              </w:rPr>
              <w:t>发包人：（盖章）</w:t>
            </w:r>
          </w:p>
        </w:tc>
        <w:tc>
          <w:tcPr>
            <w:tcW w:w="3012" w:type="dxa"/>
            <w:noWrap w:val="0"/>
            <w:vAlign w:val="top"/>
          </w:tcPr>
          <w:p w14:paraId="175AF005">
            <w:pPr>
              <w:rPr>
                <w:rFonts w:hint="eastAsia" w:ascii="宋体" w:hAnsi="宋体" w:eastAsia="宋体" w:cs="宋体"/>
                <w:b/>
                <w:sz w:val="24"/>
                <w:szCs w:val="24"/>
                <w:highlight w:val="white"/>
              </w:rPr>
            </w:pPr>
            <w:r>
              <w:rPr>
                <w:rFonts w:hint="eastAsia" w:ascii="宋体" w:hAnsi="宋体" w:eastAsia="宋体" w:cs="宋体"/>
                <w:sz w:val="24"/>
                <w:szCs w:val="24"/>
              </w:rPr>
              <w:t>代建人：（盖章）</w:t>
            </w:r>
          </w:p>
        </w:tc>
        <w:tc>
          <w:tcPr>
            <w:tcW w:w="3012" w:type="dxa"/>
            <w:noWrap w:val="0"/>
            <w:vAlign w:val="top"/>
          </w:tcPr>
          <w:p w14:paraId="75EBF93B">
            <w:pPr>
              <w:rPr>
                <w:rFonts w:hint="eastAsia" w:ascii="宋体" w:hAnsi="宋体" w:eastAsia="宋体" w:cs="宋体"/>
                <w:b/>
                <w:sz w:val="24"/>
                <w:szCs w:val="24"/>
                <w:highlight w:val="white"/>
              </w:rPr>
            </w:pPr>
            <w:r>
              <w:rPr>
                <w:rFonts w:hint="eastAsia" w:ascii="宋体" w:hAnsi="宋体" w:eastAsia="宋体" w:cs="宋体"/>
                <w:sz w:val="24"/>
                <w:szCs w:val="24"/>
                <w:highlight w:val="white"/>
              </w:rPr>
              <w:t>承包人：（盖章）</w:t>
            </w:r>
          </w:p>
        </w:tc>
      </w:tr>
      <w:tr w14:paraId="72CE2A7A">
        <w:tblPrEx>
          <w:tblCellMar>
            <w:top w:w="0" w:type="dxa"/>
            <w:left w:w="108" w:type="dxa"/>
            <w:bottom w:w="0" w:type="dxa"/>
            <w:right w:w="108" w:type="dxa"/>
          </w:tblCellMar>
        </w:tblPrEx>
        <w:tc>
          <w:tcPr>
            <w:tcW w:w="3012" w:type="dxa"/>
            <w:noWrap w:val="0"/>
            <w:vAlign w:val="top"/>
          </w:tcPr>
          <w:p w14:paraId="4637C009">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法定代表人</w:t>
            </w:r>
          </w:p>
          <w:p w14:paraId="64BF1BA9">
            <w:pPr>
              <w:spacing w:line="360" w:lineRule="auto"/>
              <w:rPr>
                <w:rFonts w:hint="eastAsia" w:ascii="宋体" w:hAnsi="宋体" w:eastAsia="宋体" w:cs="宋体"/>
                <w:sz w:val="24"/>
                <w:szCs w:val="24"/>
              </w:rPr>
            </w:pPr>
            <w:r>
              <w:rPr>
                <w:rFonts w:hint="eastAsia" w:ascii="宋体" w:hAnsi="宋体" w:eastAsia="宋体" w:cs="宋体"/>
                <w:sz w:val="24"/>
                <w:szCs w:val="24"/>
                <w:highlight w:val="white"/>
              </w:rPr>
              <w:t>或其委托代理人：(签字）</w:t>
            </w:r>
          </w:p>
        </w:tc>
        <w:tc>
          <w:tcPr>
            <w:tcW w:w="3012" w:type="dxa"/>
            <w:noWrap w:val="0"/>
            <w:vAlign w:val="top"/>
          </w:tcPr>
          <w:p w14:paraId="78D09236">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法定代表人</w:t>
            </w:r>
          </w:p>
          <w:p w14:paraId="11085146">
            <w:pPr>
              <w:spacing w:line="360" w:lineRule="auto"/>
              <w:rPr>
                <w:rFonts w:hint="eastAsia" w:ascii="宋体" w:hAnsi="宋体" w:eastAsia="宋体" w:cs="宋体"/>
                <w:sz w:val="24"/>
                <w:szCs w:val="24"/>
              </w:rPr>
            </w:pPr>
            <w:r>
              <w:rPr>
                <w:rFonts w:hint="eastAsia" w:ascii="宋体" w:hAnsi="宋体" w:eastAsia="宋体" w:cs="宋体"/>
                <w:sz w:val="24"/>
                <w:szCs w:val="24"/>
                <w:highlight w:val="white"/>
              </w:rPr>
              <w:t>或其委托代理人：(签字）</w:t>
            </w:r>
          </w:p>
        </w:tc>
        <w:tc>
          <w:tcPr>
            <w:tcW w:w="3012" w:type="dxa"/>
            <w:noWrap w:val="0"/>
            <w:vAlign w:val="top"/>
          </w:tcPr>
          <w:p w14:paraId="1EC63CFD">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法定代表人</w:t>
            </w:r>
          </w:p>
          <w:p w14:paraId="38CEBE49">
            <w:pPr>
              <w:spacing w:line="360" w:lineRule="auto"/>
              <w:rPr>
                <w:rFonts w:hint="eastAsia" w:ascii="宋体" w:hAnsi="宋体" w:eastAsia="宋体" w:cs="宋体"/>
                <w:sz w:val="24"/>
                <w:szCs w:val="24"/>
              </w:rPr>
            </w:pPr>
            <w:r>
              <w:rPr>
                <w:rFonts w:hint="eastAsia" w:ascii="宋体" w:hAnsi="宋体" w:eastAsia="宋体" w:cs="宋体"/>
                <w:sz w:val="24"/>
                <w:szCs w:val="24"/>
                <w:highlight w:val="white"/>
              </w:rPr>
              <w:t>或其委托代理人：(签字）</w:t>
            </w:r>
          </w:p>
        </w:tc>
      </w:tr>
      <w:tr w14:paraId="07D609E9">
        <w:tblPrEx>
          <w:tblCellMar>
            <w:top w:w="0" w:type="dxa"/>
            <w:left w:w="108" w:type="dxa"/>
            <w:bottom w:w="0" w:type="dxa"/>
            <w:right w:w="108" w:type="dxa"/>
          </w:tblCellMar>
        </w:tblPrEx>
        <w:tc>
          <w:tcPr>
            <w:tcW w:w="3012" w:type="dxa"/>
            <w:noWrap w:val="0"/>
            <w:vAlign w:val="top"/>
          </w:tcPr>
          <w:p w14:paraId="2021D594">
            <w:pPr>
              <w:rPr>
                <w:rFonts w:hint="eastAsia" w:ascii="宋体" w:hAnsi="宋体" w:eastAsia="宋体" w:cs="宋体"/>
                <w:b/>
                <w:sz w:val="24"/>
                <w:szCs w:val="24"/>
                <w:highlight w:val="white"/>
              </w:rPr>
            </w:pPr>
            <w:r>
              <w:rPr>
                <w:rFonts w:hint="eastAsia" w:ascii="宋体" w:hAnsi="宋体" w:eastAsia="宋体" w:cs="宋体"/>
                <w:sz w:val="24"/>
                <w:szCs w:val="24"/>
                <w:highlight w:val="white"/>
              </w:rPr>
              <w:t>组织机构代码：</w:t>
            </w:r>
          </w:p>
        </w:tc>
        <w:tc>
          <w:tcPr>
            <w:tcW w:w="3012" w:type="dxa"/>
            <w:noWrap w:val="0"/>
            <w:vAlign w:val="top"/>
          </w:tcPr>
          <w:p w14:paraId="48C92288">
            <w:pPr>
              <w:rPr>
                <w:rFonts w:hint="eastAsia" w:ascii="宋体" w:hAnsi="宋体" w:eastAsia="宋体" w:cs="宋体"/>
                <w:b/>
                <w:sz w:val="24"/>
                <w:szCs w:val="24"/>
                <w:highlight w:val="white"/>
              </w:rPr>
            </w:pPr>
            <w:r>
              <w:rPr>
                <w:rFonts w:hint="eastAsia" w:ascii="宋体" w:hAnsi="宋体" w:eastAsia="宋体" w:cs="宋体"/>
                <w:sz w:val="24"/>
                <w:szCs w:val="24"/>
                <w:highlight w:val="white"/>
              </w:rPr>
              <w:t>组织机构代码：</w:t>
            </w:r>
          </w:p>
        </w:tc>
        <w:tc>
          <w:tcPr>
            <w:tcW w:w="3012" w:type="dxa"/>
            <w:noWrap w:val="0"/>
            <w:vAlign w:val="top"/>
          </w:tcPr>
          <w:p w14:paraId="4790FD0F">
            <w:pPr>
              <w:rPr>
                <w:rFonts w:hint="eastAsia" w:ascii="宋体" w:hAnsi="宋体" w:eastAsia="宋体" w:cs="宋体"/>
                <w:b/>
                <w:sz w:val="24"/>
                <w:szCs w:val="24"/>
                <w:highlight w:val="white"/>
              </w:rPr>
            </w:pPr>
            <w:r>
              <w:rPr>
                <w:rFonts w:hint="eastAsia" w:ascii="宋体" w:hAnsi="宋体" w:eastAsia="宋体" w:cs="宋体"/>
                <w:sz w:val="24"/>
                <w:szCs w:val="24"/>
                <w:highlight w:val="white"/>
              </w:rPr>
              <w:t>组织机构代码：</w:t>
            </w:r>
          </w:p>
        </w:tc>
      </w:tr>
      <w:tr w14:paraId="17FE7A71">
        <w:tblPrEx>
          <w:tblCellMar>
            <w:top w:w="0" w:type="dxa"/>
            <w:left w:w="108" w:type="dxa"/>
            <w:bottom w:w="0" w:type="dxa"/>
            <w:right w:w="108" w:type="dxa"/>
          </w:tblCellMar>
        </w:tblPrEx>
        <w:tc>
          <w:tcPr>
            <w:tcW w:w="3012" w:type="dxa"/>
            <w:noWrap w:val="0"/>
            <w:vAlign w:val="top"/>
          </w:tcPr>
          <w:p w14:paraId="521BCE0B">
            <w:pPr>
              <w:rPr>
                <w:rFonts w:hint="eastAsia" w:ascii="宋体" w:hAnsi="宋体" w:eastAsia="宋体" w:cs="宋体"/>
                <w:b/>
                <w:sz w:val="24"/>
                <w:szCs w:val="24"/>
                <w:highlight w:val="white"/>
              </w:rPr>
            </w:pPr>
            <w:r>
              <w:rPr>
                <w:rFonts w:hint="eastAsia" w:ascii="宋体" w:hAnsi="宋体" w:eastAsia="宋体" w:cs="宋体"/>
                <w:sz w:val="24"/>
                <w:szCs w:val="24"/>
                <w:highlight w:val="white"/>
              </w:rPr>
              <w:t>地  址：</w:t>
            </w:r>
          </w:p>
        </w:tc>
        <w:tc>
          <w:tcPr>
            <w:tcW w:w="3012" w:type="dxa"/>
            <w:noWrap w:val="0"/>
            <w:vAlign w:val="top"/>
          </w:tcPr>
          <w:p w14:paraId="2A3FE85E">
            <w:pPr>
              <w:rPr>
                <w:rFonts w:hint="eastAsia" w:ascii="宋体" w:hAnsi="宋体" w:eastAsia="宋体" w:cs="宋体"/>
                <w:b/>
                <w:sz w:val="24"/>
                <w:szCs w:val="24"/>
                <w:highlight w:val="white"/>
              </w:rPr>
            </w:pPr>
            <w:r>
              <w:rPr>
                <w:rFonts w:hint="eastAsia" w:ascii="宋体" w:hAnsi="宋体" w:eastAsia="宋体" w:cs="宋体"/>
                <w:sz w:val="24"/>
                <w:szCs w:val="24"/>
                <w:highlight w:val="white"/>
              </w:rPr>
              <w:t>地  址：</w:t>
            </w:r>
          </w:p>
        </w:tc>
        <w:tc>
          <w:tcPr>
            <w:tcW w:w="3012" w:type="dxa"/>
            <w:noWrap w:val="0"/>
            <w:vAlign w:val="top"/>
          </w:tcPr>
          <w:p w14:paraId="68BD9532">
            <w:pPr>
              <w:rPr>
                <w:rFonts w:hint="eastAsia" w:ascii="宋体" w:hAnsi="宋体" w:eastAsia="宋体" w:cs="宋体"/>
                <w:b/>
                <w:sz w:val="24"/>
                <w:szCs w:val="24"/>
                <w:highlight w:val="white"/>
              </w:rPr>
            </w:pPr>
            <w:r>
              <w:rPr>
                <w:rFonts w:hint="eastAsia" w:ascii="宋体" w:hAnsi="宋体" w:eastAsia="宋体" w:cs="宋体"/>
                <w:sz w:val="24"/>
                <w:szCs w:val="24"/>
                <w:highlight w:val="white"/>
              </w:rPr>
              <w:t>地  址：</w:t>
            </w:r>
          </w:p>
        </w:tc>
      </w:tr>
      <w:tr w14:paraId="6235D94F">
        <w:tblPrEx>
          <w:tblCellMar>
            <w:top w:w="0" w:type="dxa"/>
            <w:left w:w="108" w:type="dxa"/>
            <w:bottom w:w="0" w:type="dxa"/>
            <w:right w:w="108" w:type="dxa"/>
          </w:tblCellMar>
        </w:tblPrEx>
        <w:tc>
          <w:tcPr>
            <w:tcW w:w="3012" w:type="dxa"/>
            <w:noWrap w:val="0"/>
            <w:vAlign w:val="top"/>
          </w:tcPr>
          <w:p w14:paraId="33FE18C5">
            <w:pPr>
              <w:rPr>
                <w:rFonts w:hint="eastAsia" w:ascii="宋体" w:hAnsi="宋体" w:eastAsia="宋体" w:cs="宋体"/>
                <w:b/>
                <w:sz w:val="24"/>
                <w:szCs w:val="24"/>
                <w:highlight w:val="white"/>
              </w:rPr>
            </w:pPr>
            <w:r>
              <w:rPr>
                <w:rFonts w:hint="eastAsia" w:ascii="宋体" w:hAnsi="宋体" w:eastAsia="宋体" w:cs="宋体"/>
                <w:sz w:val="24"/>
                <w:szCs w:val="24"/>
                <w:highlight w:val="white"/>
              </w:rPr>
              <w:t>邮政编码：</w:t>
            </w:r>
          </w:p>
        </w:tc>
        <w:tc>
          <w:tcPr>
            <w:tcW w:w="3012" w:type="dxa"/>
            <w:noWrap w:val="0"/>
            <w:vAlign w:val="top"/>
          </w:tcPr>
          <w:p w14:paraId="0CE3AA3D">
            <w:pPr>
              <w:rPr>
                <w:rFonts w:hint="eastAsia" w:ascii="宋体" w:hAnsi="宋体" w:eastAsia="宋体" w:cs="宋体"/>
                <w:b/>
                <w:sz w:val="24"/>
                <w:szCs w:val="24"/>
                <w:highlight w:val="white"/>
              </w:rPr>
            </w:pPr>
            <w:r>
              <w:rPr>
                <w:rFonts w:hint="eastAsia" w:ascii="宋体" w:hAnsi="宋体" w:eastAsia="宋体" w:cs="宋体"/>
                <w:sz w:val="24"/>
                <w:szCs w:val="24"/>
                <w:highlight w:val="white"/>
              </w:rPr>
              <w:t>邮政编码：</w:t>
            </w:r>
          </w:p>
        </w:tc>
        <w:tc>
          <w:tcPr>
            <w:tcW w:w="3012" w:type="dxa"/>
            <w:noWrap w:val="0"/>
            <w:vAlign w:val="top"/>
          </w:tcPr>
          <w:p w14:paraId="34293D5D">
            <w:pPr>
              <w:rPr>
                <w:rFonts w:hint="eastAsia" w:ascii="宋体" w:hAnsi="宋体" w:eastAsia="宋体" w:cs="宋体"/>
                <w:b/>
                <w:sz w:val="24"/>
                <w:szCs w:val="24"/>
                <w:highlight w:val="white"/>
              </w:rPr>
            </w:pPr>
            <w:r>
              <w:rPr>
                <w:rFonts w:hint="eastAsia" w:ascii="宋体" w:hAnsi="宋体" w:eastAsia="宋体" w:cs="宋体"/>
                <w:sz w:val="24"/>
                <w:szCs w:val="24"/>
                <w:highlight w:val="white"/>
              </w:rPr>
              <w:t>邮政编码：</w:t>
            </w:r>
          </w:p>
        </w:tc>
      </w:tr>
      <w:tr w14:paraId="737E1BE7">
        <w:tblPrEx>
          <w:tblCellMar>
            <w:top w:w="0" w:type="dxa"/>
            <w:left w:w="108" w:type="dxa"/>
            <w:bottom w:w="0" w:type="dxa"/>
            <w:right w:w="108" w:type="dxa"/>
          </w:tblCellMar>
        </w:tblPrEx>
        <w:tc>
          <w:tcPr>
            <w:tcW w:w="3012" w:type="dxa"/>
            <w:noWrap w:val="0"/>
            <w:vAlign w:val="top"/>
          </w:tcPr>
          <w:p w14:paraId="5353FA6E">
            <w:pPr>
              <w:rPr>
                <w:rFonts w:hint="eastAsia" w:ascii="宋体" w:hAnsi="宋体" w:eastAsia="宋体" w:cs="宋体"/>
                <w:b/>
                <w:sz w:val="24"/>
                <w:szCs w:val="24"/>
                <w:highlight w:val="white"/>
              </w:rPr>
            </w:pPr>
            <w:r>
              <w:rPr>
                <w:rFonts w:hint="eastAsia" w:ascii="宋体" w:hAnsi="宋体" w:eastAsia="宋体" w:cs="宋体"/>
                <w:sz w:val="24"/>
                <w:szCs w:val="24"/>
                <w:highlight w:val="white"/>
              </w:rPr>
              <w:t>法定代表人：</w:t>
            </w:r>
          </w:p>
        </w:tc>
        <w:tc>
          <w:tcPr>
            <w:tcW w:w="3012" w:type="dxa"/>
            <w:noWrap w:val="0"/>
            <w:vAlign w:val="top"/>
          </w:tcPr>
          <w:p w14:paraId="78388679">
            <w:pPr>
              <w:rPr>
                <w:rFonts w:hint="eastAsia" w:ascii="宋体" w:hAnsi="宋体" w:eastAsia="宋体" w:cs="宋体"/>
                <w:b/>
                <w:sz w:val="24"/>
                <w:szCs w:val="24"/>
                <w:highlight w:val="white"/>
              </w:rPr>
            </w:pPr>
            <w:r>
              <w:rPr>
                <w:rFonts w:hint="eastAsia" w:ascii="宋体" w:hAnsi="宋体" w:eastAsia="宋体" w:cs="宋体"/>
                <w:sz w:val="24"/>
                <w:szCs w:val="24"/>
                <w:highlight w:val="white"/>
              </w:rPr>
              <w:t>法定代表人：</w:t>
            </w:r>
          </w:p>
        </w:tc>
        <w:tc>
          <w:tcPr>
            <w:tcW w:w="3012" w:type="dxa"/>
            <w:noWrap w:val="0"/>
            <w:vAlign w:val="top"/>
          </w:tcPr>
          <w:p w14:paraId="5DF73E93">
            <w:pPr>
              <w:rPr>
                <w:rFonts w:hint="eastAsia" w:ascii="宋体" w:hAnsi="宋体" w:eastAsia="宋体" w:cs="宋体"/>
                <w:b/>
                <w:sz w:val="24"/>
                <w:szCs w:val="24"/>
                <w:highlight w:val="white"/>
              </w:rPr>
            </w:pPr>
            <w:r>
              <w:rPr>
                <w:rFonts w:hint="eastAsia" w:ascii="宋体" w:hAnsi="宋体" w:eastAsia="宋体" w:cs="宋体"/>
                <w:sz w:val="24"/>
                <w:szCs w:val="24"/>
                <w:highlight w:val="white"/>
              </w:rPr>
              <w:t>法定代表人：</w:t>
            </w:r>
          </w:p>
        </w:tc>
      </w:tr>
      <w:tr w14:paraId="2942A538">
        <w:tblPrEx>
          <w:tblCellMar>
            <w:top w:w="0" w:type="dxa"/>
            <w:left w:w="108" w:type="dxa"/>
            <w:bottom w:w="0" w:type="dxa"/>
            <w:right w:w="108" w:type="dxa"/>
          </w:tblCellMar>
        </w:tblPrEx>
        <w:tc>
          <w:tcPr>
            <w:tcW w:w="3012" w:type="dxa"/>
            <w:noWrap w:val="0"/>
            <w:vAlign w:val="top"/>
          </w:tcPr>
          <w:p w14:paraId="341D7C0C">
            <w:pPr>
              <w:rPr>
                <w:rFonts w:hint="eastAsia" w:ascii="宋体" w:hAnsi="宋体" w:eastAsia="宋体" w:cs="宋体"/>
                <w:sz w:val="24"/>
                <w:szCs w:val="24"/>
                <w:highlight w:val="white"/>
              </w:rPr>
            </w:pPr>
            <w:r>
              <w:rPr>
                <w:rFonts w:hint="eastAsia" w:ascii="宋体" w:hAnsi="宋体" w:eastAsia="宋体" w:cs="宋体"/>
                <w:sz w:val="24"/>
                <w:szCs w:val="24"/>
                <w:highlight w:val="white"/>
              </w:rPr>
              <w:t>委托代理人：</w:t>
            </w:r>
          </w:p>
        </w:tc>
        <w:tc>
          <w:tcPr>
            <w:tcW w:w="3012" w:type="dxa"/>
            <w:noWrap w:val="0"/>
            <w:vAlign w:val="top"/>
          </w:tcPr>
          <w:p w14:paraId="2913F7C0">
            <w:pPr>
              <w:rPr>
                <w:rFonts w:hint="eastAsia" w:ascii="宋体" w:hAnsi="宋体" w:eastAsia="宋体" w:cs="宋体"/>
                <w:sz w:val="24"/>
                <w:szCs w:val="24"/>
                <w:highlight w:val="white"/>
              </w:rPr>
            </w:pPr>
            <w:r>
              <w:rPr>
                <w:rFonts w:hint="eastAsia" w:ascii="宋体" w:hAnsi="宋体" w:eastAsia="宋体" w:cs="宋体"/>
                <w:sz w:val="24"/>
                <w:szCs w:val="24"/>
                <w:highlight w:val="white"/>
              </w:rPr>
              <w:t>委托代理人：</w:t>
            </w:r>
          </w:p>
        </w:tc>
        <w:tc>
          <w:tcPr>
            <w:tcW w:w="3012" w:type="dxa"/>
            <w:noWrap w:val="0"/>
            <w:vAlign w:val="top"/>
          </w:tcPr>
          <w:p w14:paraId="61482904">
            <w:pPr>
              <w:rPr>
                <w:rFonts w:hint="eastAsia" w:ascii="宋体" w:hAnsi="宋体" w:eastAsia="宋体" w:cs="宋体"/>
                <w:sz w:val="24"/>
                <w:szCs w:val="24"/>
                <w:highlight w:val="white"/>
              </w:rPr>
            </w:pPr>
            <w:r>
              <w:rPr>
                <w:rFonts w:hint="eastAsia" w:ascii="宋体" w:hAnsi="宋体" w:eastAsia="宋体" w:cs="宋体"/>
                <w:sz w:val="24"/>
                <w:szCs w:val="24"/>
                <w:highlight w:val="white"/>
              </w:rPr>
              <w:t>委托代理人：</w:t>
            </w:r>
          </w:p>
        </w:tc>
      </w:tr>
      <w:tr w14:paraId="2169CBA9">
        <w:tblPrEx>
          <w:tblCellMar>
            <w:top w:w="0" w:type="dxa"/>
            <w:left w:w="108" w:type="dxa"/>
            <w:bottom w:w="0" w:type="dxa"/>
            <w:right w:w="108" w:type="dxa"/>
          </w:tblCellMar>
        </w:tblPrEx>
        <w:tc>
          <w:tcPr>
            <w:tcW w:w="3012" w:type="dxa"/>
            <w:noWrap w:val="0"/>
            <w:vAlign w:val="top"/>
          </w:tcPr>
          <w:p w14:paraId="110BBE82">
            <w:pPr>
              <w:rPr>
                <w:rFonts w:hint="eastAsia" w:ascii="宋体" w:hAnsi="宋体" w:eastAsia="宋体" w:cs="宋体"/>
                <w:b/>
                <w:sz w:val="24"/>
                <w:szCs w:val="24"/>
                <w:highlight w:val="white"/>
              </w:rPr>
            </w:pPr>
            <w:r>
              <w:rPr>
                <w:rFonts w:hint="eastAsia" w:ascii="宋体" w:hAnsi="宋体" w:eastAsia="宋体" w:cs="宋体"/>
                <w:sz w:val="24"/>
                <w:szCs w:val="24"/>
                <w:highlight w:val="white"/>
              </w:rPr>
              <w:t>电  话：</w:t>
            </w:r>
          </w:p>
        </w:tc>
        <w:tc>
          <w:tcPr>
            <w:tcW w:w="3012" w:type="dxa"/>
            <w:noWrap w:val="0"/>
            <w:vAlign w:val="top"/>
          </w:tcPr>
          <w:p w14:paraId="3D0C6B84">
            <w:pPr>
              <w:rPr>
                <w:rFonts w:hint="eastAsia" w:ascii="宋体" w:hAnsi="宋体" w:eastAsia="宋体" w:cs="宋体"/>
                <w:b/>
                <w:sz w:val="24"/>
                <w:szCs w:val="24"/>
                <w:highlight w:val="white"/>
              </w:rPr>
            </w:pPr>
            <w:r>
              <w:rPr>
                <w:rFonts w:hint="eastAsia" w:ascii="宋体" w:hAnsi="宋体" w:eastAsia="宋体" w:cs="宋体"/>
                <w:sz w:val="24"/>
                <w:szCs w:val="24"/>
                <w:highlight w:val="white"/>
              </w:rPr>
              <w:t>电  话：</w:t>
            </w:r>
          </w:p>
        </w:tc>
        <w:tc>
          <w:tcPr>
            <w:tcW w:w="3012" w:type="dxa"/>
            <w:noWrap w:val="0"/>
            <w:vAlign w:val="top"/>
          </w:tcPr>
          <w:p w14:paraId="6CBFB125">
            <w:pPr>
              <w:rPr>
                <w:rFonts w:hint="eastAsia" w:ascii="宋体" w:hAnsi="宋体" w:eastAsia="宋体" w:cs="宋体"/>
                <w:b/>
                <w:sz w:val="24"/>
                <w:szCs w:val="24"/>
                <w:highlight w:val="white"/>
              </w:rPr>
            </w:pPr>
            <w:r>
              <w:rPr>
                <w:rFonts w:hint="eastAsia" w:ascii="宋体" w:hAnsi="宋体" w:eastAsia="宋体" w:cs="宋体"/>
                <w:sz w:val="24"/>
                <w:szCs w:val="24"/>
                <w:highlight w:val="white"/>
              </w:rPr>
              <w:t>电  话：</w:t>
            </w:r>
          </w:p>
        </w:tc>
      </w:tr>
      <w:tr w14:paraId="6BFBF1E0">
        <w:tblPrEx>
          <w:tblCellMar>
            <w:top w:w="0" w:type="dxa"/>
            <w:left w:w="108" w:type="dxa"/>
            <w:bottom w:w="0" w:type="dxa"/>
            <w:right w:w="108" w:type="dxa"/>
          </w:tblCellMar>
        </w:tblPrEx>
        <w:tc>
          <w:tcPr>
            <w:tcW w:w="3012" w:type="dxa"/>
            <w:noWrap w:val="0"/>
            <w:vAlign w:val="top"/>
          </w:tcPr>
          <w:p w14:paraId="47DF72D7">
            <w:pPr>
              <w:rPr>
                <w:rFonts w:hint="eastAsia" w:ascii="宋体" w:hAnsi="宋体" w:eastAsia="宋体" w:cs="宋体"/>
                <w:b/>
                <w:sz w:val="24"/>
                <w:szCs w:val="24"/>
                <w:highlight w:val="white"/>
              </w:rPr>
            </w:pPr>
            <w:r>
              <w:rPr>
                <w:rFonts w:hint="eastAsia" w:ascii="宋体" w:hAnsi="宋体" w:eastAsia="宋体" w:cs="宋体"/>
                <w:sz w:val="24"/>
                <w:szCs w:val="24"/>
                <w:highlight w:val="white"/>
              </w:rPr>
              <w:t>传  真：</w:t>
            </w:r>
          </w:p>
        </w:tc>
        <w:tc>
          <w:tcPr>
            <w:tcW w:w="3012" w:type="dxa"/>
            <w:noWrap w:val="0"/>
            <w:vAlign w:val="top"/>
          </w:tcPr>
          <w:p w14:paraId="62EFB6C0">
            <w:pPr>
              <w:rPr>
                <w:rFonts w:hint="eastAsia" w:ascii="宋体" w:hAnsi="宋体" w:eastAsia="宋体" w:cs="宋体"/>
                <w:b/>
                <w:sz w:val="24"/>
                <w:szCs w:val="24"/>
                <w:highlight w:val="white"/>
              </w:rPr>
            </w:pPr>
            <w:r>
              <w:rPr>
                <w:rFonts w:hint="eastAsia" w:ascii="宋体" w:hAnsi="宋体" w:eastAsia="宋体" w:cs="宋体"/>
                <w:sz w:val="24"/>
                <w:szCs w:val="24"/>
                <w:highlight w:val="white"/>
              </w:rPr>
              <w:t>传  真：</w:t>
            </w:r>
          </w:p>
        </w:tc>
        <w:tc>
          <w:tcPr>
            <w:tcW w:w="3012" w:type="dxa"/>
            <w:noWrap w:val="0"/>
            <w:vAlign w:val="top"/>
          </w:tcPr>
          <w:p w14:paraId="561E1EA2">
            <w:pPr>
              <w:rPr>
                <w:rFonts w:hint="eastAsia" w:ascii="宋体" w:hAnsi="宋体" w:eastAsia="宋体" w:cs="宋体"/>
                <w:b/>
                <w:sz w:val="24"/>
                <w:szCs w:val="24"/>
                <w:highlight w:val="white"/>
              </w:rPr>
            </w:pPr>
            <w:r>
              <w:rPr>
                <w:rFonts w:hint="eastAsia" w:ascii="宋体" w:hAnsi="宋体" w:eastAsia="宋体" w:cs="宋体"/>
                <w:sz w:val="24"/>
                <w:szCs w:val="24"/>
                <w:highlight w:val="white"/>
              </w:rPr>
              <w:t>传  真：</w:t>
            </w:r>
          </w:p>
        </w:tc>
      </w:tr>
      <w:tr w14:paraId="18352DEA">
        <w:tblPrEx>
          <w:tblCellMar>
            <w:top w:w="0" w:type="dxa"/>
            <w:left w:w="108" w:type="dxa"/>
            <w:bottom w:w="0" w:type="dxa"/>
            <w:right w:w="108" w:type="dxa"/>
          </w:tblCellMar>
        </w:tblPrEx>
        <w:tc>
          <w:tcPr>
            <w:tcW w:w="3012" w:type="dxa"/>
            <w:noWrap w:val="0"/>
            <w:vAlign w:val="top"/>
          </w:tcPr>
          <w:p w14:paraId="1243D719">
            <w:pPr>
              <w:rPr>
                <w:rFonts w:hint="eastAsia" w:ascii="宋体" w:hAnsi="宋体" w:eastAsia="宋体" w:cs="宋体"/>
                <w:sz w:val="24"/>
                <w:szCs w:val="24"/>
                <w:highlight w:val="white"/>
              </w:rPr>
            </w:pPr>
            <w:r>
              <w:rPr>
                <w:rFonts w:hint="eastAsia" w:ascii="宋体" w:hAnsi="宋体" w:eastAsia="宋体" w:cs="宋体"/>
                <w:sz w:val="24"/>
                <w:szCs w:val="24"/>
                <w:highlight w:val="white"/>
              </w:rPr>
              <w:t>电子信箱：</w:t>
            </w:r>
          </w:p>
        </w:tc>
        <w:tc>
          <w:tcPr>
            <w:tcW w:w="3012" w:type="dxa"/>
            <w:noWrap w:val="0"/>
            <w:vAlign w:val="top"/>
          </w:tcPr>
          <w:p w14:paraId="0577A6E0">
            <w:pPr>
              <w:rPr>
                <w:rFonts w:hint="eastAsia" w:ascii="宋体" w:hAnsi="宋体" w:eastAsia="宋体" w:cs="宋体"/>
                <w:sz w:val="24"/>
                <w:szCs w:val="24"/>
                <w:highlight w:val="white"/>
              </w:rPr>
            </w:pPr>
            <w:r>
              <w:rPr>
                <w:rFonts w:hint="eastAsia" w:ascii="宋体" w:hAnsi="宋体" w:eastAsia="宋体" w:cs="宋体"/>
                <w:sz w:val="24"/>
                <w:szCs w:val="24"/>
                <w:highlight w:val="white"/>
              </w:rPr>
              <w:t>电子信箱：</w:t>
            </w:r>
          </w:p>
        </w:tc>
        <w:tc>
          <w:tcPr>
            <w:tcW w:w="3012" w:type="dxa"/>
            <w:noWrap w:val="0"/>
            <w:vAlign w:val="top"/>
          </w:tcPr>
          <w:p w14:paraId="55AB5651">
            <w:pPr>
              <w:rPr>
                <w:rFonts w:hint="eastAsia" w:ascii="宋体" w:hAnsi="宋体" w:eastAsia="宋体" w:cs="宋体"/>
                <w:sz w:val="24"/>
                <w:szCs w:val="24"/>
                <w:highlight w:val="white"/>
              </w:rPr>
            </w:pPr>
            <w:r>
              <w:rPr>
                <w:rFonts w:hint="eastAsia" w:ascii="宋体" w:hAnsi="宋体" w:eastAsia="宋体" w:cs="宋体"/>
                <w:sz w:val="24"/>
                <w:szCs w:val="24"/>
                <w:highlight w:val="white"/>
              </w:rPr>
              <w:t>电子信箱：</w:t>
            </w:r>
          </w:p>
        </w:tc>
      </w:tr>
      <w:tr w14:paraId="7EEDADDD">
        <w:tblPrEx>
          <w:tblCellMar>
            <w:top w:w="0" w:type="dxa"/>
            <w:left w:w="108" w:type="dxa"/>
            <w:bottom w:w="0" w:type="dxa"/>
            <w:right w:w="108" w:type="dxa"/>
          </w:tblCellMar>
        </w:tblPrEx>
        <w:tc>
          <w:tcPr>
            <w:tcW w:w="3012" w:type="dxa"/>
            <w:noWrap w:val="0"/>
            <w:vAlign w:val="top"/>
          </w:tcPr>
          <w:p w14:paraId="0982ED85">
            <w:pPr>
              <w:rPr>
                <w:rFonts w:hint="eastAsia" w:ascii="宋体" w:hAnsi="宋体" w:eastAsia="宋体" w:cs="宋体"/>
                <w:sz w:val="24"/>
                <w:szCs w:val="24"/>
                <w:highlight w:val="white"/>
              </w:rPr>
            </w:pPr>
            <w:r>
              <w:rPr>
                <w:rFonts w:hint="eastAsia" w:ascii="宋体" w:hAnsi="宋体" w:eastAsia="宋体" w:cs="宋体"/>
                <w:sz w:val="24"/>
                <w:szCs w:val="24"/>
                <w:highlight w:val="white"/>
              </w:rPr>
              <w:t>开户银行：</w:t>
            </w:r>
          </w:p>
        </w:tc>
        <w:tc>
          <w:tcPr>
            <w:tcW w:w="3012" w:type="dxa"/>
            <w:noWrap w:val="0"/>
            <w:vAlign w:val="top"/>
          </w:tcPr>
          <w:p w14:paraId="252F6264">
            <w:pPr>
              <w:rPr>
                <w:rFonts w:hint="eastAsia" w:ascii="宋体" w:hAnsi="宋体" w:eastAsia="宋体" w:cs="宋体"/>
                <w:sz w:val="24"/>
                <w:szCs w:val="24"/>
                <w:highlight w:val="white"/>
              </w:rPr>
            </w:pPr>
            <w:r>
              <w:rPr>
                <w:rFonts w:hint="eastAsia" w:ascii="宋体" w:hAnsi="宋体" w:eastAsia="宋体" w:cs="宋体"/>
                <w:sz w:val="24"/>
                <w:szCs w:val="24"/>
                <w:highlight w:val="white"/>
              </w:rPr>
              <w:t>开户银行：</w:t>
            </w:r>
          </w:p>
        </w:tc>
        <w:tc>
          <w:tcPr>
            <w:tcW w:w="3012" w:type="dxa"/>
            <w:noWrap w:val="0"/>
            <w:vAlign w:val="top"/>
          </w:tcPr>
          <w:p w14:paraId="5C5ED7C8">
            <w:pPr>
              <w:rPr>
                <w:rFonts w:hint="eastAsia" w:ascii="宋体" w:hAnsi="宋体" w:eastAsia="宋体" w:cs="宋体"/>
                <w:sz w:val="24"/>
                <w:szCs w:val="24"/>
                <w:highlight w:val="white"/>
              </w:rPr>
            </w:pPr>
            <w:r>
              <w:rPr>
                <w:rFonts w:hint="eastAsia" w:ascii="宋体" w:hAnsi="宋体" w:eastAsia="宋体" w:cs="宋体"/>
                <w:sz w:val="24"/>
                <w:szCs w:val="24"/>
                <w:highlight w:val="white"/>
              </w:rPr>
              <w:t>开户银行：</w:t>
            </w:r>
          </w:p>
        </w:tc>
      </w:tr>
      <w:tr w14:paraId="13CAA264">
        <w:tblPrEx>
          <w:tblCellMar>
            <w:top w:w="0" w:type="dxa"/>
            <w:left w:w="108" w:type="dxa"/>
            <w:bottom w:w="0" w:type="dxa"/>
            <w:right w:w="108" w:type="dxa"/>
          </w:tblCellMar>
        </w:tblPrEx>
        <w:tc>
          <w:tcPr>
            <w:tcW w:w="3012" w:type="dxa"/>
            <w:noWrap w:val="0"/>
            <w:vAlign w:val="top"/>
          </w:tcPr>
          <w:p w14:paraId="47CF81E1">
            <w:pPr>
              <w:rPr>
                <w:rFonts w:hint="eastAsia" w:ascii="宋体" w:hAnsi="宋体" w:eastAsia="宋体" w:cs="宋体"/>
                <w:sz w:val="24"/>
                <w:szCs w:val="24"/>
                <w:highlight w:val="white"/>
              </w:rPr>
            </w:pPr>
            <w:r>
              <w:rPr>
                <w:rFonts w:hint="eastAsia" w:ascii="宋体" w:hAnsi="宋体" w:eastAsia="宋体" w:cs="宋体"/>
                <w:sz w:val="24"/>
                <w:szCs w:val="24"/>
                <w:highlight w:val="white"/>
              </w:rPr>
              <w:t>账  号：</w:t>
            </w:r>
          </w:p>
        </w:tc>
        <w:tc>
          <w:tcPr>
            <w:tcW w:w="3012" w:type="dxa"/>
            <w:noWrap w:val="0"/>
            <w:vAlign w:val="top"/>
          </w:tcPr>
          <w:p w14:paraId="3BB7852F">
            <w:pPr>
              <w:rPr>
                <w:rFonts w:hint="eastAsia" w:ascii="宋体" w:hAnsi="宋体" w:eastAsia="宋体" w:cs="宋体"/>
                <w:sz w:val="24"/>
                <w:szCs w:val="24"/>
                <w:highlight w:val="white"/>
              </w:rPr>
            </w:pPr>
            <w:r>
              <w:rPr>
                <w:rFonts w:hint="eastAsia" w:ascii="宋体" w:hAnsi="宋体" w:eastAsia="宋体" w:cs="宋体"/>
                <w:sz w:val="24"/>
                <w:szCs w:val="24"/>
                <w:highlight w:val="white"/>
              </w:rPr>
              <w:t>账  号：</w:t>
            </w:r>
          </w:p>
        </w:tc>
        <w:tc>
          <w:tcPr>
            <w:tcW w:w="3012" w:type="dxa"/>
            <w:noWrap w:val="0"/>
            <w:vAlign w:val="top"/>
          </w:tcPr>
          <w:p w14:paraId="42DE6D77">
            <w:pPr>
              <w:rPr>
                <w:rFonts w:hint="eastAsia" w:ascii="宋体" w:hAnsi="宋体" w:eastAsia="宋体" w:cs="宋体"/>
                <w:sz w:val="24"/>
                <w:szCs w:val="24"/>
                <w:highlight w:val="white"/>
              </w:rPr>
            </w:pPr>
            <w:r>
              <w:rPr>
                <w:rFonts w:hint="eastAsia" w:ascii="宋体" w:hAnsi="宋体" w:eastAsia="宋体" w:cs="宋体"/>
                <w:sz w:val="24"/>
                <w:szCs w:val="24"/>
                <w:highlight w:val="white"/>
              </w:rPr>
              <w:t>账  号：</w:t>
            </w:r>
          </w:p>
        </w:tc>
      </w:tr>
    </w:tbl>
    <w:p w14:paraId="16C2D489">
      <w:pPr>
        <w:ind w:firstLine="3162" w:firstLineChars="1500"/>
        <w:rPr>
          <w:rFonts w:hint="eastAsia" w:ascii="仿宋" w:hAnsi="仿宋" w:eastAsia="仿宋"/>
          <w:b/>
          <w:szCs w:val="21"/>
          <w:highlight w:val="white"/>
        </w:rPr>
      </w:pPr>
    </w:p>
    <w:p w14:paraId="4196A66D">
      <w:pPr>
        <w:ind w:firstLine="3162" w:firstLineChars="1500"/>
        <w:rPr>
          <w:rFonts w:hint="eastAsia" w:ascii="仿宋" w:hAnsi="仿宋" w:eastAsia="仿宋"/>
          <w:b/>
          <w:szCs w:val="21"/>
          <w:highlight w:val="white"/>
        </w:rPr>
      </w:pPr>
    </w:p>
    <w:p w14:paraId="34AC7632">
      <w:pPr>
        <w:ind w:firstLine="3162" w:firstLineChars="1500"/>
        <w:rPr>
          <w:rFonts w:hint="eastAsia" w:ascii="仿宋" w:hAnsi="仿宋" w:eastAsia="仿宋"/>
          <w:b/>
          <w:szCs w:val="21"/>
          <w:highlight w:val="white"/>
        </w:rPr>
      </w:pPr>
    </w:p>
    <w:p w14:paraId="1C9211A3">
      <w:pPr>
        <w:ind w:firstLine="3162" w:firstLineChars="1500"/>
        <w:rPr>
          <w:rFonts w:hint="eastAsia" w:ascii="仿宋" w:hAnsi="仿宋" w:eastAsia="仿宋"/>
          <w:b/>
          <w:szCs w:val="21"/>
          <w:highlight w:val="white"/>
        </w:rPr>
      </w:pPr>
    </w:p>
    <w:p w14:paraId="1A0F344A">
      <w:pPr>
        <w:ind w:firstLine="3162" w:firstLineChars="1500"/>
        <w:rPr>
          <w:rFonts w:hint="eastAsia" w:ascii="仿宋" w:hAnsi="仿宋" w:eastAsia="仿宋"/>
          <w:b/>
          <w:szCs w:val="21"/>
          <w:highlight w:val="white"/>
        </w:rPr>
      </w:pPr>
    </w:p>
    <w:p w14:paraId="706357CC">
      <w:pPr>
        <w:rPr>
          <w:rFonts w:hint="eastAsia" w:ascii="仿宋" w:hAnsi="仿宋" w:eastAsia="仿宋"/>
          <w:b/>
          <w:szCs w:val="21"/>
          <w:highlight w:val="white"/>
        </w:rPr>
      </w:pPr>
    </w:p>
    <w:p w14:paraId="08968D18">
      <w:pPr>
        <w:ind w:firstLine="3162" w:firstLineChars="1500"/>
        <w:rPr>
          <w:rFonts w:hint="eastAsia" w:ascii="仿宋" w:hAnsi="仿宋" w:eastAsia="仿宋"/>
          <w:b/>
          <w:szCs w:val="21"/>
          <w:highlight w:val="white"/>
        </w:rPr>
      </w:pPr>
    </w:p>
    <w:p w14:paraId="794C3447">
      <w:pPr>
        <w:ind w:firstLine="3162" w:firstLineChars="1500"/>
        <w:rPr>
          <w:rFonts w:hint="eastAsia" w:ascii="仿宋" w:hAnsi="仿宋" w:eastAsia="仿宋"/>
          <w:b/>
          <w:szCs w:val="21"/>
          <w:highlight w:val="white"/>
        </w:rPr>
      </w:pPr>
    </w:p>
    <w:p w14:paraId="593587BA">
      <w:pPr>
        <w:ind w:firstLine="0" w:firstLineChars="0"/>
        <w:rPr>
          <w:rFonts w:hint="eastAsia" w:ascii="仿宋" w:hAnsi="仿宋" w:eastAsia="仿宋"/>
          <w:b/>
          <w:szCs w:val="21"/>
          <w:highlight w:val="white"/>
        </w:rPr>
      </w:pPr>
      <w:r>
        <w:rPr>
          <w:rFonts w:hint="eastAsia" w:ascii="仿宋" w:hAnsi="仿宋" w:eastAsia="仿宋"/>
          <w:b/>
          <w:szCs w:val="21"/>
          <w:highlight w:val="white"/>
        </w:rPr>
        <w:br w:type="page"/>
      </w:r>
    </w:p>
    <w:p w14:paraId="001D225B">
      <w:pPr>
        <w:ind w:firstLine="3614" w:firstLineChars="1500"/>
        <w:rPr>
          <w:rFonts w:hint="eastAsia" w:ascii="宋体" w:hAnsi="宋体" w:eastAsia="宋体" w:cs="宋体"/>
          <w:b/>
          <w:sz w:val="24"/>
          <w:szCs w:val="24"/>
          <w:highlight w:val="yellow"/>
        </w:rPr>
      </w:pPr>
      <w:r>
        <w:rPr>
          <w:rFonts w:hint="eastAsia" w:ascii="宋体" w:hAnsi="宋体" w:eastAsia="宋体" w:cs="宋体"/>
          <w:b/>
          <w:sz w:val="24"/>
          <w:szCs w:val="24"/>
          <w:highlight w:val="white"/>
        </w:rPr>
        <w:t>第二部分 通用合同条款</w:t>
      </w:r>
    </w:p>
    <w:p w14:paraId="2FF2051B">
      <w:pPr>
        <w:autoSpaceDE w:val="0"/>
        <w:autoSpaceDN w:val="0"/>
        <w:adjustRightIn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highlight w:val="white"/>
        </w:rPr>
        <w:t xml:space="preserve">采用《建设工程施工合同（示范文本）》（GF—2017—0201） </w:t>
      </w:r>
    </w:p>
    <w:p w14:paraId="447B4FBE">
      <w:pPr>
        <w:rPr>
          <w:rFonts w:hint="eastAsia" w:ascii="仿宋" w:hAnsi="仿宋" w:eastAsia="仿宋"/>
          <w:sz w:val="20"/>
          <w:highlight w:val="white"/>
        </w:rPr>
      </w:pPr>
      <w:bookmarkStart w:id="248" w:name="EBcdb0cecb76eb48ad9ee61fdccb93fea1"/>
      <w:r>
        <w:rPr>
          <w:rFonts w:hint="eastAsia" w:ascii="仿宋" w:hAnsi="仿宋" w:eastAsia="仿宋"/>
          <w:sz w:val="20"/>
          <w:highlight w:val="white"/>
        </w:rPr>
        <w:t xml:space="preserve"> </w:t>
      </w:r>
      <w:bookmarkEnd w:id="248"/>
      <w:r>
        <w:rPr>
          <w:rFonts w:ascii="仿宋" w:hAnsi="仿宋" w:eastAsia="仿宋"/>
          <w:sz w:val="20"/>
          <w:highlight w:val="white"/>
        </w:rPr>
        <w:br w:type="textWrapping"/>
      </w:r>
      <w:bookmarkStart w:id="249" w:name="EBdfe6ab7c775a40a98b6d0238eb2e0604"/>
      <w:r>
        <w:rPr>
          <w:rFonts w:hint="eastAsia" w:ascii="仿宋" w:hAnsi="仿宋" w:eastAsia="仿宋"/>
          <w:sz w:val="20"/>
          <w:highlight w:val="white"/>
        </w:rPr>
        <w:t xml:space="preserve"> </w:t>
      </w:r>
      <w:bookmarkEnd w:id="249"/>
      <w:bookmarkStart w:id="250" w:name="EB71e04fcf960848539d03ef54fbc54337"/>
      <w:r>
        <w:rPr>
          <w:rFonts w:hint="eastAsia" w:ascii="仿宋" w:hAnsi="仿宋" w:eastAsia="仿宋"/>
          <w:sz w:val="20"/>
          <w:highlight w:val="white"/>
        </w:rPr>
        <w:t xml:space="preserve"> </w:t>
      </w:r>
      <w:bookmarkEnd w:id="250"/>
      <w:r>
        <w:rPr>
          <w:rFonts w:hint="eastAsia" w:ascii="仿宋" w:hAnsi="仿宋" w:eastAsia="仿宋"/>
          <w:sz w:val="20"/>
          <w:highlight w:val="white"/>
        </w:rPr>
        <w:t xml:space="preserve">                             </w:t>
      </w:r>
    </w:p>
    <w:p w14:paraId="3CECA797">
      <w:pPr>
        <w:rPr>
          <w:rFonts w:hint="eastAsia" w:ascii="仿宋" w:hAnsi="仿宋" w:eastAsia="仿宋"/>
          <w:sz w:val="20"/>
          <w:highlight w:val="white"/>
        </w:rPr>
      </w:pPr>
    </w:p>
    <w:p w14:paraId="585CB62D">
      <w:pPr>
        <w:jc w:val="left"/>
        <w:rPr>
          <w:rFonts w:hint="eastAsia" w:ascii="仿宋" w:hAnsi="仿宋" w:eastAsia="仿宋"/>
          <w:b/>
          <w:szCs w:val="21"/>
          <w:highlight w:val="white"/>
        </w:rPr>
      </w:pPr>
      <w:r>
        <w:rPr>
          <w:rFonts w:hint="eastAsia" w:ascii="仿宋" w:hAnsi="仿宋" w:eastAsia="仿宋"/>
          <w:b/>
          <w:szCs w:val="21"/>
          <w:highlight w:val="white"/>
        </w:rPr>
        <w:br w:type="page"/>
      </w:r>
    </w:p>
    <w:p w14:paraId="1374F87C">
      <w:pPr>
        <w:jc w:val="center"/>
        <w:rPr>
          <w:rFonts w:ascii="仿宋" w:hAnsi="仿宋" w:eastAsia="仿宋"/>
          <w:b/>
          <w:highlight w:val="cyan"/>
        </w:rPr>
      </w:pPr>
      <w:r>
        <w:rPr>
          <w:rFonts w:hint="eastAsia" w:ascii="宋体" w:hAnsi="宋体" w:eastAsia="宋体" w:cs="宋体"/>
          <w:b/>
          <w:sz w:val="28"/>
          <w:szCs w:val="28"/>
          <w:highlight w:val="white"/>
        </w:rPr>
        <w:t>第三部分 专用合同条款</w:t>
      </w:r>
    </w:p>
    <w:p w14:paraId="19191AF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本专用条款约定的内容如与国家相关法律、法规及政策相抵触，则抵触内容无效，待项目定标后，由招标人与中标人按照国家相关法律、法规及政策另行约定。</w:t>
      </w:r>
    </w:p>
    <w:p w14:paraId="64006212">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1. 一般约定</w:t>
      </w:r>
    </w:p>
    <w:p w14:paraId="32739849">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1.1 词语定义</w:t>
      </w:r>
    </w:p>
    <w:p w14:paraId="4702B6E0">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1.1.1合同</w:t>
      </w:r>
    </w:p>
    <w:p w14:paraId="17BC731A">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1.1.1.10其他合同文件包括：</w:t>
      </w:r>
    </w:p>
    <w:p w14:paraId="19F93958">
      <w:pPr>
        <w:spacing w:line="360" w:lineRule="auto"/>
        <w:ind w:firstLine="480" w:firstLineChars="200"/>
        <w:rPr>
          <w:rFonts w:hint="eastAsia" w:ascii="宋体" w:hAnsi="宋体" w:eastAsia="宋体" w:cs="宋体"/>
          <w:kern w:val="0"/>
          <w:sz w:val="24"/>
          <w:szCs w:val="24"/>
        </w:rPr>
      </w:pPr>
      <w:bookmarkStart w:id="251" w:name="EB7824a48e646e4dceb1ec64d924b42458"/>
      <w:r>
        <w:rPr>
          <w:rFonts w:hint="eastAsia" w:ascii="宋体" w:hAnsi="宋体" w:eastAsia="宋体" w:cs="宋体"/>
          <w:kern w:val="0"/>
          <w:sz w:val="24"/>
          <w:szCs w:val="24"/>
          <w:highlight w:val="white"/>
        </w:rPr>
        <w:t>工程质量保修书</w:t>
      </w:r>
      <w:bookmarkEnd w:id="251"/>
      <w:r>
        <w:rPr>
          <w:rFonts w:hint="eastAsia" w:ascii="宋体" w:hAnsi="宋体" w:eastAsia="宋体" w:cs="宋体"/>
          <w:sz w:val="24"/>
          <w:szCs w:val="24"/>
          <w:highlight w:val="white"/>
        </w:rPr>
        <w:t>。</w:t>
      </w:r>
    </w:p>
    <w:p w14:paraId="5008635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1.1.2 合同当事人及其他相关方</w:t>
      </w:r>
    </w:p>
    <w:p w14:paraId="7C35BB5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1.1.2.4监理人：</w:t>
      </w:r>
    </w:p>
    <w:p w14:paraId="19DC5D5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名    称：</w:t>
      </w:r>
      <w:bookmarkStart w:id="252" w:name="EB2e53f7aaf8c84148b9c433ab24e76286"/>
      <w:bookmarkEnd w:id="252"/>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34E1B48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资质类别和等级：</w:t>
      </w:r>
      <w:bookmarkStart w:id="253" w:name="EB6e2500e2c9314dfe87e2544f3bbc3ae8"/>
      <w:bookmarkEnd w:id="253"/>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 xml:space="preserve"> ；</w:t>
      </w:r>
    </w:p>
    <w:p w14:paraId="5D19BA9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联系电话：</w:t>
      </w:r>
      <w:bookmarkStart w:id="254" w:name="EBf950159031bc4009aa85eb992c30604c"/>
      <w:bookmarkEnd w:id="254"/>
      <w:r>
        <w:rPr>
          <w:rFonts w:hint="eastAsia" w:ascii="宋体" w:hAnsi="宋体" w:eastAsia="宋体" w:cs="宋体"/>
          <w:color w:val="auto"/>
          <w:sz w:val="24"/>
          <w:szCs w:val="24"/>
          <w:highlight w:val="white"/>
        </w:rPr>
        <w:t xml:space="preserve"> </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w:t>
      </w:r>
    </w:p>
    <w:p w14:paraId="0D4D15B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电子信箱：</w:t>
      </w:r>
      <w:bookmarkStart w:id="255" w:name="EB8fe2f3875cdf455ba469fddaf7ac0a3f"/>
      <w:bookmarkEnd w:id="255"/>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65C9123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通信地址：</w:t>
      </w:r>
      <w:bookmarkStart w:id="256" w:name="EBef7db2a549e749aebd1f6977bf07ff0b"/>
      <w:bookmarkEnd w:id="256"/>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114D85C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1.1.2.5 设计人：</w:t>
      </w:r>
    </w:p>
    <w:p w14:paraId="685E777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名    称：</w:t>
      </w:r>
      <w:bookmarkStart w:id="257" w:name="EBc9b38ba4e0624228987db730ad937158"/>
      <w:bookmarkEnd w:id="257"/>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4ED721D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资质类别和等级：</w:t>
      </w:r>
      <w:bookmarkStart w:id="258" w:name="EB8aa3e011579f40e5b69997ef06a0f9e4"/>
      <w:bookmarkEnd w:id="258"/>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1B68178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联系电话：</w:t>
      </w:r>
      <w:bookmarkStart w:id="259" w:name="EBd5bca760c1e74fbd8c42c0b7e6c84365"/>
      <w:bookmarkEnd w:id="259"/>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373CAC9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电子信箱：</w:t>
      </w:r>
      <w:bookmarkStart w:id="260" w:name="EB73cb63154221440e85c03e8673f77d17"/>
      <w:bookmarkEnd w:id="260"/>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w:t>
      </w:r>
    </w:p>
    <w:p w14:paraId="0A9A7C4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通信地址：</w:t>
      </w:r>
      <w:bookmarkStart w:id="261" w:name="EBe2252fb1adbc4f8f8c7797b91c23e60c"/>
      <w:bookmarkEnd w:id="261"/>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w:t>
      </w:r>
    </w:p>
    <w:p w14:paraId="576A7F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1.1.3 工程和设备</w:t>
      </w:r>
    </w:p>
    <w:p w14:paraId="5876F24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1.1.3.7 作为施工现场组成部分的其他场所包括：</w:t>
      </w:r>
    </w:p>
    <w:p w14:paraId="49C7C4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single"/>
        </w:rPr>
        <w:t xml:space="preserve">                 /                                     </w:t>
      </w:r>
      <w:r>
        <w:rPr>
          <w:rFonts w:hint="eastAsia" w:ascii="宋体" w:hAnsi="宋体" w:eastAsia="宋体" w:cs="宋体"/>
          <w:sz w:val="24"/>
          <w:szCs w:val="24"/>
          <w:highlight w:val="white"/>
        </w:rPr>
        <w:t>。</w:t>
      </w:r>
    </w:p>
    <w:p w14:paraId="5EB23AF1">
      <w:pPr>
        <w:spacing w:line="360" w:lineRule="auto"/>
        <w:ind w:firstLine="480" w:firstLineChars="200"/>
        <w:rPr>
          <w:rFonts w:hint="eastAsia" w:ascii="宋体" w:hAnsi="宋体" w:eastAsia="宋体" w:cs="宋体"/>
          <w:kern w:val="0"/>
          <w:sz w:val="24"/>
          <w:szCs w:val="24"/>
          <w:u w:val="single"/>
        </w:rPr>
      </w:pPr>
      <w:r>
        <w:rPr>
          <w:rFonts w:hint="eastAsia" w:ascii="宋体" w:hAnsi="宋体" w:eastAsia="宋体" w:cs="宋体"/>
          <w:kern w:val="0"/>
          <w:sz w:val="24"/>
          <w:szCs w:val="24"/>
          <w:highlight w:val="white"/>
        </w:rPr>
        <w:t>1.1.3.9 永久占地包括：</w:t>
      </w:r>
      <w:r>
        <w:rPr>
          <w:rFonts w:hint="eastAsia" w:ascii="宋体" w:hAnsi="宋体" w:eastAsia="宋体" w:cs="宋体"/>
          <w:kern w:val="0"/>
          <w:sz w:val="24"/>
          <w:szCs w:val="24"/>
          <w:u w:val="single"/>
        </w:rPr>
        <w:t xml:space="preserve">         /              </w:t>
      </w:r>
      <w:r>
        <w:rPr>
          <w:rFonts w:hint="eastAsia" w:ascii="宋体" w:hAnsi="宋体" w:eastAsia="宋体" w:cs="宋体"/>
          <w:kern w:val="0"/>
          <w:sz w:val="24"/>
          <w:szCs w:val="24"/>
        </w:rPr>
        <w:t>。</w:t>
      </w:r>
    </w:p>
    <w:p w14:paraId="312E6015">
      <w:pPr>
        <w:spacing w:line="360" w:lineRule="auto"/>
        <w:ind w:firstLine="480" w:firstLineChars="200"/>
        <w:rPr>
          <w:rFonts w:hint="eastAsia" w:ascii="宋体" w:hAnsi="宋体" w:eastAsia="宋体" w:cs="宋体"/>
          <w:kern w:val="0"/>
          <w:sz w:val="24"/>
          <w:szCs w:val="24"/>
          <w:u w:val="single"/>
        </w:rPr>
      </w:pPr>
      <w:bookmarkStart w:id="262" w:name="EB7cea897f406d40a8b13abe25195a8067"/>
      <w:bookmarkEnd w:id="262"/>
      <w:r>
        <w:rPr>
          <w:rFonts w:hint="eastAsia" w:ascii="宋体" w:hAnsi="宋体" w:eastAsia="宋体" w:cs="宋体"/>
          <w:kern w:val="0"/>
          <w:sz w:val="24"/>
          <w:szCs w:val="24"/>
          <w:highlight w:val="white"/>
        </w:rPr>
        <w:t>1.1.3.10 临时占地包括：</w:t>
      </w:r>
      <w:r>
        <w:rPr>
          <w:rFonts w:hint="eastAsia" w:ascii="宋体" w:hAnsi="宋体" w:eastAsia="宋体" w:cs="宋体"/>
          <w:kern w:val="0"/>
          <w:sz w:val="24"/>
          <w:szCs w:val="24"/>
          <w:u w:val="single"/>
        </w:rPr>
        <w:t xml:space="preserve">           /           </w:t>
      </w:r>
      <w:r>
        <w:rPr>
          <w:rFonts w:hint="eastAsia" w:ascii="宋体" w:hAnsi="宋体" w:eastAsia="宋体" w:cs="宋体"/>
          <w:kern w:val="0"/>
          <w:sz w:val="24"/>
          <w:szCs w:val="24"/>
        </w:rPr>
        <w:t>。</w:t>
      </w:r>
    </w:p>
    <w:p w14:paraId="748B2A7F">
      <w:pPr>
        <w:spacing w:after="0" w:line="360" w:lineRule="auto"/>
        <w:ind w:firstLine="480" w:firstLineChars="200"/>
        <w:outlineLvl w:val="9"/>
        <w:rPr>
          <w:rFonts w:hint="eastAsia" w:ascii="宋体" w:hAnsi="宋体" w:eastAsia="宋体" w:cs="宋体"/>
          <w:sz w:val="24"/>
          <w:szCs w:val="24"/>
        </w:rPr>
      </w:pPr>
      <w:bookmarkStart w:id="263" w:name="EBe8e62205791242f8a17babb2bdbb8631"/>
      <w:bookmarkEnd w:id="263"/>
      <w:r>
        <w:rPr>
          <w:rFonts w:hint="eastAsia" w:ascii="宋体" w:hAnsi="宋体" w:eastAsia="宋体" w:cs="宋体"/>
          <w:sz w:val="24"/>
          <w:szCs w:val="24"/>
          <w:highlight w:val="white"/>
        </w:rPr>
        <w:t xml:space="preserve">1.3法律 </w:t>
      </w:r>
    </w:p>
    <w:p w14:paraId="43A52B90">
      <w:pPr>
        <w:autoSpaceDE w:val="0"/>
        <w:autoSpaceDN w:val="0"/>
        <w:adjustRightIn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适用于合同的其他规范性文件：</w:t>
      </w:r>
    </w:p>
    <w:p w14:paraId="1B0D87FA">
      <w:pPr>
        <w:autoSpaceDE w:val="0"/>
        <w:autoSpaceDN w:val="0"/>
        <w:adjustRightInd w:val="0"/>
        <w:spacing w:line="360" w:lineRule="auto"/>
        <w:ind w:firstLine="480" w:firstLineChars="200"/>
        <w:rPr>
          <w:rFonts w:hint="eastAsia" w:ascii="宋体" w:hAnsi="宋体" w:eastAsia="宋体" w:cs="宋体"/>
          <w:sz w:val="24"/>
          <w:szCs w:val="24"/>
        </w:rPr>
      </w:pPr>
      <w:bookmarkStart w:id="264" w:name="EB77d2e2b0ca6f45c7a93f33105f3add4a"/>
      <w:r>
        <w:rPr>
          <w:rFonts w:hint="eastAsia" w:ascii="宋体" w:hAnsi="宋体" w:eastAsia="宋体" w:cs="宋体"/>
          <w:sz w:val="24"/>
          <w:szCs w:val="24"/>
          <w:highlight w:val="white"/>
        </w:rPr>
        <w:t>《中华人民共和国</w:t>
      </w:r>
      <w:r>
        <w:rPr>
          <w:rFonts w:hint="eastAsia" w:ascii="宋体" w:hAnsi="宋体" w:eastAsia="宋体" w:cs="宋体"/>
          <w:sz w:val="24"/>
          <w:szCs w:val="24"/>
          <w:highlight w:val="white"/>
          <w:lang w:val="en-US" w:eastAsia="zh-CN"/>
        </w:rPr>
        <w:t>民法典</w:t>
      </w:r>
      <w:r>
        <w:rPr>
          <w:rFonts w:hint="eastAsia" w:ascii="宋体" w:hAnsi="宋体" w:eastAsia="宋体" w:cs="宋体"/>
          <w:sz w:val="24"/>
          <w:szCs w:val="24"/>
          <w:highlight w:val="white"/>
        </w:rPr>
        <w:t>》、《中华人民共和国建筑法》、《建设工程质量管理条例》、《建设工程安全生产管理条例》《江苏省建筑市场管理条例》、《江苏省住宅质量通病防治导则》、《江苏省房屋建筑和市政基础设施工程质量监督管理办法》、《句容市建设工程扬尘防控管理办法》等。现行的国家和地方有关法律、行政法规、规章、规范性文件等中，有关发包人不作为默示承认之规定对本合同不适用。</w:t>
      </w:r>
    </w:p>
    <w:bookmarkEnd w:id="264"/>
    <w:p w14:paraId="3742F76D">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1.4 标准和规范</w:t>
      </w:r>
    </w:p>
    <w:p w14:paraId="6F0B225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1.4.1  适用于工程的标准规范包括：</w:t>
      </w:r>
    </w:p>
    <w:p w14:paraId="4A76BE7F">
      <w:pPr>
        <w:spacing w:line="360" w:lineRule="auto"/>
        <w:ind w:firstLine="480" w:firstLineChars="200"/>
        <w:rPr>
          <w:rFonts w:hint="eastAsia" w:ascii="宋体" w:hAnsi="宋体" w:eastAsia="宋体" w:cs="宋体"/>
          <w:sz w:val="24"/>
          <w:szCs w:val="24"/>
        </w:rPr>
      </w:pPr>
      <w:bookmarkStart w:id="265" w:name="EBa87cc2b3da1b4d5f9c798ae74bbbdc8e"/>
      <w:r>
        <w:rPr>
          <w:rFonts w:hint="eastAsia" w:ascii="宋体" w:hAnsi="宋体" w:eastAsia="宋体" w:cs="宋体"/>
          <w:sz w:val="24"/>
          <w:szCs w:val="24"/>
          <w:highlight w:val="white"/>
        </w:rPr>
        <w:t>（1）按承包人提供的施工方案说明和国家相关建设工程的标准，即建设工程各部分的施工及验收规范（GB、GBJ）、检验评定标准（GBJ）。</w:t>
      </w:r>
    </w:p>
    <w:p w14:paraId="1AC72A9A">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设计规范（DBJ）；国家行业标准，即各类技术规范（JGJ）（JC）；江苏省标准，即技术规范（DBJ）、涉及规范（DGJ）;建筑工业行业标准（JG/T）；建设部令，江苏省、镇江市建设主管部门的相关规定及涉及施工图文件。</w:t>
      </w:r>
    </w:p>
    <w:p w14:paraId="0DDEA91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（3）承包人负责以上各类标准、规范的准备，费用由其承担。</w:t>
      </w:r>
    </w:p>
    <w:p w14:paraId="4EE24BB8">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当标准、规范规定的要求不一致时，应以较严的标准、规范为准。标准、规范文件中有关发包人不作为默示承认之规定对本合同不适用。</w:t>
      </w:r>
      <w:bookmarkEnd w:id="265"/>
    </w:p>
    <w:p w14:paraId="27788AE0">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1.4.2  发包人提供国外标准、规范的名称：</w:t>
      </w:r>
      <w:bookmarkStart w:id="266" w:name="EB5c71151f494c484a8ede35e72ce07128"/>
      <w:bookmarkEnd w:id="266"/>
      <w:r>
        <w:rPr>
          <w:rFonts w:hint="eastAsia" w:ascii="宋体" w:hAnsi="宋体" w:eastAsia="宋体" w:cs="宋体"/>
          <w:kern w:val="0"/>
          <w:sz w:val="24"/>
          <w:szCs w:val="24"/>
          <w:highlight w:val="white"/>
          <w:u w:val="single"/>
        </w:rPr>
        <w:t xml:space="preserve"> / </w:t>
      </w:r>
      <w:r>
        <w:rPr>
          <w:rFonts w:hint="eastAsia" w:ascii="宋体" w:hAnsi="宋体" w:eastAsia="宋体" w:cs="宋体"/>
          <w:kern w:val="0"/>
          <w:sz w:val="24"/>
          <w:szCs w:val="24"/>
          <w:highlight w:val="white"/>
        </w:rPr>
        <w:t>；</w:t>
      </w:r>
    </w:p>
    <w:p w14:paraId="68FE0254">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发包人提供国外标准、规范的份数：</w:t>
      </w:r>
      <w:bookmarkStart w:id="267" w:name="EB3d2b790144664836bd42b02209fb5e64"/>
      <w:bookmarkEnd w:id="267"/>
      <w:r>
        <w:rPr>
          <w:rFonts w:hint="eastAsia" w:ascii="宋体" w:hAnsi="宋体" w:eastAsia="宋体" w:cs="宋体"/>
          <w:kern w:val="0"/>
          <w:sz w:val="24"/>
          <w:szCs w:val="24"/>
          <w:highlight w:val="white"/>
          <w:u w:val="single"/>
        </w:rPr>
        <w:t xml:space="preserve">/   </w:t>
      </w:r>
      <w:r>
        <w:rPr>
          <w:rFonts w:hint="eastAsia" w:ascii="宋体" w:hAnsi="宋体" w:eastAsia="宋体" w:cs="宋体"/>
          <w:kern w:val="0"/>
          <w:sz w:val="24"/>
          <w:szCs w:val="24"/>
          <w:highlight w:val="white"/>
        </w:rPr>
        <w:t>；</w:t>
      </w:r>
    </w:p>
    <w:p w14:paraId="7024F9E8">
      <w:pPr>
        <w:spacing w:line="360" w:lineRule="auto"/>
        <w:ind w:firstLine="480" w:firstLineChars="200"/>
        <w:rPr>
          <w:rFonts w:hint="eastAsia" w:ascii="宋体" w:hAnsi="宋体" w:eastAsia="宋体" w:cs="宋体"/>
          <w:sz w:val="24"/>
          <w:szCs w:val="24"/>
        </w:rPr>
      </w:pPr>
      <w:r>
        <w:rPr>
          <w:rFonts w:hint="eastAsia" w:ascii="宋体" w:hAnsi="宋体" w:eastAsia="宋体" w:cs="宋体"/>
          <w:kern w:val="0"/>
          <w:sz w:val="24"/>
          <w:szCs w:val="24"/>
          <w:highlight w:val="white"/>
        </w:rPr>
        <w:t>发包人提供国外标准、规范的名称：</w:t>
      </w:r>
      <w:bookmarkStart w:id="268" w:name="EBca9f7cc82ef644d5832a7c9a6f279d17"/>
      <w:bookmarkEnd w:id="268"/>
      <w:r>
        <w:rPr>
          <w:rFonts w:hint="eastAsia" w:ascii="宋体" w:hAnsi="宋体" w:eastAsia="宋体" w:cs="宋体"/>
          <w:kern w:val="0"/>
          <w:sz w:val="24"/>
          <w:szCs w:val="24"/>
          <w:highlight w:val="white"/>
          <w:u w:val="single"/>
        </w:rPr>
        <w:t xml:space="preserve">/   </w:t>
      </w:r>
      <w:r>
        <w:rPr>
          <w:rFonts w:hint="eastAsia" w:ascii="宋体" w:hAnsi="宋体" w:eastAsia="宋体" w:cs="宋体"/>
          <w:kern w:val="0"/>
          <w:sz w:val="24"/>
          <w:szCs w:val="24"/>
          <w:highlight w:val="white"/>
        </w:rPr>
        <w:t>。</w:t>
      </w:r>
    </w:p>
    <w:p w14:paraId="0820B2F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1.4.3  发包人对工程的技术标准和功能要求的特殊要求：</w:t>
      </w:r>
      <w:bookmarkStart w:id="269" w:name="EBdff34f9a125742a996731bb32b8bc6eb"/>
      <w:bookmarkEnd w:id="269"/>
      <w:r>
        <w:rPr>
          <w:rFonts w:hint="eastAsia" w:ascii="宋体" w:hAnsi="宋体" w:eastAsia="宋体" w:cs="宋体"/>
          <w:sz w:val="24"/>
          <w:szCs w:val="24"/>
          <w:u w:val="single"/>
        </w:rPr>
        <w:t xml:space="preserve">/  </w:t>
      </w:r>
      <w:r>
        <w:rPr>
          <w:rFonts w:hint="eastAsia" w:ascii="宋体" w:hAnsi="宋体" w:eastAsia="宋体" w:cs="宋体"/>
          <w:sz w:val="24"/>
          <w:szCs w:val="24"/>
          <w:highlight w:val="white"/>
        </w:rPr>
        <w:t>。</w:t>
      </w:r>
    </w:p>
    <w:p w14:paraId="211EE58E">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1.5 合同文件的优先顺序</w:t>
      </w:r>
    </w:p>
    <w:p w14:paraId="7AAC0B6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合同文件组成及优先顺序为：</w:t>
      </w:r>
      <w:bookmarkStart w:id="270" w:name="EB3cba480e09e745a0a0d82e04826771f9"/>
      <w:r>
        <w:rPr>
          <w:rFonts w:hint="eastAsia" w:ascii="宋体" w:hAnsi="宋体" w:eastAsia="宋体" w:cs="宋体"/>
          <w:sz w:val="24"/>
          <w:szCs w:val="24"/>
          <w:highlight w:val="white"/>
          <w:u w:val="single"/>
        </w:rPr>
        <w:t>执行通用条款</w:t>
      </w:r>
      <w:bookmarkEnd w:id="270"/>
      <w:r>
        <w:rPr>
          <w:rFonts w:hint="eastAsia" w:ascii="宋体" w:hAnsi="宋体" w:eastAsia="宋体" w:cs="宋体"/>
          <w:sz w:val="24"/>
          <w:szCs w:val="24"/>
          <w:highlight w:val="white"/>
          <w:u w:val="single"/>
        </w:rPr>
        <w:t>。</w:t>
      </w:r>
    </w:p>
    <w:p w14:paraId="333A0F72">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1.6 图纸和承包人文件</w:t>
      </w:r>
      <w:r>
        <w:rPr>
          <w:rFonts w:hint="eastAsia" w:ascii="宋体" w:hAnsi="宋体" w:eastAsia="宋体" w:cs="宋体"/>
          <w:sz w:val="24"/>
          <w:szCs w:val="24"/>
          <w:highlight w:val="white"/>
        </w:rPr>
        <w:tab/>
      </w:r>
    </w:p>
    <w:p w14:paraId="205FC02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1.6.1 图纸的提供</w:t>
      </w:r>
    </w:p>
    <w:p w14:paraId="74CFC3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发包人向承包人提供图纸的期限：</w:t>
      </w:r>
      <w:bookmarkStart w:id="271" w:name="EBc44507fe32484ee7b79344e0512362e2"/>
      <w:r>
        <w:rPr>
          <w:rFonts w:hint="eastAsia" w:ascii="宋体" w:hAnsi="宋体" w:eastAsia="宋体" w:cs="宋体"/>
          <w:sz w:val="24"/>
          <w:szCs w:val="24"/>
          <w:highlight w:val="white"/>
          <w:u w:val="single"/>
        </w:rPr>
        <w:t>正式开工前 14 天</w:t>
      </w:r>
      <w:bookmarkEnd w:id="271"/>
      <w:r>
        <w:rPr>
          <w:rFonts w:hint="eastAsia" w:ascii="宋体" w:hAnsi="宋体" w:eastAsia="宋体" w:cs="宋体"/>
          <w:sz w:val="24"/>
          <w:szCs w:val="24"/>
          <w:highlight w:val="white"/>
          <w:u w:val="single"/>
        </w:rPr>
        <w:t>；</w:t>
      </w:r>
    </w:p>
    <w:p w14:paraId="788F31E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发包人向承包人提供图纸的数量：</w:t>
      </w:r>
      <w:bookmarkStart w:id="272" w:name="EBa0944f81754f4a9f86037cb5db47a0c2"/>
      <w:r>
        <w:rPr>
          <w:rFonts w:hint="eastAsia" w:ascii="宋体" w:hAnsi="宋体" w:eastAsia="宋体" w:cs="宋体"/>
          <w:sz w:val="24"/>
          <w:szCs w:val="24"/>
          <w:highlight w:val="white"/>
          <w:u w:val="single"/>
        </w:rPr>
        <w:t>贰套</w:t>
      </w:r>
      <w:bookmarkEnd w:id="272"/>
      <w:r>
        <w:rPr>
          <w:rFonts w:hint="eastAsia" w:ascii="宋体" w:hAnsi="宋体" w:eastAsia="宋体" w:cs="宋体"/>
          <w:sz w:val="24"/>
          <w:szCs w:val="24"/>
          <w:highlight w:val="white"/>
        </w:rPr>
        <w:t>；</w:t>
      </w:r>
    </w:p>
    <w:p w14:paraId="259910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发包人向承包人提供图纸的内容：</w:t>
      </w:r>
      <w:r>
        <w:rPr>
          <w:rFonts w:hint="eastAsia" w:ascii="宋体" w:hAnsi="宋体" w:eastAsia="宋体" w:cs="宋体"/>
          <w:sz w:val="24"/>
          <w:szCs w:val="24"/>
          <w:highlight w:val="white"/>
          <w:u w:val="single"/>
        </w:rPr>
        <w:t>全套施工图</w:t>
      </w:r>
      <w:r>
        <w:rPr>
          <w:rFonts w:hint="eastAsia" w:ascii="宋体" w:hAnsi="宋体" w:eastAsia="宋体" w:cs="宋体"/>
          <w:sz w:val="24"/>
          <w:szCs w:val="24"/>
          <w:highlight w:val="white"/>
        </w:rPr>
        <w:t>；</w:t>
      </w:r>
    </w:p>
    <w:p w14:paraId="2D0BB7D7">
      <w:pPr>
        <w:spacing w:line="360" w:lineRule="auto"/>
        <w:ind w:firstLine="480" w:firstLineChars="200"/>
        <w:rPr>
          <w:rFonts w:hint="eastAsia" w:ascii="宋体" w:hAnsi="宋体" w:eastAsia="宋体" w:cs="宋体"/>
          <w:sz w:val="24"/>
          <w:szCs w:val="24"/>
        </w:rPr>
      </w:pPr>
      <w:bookmarkStart w:id="273" w:name="EBe1c428c18d5a48af97d690dd89954bae"/>
      <w:r>
        <w:rPr>
          <w:rFonts w:hint="eastAsia" w:ascii="宋体" w:hAnsi="宋体" w:eastAsia="宋体" w:cs="宋体"/>
          <w:sz w:val="24"/>
          <w:szCs w:val="24"/>
          <w:highlight w:val="white"/>
        </w:rPr>
        <w:t>工程量清单上的全部内容</w:t>
      </w:r>
      <w:bookmarkEnd w:id="273"/>
      <w:r>
        <w:rPr>
          <w:rFonts w:hint="eastAsia" w:ascii="宋体" w:hAnsi="宋体" w:eastAsia="宋体" w:cs="宋体"/>
          <w:sz w:val="24"/>
          <w:szCs w:val="24"/>
          <w:highlight w:val="white"/>
        </w:rPr>
        <w:t>。</w:t>
      </w:r>
    </w:p>
    <w:p w14:paraId="5317EB3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1.6.4 承包人文件</w:t>
      </w:r>
    </w:p>
    <w:p w14:paraId="2192240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需要由承包人提供的文件，包括：</w:t>
      </w:r>
      <w:r>
        <w:rPr>
          <w:rFonts w:hint="eastAsia" w:ascii="宋体" w:hAnsi="宋体" w:eastAsia="宋体" w:cs="宋体"/>
          <w:bCs/>
          <w:sz w:val="24"/>
          <w:szCs w:val="24"/>
          <w:highlight w:val="white"/>
          <w:u w:val="single"/>
        </w:rPr>
        <w:t>投标技术标、投标商务标（含电子档），及发包人认为需提供的本项目相关的资料</w:t>
      </w:r>
      <w:r>
        <w:rPr>
          <w:rFonts w:hint="eastAsia" w:ascii="宋体" w:hAnsi="宋体" w:eastAsia="宋体" w:cs="宋体"/>
          <w:sz w:val="24"/>
          <w:szCs w:val="24"/>
          <w:highlight w:val="white"/>
        </w:rPr>
        <w:t>；</w:t>
      </w:r>
    </w:p>
    <w:p w14:paraId="4899E4A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承包人提供的文件的期限为：</w:t>
      </w:r>
      <w:r>
        <w:rPr>
          <w:rFonts w:hint="eastAsia" w:ascii="宋体" w:hAnsi="宋体" w:eastAsia="宋体" w:cs="宋体"/>
          <w:bCs/>
          <w:sz w:val="24"/>
          <w:szCs w:val="24"/>
          <w:highlight w:val="white"/>
          <w:u w:val="single"/>
        </w:rPr>
        <w:t>发包人通知后14日内</w:t>
      </w:r>
      <w:r>
        <w:rPr>
          <w:rFonts w:hint="eastAsia" w:ascii="宋体" w:hAnsi="宋体" w:eastAsia="宋体" w:cs="宋体"/>
          <w:sz w:val="24"/>
          <w:szCs w:val="24"/>
          <w:highlight w:val="white"/>
        </w:rPr>
        <w:t>；</w:t>
      </w:r>
    </w:p>
    <w:p w14:paraId="15B4895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承包人提供的文件的数量为：</w:t>
      </w:r>
      <w:r>
        <w:rPr>
          <w:rFonts w:hint="eastAsia" w:ascii="宋体" w:hAnsi="宋体" w:eastAsia="宋体" w:cs="宋体"/>
          <w:bCs/>
          <w:sz w:val="24"/>
          <w:szCs w:val="24"/>
          <w:highlight w:val="white"/>
          <w:u w:val="single"/>
        </w:rPr>
        <w:t>以发包人通知要求为准</w:t>
      </w:r>
      <w:r>
        <w:rPr>
          <w:rFonts w:hint="eastAsia" w:ascii="宋体" w:hAnsi="宋体" w:eastAsia="宋体" w:cs="宋体"/>
          <w:sz w:val="24"/>
          <w:szCs w:val="24"/>
          <w:highlight w:val="white"/>
        </w:rPr>
        <w:t>；</w:t>
      </w:r>
    </w:p>
    <w:p w14:paraId="2A1BC7F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承包人提供的文件的形式为：</w:t>
      </w:r>
      <w:bookmarkStart w:id="274" w:name="EBd9eb8dbbfe52422289cc8396bb051631"/>
      <w:r>
        <w:rPr>
          <w:rFonts w:hint="eastAsia" w:ascii="宋体" w:hAnsi="宋体" w:eastAsia="宋体" w:cs="宋体"/>
          <w:sz w:val="24"/>
          <w:szCs w:val="24"/>
          <w:highlight w:val="white"/>
          <w:u w:val="single"/>
        </w:rPr>
        <w:t>书面</w:t>
      </w:r>
      <w:bookmarkEnd w:id="274"/>
      <w:r>
        <w:rPr>
          <w:rFonts w:hint="eastAsia" w:ascii="宋体" w:hAnsi="宋体" w:eastAsia="宋体" w:cs="宋体"/>
          <w:sz w:val="24"/>
          <w:szCs w:val="24"/>
          <w:highlight w:val="white"/>
        </w:rPr>
        <w:t>；</w:t>
      </w:r>
    </w:p>
    <w:p w14:paraId="22C3A8D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发包人审批承包人文件的期限：</w:t>
      </w:r>
      <w:r>
        <w:rPr>
          <w:rFonts w:hint="eastAsia" w:ascii="宋体" w:hAnsi="宋体" w:eastAsia="宋体" w:cs="宋体"/>
          <w:bCs/>
          <w:sz w:val="24"/>
          <w:szCs w:val="24"/>
          <w:highlight w:val="white"/>
          <w:u w:val="single"/>
        </w:rPr>
        <w:t>以发包人通知要求为准</w:t>
      </w:r>
      <w:r>
        <w:rPr>
          <w:rFonts w:hint="eastAsia" w:ascii="宋体" w:hAnsi="宋体" w:eastAsia="宋体" w:cs="宋体"/>
          <w:sz w:val="24"/>
          <w:szCs w:val="24"/>
          <w:highlight w:val="white"/>
        </w:rPr>
        <w:t>。</w:t>
      </w:r>
    </w:p>
    <w:p w14:paraId="6601BE0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1.6.5 现场图纸准备</w:t>
      </w:r>
    </w:p>
    <w:p w14:paraId="6DBFB23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关于现场图纸准备的约定：</w:t>
      </w:r>
    </w:p>
    <w:p w14:paraId="2A2C65ED">
      <w:pPr>
        <w:spacing w:line="360" w:lineRule="auto"/>
        <w:ind w:firstLine="480" w:firstLineChars="200"/>
        <w:rPr>
          <w:rFonts w:hint="eastAsia" w:ascii="宋体" w:hAnsi="宋体" w:eastAsia="宋体" w:cs="宋体"/>
          <w:bCs/>
          <w:sz w:val="24"/>
          <w:szCs w:val="24"/>
        </w:rPr>
      </w:pPr>
      <w:bookmarkStart w:id="275" w:name="EBbf557716c9b44308b1144e586dea3e44"/>
      <w:r>
        <w:rPr>
          <w:rFonts w:hint="eastAsia" w:ascii="宋体" w:hAnsi="宋体" w:eastAsia="宋体" w:cs="宋体"/>
          <w:bCs/>
          <w:sz w:val="24"/>
          <w:szCs w:val="24"/>
          <w:highlight w:val="white"/>
          <w:u w:val="single"/>
        </w:rPr>
        <w:t>开工前发包人提供完整施工图给承包人</w:t>
      </w:r>
      <w:bookmarkEnd w:id="275"/>
      <w:r>
        <w:rPr>
          <w:rFonts w:hint="eastAsia" w:ascii="宋体" w:hAnsi="宋体" w:eastAsia="宋体" w:cs="宋体"/>
          <w:bCs/>
          <w:sz w:val="24"/>
          <w:szCs w:val="24"/>
          <w:u w:val="single"/>
        </w:rPr>
        <w:t xml:space="preserve"> </w:t>
      </w:r>
      <w:r>
        <w:rPr>
          <w:rFonts w:hint="eastAsia" w:ascii="宋体" w:hAnsi="宋体" w:eastAsia="宋体" w:cs="宋体"/>
          <w:bCs/>
          <w:sz w:val="24"/>
          <w:szCs w:val="24"/>
        </w:rPr>
        <w:t>。</w:t>
      </w:r>
    </w:p>
    <w:p w14:paraId="1127F274">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1.7 联络</w:t>
      </w:r>
    </w:p>
    <w:p w14:paraId="2546221E">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1.7.1发包人和承包人</w:t>
      </w:r>
      <w:r>
        <w:rPr>
          <w:rFonts w:hint="eastAsia" w:ascii="宋体" w:hAnsi="宋体" w:eastAsia="宋体" w:cs="宋体"/>
          <w:kern w:val="0"/>
          <w:sz w:val="24"/>
          <w:szCs w:val="24"/>
          <w:highlight w:val="white"/>
          <w:u w:val="single"/>
        </w:rPr>
        <w:t>应当在7天内将</w:t>
      </w:r>
      <w:r>
        <w:rPr>
          <w:rFonts w:hint="eastAsia" w:ascii="宋体" w:hAnsi="宋体" w:eastAsia="宋体" w:cs="宋体"/>
          <w:kern w:val="0"/>
          <w:sz w:val="24"/>
          <w:szCs w:val="24"/>
          <w:highlight w:val="white"/>
        </w:rPr>
        <w:t>与合同有关的通知、批准、证明、证书、指示、指令、要求、请求、同意、意见、确定和决定等书面函件送达对方当事人。</w:t>
      </w:r>
    </w:p>
    <w:p w14:paraId="5F17920C">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1.7.2 发包人接收文件的地点：</w:t>
      </w:r>
      <w:bookmarkStart w:id="276" w:name="EB21cea7136c9b4ae9afbc38c79fb882f2"/>
      <w:bookmarkEnd w:id="276"/>
      <w:r>
        <w:rPr>
          <w:rFonts w:hint="eastAsia" w:ascii="宋体" w:hAnsi="宋体" w:eastAsia="宋体" w:cs="宋体"/>
          <w:kern w:val="0"/>
          <w:sz w:val="24"/>
          <w:szCs w:val="24"/>
          <w:u w:val="single"/>
        </w:rPr>
        <w:t xml:space="preserve">       项目部           </w:t>
      </w:r>
      <w:r>
        <w:rPr>
          <w:rFonts w:hint="eastAsia" w:ascii="宋体" w:hAnsi="宋体" w:eastAsia="宋体" w:cs="宋体"/>
          <w:kern w:val="0"/>
          <w:sz w:val="24"/>
          <w:szCs w:val="24"/>
          <w:highlight w:val="white"/>
        </w:rPr>
        <w:t>；</w:t>
      </w:r>
    </w:p>
    <w:p w14:paraId="2C8DDD04">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发包人指定的接收</w:t>
      </w:r>
      <w:r>
        <w:rPr>
          <w:rFonts w:hint="eastAsia" w:ascii="宋体" w:hAnsi="宋体" w:eastAsia="宋体" w:cs="宋体"/>
          <w:color w:val="auto"/>
          <w:kern w:val="0"/>
          <w:sz w:val="24"/>
          <w:szCs w:val="24"/>
          <w:highlight w:val="white"/>
        </w:rPr>
        <w:t>人为：</w:t>
      </w:r>
      <w:bookmarkStart w:id="277" w:name="EBcbfa4c338f8647e8b0491ad118664a9b"/>
      <w:bookmarkEnd w:id="277"/>
      <w:r>
        <w:rPr>
          <w:rFonts w:hint="eastAsia" w:ascii="宋体" w:hAnsi="宋体" w:eastAsia="宋体" w:cs="宋体"/>
          <w:color w:val="auto"/>
          <w:kern w:val="0"/>
          <w:sz w:val="24"/>
          <w:szCs w:val="24"/>
          <w:u w:val="single"/>
        </w:rPr>
        <w:t xml:space="preserve">      刘峰      </w:t>
      </w:r>
      <w:r>
        <w:rPr>
          <w:rFonts w:hint="eastAsia" w:ascii="宋体" w:hAnsi="宋体" w:eastAsia="宋体" w:cs="宋体"/>
          <w:color w:val="auto"/>
          <w:kern w:val="0"/>
          <w:sz w:val="24"/>
          <w:szCs w:val="24"/>
          <w:highlight w:val="white"/>
        </w:rPr>
        <w:t>。</w:t>
      </w:r>
    </w:p>
    <w:p w14:paraId="4A26DA62">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承包人接收文件的地点：</w:t>
      </w:r>
      <w:bookmarkStart w:id="278" w:name="EB9a25ab8bfa3f4e6faca37476ece7e313"/>
      <w:bookmarkEnd w:id="278"/>
      <w:r>
        <w:rPr>
          <w:rFonts w:hint="eastAsia" w:ascii="宋体" w:hAnsi="宋体" w:eastAsia="宋体" w:cs="宋体"/>
          <w:kern w:val="0"/>
          <w:sz w:val="24"/>
          <w:szCs w:val="24"/>
          <w:u w:val="single"/>
        </w:rPr>
        <w:t xml:space="preserve">           /            </w:t>
      </w:r>
      <w:r>
        <w:rPr>
          <w:rFonts w:hint="eastAsia" w:ascii="宋体" w:hAnsi="宋体" w:eastAsia="宋体" w:cs="宋体"/>
          <w:kern w:val="0"/>
          <w:sz w:val="24"/>
          <w:szCs w:val="24"/>
          <w:highlight w:val="white"/>
        </w:rPr>
        <w:t>；</w:t>
      </w:r>
    </w:p>
    <w:p w14:paraId="2FBA206C">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承包人指定的接收人为：</w:t>
      </w:r>
      <w:bookmarkStart w:id="279" w:name="EB1c3d7b7125d24ea191df4decc46a3449"/>
      <w:bookmarkEnd w:id="279"/>
      <w:r>
        <w:rPr>
          <w:rFonts w:hint="eastAsia" w:ascii="宋体" w:hAnsi="宋体" w:eastAsia="宋体" w:cs="宋体"/>
          <w:kern w:val="0"/>
          <w:sz w:val="24"/>
          <w:szCs w:val="24"/>
          <w:u w:val="single"/>
        </w:rPr>
        <w:t xml:space="preserve">           /            </w:t>
      </w:r>
      <w:r>
        <w:rPr>
          <w:rFonts w:hint="eastAsia" w:ascii="宋体" w:hAnsi="宋体" w:eastAsia="宋体" w:cs="宋体"/>
          <w:kern w:val="0"/>
          <w:sz w:val="24"/>
          <w:szCs w:val="24"/>
          <w:highlight w:val="white"/>
        </w:rPr>
        <w:t>。</w:t>
      </w:r>
    </w:p>
    <w:p w14:paraId="13D37FEC">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监理人接收文件的地点：</w:t>
      </w:r>
      <w:bookmarkStart w:id="280" w:name="EB9cb78c6b46a24c58b1777bbba2de93bc"/>
      <w:bookmarkEnd w:id="280"/>
      <w:r>
        <w:rPr>
          <w:rFonts w:hint="eastAsia" w:ascii="宋体" w:hAnsi="宋体" w:eastAsia="宋体" w:cs="宋体"/>
          <w:kern w:val="0"/>
          <w:sz w:val="24"/>
          <w:szCs w:val="24"/>
          <w:u w:val="single"/>
        </w:rPr>
        <w:t xml:space="preserve">           /            </w:t>
      </w:r>
      <w:r>
        <w:rPr>
          <w:rFonts w:hint="eastAsia" w:ascii="宋体" w:hAnsi="宋体" w:eastAsia="宋体" w:cs="宋体"/>
          <w:kern w:val="0"/>
          <w:sz w:val="24"/>
          <w:szCs w:val="24"/>
          <w:highlight w:val="white"/>
        </w:rPr>
        <w:t>；</w:t>
      </w:r>
    </w:p>
    <w:p w14:paraId="2A46B216">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监理人指定的接收人为：</w:t>
      </w:r>
      <w:bookmarkStart w:id="281" w:name="EB72e7ae2e14b847edae4d957deec3b809"/>
      <w:bookmarkEnd w:id="281"/>
      <w:r>
        <w:rPr>
          <w:rFonts w:hint="eastAsia" w:ascii="宋体" w:hAnsi="宋体" w:eastAsia="宋体" w:cs="宋体"/>
          <w:kern w:val="0"/>
          <w:sz w:val="24"/>
          <w:szCs w:val="24"/>
          <w:u w:val="single"/>
        </w:rPr>
        <w:t xml:space="preserve">          /             </w:t>
      </w:r>
      <w:r>
        <w:rPr>
          <w:rFonts w:hint="eastAsia" w:ascii="宋体" w:hAnsi="宋体" w:eastAsia="宋体" w:cs="宋体"/>
          <w:kern w:val="0"/>
          <w:sz w:val="24"/>
          <w:szCs w:val="24"/>
          <w:highlight w:val="white"/>
        </w:rPr>
        <w:t>。</w:t>
      </w:r>
    </w:p>
    <w:p w14:paraId="31A3C22D">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1.10 交通运输</w:t>
      </w:r>
    </w:p>
    <w:p w14:paraId="44EFEC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1.10.1 出入现场的权利</w:t>
      </w:r>
    </w:p>
    <w:p w14:paraId="6CE10EB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关于出入现场的权利的约定：</w:t>
      </w:r>
    </w:p>
    <w:p w14:paraId="39493422">
      <w:pPr>
        <w:spacing w:line="360" w:lineRule="auto"/>
        <w:ind w:firstLine="480" w:firstLineChars="200"/>
        <w:rPr>
          <w:rFonts w:hint="eastAsia" w:ascii="宋体" w:hAnsi="宋体" w:eastAsia="宋体" w:cs="宋体"/>
          <w:sz w:val="24"/>
          <w:szCs w:val="24"/>
        </w:rPr>
      </w:pPr>
      <w:bookmarkStart w:id="282" w:name="EBfe401d2fa1794a04a7c0fb1bc2803d57"/>
      <w:r>
        <w:rPr>
          <w:rFonts w:hint="eastAsia" w:ascii="宋体" w:hAnsi="宋体" w:eastAsia="宋体" w:cs="宋体"/>
          <w:sz w:val="24"/>
          <w:szCs w:val="24"/>
          <w:highlight w:val="white"/>
        </w:rPr>
        <w:t>关于出入现场的权利的约定：在施工现场之进出口，承包人须提供、安排指示牌、警告告示、灯号及所需之交通指导员等。承包人须负责保持道路畅通、使用一切安全措施以保障行人及车辆安全地使用道路，并承担因其失职而引起之所有赔偿。</w:t>
      </w:r>
    </w:p>
    <w:p w14:paraId="391D187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承包人须遵从公安局及其他政府部门关于道路的使用、车辆的停泊、容许的时间等条件及限制，并提交所需的申请及负责有关费用。</w:t>
      </w:r>
    </w:p>
    <w:p w14:paraId="3EFDEAE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承包人须自行自费安排及协调一切交通、运输及保护事宜。</w:t>
      </w:r>
    </w:p>
    <w:p w14:paraId="0A99EDA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承包人不得允许未经批准的参观者进入工地。在现场存放一本参观登记簿并提供参观者用安全帽。违反本款发生的安全事故所导致的一切损失的赔偿由承包人承担。</w:t>
      </w:r>
      <w:bookmarkEnd w:id="282"/>
    </w:p>
    <w:p w14:paraId="550BF79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1.10.3 场内交通</w:t>
      </w:r>
    </w:p>
    <w:p w14:paraId="2EA748B1">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关于场外交通和场内交通的边界的约定：</w:t>
      </w:r>
      <w:bookmarkStart w:id="283" w:name="EBd6fac6eb56c849498ecd2c39b514eabf"/>
      <w:bookmarkEnd w:id="283"/>
      <w:r>
        <w:rPr>
          <w:rFonts w:hint="eastAsia" w:ascii="宋体" w:hAnsi="宋体" w:eastAsia="宋体" w:cs="宋体"/>
          <w:kern w:val="0"/>
          <w:sz w:val="24"/>
          <w:szCs w:val="24"/>
        </w:rPr>
        <w:t xml:space="preserve"> </w:t>
      </w:r>
      <w:r>
        <w:rPr>
          <w:rFonts w:hint="eastAsia" w:ascii="宋体" w:hAnsi="宋体" w:eastAsia="宋体" w:cs="宋体"/>
          <w:kern w:val="0"/>
          <w:sz w:val="24"/>
          <w:szCs w:val="24"/>
          <w:u w:val="single"/>
        </w:rPr>
        <w:t xml:space="preserve"> 所有场外出入口的破坏与恢复而产生的费用须有承包人承担，视为含在合同价款中 </w:t>
      </w:r>
      <w:r>
        <w:rPr>
          <w:rFonts w:hint="eastAsia" w:ascii="宋体" w:hAnsi="宋体" w:eastAsia="宋体" w:cs="宋体"/>
          <w:kern w:val="0"/>
          <w:sz w:val="24"/>
          <w:szCs w:val="24"/>
        </w:rPr>
        <w:t xml:space="preserve"> </w:t>
      </w:r>
      <w:r>
        <w:rPr>
          <w:rFonts w:hint="eastAsia" w:ascii="宋体" w:hAnsi="宋体" w:eastAsia="宋体" w:cs="宋体"/>
          <w:sz w:val="24"/>
          <w:szCs w:val="24"/>
          <w:highlight w:val="white"/>
        </w:rPr>
        <w:t>。</w:t>
      </w:r>
    </w:p>
    <w:p w14:paraId="2356BD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关于发包人向承包人免费提供满足工程施工需要的场内道路和交通设施的约定：</w:t>
      </w:r>
    </w:p>
    <w:p w14:paraId="08FFC5B4">
      <w:pPr>
        <w:spacing w:line="360" w:lineRule="auto"/>
        <w:ind w:firstLine="480" w:firstLineChars="200"/>
        <w:rPr>
          <w:rFonts w:hint="eastAsia" w:ascii="宋体" w:hAnsi="宋体" w:eastAsia="宋体" w:cs="宋体"/>
          <w:sz w:val="24"/>
          <w:szCs w:val="24"/>
        </w:rPr>
      </w:pPr>
      <w:bookmarkStart w:id="284" w:name="EB717915f56cc847feadab6ef3ddac22cb"/>
      <w:r>
        <w:rPr>
          <w:rFonts w:hint="eastAsia" w:ascii="宋体" w:hAnsi="宋体" w:eastAsia="宋体" w:cs="宋体"/>
          <w:sz w:val="24"/>
          <w:szCs w:val="24"/>
          <w:highlight w:val="white"/>
        </w:rPr>
        <w:t>已完成。市政道路已通至现场围墙开口处，场地内基本平整，场地内的便道、精确的平整由承包人自行负责，费用已经包含在合同价款中，时间已经包含在工期中。承包人所设各临时设施必须满足相应文明工地的要求。</w:t>
      </w:r>
    </w:p>
    <w:p w14:paraId="078113F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场内、场外工程运输车辆管理严格按句容市人民政府关于印发句容市建设工程扬尘防控管理办法的通知执行（句政规发[2018]1号文），做到：1、建设工程使用车辆要符合相关部门规定的要求。专业运输必须使用专业运输企业的车辆（包括散装水泥运输车、混凝土搅拌车、砼泵车、自卸货车、泥浆槽罐车和其它建筑原材料、构配件、土方、建筑垃圾等运输的车辆），有资质的施工单位自备工程运输车辆。2、工程项目部运输建筑材料、垃圾和工程渣土的车辆，保持整洁并采取有效措施采用四面围护的车辆，装载高度不得超过车厢高度并上部有封盖，防止建筑材料、垃圾和工程渣土飞扬、洒落或者流溢，保证行驶途中不污染道路和环境。运输时间要符合相关部门管理规定。3、实现“六个统一标准”：一是统一喷涂车牌号放大字样、公司名称及监督电话；二是统一安装放大号牌；三是统一安装GPS定位系统；四是统一停车场地；五是统一管理机构、规章制度和台账资料；六是统一安装防抛洒设备（油布覆盖或密闭装置）和安全防护装置，配置车辆倒车、转向的语音提示系统和后视补盲镜。要求工程运输车辆达到统一标准后，才能上路运输和行驶。建设单位在工程施工前，必须与施工单位签订《运输车辆使用交通安全责任书》。</w:t>
      </w:r>
    </w:p>
    <w:p w14:paraId="72A3A8C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施工现场扬尘防治按句容市人民政府“关于印发句容市建设工程扬尘防控管理办法的通知”（句政规发[2018]1号文）规定执行。</w:t>
      </w:r>
      <w:bookmarkEnd w:id="284"/>
      <w:r>
        <w:rPr>
          <w:rFonts w:hint="eastAsia" w:ascii="宋体" w:hAnsi="宋体" w:eastAsia="宋体" w:cs="宋体"/>
          <w:sz w:val="24"/>
          <w:szCs w:val="24"/>
          <w:highlight w:val="white"/>
        </w:rPr>
        <w:t xml:space="preserve">  </w:t>
      </w:r>
    </w:p>
    <w:p w14:paraId="0BCD51F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1.10.4超大件和超重件的运输</w:t>
      </w:r>
    </w:p>
    <w:p w14:paraId="49645CD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运输超大件或超重件所需的道路和桥梁临时加固改造费用和其他有关费用由</w:t>
      </w:r>
      <w:bookmarkStart w:id="285" w:name="EB674d34c17e004a0d97b71f7f9b9a4873"/>
      <w:r>
        <w:rPr>
          <w:rFonts w:hint="eastAsia" w:ascii="宋体" w:hAnsi="宋体" w:eastAsia="宋体" w:cs="宋体"/>
          <w:sz w:val="24"/>
          <w:szCs w:val="24"/>
          <w:highlight w:val="white"/>
        </w:rPr>
        <w:t>承包人</w:t>
      </w:r>
      <w:bookmarkEnd w:id="285"/>
      <w:r>
        <w:rPr>
          <w:rFonts w:hint="eastAsia" w:ascii="宋体" w:hAnsi="宋体" w:eastAsia="宋体" w:cs="宋体"/>
          <w:sz w:val="24"/>
          <w:szCs w:val="24"/>
          <w:highlight w:val="white"/>
        </w:rPr>
        <w:t>承担。</w:t>
      </w:r>
    </w:p>
    <w:p w14:paraId="68ABA966">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1.11 知识产权</w:t>
      </w:r>
    </w:p>
    <w:p w14:paraId="151BC2F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sz w:val="24"/>
          <w:szCs w:val="24"/>
          <w:highlight w:val="white"/>
          <w:u w:val="single"/>
        </w:rPr>
        <w:t xml:space="preserve">    发包人     </w:t>
      </w:r>
      <w:r>
        <w:rPr>
          <w:rFonts w:hint="eastAsia" w:ascii="宋体" w:hAnsi="宋体" w:eastAsia="宋体" w:cs="宋体"/>
          <w:sz w:val="24"/>
          <w:szCs w:val="24"/>
          <w:highlight w:val="white"/>
        </w:rPr>
        <w:t>。关于发包人提供的上述文件的使用限制的要求：</w:t>
      </w:r>
      <w:r>
        <w:rPr>
          <w:rFonts w:hint="eastAsia" w:ascii="宋体" w:hAnsi="宋体" w:eastAsia="宋体" w:cs="宋体"/>
          <w:sz w:val="24"/>
          <w:szCs w:val="24"/>
          <w:u w:val="single"/>
        </w:rPr>
        <w:t>未经发包人书面同意，承包人不得为了合同以外的目的而复制、使用上述文件或将之提供给任何第三方。</w:t>
      </w:r>
    </w:p>
    <w:p w14:paraId="6E2AE407">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1.11.2 关于承包人为实施工程所编制文件的著作权的归属：</w:t>
      </w:r>
      <w:r>
        <w:rPr>
          <w:rFonts w:hint="eastAsia" w:ascii="宋体" w:hAnsi="宋体" w:eastAsia="宋体" w:cs="宋体"/>
          <w:sz w:val="24"/>
          <w:szCs w:val="24"/>
          <w:u w:val="single"/>
        </w:rPr>
        <w:t xml:space="preserve">发包人 </w:t>
      </w:r>
      <w:r>
        <w:rPr>
          <w:rFonts w:hint="eastAsia" w:ascii="宋体" w:hAnsi="宋体" w:eastAsia="宋体" w:cs="宋体"/>
          <w:sz w:val="24"/>
          <w:szCs w:val="24"/>
        </w:rPr>
        <w:t>。</w:t>
      </w:r>
    </w:p>
    <w:p w14:paraId="175955C8">
      <w:pPr>
        <w:spacing w:line="360" w:lineRule="auto"/>
        <w:ind w:firstLine="480" w:firstLineChars="200"/>
        <w:rPr>
          <w:rFonts w:hint="eastAsia" w:ascii="宋体" w:hAnsi="宋体" w:eastAsia="宋体" w:cs="宋体"/>
          <w:sz w:val="24"/>
          <w:szCs w:val="24"/>
          <w:highlight w:val="white"/>
          <w:u w:val="single"/>
        </w:rPr>
      </w:pPr>
      <w:r>
        <w:rPr>
          <w:rFonts w:hint="eastAsia" w:ascii="宋体" w:hAnsi="宋体" w:eastAsia="宋体" w:cs="宋体"/>
          <w:sz w:val="24"/>
          <w:szCs w:val="24"/>
          <w:highlight w:val="white"/>
        </w:rPr>
        <w:t>关于承包人提供的上述文件的使用限制的要求：</w:t>
      </w:r>
      <w:r>
        <w:rPr>
          <w:rFonts w:hint="eastAsia" w:ascii="宋体" w:hAnsi="宋体" w:eastAsia="宋体" w:cs="宋体"/>
          <w:sz w:val="24"/>
          <w:szCs w:val="24"/>
          <w:highlight w:val="white"/>
          <w:u w:val="single"/>
        </w:rPr>
        <w:t xml:space="preserve">未经发包人书面同意，承包人不得为了合同以外的目的而复制、使用上述文件或将之提供给任何第三方 </w:t>
      </w:r>
      <w:r>
        <w:rPr>
          <w:rFonts w:hint="eastAsia" w:ascii="宋体" w:hAnsi="宋体" w:eastAsia="宋体" w:cs="宋体"/>
          <w:sz w:val="24"/>
          <w:szCs w:val="24"/>
          <w:highlight w:val="white"/>
        </w:rPr>
        <w:t>。</w:t>
      </w:r>
    </w:p>
    <w:p w14:paraId="061B69B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1.11.4 承包人在施工过程中所采用的专利、专有技术、技术秘密的使用费的承担方式：</w:t>
      </w:r>
      <w:r>
        <w:rPr>
          <w:rFonts w:hint="eastAsia" w:ascii="宋体" w:hAnsi="宋体" w:eastAsia="宋体" w:cs="宋体"/>
          <w:bCs/>
          <w:sz w:val="24"/>
          <w:szCs w:val="24"/>
          <w:highlight w:val="white"/>
          <w:u w:val="single"/>
        </w:rPr>
        <w:t>已包含在签约合同价中</w:t>
      </w:r>
      <w:r>
        <w:rPr>
          <w:rFonts w:hint="eastAsia" w:ascii="宋体" w:hAnsi="宋体" w:eastAsia="宋体" w:cs="宋体"/>
          <w:sz w:val="24"/>
          <w:szCs w:val="24"/>
          <w:highlight w:val="white"/>
        </w:rPr>
        <w:t>。</w:t>
      </w:r>
    </w:p>
    <w:p w14:paraId="3D51FA82">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1.13工程量清单错误的修正</w:t>
      </w:r>
    </w:p>
    <w:p w14:paraId="5DF811D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出现工程量清单错误时，是否调整合同价格：</w:t>
      </w:r>
      <w:r>
        <w:rPr>
          <w:rFonts w:hint="eastAsia" w:ascii="宋体" w:hAnsi="宋体" w:eastAsia="宋体" w:cs="宋体"/>
          <w:b/>
          <w:sz w:val="24"/>
          <w:szCs w:val="24"/>
          <w:highlight w:val="white"/>
          <w:u w:val="single"/>
        </w:rPr>
        <w:t>见专用条款10.4.1</w:t>
      </w:r>
      <w:r>
        <w:rPr>
          <w:rFonts w:hint="eastAsia" w:ascii="宋体" w:hAnsi="宋体" w:eastAsia="宋体" w:cs="宋体"/>
          <w:kern w:val="0"/>
          <w:sz w:val="24"/>
          <w:szCs w:val="24"/>
          <w:highlight w:val="white"/>
        </w:rPr>
        <w:t>。</w:t>
      </w:r>
    </w:p>
    <w:p w14:paraId="0CAE384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允许调整合同价格的工程量偏差范围：</w:t>
      </w:r>
      <w:r>
        <w:rPr>
          <w:rFonts w:hint="eastAsia" w:ascii="宋体" w:hAnsi="宋体" w:eastAsia="宋体" w:cs="宋体"/>
          <w:b/>
          <w:sz w:val="24"/>
          <w:szCs w:val="24"/>
          <w:highlight w:val="white"/>
          <w:u w:val="single"/>
        </w:rPr>
        <w:t>见专用条款10.4.1</w:t>
      </w:r>
      <w:r>
        <w:rPr>
          <w:rFonts w:hint="eastAsia" w:ascii="宋体" w:hAnsi="宋体" w:eastAsia="宋体" w:cs="宋体"/>
          <w:kern w:val="0"/>
          <w:sz w:val="24"/>
          <w:szCs w:val="24"/>
          <w:highlight w:val="white"/>
        </w:rPr>
        <w:t>。</w:t>
      </w:r>
    </w:p>
    <w:p w14:paraId="2CAD5AF2">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2. 发包人</w:t>
      </w:r>
    </w:p>
    <w:p w14:paraId="777BA115">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2.2 发包人代表</w:t>
      </w:r>
    </w:p>
    <w:p w14:paraId="05D8DA2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发包人代表：</w:t>
      </w:r>
    </w:p>
    <w:p w14:paraId="059ECC2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姓    名：</w:t>
      </w:r>
      <w:bookmarkStart w:id="286" w:name="EB532a7d0299fa4745b2e5d9eee22b422f"/>
      <w:bookmarkEnd w:id="286"/>
      <w:r>
        <w:rPr>
          <w:rFonts w:hint="eastAsia" w:ascii="宋体" w:hAnsi="宋体" w:eastAsia="宋体" w:cs="宋体"/>
          <w:color w:val="auto"/>
          <w:sz w:val="24"/>
          <w:szCs w:val="24"/>
          <w:highlight w:val="white"/>
          <w:u w:val="single"/>
        </w:rPr>
        <w:t>******；</w:t>
      </w:r>
    </w:p>
    <w:p w14:paraId="0DE5BF17">
      <w:pPr>
        <w:spacing w:line="360" w:lineRule="auto"/>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white"/>
        </w:rPr>
        <w:t>身份证号：</w:t>
      </w:r>
      <w:bookmarkStart w:id="287" w:name="EB9892685687a14f718db7797cfe128492"/>
      <w:bookmarkEnd w:id="287"/>
      <w:r>
        <w:rPr>
          <w:rFonts w:hint="eastAsia" w:ascii="宋体" w:hAnsi="宋体" w:eastAsia="宋体" w:cs="宋体"/>
          <w:color w:val="auto"/>
          <w:sz w:val="24"/>
          <w:szCs w:val="24"/>
          <w:u w:val="single"/>
        </w:rPr>
        <w:t>*********</w:t>
      </w:r>
      <w:r>
        <w:rPr>
          <w:rFonts w:hint="eastAsia" w:ascii="宋体" w:hAnsi="宋体" w:eastAsia="宋体" w:cs="宋体"/>
          <w:color w:val="auto"/>
          <w:sz w:val="24"/>
          <w:szCs w:val="24"/>
          <w:highlight w:val="white"/>
          <w:u w:val="single"/>
        </w:rPr>
        <w:t>；</w:t>
      </w:r>
    </w:p>
    <w:p w14:paraId="6D35943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职    务：</w:t>
      </w:r>
      <w:bookmarkStart w:id="288" w:name="EB1e6ee44cb53e400dbd4c39eb3d264c14"/>
      <w:bookmarkEnd w:id="288"/>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w:t>
      </w:r>
    </w:p>
    <w:p w14:paraId="48DB6635">
      <w:pPr>
        <w:spacing w:line="360" w:lineRule="auto"/>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white"/>
        </w:rPr>
        <w:t>联系电话：</w:t>
      </w:r>
      <w:bookmarkStart w:id="289" w:name="EBa530e604a81f43819a3a5373f07fe4df"/>
      <w:bookmarkEnd w:id="289"/>
      <w:r>
        <w:rPr>
          <w:rFonts w:hint="eastAsia" w:ascii="宋体" w:hAnsi="宋体" w:eastAsia="宋体" w:cs="宋体"/>
          <w:color w:val="auto"/>
          <w:sz w:val="24"/>
          <w:szCs w:val="24"/>
          <w:highlight w:val="white"/>
          <w:u w:val="single"/>
        </w:rPr>
        <w:t>************ ；</w:t>
      </w:r>
    </w:p>
    <w:p w14:paraId="66FD5066">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highlight w:val="white"/>
        </w:rPr>
        <w:t>电子信箱：</w:t>
      </w:r>
      <w:bookmarkStart w:id="290" w:name="EB8c1ee8466f8e46e98c9fbb1b3f4cc9ea"/>
      <w:bookmarkEnd w:id="290"/>
      <w:r>
        <w:rPr>
          <w:rFonts w:hint="eastAsia" w:ascii="宋体" w:hAnsi="宋体" w:eastAsia="宋体" w:cs="宋体"/>
          <w:sz w:val="24"/>
          <w:szCs w:val="24"/>
          <w:highlight w:val="white"/>
          <w:u w:val="single"/>
        </w:rPr>
        <w:t xml:space="preserve">   </w:t>
      </w:r>
      <w:r>
        <w:rPr>
          <w:rFonts w:hint="eastAsia" w:ascii="宋体" w:hAnsi="宋体" w:eastAsia="宋体" w:cs="宋体"/>
          <w:kern w:val="0"/>
          <w:sz w:val="24"/>
          <w:szCs w:val="24"/>
          <w:u w:val="single"/>
        </w:rPr>
        <w:t>/</w:t>
      </w:r>
      <w:r>
        <w:rPr>
          <w:rFonts w:hint="eastAsia" w:ascii="宋体" w:hAnsi="宋体" w:eastAsia="宋体" w:cs="宋体"/>
          <w:sz w:val="24"/>
          <w:szCs w:val="24"/>
          <w:highlight w:val="white"/>
          <w:u w:val="single"/>
        </w:rPr>
        <w:t xml:space="preserve">   ；</w:t>
      </w:r>
    </w:p>
    <w:p w14:paraId="17F5F4A0">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highlight w:val="white"/>
        </w:rPr>
        <w:t>通信地址：</w:t>
      </w:r>
      <w:bookmarkStart w:id="291" w:name="EB767b1ab5978a41a7ba785f5700443fae"/>
      <w:bookmarkEnd w:id="291"/>
      <w:r>
        <w:rPr>
          <w:rFonts w:hint="eastAsia" w:ascii="宋体" w:hAnsi="宋体" w:eastAsia="宋体" w:cs="宋体"/>
          <w:sz w:val="24"/>
          <w:szCs w:val="24"/>
          <w:highlight w:val="white"/>
          <w:u w:val="single"/>
        </w:rPr>
        <w:t xml:space="preserve">   </w:t>
      </w:r>
      <w:r>
        <w:rPr>
          <w:rFonts w:hint="eastAsia" w:ascii="宋体" w:hAnsi="宋体" w:eastAsia="宋体" w:cs="宋体"/>
          <w:kern w:val="0"/>
          <w:sz w:val="24"/>
          <w:szCs w:val="24"/>
          <w:u w:val="single"/>
        </w:rPr>
        <w:t>/</w:t>
      </w:r>
      <w:r>
        <w:rPr>
          <w:rFonts w:hint="eastAsia" w:ascii="宋体" w:hAnsi="宋体" w:eastAsia="宋体" w:cs="宋体"/>
          <w:sz w:val="24"/>
          <w:szCs w:val="24"/>
          <w:highlight w:val="white"/>
          <w:u w:val="single"/>
        </w:rPr>
        <w:t xml:space="preserve">   。</w:t>
      </w:r>
    </w:p>
    <w:p w14:paraId="0F257D5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发包人对发包人代表的授权范围如下：</w:t>
      </w:r>
    </w:p>
    <w:p w14:paraId="0C8ED24E">
      <w:pPr>
        <w:spacing w:line="360" w:lineRule="auto"/>
        <w:ind w:firstLine="480" w:firstLineChars="200"/>
        <w:rPr>
          <w:rFonts w:hint="eastAsia" w:ascii="宋体" w:hAnsi="宋体" w:eastAsia="宋体" w:cs="宋体"/>
          <w:sz w:val="24"/>
          <w:szCs w:val="24"/>
        </w:rPr>
      </w:pPr>
      <w:bookmarkStart w:id="292" w:name="EB1172d8305abe48d5bfc5760b822c5fd9"/>
      <w:r>
        <w:rPr>
          <w:rFonts w:hint="eastAsia" w:ascii="宋体" w:hAnsi="宋体" w:eastAsia="宋体" w:cs="宋体"/>
          <w:sz w:val="24"/>
          <w:szCs w:val="24"/>
          <w:highlight w:val="white"/>
        </w:rPr>
        <w:t>代表发包人对工程全程监控，并对工程实施过程中发生的问题行使协调职权；</w:t>
      </w:r>
    </w:p>
    <w:p w14:paraId="51CB2348">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本工程实施中发生的下列书面文件，在监理单位审核后，需经发包人代表签字并加盖发包人公章（并非项目章）后才发生法律效力，作为竣工结算、工期顺延等的依据。</w:t>
      </w:r>
    </w:p>
    <w:p w14:paraId="60B72AF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（1）开工令、停工令、复工令的发布。</w:t>
      </w:r>
    </w:p>
    <w:p w14:paraId="529E935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（2）对于已完成工作量的确认。</w:t>
      </w:r>
    </w:p>
    <w:p w14:paraId="5AD2AD44">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（3）合同文件发生冲突、矛盾时，对于合同文件的解释。</w:t>
      </w:r>
    </w:p>
    <w:p w14:paraId="157427E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（4）任何涉及设计变更的事项，如现场设计签证的签署、变更设计指令的发出、对于承包人设计变更建议的认可、制配图纸的认可。</w:t>
      </w:r>
    </w:p>
    <w:p w14:paraId="55BF0295">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（5）措施费方案的确定、计日工记录的核实。</w:t>
      </w:r>
    </w:p>
    <w:p w14:paraId="553AEF7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（6）办理现场签证。</w:t>
      </w:r>
    </w:p>
    <w:p w14:paraId="3F42C37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（7）其他涉及到价款、费用、工期顺延、工程内容变更等与本工程有关的事项。</w:t>
      </w:r>
    </w:p>
    <w:p w14:paraId="01E605E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即便发包人代表在承包人发出的工程施工联系函或其它报告、文件上签署明确意见,若无发包人加盖公章，则发包人代表签名或其他人的签名(即使其签署意见)仅表示发包人对该份文件的签收,不能作为发包人意见或结算的依据。发包人代表对承包人或其关联人作出的任何书面或口头允诺，承包人应当向发包人予以书面确认，未经发包人书面认可，对发包人不发生任何效力。</w:t>
      </w:r>
      <w:bookmarkEnd w:id="292"/>
    </w:p>
    <w:p w14:paraId="171B7BD3">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2.4 施工现场、施工条件和基础资料的提供</w:t>
      </w:r>
    </w:p>
    <w:p w14:paraId="156DD08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2.4.1 提供施工现场</w:t>
      </w:r>
    </w:p>
    <w:p w14:paraId="13541CC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关于发包人移交施工现场的期限要求：</w:t>
      </w:r>
      <w:r>
        <w:rPr>
          <w:rFonts w:hint="eastAsia" w:ascii="宋体" w:hAnsi="宋体" w:eastAsia="宋体" w:cs="宋体"/>
          <w:sz w:val="24"/>
          <w:szCs w:val="24"/>
          <w:highlight w:val="white"/>
          <w:u w:val="single"/>
        </w:rPr>
        <w:t></w:t>
      </w:r>
      <w:r>
        <w:rPr>
          <w:rFonts w:hint="eastAsia" w:ascii="宋体" w:hAnsi="宋体" w:eastAsia="宋体" w:cs="宋体"/>
          <w:bCs/>
          <w:sz w:val="24"/>
          <w:szCs w:val="24"/>
          <w:highlight w:val="white"/>
          <w:u w:val="single"/>
        </w:rPr>
        <w:t>正式开工前</w:t>
      </w:r>
      <w:r>
        <w:rPr>
          <w:rFonts w:hint="eastAsia" w:ascii="宋体" w:hAnsi="宋体" w:eastAsia="宋体" w:cs="宋体"/>
          <w:bCs/>
          <w:sz w:val="24"/>
          <w:szCs w:val="24"/>
          <w:u w:val="single"/>
        </w:rPr>
        <w:t xml:space="preserve"> 。</w:t>
      </w:r>
    </w:p>
    <w:p w14:paraId="787E9E7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2.4.2 提供施工条件</w:t>
      </w:r>
    </w:p>
    <w:p w14:paraId="046596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关于发包人应负责提供施工所需要的条件，包括：</w:t>
      </w:r>
    </w:p>
    <w:p w14:paraId="737B63CB">
      <w:pPr>
        <w:spacing w:line="360" w:lineRule="auto"/>
        <w:ind w:firstLine="480" w:firstLineChars="200"/>
        <w:rPr>
          <w:rFonts w:hint="eastAsia" w:ascii="宋体" w:hAnsi="宋体" w:eastAsia="宋体" w:cs="宋体"/>
          <w:sz w:val="24"/>
          <w:szCs w:val="24"/>
          <w:u w:val="single"/>
        </w:rPr>
      </w:pPr>
      <w:bookmarkStart w:id="293" w:name="EB393c6d5868d14102aa0ecc4eac49d63f"/>
      <w:r>
        <w:rPr>
          <w:rFonts w:hint="eastAsia" w:ascii="宋体" w:hAnsi="宋体" w:eastAsia="宋体" w:cs="宋体"/>
          <w:sz w:val="24"/>
          <w:szCs w:val="24"/>
          <w:highlight w:val="white"/>
        </w:rPr>
        <w:t>（1）施工场地具备施工条件的要求及完成的时间：已完成。市政道路已通至现场围墙开口处，场地内基本平整，场地内的便道、精确的平整由承包人自行负责，费用已经包含在合同价款中，时间已经包含在工期中。承包人所设各临时设施必须满足相应文明工地的要求。</w:t>
      </w:r>
    </w:p>
    <w:p w14:paraId="0BB2681A">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将施工所需的水、电、电讯线路接至施工场地的时间、地点和供应要求：施工水、电源由发包人装表并接至施工红线处，红线内的施工水电线路由承包人负责并承担费用。各专业分包单位或独立工程施工单位的水电由承包人接至二级箱并装表供各专业分包单位或独立工程施工单位使用（二级箱之后的线路由各专业分包单位根据自身的施工用电方案进行设置，但接入方案必须符合承包人的用电方案并服从承包人管理）。办公、生活用水、电费用由承包人承担。所有水、电费用由承包人承担，各专业分包单位或独立工程施工单位由各单位按表数和实际的单价同承包人结算，表差由承包人根据各专业分包单位或独立工程施工单位按用量分摊，电讯线路由承包人自行解决。</w:t>
      </w:r>
    </w:p>
    <w:p w14:paraId="38CE6D3A">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施工期间如遇停水、停电，由承包人负责解决，工期亦不会因此而延长。</w:t>
      </w:r>
    </w:p>
    <w:p w14:paraId="43308CA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施工期间如遇停水或因供水不足而影响正常的施工运作时，由承包人负责解决以保证有规律和连续地继续施工，有关费用(含额外供水措施费用)已包括或视为包括在合同价款内，工期亦不会因此而延长。</w:t>
      </w:r>
    </w:p>
    <w:p w14:paraId="40BE477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（3）施工场地与公共道路的通道开通时间和要求：已具备。</w:t>
      </w:r>
    </w:p>
    <w:p w14:paraId="67A1C49F">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（4）工程地质和地下管线资料的提供时间：工程地质在招标时已提供，地下管线资料在开工前提供。</w:t>
      </w:r>
    </w:p>
    <w:p w14:paraId="4D183CA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（5）由发包人办理的施工所需证件、批件的名称和完成时间：施工许可等证照法律法规规定由发包人办理的，由发包人办理，由承包人及监理配合，按法律法规承担各自费用。</w:t>
      </w:r>
    </w:p>
    <w:p w14:paraId="2C3E6825">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（6）水准点与坐标控制点交验要求：开工前以书面形式提供，并做好书面交接、交底、签字手续。</w:t>
      </w:r>
    </w:p>
    <w:p w14:paraId="0D5EFE1A">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（7）图纸会审和设计交底时间：开工前。</w:t>
      </w:r>
    </w:p>
    <w:p w14:paraId="6437C5BE">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8）协调处理施工场地周围地下管线和邻近建筑物、构筑物（含文物保护建筑）、古树名木的保护工作：发包人会将施工场地周围地下管线图纸进行书面交底，但承包人应对交底图纸准确性进行核对，并负责现场人工挖探沟等工作以查明地下管线位置及深度等。</w:t>
      </w:r>
    </w:p>
    <w:p w14:paraId="730E1D5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（9）双方约定发包人应做的其他工作：</w:t>
      </w:r>
    </w:p>
    <w:p w14:paraId="0D9D0AA4">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承包人不能把供本工程的合同文件及补充资料用做执行本工程以外的其他用途，发包人亦不能把合同价款公开。</w:t>
      </w:r>
    </w:p>
    <w:p w14:paraId="0761866A">
      <w:pPr>
        <w:spacing w:line="360" w:lineRule="auto"/>
        <w:ind w:firstLine="480" w:firstLineChars="200"/>
        <w:rPr>
          <w:rFonts w:hint="eastAsia" w:ascii="宋体" w:hAnsi="宋体" w:eastAsia="宋体" w:cs="宋体"/>
          <w:color w:val="auto"/>
          <w:sz w:val="24"/>
          <w:szCs w:val="24"/>
          <w:highlight w:val="white"/>
        </w:rPr>
      </w:pPr>
      <w:r>
        <w:rPr>
          <w:rFonts w:hint="eastAsia" w:ascii="宋体" w:hAnsi="宋体" w:eastAsia="宋体" w:cs="宋体"/>
          <w:color w:val="auto"/>
          <w:sz w:val="24"/>
          <w:szCs w:val="24"/>
          <w:highlight w:val="white"/>
        </w:rPr>
        <w:t>承包人提供业主、监理各</w:t>
      </w:r>
      <w:r>
        <w:rPr>
          <w:rFonts w:hint="eastAsia" w:ascii="宋体" w:hAnsi="宋体" w:eastAsia="宋体" w:cs="宋体"/>
          <w:color w:val="auto"/>
          <w:sz w:val="24"/>
          <w:szCs w:val="24"/>
          <w:highlight w:val="white"/>
          <w:u w:val="single"/>
        </w:rPr>
        <w:t xml:space="preserve">1  </w:t>
      </w:r>
      <w:r>
        <w:rPr>
          <w:rFonts w:hint="eastAsia" w:ascii="宋体" w:hAnsi="宋体" w:eastAsia="宋体" w:cs="宋体"/>
          <w:color w:val="auto"/>
          <w:sz w:val="24"/>
          <w:szCs w:val="24"/>
          <w:highlight w:val="white"/>
        </w:rPr>
        <w:t>间办公房，材料样品室</w:t>
      </w:r>
      <w:r>
        <w:rPr>
          <w:rFonts w:hint="eastAsia" w:ascii="宋体" w:hAnsi="宋体" w:eastAsia="宋体" w:cs="宋体"/>
          <w:color w:val="auto"/>
          <w:sz w:val="24"/>
          <w:szCs w:val="24"/>
          <w:highlight w:val="white"/>
          <w:u w:val="single"/>
        </w:rPr>
        <w:t>1</w:t>
      </w:r>
      <w:r>
        <w:rPr>
          <w:rFonts w:hint="eastAsia" w:ascii="宋体" w:hAnsi="宋体" w:eastAsia="宋体" w:cs="宋体"/>
          <w:color w:val="auto"/>
          <w:sz w:val="24"/>
          <w:szCs w:val="24"/>
          <w:highlight w:val="white"/>
        </w:rPr>
        <w:t>间，</w:t>
      </w:r>
      <w:r>
        <w:rPr>
          <w:rFonts w:hint="eastAsia" w:ascii="宋体" w:hAnsi="宋体" w:eastAsia="宋体" w:cs="宋体"/>
          <w:color w:val="auto"/>
          <w:sz w:val="24"/>
          <w:szCs w:val="24"/>
          <w:highlight w:val="white"/>
          <w:u w:val="single"/>
        </w:rPr>
        <w:t xml:space="preserve"> 4  </w:t>
      </w:r>
      <w:r>
        <w:rPr>
          <w:rFonts w:hint="eastAsia" w:ascii="宋体" w:hAnsi="宋体" w:eastAsia="宋体" w:cs="宋体"/>
          <w:color w:val="auto"/>
          <w:sz w:val="24"/>
          <w:szCs w:val="24"/>
          <w:highlight w:val="white"/>
        </w:rPr>
        <w:t>套办公桌椅，</w:t>
      </w:r>
      <w:r>
        <w:rPr>
          <w:rFonts w:hint="eastAsia" w:ascii="宋体" w:hAnsi="宋体" w:eastAsia="宋体" w:cs="宋体"/>
          <w:color w:val="auto"/>
          <w:sz w:val="24"/>
          <w:szCs w:val="24"/>
          <w:highlight w:val="white"/>
          <w:u w:val="single"/>
        </w:rPr>
        <w:t xml:space="preserve"> 2 </w:t>
      </w:r>
      <w:r>
        <w:rPr>
          <w:rFonts w:hint="eastAsia" w:ascii="宋体" w:hAnsi="宋体" w:eastAsia="宋体" w:cs="宋体"/>
          <w:color w:val="auto"/>
          <w:sz w:val="24"/>
          <w:szCs w:val="24"/>
          <w:highlight w:val="white"/>
        </w:rPr>
        <w:t>套文件柜，并配备空调，新打印复印设备</w:t>
      </w:r>
      <w:r>
        <w:rPr>
          <w:rFonts w:hint="eastAsia" w:ascii="宋体" w:hAnsi="宋体" w:eastAsia="宋体" w:cs="宋体"/>
          <w:color w:val="auto"/>
          <w:sz w:val="24"/>
          <w:szCs w:val="24"/>
          <w:highlight w:val="white"/>
          <w:u w:val="single"/>
        </w:rPr>
        <w:t>1</w:t>
      </w:r>
      <w:r>
        <w:rPr>
          <w:rFonts w:hint="eastAsia" w:ascii="宋体" w:hAnsi="宋体" w:eastAsia="宋体" w:cs="宋体"/>
          <w:color w:val="auto"/>
          <w:sz w:val="24"/>
          <w:szCs w:val="24"/>
          <w:highlight w:val="white"/>
        </w:rPr>
        <w:t>套（可打印A3彩色、扫描），并提供平时的维护及耗材，由承包人开通网络及该线路到每个房间。业主和监理办公室卫生由总承包人负责，费用包含在投标报价内，工程结束以上办公用品归还承包人。</w:t>
      </w:r>
      <w:bookmarkEnd w:id="293"/>
    </w:p>
    <w:p w14:paraId="3FA526D6">
      <w:pPr>
        <w:spacing w:after="0" w:line="360" w:lineRule="auto"/>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2.5 资金来源证明及支付担保</w:t>
      </w:r>
    </w:p>
    <w:p w14:paraId="57DB59FE">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color w:val="auto"/>
          <w:sz w:val="24"/>
          <w:szCs w:val="24"/>
          <w:highlight w:val="white"/>
        </w:rPr>
        <w:t>发包人提供资金来源证明的期限要求：</w:t>
      </w:r>
      <w:bookmarkStart w:id="294" w:name="EB77dc1bb875144cb9b44399302b955e77"/>
      <w:bookmarkEnd w:id="294"/>
      <w:r>
        <w:rPr>
          <w:rFonts w:hint="eastAsia" w:ascii="宋体" w:hAnsi="宋体" w:eastAsia="宋体" w:cs="宋体"/>
          <w:color w:val="auto"/>
          <w:sz w:val="24"/>
          <w:szCs w:val="24"/>
          <w:u w:val="single"/>
        </w:rPr>
        <w:t xml:space="preserve">    /         </w:t>
      </w:r>
      <w:r>
        <w:rPr>
          <w:rFonts w:hint="eastAsia" w:ascii="宋体" w:hAnsi="宋体" w:eastAsia="宋体" w:cs="宋体"/>
          <w:sz w:val="24"/>
          <w:szCs w:val="24"/>
          <w:highlight w:val="white"/>
        </w:rPr>
        <w:t>。</w:t>
      </w:r>
    </w:p>
    <w:p w14:paraId="149D658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发包人是否提供支付担保：</w:t>
      </w:r>
      <w:bookmarkStart w:id="295" w:name="EB925ca3d1fb9c42b9952d13701f9aa57d"/>
      <w:bookmarkEnd w:id="295"/>
      <w:r>
        <w:rPr>
          <w:rFonts w:hint="eastAsia" w:ascii="宋体" w:hAnsi="宋体" w:eastAsia="宋体" w:cs="宋体"/>
          <w:sz w:val="24"/>
          <w:szCs w:val="24"/>
          <w:highlight w:val="white"/>
          <w:u w:val="single"/>
        </w:rPr>
        <w:t xml:space="preserve">           承包人不要求         </w:t>
      </w:r>
      <w:r>
        <w:rPr>
          <w:rFonts w:hint="eastAsia" w:ascii="宋体" w:hAnsi="宋体" w:eastAsia="宋体" w:cs="宋体"/>
          <w:sz w:val="24"/>
          <w:szCs w:val="24"/>
          <w:highlight w:val="white"/>
        </w:rPr>
        <w:t>。</w:t>
      </w:r>
    </w:p>
    <w:p w14:paraId="61249E48">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highlight w:val="white"/>
        </w:rPr>
        <w:t>发包人提供支付担保的形式：</w:t>
      </w:r>
      <w:bookmarkStart w:id="296" w:name="EB2d1de9fba1654608aeffc4d77981e03f"/>
      <w:bookmarkEnd w:id="296"/>
      <w:r>
        <w:rPr>
          <w:rFonts w:hint="eastAsia" w:ascii="宋体" w:hAnsi="宋体" w:eastAsia="宋体" w:cs="宋体"/>
          <w:sz w:val="24"/>
          <w:szCs w:val="24"/>
          <w:u w:val="single"/>
        </w:rPr>
        <w:t>       /          </w:t>
      </w:r>
      <w:r>
        <w:rPr>
          <w:rFonts w:hint="eastAsia" w:ascii="宋体" w:hAnsi="宋体" w:eastAsia="宋体" w:cs="宋体"/>
          <w:sz w:val="24"/>
          <w:szCs w:val="24"/>
          <w:highlight w:val="white"/>
        </w:rPr>
        <w:t>。</w:t>
      </w:r>
    </w:p>
    <w:p w14:paraId="5BC5132D">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3. 承包人</w:t>
      </w:r>
    </w:p>
    <w:p w14:paraId="03F9684D">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3.1 承包人的一般义务</w:t>
      </w:r>
    </w:p>
    <w:p w14:paraId="78D74D6C">
      <w:pPr>
        <w:spacing w:line="360" w:lineRule="auto"/>
        <w:ind w:firstLine="480" w:firstLineChars="200"/>
        <w:rPr>
          <w:rFonts w:hint="eastAsia" w:ascii="宋体" w:hAnsi="宋体" w:eastAsia="宋体" w:cs="宋体"/>
          <w:sz w:val="24"/>
          <w:szCs w:val="24"/>
        </w:rPr>
      </w:pPr>
      <w:r>
        <w:rPr>
          <w:rFonts w:hint="eastAsia" w:ascii="宋体" w:hAnsi="宋体" w:eastAsia="宋体" w:cs="宋体"/>
          <w:kern w:val="0"/>
          <w:sz w:val="24"/>
          <w:szCs w:val="24"/>
          <w:highlight w:val="white"/>
        </w:rPr>
        <w:t>（9）</w:t>
      </w:r>
      <w:r>
        <w:rPr>
          <w:rFonts w:hint="eastAsia" w:ascii="宋体" w:hAnsi="宋体" w:eastAsia="宋体" w:cs="宋体"/>
          <w:sz w:val="24"/>
          <w:szCs w:val="24"/>
          <w:highlight w:val="white"/>
        </w:rPr>
        <w:t>承包人提交的竣工资料的内容：</w:t>
      </w:r>
    </w:p>
    <w:p w14:paraId="2CBAB4E6">
      <w:pPr>
        <w:spacing w:line="360" w:lineRule="auto"/>
        <w:ind w:firstLine="480" w:firstLineChars="200"/>
        <w:rPr>
          <w:rFonts w:hint="eastAsia" w:ascii="宋体" w:hAnsi="宋体" w:eastAsia="宋体" w:cs="宋体"/>
          <w:sz w:val="24"/>
          <w:szCs w:val="24"/>
        </w:rPr>
      </w:pPr>
      <w:bookmarkStart w:id="297" w:name="EBe0360b0829ac49e681ed00bde7588491"/>
      <w:r>
        <w:rPr>
          <w:rFonts w:hint="eastAsia" w:ascii="宋体" w:hAnsi="宋体" w:eastAsia="宋体" w:cs="宋体"/>
          <w:sz w:val="24"/>
          <w:szCs w:val="24"/>
          <w:highlight w:val="white"/>
        </w:rPr>
        <w:t>工程竣工验收10天前，承包人必须提交竣工验收报告、竣工图 6 套、竣工图电子扫描件1套及以下竣工资料：</w:t>
      </w:r>
    </w:p>
    <w:p w14:paraId="4BE6754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a经过项目监理单位工程师与发包人工程师签署认可的设计变更、技术核定单等文件、工程量签证单等，并通过句政发〔2019〕51号等相关文件规定；</w:t>
      </w:r>
    </w:p>
    <w:p w14:paraId="6827329F">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b试验检验报告等有关技术资料；</w:t>
      </w:r>
    </w:p>
    <w:p w14:paraId="443CA69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c隐蔽工程和中间验收记录；</w:t>
      </w:r>
    </w:p>
    <w:p w14:paraId="6F1C459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d质量统计分析报告和施工总结；</w:t>
      </w:r>
    </w:p>
    <w:p w14:paraId="305F622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e句容市规定的其他竣工资料；</w:t>
      </w:r>
    </w:p>
    <w:p w14:paraId="71CACDDE">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f以上所有资料必须符合句容市建设档案资料归档要求。</w:t>
      </w:r>
    </w:p>
    <w:p w14:paraId="3F4EBB04">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g除按竣工验收程序所必须提交的资料外，承包人还需按本合同附件表格内容要求提交资料给发包人。</w:t>
      </w:r>
      <w:bookmarkEnd w:id="297"/>
    </w:p>
    <w:p w14:paraId="0EB73E3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承包人需要提交的竣工资料套数：</w:t>
      </w:r>
      <w:bookmarkStart w:id="298" w:name="EB7c763010b8f846b5bfbf63317d9ca1d5"/>
      <w:bookmarkEnd w:id="298"/>
      <w:r>
        <w:rPr>
          <w:rFonts w:hint="eastAsia" w:ascii="宋体" w:hAnsi="宋体" w:eastAsia="宋体" w:cs="宋体"/>
          <w:color w:val="auto"/>
          <w:sz w:val="24"/>
          <w:szCs w:val="24"/>
          <w:highlight w:val="white"/>
          <w:u w:val="single"/>
        </w:rPr>
        <w:t xml:space="preserve">  </w:t>
      </w:r>
      <w:r>
        <w:rPr>
          <w:rFonts w:hint="eastAsia" w:ascii="宋体" w:hAnsi="宋体" w:eastAsia="宋体" w:cs="宋体"/>
          <w:b/>
          <w:color w:val="auto"/>
          <w:sz w:val="24"/>
          <w:szCs w:val="24"/>
          <w:highlight w:val="white"/>
          <w:u w:val="single"/>
        </w:rPr>
        <w:t xml:space="preserve"> 4套纸质档、2套电子档（硬盘存储、光盘刻盘） </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w:t>
      </w:r>
    </w:p>
    <w:p w14:paraId="4D86752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承包人提交的竣工资料的费用承担：</w:t>
      </w:r>
      <w:bookmarkStart w:id="299" w:name="EBa329c26310fd4cef96fcfb2c1dd01dfa"/>
      <w:bookmarkEnd w:id="299"/>
      <w:r>
        <w:rPr>
          <w:rFonts w:hint="eastAsia" w:ascii="宋体" w:hAnsi="宋体" w:eastAsia="宋体" w:cs="宋体"/>
          <w:bCs/>
          <w:color w:val="auto"/>
          <w:sz w:val="24"/>
          <w:szCs w:val="24"/>
          <w:highlight w:val="white"/>
          <w:u w:val="single"/>
        </w:rPr>
        <w:t xml:space="preserve">承包人承担   </w:t>
      </w:r>
      <w:r>
        <w:rPr>
          <w:rFonts w:hint="eastAsia" w:ascii="宋体" w:hAnsi="宋体" w:eastAsia="宋体" w:cs="宋体"/>
          <w:color w:val="auto"/>
          <w:sz w:val="24"/>
          <w:szCs w:val="24"/>
          <w:highlight w:val="white"/>
        </w:rPr>
        <w:t>。</w:t>
      </w:r>
    </w:p>
    <w:p w14:paraId="54FF3F38">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auto"/>
          <w:sz w:val="24"/>
          <w:szCs w:val="24"/>
          <w:highlight w:val="white"/>
        </w:rPr>
        <w:t>承包人提交的竣工资料移交时间：</w:t>
      </w:r>
      <w:bookmarkStart w:id="300" w:name="EB4451abd14720437dbc3258d25d7a4113"/>
      <w:bookmarkEnd w:id="300"/>
      <w:bookmarkStart w:id="301" w:name="EBdd6152b0737f40c8aa05a9782e2dbc76"/>
      <w:r>
        <w:rPr>
          <w:rFonts w:hint="eastAsia" w:ascii="宋体" w:hAnsi="宋体" w:eastAsia="宋体" w:cs="宋体"/>
          <w:bCs/>
          <w:color w:val="auto"/>
          <w:sz w:val="24"/>
          <w:szCs w:val="24"/>
          <w:highlight w:val="white"/>
          <w:u w:val="single"/>
        </w:rPr>
        <w:t>工程竣工验收</w:t>
      </w:r>
      <w:r>
        <w:rPr>
          <w:rFonts w:hint="eastAsia" w:ascii="宋体" w:hAnsi="宋体" w:eastAsia="宋体" w:cs="宋体"/>
          <w:bCs/>
          <w:sz w:val="24"/>
          <w:szCs w:val="24"/>
          <w:highlight w:val="white"/>
          <w:u w:val="single"/>
        </w:rPr>
        <w:t>（含消防、人防验收）后60天</w:t>
      </w:r>
      <w:bookmarkEnd w:id="301"/>
      <w:r>
        <w:rPr>
          <w:rFonts w:hint="eastAsia" w:ascii="宋体" w:hAnsi="宋体" w:eastAsia="宋体" w:cs="宋体"/>
          <w:bCs/>
          <w:sz w:val="24"/>
          <w:szCs w:val="24"/>
          <w:highlight w:val="white"/>
          <w:u w:val="single"/>
        </w:rPr>
        <w:t>内</w:t>
      </w:r>
      <w:r>
        <w:rPr>
          <w:rFonts w:hint="eastAsia" w:ascii="宋体" w:hAnsi="宋体" w:eastAsia="宋体" w:cs="宋体"/>
          <w:sz w:val="24"/>
          <w:szCs w:val="24"/>
          <w:highlight w:val="white"/>
        </w:rPr>
        <w:t>。</w:t>
      </w:r>
    </w:p>
    <w:p w14:paraId="64B1D00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承包人提交的竣工资料形式要求：</w:t>
      </w:r>
      <w:bookmarkStart w:id="302" w:name="EBfe258312b9884099a37449ccfd400a97"/>
      <w:r>
        <w:rPr>
          <w:rFonts w:hint="eastAsia" w:ascii="宋体" w:hAnsi="宋体" w:eastAsia="宋体" w:cs="宋体"/>
          <w:bCs/>
          <w:sz w:val="24"/>
          <w:szCs w:val="24"/>
          <w:highlight w:val="white"/>
          <w:u w:val="single"/>
        </w:rPr>
        <w:t>以双方签收交接为</w:t>
      </w:r>
      <w:bookmarkEnd w:id="302"/>
      <w:r>
        <w:rPr>
          <w:rFonts w:hint="eastAsia" w:ascii="宋体" w:hAnsi="宋体" w:eastAsia="宋体" w:cs="宋体"/>
          <w:bCs/>
          <w:sz w:val="24"/>
          <w:szCs w:val="24"/>
          <w:highlight w:val="white"/>
          <w:u w:val="single"/>
        </w:rPr>
        <w:t>准。</w:t>
      </w:r>
      <w:bookmarkStart w:id="303" w:name="EB43004b4039c64daf92ecfa1dc1ebdd1d"/>
      <w:bookmarkEnd w:id="303"/>
    </w:p>
    <w:p w14:paraId="329AD40D">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（10）承包人应履行的其他义务：</w:t>
      </w:r>
    </w:p>
    <w:p w14:paraId="2DB218B9">
      <w:pPr>
        <w:spacing w:line="360" w:lineRule="auto"/>
        <w:ind w:firstLine="480" w:firstLineChars="200"/>
        <w:rPr>
          <w:rFonts w:hint="eastAsia" w:ascii="宋体" w:hAnsi="宋体" w:eastAsia="宋体" w:cs="宋体"/>
          <w:sz w:val="24"/>
          <w:szCs w:val="24"/>
        </w:rPr>
      </w:pPr>
      <w:bookmarkStart w:id="304" w:name="EBddb47760ec7b4e4ab56cba79aa1890a0"/>
      <w:r>
        <w:rPr>
          <w:rFonts w:hint="eastAsia" w:ascii="宋体" w:hAnsi="宋体" w:eastAsia="宋体" w:cs="宋体"/>
          <w:kern w:val="0"/>
          <w:sz w:val="24"/>
          <w:szCs w:val="24"/>
          <w:highlight w:val="white"/>
        </w:rPr>
        <w:t>3.1.1、提供工地上通路给专业分包单位、独立施工单位共同使用，并提供相应的施工场地。</w:t>
      </w:r>
    </w:p>
    <w:p w14:paraId="40631499">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3.1.2、遇重大事件、突发事件，则根据需要安排工作人员及时处理问题并向各方通报。</w:t>
      </w:r>
    </w:p>
    <w:p w14:paraId="1900182B">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3.1.3、提供卫生设施给专业分包单位、独立施工单位共同使用。</w:t>
      </w:r>
    </w:p>
    <w:p w14:paraId="4444718E">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3.1.4、承包人应按文明施工、安全施工及治安、环保等有关规定作好各项工作，按照</w:t>
      </w:r>
      <w:r>
        <w:rPr>
          <w:rFonts w:hint="eastAsia" w:ascii="宋体" w:hAnsi="宋体" w:eastAsia="宋体" w:cs="宋体"/>
          <w:kern w:val="0"/>
          <w:sz w:val="24"/>
          <w:szCs w:val="24"/>
          <w:highlight w:val="white"/>
          <w:u w:val="single"/>
        </w:rPr>
        <w:t xml:space="preserve">   /    </w:t>
      </w:r>
      <w:r>
        <w:rPr>
          <w:rFonts w:hint="eastAsia" w:ascii="宋体" w:hAnsi="宋体" w:eastAsia="宋体" w:cs="宋体"/>
          <w:kern w:val="0"/>
          <w:sz w:val="24"/>
          <w:szCs w:val="24"/>
          <w:highlight w:val="white"/>
        </w:rPr>
        <w:t>考评标准要求在施工现场搭设临时办公用房，并严格执行发包人的《工程现场安全文明施工标准》、《工程验工计价相关手续的规范办法》及江苏省、镇江市及句容市有关文件规定履行相关义务。</w:t>
      </w:r>
    </w:p>
    <w:p w14:paraId="6E3CF49C">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3.1.5、承包人应遵守地方政府和有关部门对施工场地交通和施工噪音等管理规定，经发包人同意后由承包人办理有关手续并承担费用，违反相关管理规定造成的罚款和其他行政处罚由承包人承担。</w:t>
      </w:r>
    </w:p>
    <w:p w14:paraId="44A70CE6">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3.1.6、施工期间施工运输车辆的行驶线路，必须安排专人负责卫生打扫工作。道路改造出于施工交通组织需要，承包人必须安排专职交通指挥人员负责施工现场与交通通道之间交通的指挥。</w:t>
      </w:r>
    </w:p>
    <w:p w14:paraId="5FF45668">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3.1.7、承包人接管工地后应自费清理任何遗留在工地上之废物，承包人负责本工程完工后，应完成工程的成品保护、清洗、修补等工作。</w:t>
      </w:r>
    </w:p>
    <w:p w14:paraId="569B93FB">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3.1.8、承包人不得允许未经批准的参观者进入工地。在现场存放一本参观登记簿并提供参观者用安全帽。违法本款发生的安全事故所导致的一切损失的赔偿由承包人承担。</w:t>
      </w:r>
    </w:p>
    <w:p w14:paraId="52549CDB">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3.1.9、承包人保证不使用“三车”。（三轮机动车、低速载货汽车、变型拖拉机）违反本款使用“三车”的，发生一起向发包人支付违约金1万元，如果分包人使用“三车”，承包人承担连带责任，发生一起向发包人支付违约金1万元。</w:t>
      </w:r>
    </w:p>
    <w:p w14:paraId="53430D58">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3.1.10、承包人可在发包人允许的地点搭建临时办公室，除处理本工程日常事务外，也可作为工程联系、协调及临时会议之用。为工地临时办公室搭建而实施的任何接驳、拆离行为如影响现有建筑结构和服务设施的，都必须预先以书面形式请示监理单位工程师和发包人工程师并说明理由，并须在监理单位工程师和发包人工程师同意监督下进行，如违反本款的，除了按照监理单位工程师和发包人工程师的指示进行整改并对于造成的损失承担赔偿责任外，每违反一次，支付5万元违约金。</w:t>
      </w:r>
    </w:p>
    <w:p w14:paraId="0E01C8A8">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3.1.11、承包人须保证法定节假日、领导视察工地及现场、周边各类活动等期间正常施工及管理，同时须考虑到假期施工期间材料供应、道路封闭等各种困难因素，并已于工期及报价中充分考虑。</w:t>
      </w:r>
    </w:p>
    <w:p w14:paraId="537D8594">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3.1.12承包人须立刻执行发包人工程师以及监理单位工程师发出的书面指令，承包人不得以任何理由(如增减费用及/或工期调整未能确定等)拖延执行或不执行该指令。若承包人未在发包人要求的或合理时间之内执行已发出的指令，并在收到发包人催促执行的书面通知后7天之内，承包人仍未执行，发包人可另行委托具备相应资质的单位执行该指令范围内的工作，承包人应承担因此发生的与此有关的一切费用（包括但不限于另行比选执行人的费用、支付给执行人的相关费用）并应向发包人承担违约金10万元/次，发包人有权在支付的本合同价款中直接扣除以上款项。</w:t>
      </w:r>
    </w:p>
    <w:p w14:paraId="3B9C4D50">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 xml:space="preserve">3.1.13、承包人应按约定时间和要求，完成以下工作： </w:t>
      </w:r>
    </w:p>
    <w:p w14:paraId="46734615">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3.1.13.1需由有设计资质等级和业务范围允许的承包人完成的设计文件提交时间：承包范围内工程没有设计文件或设计文件需要深化的，由承包人自行（如有设计资质）或另行委托具有相应资质的设计单位编制或深化设计文件，在发包人及发包人委托的设计单位认可后按图施工，发包人及发包人委托的设计单位对深化图纸的认可，并不减轻或者免除承包人应承担的义务及责任，该部分设计文件的编制费用包含或视为已经包含在合同价款中。</w:t>
      </w:r>
    </w:p>
    <w:p w14:paraId="72A4A4B0">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3.1.13.2应提供计划、报表的名称及完成时间：根据发包人要求。</w:t>
      </w:r>
    </w:p>
    <w:p w14:paraId="6ACEB58B">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3.1.13.3承担施工安全保卫工作及非夜间施工照明的责任和要求：由承包人办理并承担相关费用，发包人及监理配合。</w:t>
      </w:r>
    </w:p>
    <w:p w14:paraId="1ACC5E4B">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3.1.13.4向发包人提供的办公和生活房屋及设施的要求： 详见补充条款相关规定。</w:t>
      </w:r>
    </w:p>
    <w:p w14:paraId="31C4F4F6">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3.1.13.5需承包人办理的有关施工场地交通、环卫和施工噪音管理等手续：由承包人办理并承担相关费用，发包人及监理配合。</w:t>
      </w:r>
    </w:p>
    <w:p w14:paraId="4B746840">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3.1.13.6已完工程成品保护的特殊要求及费用承担：已完工程包括项目范围内的专业分包工程、独立工程、公共事业工程以及先期完成移交给承包人的已完成部分工程。相关费用视为包含在合同价款中。现场承包人所有成品都需自行保护，如外墙涂料等，由于其他施工单位对承包范围内的成品破坏、损坏、污染，承包人应自行要求对方修复、赔偿，但不得由此而不让其他施工单位进行作业或故意拖延对破坏、损坏、污染部分的修复，也不得据此向发包人要求增加费用及顺延工期。</w:t>
      </w:r>
    </w:p>
    <w:p w14:paraId="2726FF03">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3.1.13.7施工场地周围地下管线和邻近建筑物、构筑物（含文物保护建筑）、古树名木的保护要求及费用承担：由承包人负责保护，（包括施工范围内的构筑物保护架等，如塔吊旋转范围内的建筑物、电线等的保护）费用包含在合同中。</w:t>
      </w:r>
    </w:p>
    <w:p w14:paraId="618CF96E">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3.1.13.8施工场地清洁卫生的要求：现场应随脏随清扫，确保现场每日至少</w:t>
      </w:r>
      <w:r>
        <w:rPr>
          <w:rFonts w:hint="eastAsia" w:ascii="宋体" w:hAnsi="宋体" w:eastAsia="宋体" w:cs="宋体"/>
          <w:kern w:val="0"/>
          <w:sz w:val="24"/>
          <w:szCs w:val="24"/>
          <w:highlight w:val="white"/>
          <w:u w:val="single"/>
        </w:rPr>
        <w:t xml:space="preserve"> 2 </w:t>
      </w:r>
      <w:r>
        <w:rPr>
          <w:rFonts w:hint="eastAsia" w:ascii="宋体" w:hAnsi="宋体" w:eastAsia="宋体" w:cs="宋体"/>
          <w:kern w:val="0"/>
          <w:sz w:val="24"/>
          <w:szCs w:val="24"/>
          <w:highlight w:val="white"/>
        </w:rPr>
        <w:t>名（视项目规模调整人数）专职保洁人员及达到招标要求的现场安全文明施工的要求。承包人应对现场场地清洁卫生施工全过程负责，包括总承包管理范围专业分包单位进场后对现场场地的清洁卫生管理。如现场有脏乱现象未及时清理，发包人有权直接委派他人进行现场清理及清洁卫生，包括建筑外及建筑内，发包人所委派清洁整理费用将按5元/㎡在工程款进行扣除。如材料未堆放整齐而又未在发包人要求的期限内整改的，发包人有权另行安排人整改，费用按5百元/人次/8小时进行计算，从工程款中扣除。如现场材料及卫生区域或垃圾投放人不能明显区分的，费用将由在该区域施工的所有施工单位进行平摊。所有扣除费用将从相应的工程款中永久性扣除。</w:t>
      </w:r>
    </w:p>
    <w:p w14:paraId="6DC2531A">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3.1.13.9施工现场应日常满足合同要求，如不满足要求（是否满足由发包人单方斟酌确定），现场秩序维护则由发包人指派单位负责监督，秩序维护内容为：现场大门的保安工作，施工现场文明施工检查，进入施工现场人员安全帽佩戴、工作证佩带等（具体内容详见：《现场秩序维护合同》，此合同由承包人与附件中载明的单位签定，发包人要求承包人签订该合同，承包人拒绝或拖延签订的，承包人须向发包人支付合同结算价0.4%的违约金，该违约金发包人有权从工程款中直接扣除），但不负责现场安全管理、现场材料设备保管等工作。</w:t>
      </w:r>
    </w:p>
    <w:p w14:paraId="49A095F0">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3.1.13.10</w:t>
      </w:r>
    </w:p>
    <w:p w14:paraId="7B1504A9">
      <w:pPr>
        <w:spacing w:line="360" w:lineRule="auto"/>
        <w:ind w:firstLine="480" w:firstLineChars="200"/>
        <w:rPr>
          <w:rFonts w:hint="eastAsia" w:ascii="宋体" w:hAnsi="宋体" w:eastAsia="宋体" w:cs="宋体"/>
          <w:color w:val="auto"/>
          <w:kern w:val="0"/>
          <w:sz w:val="24"/>
          <w:szCs w:val="24"/>
          <w:highlight w:val="white"/>
        </w:rPr>
      </w:pPr>
      <w:r>
        <w:rPr>
          <w:rFonts w:hint="eastAsia" w:ascii="宋体" w:hAnsi="宋体" w:eastAsia="宋体" w:cs="宋体"/>
          <w:color w:val="auto"/>
          <w:kern w:val="0"/>
          <w:sz w:val="24"/>
          <w:szCs w:val="24"/>
          <w:highlight w:val="white"/>
        </w:rPr>
        <w:t>土建、装修（含人防）专业的大面积施工前需进行样板或样板间的确认,包括但不限于粉刷、吊顶、地坪、管线布置、门窗安装、防水、外墙涂料、石材、保温、型材等，合同价款中已经包含至少做三次样板费用，工期中也包括了做三次样本的时间，具体要求如下：</w:t>
      </w:r>
    </w:p>
    <w:p w14:paraId="52AA7416">
      <w:pPr>
        <w:spacing w:line="360" w:lineRule="auto"/>
        <w:ind w:firstLine="480" w:firstLineChars="200"/>
        <w:rPr>
          <w:rFonts w:hint="eastAsia" w:ascii="宋体" w:hAnsi="宋体" w:eastAsia="宋体" w:cs="宋体"/>
          <w:color w:val="auto"/>
          <w:kern w:val="0"/>
          <w:sz w:val="24"/>
          <w:szCs w:val="24"/>
          <w:highlight w:val="white"/>
        </w:rPr>
      </w:pPr>
      <w:r>
        <w:rPr>
          <w:rFonts w:hint="eastAsia" w:ascii="宋体" w:hAnsi="宋体" w:eastAsia="宋体" w:cs="宋体"/>
          <w:color w:val="auto"/>
          <w:kern w:val="0"/>
          <w:sz w:val="24"/>
          <w:szCs w:val="24"/>
          <w:highlight w:val="white"/>
        </w:rPr>
        <w:t>a）土建（含人防）涂料：建筑的至少两个立面。</w:t>
      </w:r>
    </w:p>
    <w:p w14:paraId="4E3389DE">
      <w:pPr>
        <w:spacing w:line="360" w:lineRule="auto"/>
        <w:ind w:firstLine="480" w:firstLineChars="200"/>
        <w:rPr>
          <w:rFonts w:hint="eastAsia" w:ascii="宋体" w:hAnsi="宋体" w:eastAsia="宋体" w:cs="宋体"/>
          <w:color w:val="auto"/>
          <w:kern w:val="0"/>
          <w:sz w:val="24"/>
          <w:szCs w:val="24"/>
          <w:highlight w:val="white"/>
        </w:rPr>
      </w:pPr>
      <w:r>
        <w:rPr>
          <w:rFonts w:hint="eastAsia" w:ascii="宋体" w:hAnsi="宋体" w:eastAsia="宋体" w:cs="宋体"/>
          <w:color w:val="auto"/>
          <w:kern w:val="0"/>
          <w:sz w:val="24"/>
          <w:szCs w:val="24"/>
          <w:highlight w:val="white"/>
        </w:rPr>
        <w:t>b）栏杆：一个楼梯。</w:t>
      </w:r>
    </w:p>
    <w:p w14:paraId="7CD02788">
      <w:pPr>
        <w:spacing w:line="360" w:lineRule="auto"/>
        <w:ind w:firstLine="480" w:firstLineChars="200"/>
        <w:rPr>
          <w:rFonts w:hint="eastAsia" w:ascii="宋体" w:hAnsi="宋体" w:eastAsia="宋体" w:cs="宋体"/>
          <w:color w:val="auto"/>
          <w:kern w:val="0"/>
          <w:sz w:val="24"/>
          <w:szCs w:val="24"/>
          <w:highlight w:val="white"/>
        </w:rPr>
      </w:pPr>
      <w:r>
        <w:rPr>
          <w:rFonts w:hint="eastAsia" w:ascii="宋体" w:hAnsi="宋体" w:eastAsia="宋体" w:cs="宋体"/>
          <w:color w:val="auto"/>
          <w:kern w:val="0"/>
          <w:sz w:val="24"/>
          <w:szCs w:val="24"/>
          <w:highlight w:val="white"/>
        </w:rPr>
        <w:t>c）灯光：能看出照明效果。</w:t>
      </w:r>
    </w:p>
    <w:p w14:paraId="708E5353">
      <w:pPr>
        <w:spacing w:line="360" w:lineRule="auto"/>
        <w:ind w:firstLine="480" w:firstLineChars="200"/>
        <w:rPr>
          <w:rFonts w:hint="eastAsia" w:ascii="宋体" w:hAnsi="宋体" w:eastAsia="宋体" w:cs="宋体"/>
          <w:color w:val="auto"/>
          <w:kern w:val="0"/>
          <w:sz w:val="24"/>
          <w:szCs w:val="24"/>
          <w:highlight w:val="white"/>
        </w:rPr>
      </w:pPr>
      <w:r>
        <w:rPr>
          <w:rFonts w:hint="eastAsia" w:ascii="宋体" w:hAnsi="宋体" w:eastAsia="宋体" w:cs="宋体"/>
          <w:color w:val="auto"/>
          <w:kern w:val="0"/>
          <w:sz w:val="24"/>
          <w:szCs w:val="24"/>
          <w:highlight w:val="white"/>
        </w:rPr>
        <w:t>d）门窗配合上述立面涂料同步实施。</w:t>
      </w:r>
    </w:p>
    <w:p w14:paraId="740DE154">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3.1.13.11 材料封样</w:t>
      </w:r>
    </w:p>
    <w:p w14:paraId="45EBF5C1">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卷材、石材、型材、瓷砖、机电管材、线材、电器元器件等按建设单位、监理单位要求封样的材料清单提供样品并封样。送样品供确认的所有费用均包含在合同价款内。</w:t>
      </w:r>
    </w:p>
    <w:p w14:paraId="2187CD23">
      <w:pPr>
        <w:spacing w:line="360" w:lineRule="auto"/>
        <w:ind w:firstLine="480" w:firstLineChars="200"/>
        <w:rPr>
          <w:rFonts w:hint="eastAsia" w:ascii="宋体" w:hAnsi="宋体" w:eastAsia="宋体" w:cs="宋体"/>
          <w:kern w:val="0"/>
          <w:sz w:val="24"/>
          <w:szCs w:val="24"/>
          <w:highlight w:val="white"/>
        </w:rPr>
      </w:pPr>
    </w:p>
    <w:p w14:paraId="5201F009">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3.1.14、承包人应完成的其他工作如下：</w:t>
      </w:r>
    </w:p>
    <w:p w14:paraId="2266BE01">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3.1.14.1工地</w:t>
      </w:r>
    </w:p>
    <w:p w14:paraId="5F15484D">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a施工场地为工地红线以内。红线以外承包人自行安排的临时用地的破除与恢复由承包人负责并承担费用。</w:t>
      </w:r>
    </w:p>
    <w:p w14:paraId="36187319">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b工地的出入口由承包人及发包人协商确定，须依循当地的规定。因工程施工程序和进度或政府相关部门的要求须对出入口的大小及位置等作出改动的及施工结束后临时出入口市政道路、绿化、铺装、管线等设施恢复所需的费用由承包人负责。</w:t>
      </w:r>
    </w:p>
    <w:p w14:paraId="0B1232CD">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c在整个合同期内，承包人必须根据当地政府主管部门或发包人的要求来使用与保养道路，造成损坏及维修所需的费用由承包人负责。</w:t>
      </w:r>
    </w:p>
    <w:p w14:paraId="1766F1D2">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3.1.14.2视察现场</w:t>
      </w:r>
    </w:p>
    <w:p w14:paraId="668F73E4">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承包人在投标期间应视为已经视察现场，并使自己熟悉施工现场及周围地形、地貌、水文、地质、交通道路、地下管线等情况，仔细检查现有的建筑及可作为存储和施工用途的空间，调查了解施工中必须拆除或挖除建、构筑物、障碍物及任何其他可能影响承包价以及工期的情况。除无法查勘、预见及相关勘探、地质报告未记载的地下障碍，承包人在投标时已经充分考虑以上情况对于承包价以及工期的影响。投标书中的“措施项目清单”及“其他项目清单”内所列费用视为已包含了所有现场条件和预计了可能发生的异常情况的费用。承包人不会因忽视或误解工地情况而取得费用索赔或工期延长。</w:t>
      </w:r>
    </w:p>
    <w:p w14:paraId="1A8E167A">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3.1.14.3核实、检查</w:t>
      </w:r>
    </w:p>
    <w:p w14:paraId="767A9A6D">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a承包人作为具有充分工程施工知识和充分工程施工经验的专业施工单位，在按设计文件施工时，应在应有的专业高度上对于施工设计文件尽谨慎的、尽职的、忠实的审查和研判，并在判断设计文件有缺陷时，及时报告并提交解决方案提交给发包人及监理单位工程师，由监理单位工程师签署书面意见后，交发包人工程师审定，审定结果由监理单位工程师及时转交承包人实施。如发包人在承包人提出报告后，仍坚持按原设计施工，承包人应予以执行，但因此而产生的后果，承包人不负责任。</w:t>
      </w:r>
    </w:p>
    <w:p w14:paraId="6DC812F0">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b承包人使用施工图时，须优先使用施工图上标明的尺寸而不是用比例尺去量度。在开展任何工作或订购任何物料前，承包人须核实施工图上标明的所有尺寸与现场的实际尺寸是否相符，并审核图与图、图与规范之间有没有不符，若发现有任何偏差，必须立即以书面形式通知发包人，由发包人给予指示。发包人的任何指示皆不会免除或减轻承包人按合同文件所承担的义务与责任。发包人不负责承包人未充分地审核施工图而导致的物料的损耗、费用的增加、工作或工程进度的延误。</w:t>
      </w:r>
    </w:p>
    <w:p w14:paraId="4F865527">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c承包人须在工程开始前按施工图纸核实所有地面标高，负责测量和定位工作，做好工程的施工日记、分项工程施工原始记录；承包人须承担因更正自已不准确定位或事先未有核实尺寸或标高所引起的错误而引致的费用的损失和工期的延误以及由此给发包人造成的损失的责任。</w:t>
      </w:r>
    </w:p>
    <w:p w14:paraId="6E52EF3D">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d承包人应在工程开工前检查与本工程施工有关的已由其他人完成的工程项目，并承诺已在开工前充分掌握其位置、标高以及会影响本工程或与本工程有关的一切技术参数和客观情况，若以上已完成的工程有错误、不符合本工程的需要或影响本工程的实施，承包人应在开工前立即书面通知发包人，否则即被认为承包人已经对已完工程表示认可。承包人认可以上的技术参数和客观情况并认为不会对本工程的事实产生任何的不利影响。开工前未通知开工后发生的相关问题，由承包人自行解决并承担相应的费用，工期不予延长。</w:t>
      </w:r>
    </w:p>
    <w:p w14:paraId="582BAFA5">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3.1.14.4接收工地</w:t>
      </w:r>
    </w:p>
    <w:p w14:paraId="10469A49">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a承包人按照发包人通知接收工地，承包人须在该通知上注明的日期按时接收。</w:t>
      </w:r>
    </w:p>
    <w:p w14:paraId="789031C7">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b承包人已充分了解并接受在进场日期当天的现场实况，并不得以任何籍口拒绝进场或提出任何费用索赔及其他要求。承包人应在合同签订完成十日内进场，否则视为违约，甲方可对乙方每延迟一日罚款一万元的处罚。甲方有权解除合同并追究乙方因延误进场带来相关损失及赔偿。</w:t>
      </w:r>
    </w:p>
    <w:p w14:paraId="7FDB3147">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c承包人在接收工地后，须全面检查工地上所有现有的临时建筑物、构筑物、水电供应设施、排水设施、保安设施等，在需要时及发包人同意的情况下维修、加固、改建、拆除及重建，以确保其稳固、安全及适用。</w:t>
      </w:r>
    </w:p>
    <w:p w14:paraId="4DD60CAC">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d承包人在接收整个工地后，须在发包人的指示下管理整个工地，包括保安、防火、安全、场地分配进出口安排、临时道路、临时工作台、厕所、水电供应等之工作。</w:t>
      </w:r>
    </w:p>
    <w:p w14:paraId="3D2416E8">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3.1.14.5对于项目内的独立工程，承包人须在发包人的指示下安排指导各有关事宜尤其是场地的分配、工地内交通安排、施工工序等。</w:t>
      </w:r>
    </w:p>
    <w:p w14:paraId="35E0D7E5">
      <w:pPr>
        <w:spacing w:line="360" w:lineRule="auto"/>
        <w:ind w:firstLine="480" w:firstLineChars="200"/>
        <w:rPr>
          <w:rFonts w:hint="eastAsia" w:ascii="宋体" w:hAnsi="宋体" w:eastAsia="宋体" w:cs="宋体"/>
          <w:color w:val="auto"/>
          <w:kern w:val="0"/>
          <w:sz w:val="24"/>
          <w:szCs w:val="24"/>
          <w:highlight w:val="white"/>
        </w:rPr>
      </w:pPr>
      <w:r>
        <w:rPr>
          <w:rFonts w:hint="eastAsia" w:ascii="宋体" w:hAnsi="宋体" w:eastAsia="宋体" w:cs="宋体"/>
          <w:color w:val="auto"/>
          <w:kern w:val="0"/>
          <w:sz w:val="24"/>
          <w:szCs w:val="24"/>
          <w:highlight w:val="white"/>
        </w:rPr>
        <w:t>3.1.14.6工程价款中已经包含或视为包含临时设施（包括但不限于硬化场地、临时便道、临时围墙等）的搭建和拆除工作以及建筑与生活垃圾的清理外运工作的费用，承包人未履行的以上义务的，发包人有权从工程价款中按实扣除相应费用。</w:t>
      </w:r>
    </w:p>
    <w:p w14:paraId="59C2BA9D">
      <w:pPr>
        <w:spacing w:line="360" w:lineRule="auto"/>
        <w:ind w:firstLine="480" w:firstLineChars="200"/>
        <w:rPr>
          <w:rFonts w:hint="eastAsia" w:ascii="宋体" w:hAnsi="宋体" w:eastAsia="宋体" w:cs="宋体"/>
          <w:color w:val="auto"/>
          <w:kern w:val="0"/>
          <w:sz w:val="24"/>
          <w:szCs w:val="24"/>
          <w:highlight w:val="white"/>
        </w:rPr>
      </w:pPr>
      <w:r>
        <w:rPr>
          <w:rFonts w:hint="eastAsia" w:ascii="宋体" w:hAnsi="宋体" w:eastAsia="宋体" w:cs="宋体"/>
          <w:color w:val="auto"/>
          <w:kern w:val="0"/>
          <w:sz w:val="24"/>
          <w:szCs w:val="24"/>
          <w:highlight w:val="white"/>
        </w:rPr>
        <w:t>3.1.14.7承包人履行本款（3.1款）义务的费用已经包含或视为包含在合同价款中。</w:t>
      </w:r>
    </w:p>
    <w:p w14:paraId="32C1E224">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3.1.14.8发包人、监理单位以及相关部门对于承包人任何文件、请示的批准、许可、备案、审查、修改均不会减轻或免除承包人根据法律规定以及合同约定所应承担的义务和责任。</w:t>
      </w:r>
    </w:p>
    <w:p w14:paraId="25541C52">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3.1.14.9非承包人原因造成的而导致的物料的损耗、费用的增加、工作或工程进度的延误，如果由于发包人原因引起应由发包人承担；但由第三方引起的，应由承包人向第三方主张，发包人可以参与协调，但发包人不承担相关费用，工期也不予顺延。</w:t>
      </w:r>
    </w:p>
    <w:p w14:paraId="546FCA91">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3.1.14.10应按合同附件（工程项目廉政协议）确保双方廉政的要求执行。</w:t>
      </w:r>
    </w:p>
    <w:p w14:paraId="3F3A68DF">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3.1.14.11每月报告</w:t>
      </w:r>
    </w:p>
    <w:p w14:paraId="3BB2BE31">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承包人应要求在每月25日提供如下计划、报表一式五份：</w:t>
      </w:r>
    </w:p>
    <w:p w14:paraId="6A4605BF">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下月资金使用计划（时间从本月25日至下月25日）。</w:t>
      </w:r>
    </w:p>
    <w:p w14:paraId="7342ADD3">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下月进度计划（时间从本月25日至下月25日）。</w:t>
      </w:r>
    </w:p>
    <w:p w14:paraId="0C82A5A7">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本月实际完成进度报表（注明提前或拖延原因，时间从上月25日至本月25日）。</w:t>
      </w:r>
    </w:p>
    <w:p w14:paraId="62C18917">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本月质量、安全情况通报（时间从上月25日至本月25日）。</w:t>
      </w:r>
    </w:p>
    <w:p w14:paraId="4537C23B">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本月工作量申报（时间从上月25日至本月25日）。</w:t>
      </w:r>
    </w:p>
    <w:p w14:paraId="316134D4">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3.1.14.12每周报告</w:t>
      </w:r>
    </w:p>
    <w:p w14:paraId="5947F551">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承包人须按周向发包人及其监理单位提交报告，详细说明工程(包括专业分包工程)的进度、需要的资料及要求的工期延长等。报告内要列明与进度计划表偏差的地方，提出实际及预期延误的理由，并提出具体的补救措施。</w:t>
      </w:r>
    </w:p>
    <w:p w14:paraId="024CC93D">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3.1.15关于发包人供应材料设备增加以下内容：（无甲供材除外）</w:t>
      </w:r>
    </w:p>
    <w:p w14:paraId="7C913023">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a发包人供应的材料设备，承包人须按照发包人供应材料设备的一览表约定的时间组织发包人工程师及监理单位工程师在材料设备到达指定的接收地点当日开箱清点和验收，有数量不符、破损、不合规格的，应立即通知发包人并安排补足、替换。这些材料设备经清点和验收或测试合格后，承包人须出具书面的验收及接收证明给供应单位，接收后承包人须对接收材料的数量和质量负责并自费承担保管责任，承包人出具验收及接收证明后，如材料设备有任何不符、受损坏、缺失等均由承包人自费补充。</w:t>
      </w:r>
    </w:p>
    <w:p w14:paraId="4AB341C2">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b发包人供应的材料设备将由发包人委托的供应单位送到工地(地面层)或发包人与承包人协商确定的中转场地(地面层)。到货后，承包人须负责卸货、储存、堆放、由中转场地至工地的二次搬运、从储存点运至安装点及安装。</w:t>
      </w:r>
    </w:p>
    <w:p w14:paraId="09EADB6F">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c发包人供应材料设备的付款，发包人将直接向供应单位支付，但承包人对该应付款材料的数量、规格、型号和质量有签字认可权。若没有承包人的确认意见，发包人将不予支付价款。</w:t>
      </w:r>
    </w:p>
    <w:p w14:paraId="07AAA2E1">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d供应单位只会负责按设计图纸计算之净量加上合同规定的损耗的供应数量，如承包人实际的需求数量超出此数量，则承包人须负责超出部分之费用。</w:t>
      </w:r>
    </w:p>
    <w:p w14:paraId="7AF1C52C">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 xml:space="preserve">3.1.16承包人采购材料设备 </w:t>
      </w:r>
    </w:p>
    <w:p w14:paraId="58A10CEF">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承包人需要使用代用材料时，应经监理单位工程师审查后报发包人工程师书面批准可后才能使用，批准应以书面形式发出，否则无效。承包人应保证批准的建议不会增加费用，否则即使建议得到发包人批准，增加的费用也应当由承包人承担。若有费用减少，则减少的费用将从合同价款中扣除。发包人的任何批准或不批准皆不会免除或减轻承包人按合同文件所承担的义务与责任。</w:t>
      </w:r>
    </w:p>
    <w:p w14:paraId="2B7045AB">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发包人有权发出指令要求本工程所用之部分材料由发包人直接供应。</w:t>
      </w:r>
    </w:p>
    <w:p w14:paraId="7DF81545">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3.1.16承包人供应材料设备的补充约定</w:t>
      </w:r>
    </w:p>
    <w:p w14:paraId="04DD2E68">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3.1.16.1对于发包人已提出采购要求的材料设备：承包人在收到中标通知书7天内，需按发包人招标材料样板及招标材料的品牌、规格、质量标准等要求提供拟用于本工程的封样材料样本，承包人不得以价格或其它理由提出变更。如承包人连续两次报送不合格样本，发包人有权要求承包人支付1万元～5万元违约金。</w:t>
      </w:r>
    </w:p>
    <w:p w14:paraId="46DB79E4">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3.1.16.2承包人供应的材料、设备，承包人必须在实施采购四周前，向监理单位工程师提供该材料设备的规格、牌号、型号、价格等信息和样品，经监理单位工程师审查符合设计单位和发包人的要求后，上报发包人工程师确定认可方可购买。</w:t>
      </w:r>
    </w:p>
    <w:p w14:paraId="3263DFD1">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若承包人提供的材料设备在规定的报批时间内，经二次审核不能满足设计单位和发包人的要求，发包人保留对此材料设备的指定采购的权利，相关费用将按照发包人采购价或中标价或标底预算价三者之中价格最高项从合同价款中扣除，且承包人需负责该材料设备的采购、运输、装卸及保管的责任。</w:t>
      </w:r>
    </w:p>
    <w:p w14:paraId="04AE5910">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3.1.16.3主材：承包人在施工中所采用的主材应经发包人确认后方可投入施工，实际采购价高于中标价的，价格不调整。承包人应向发包人提供材料与匹配的样本并封样，封样材料与配件必须附上质量保证书,封样的样本作为履行合同的依据。非发包人书面要求更改主材，实际采购价高于中标价的，价格不调整。</w:t>
      </w:r>
    </w:p>
    <w:p w14:paraId="3106CC85">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3.1.16.4辅材：承包人在施工中所采用的材料应经发包人确认后方可投入施工。承包人应向发包人提供材料与配件的样本并封样，封样材料与配件必须附上质量保证书，封样的样本作为履行合同的依据。</w:t>
      </w:r>
    </w:p>
    <w:p w14:paraId="2A03CC0A">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3.1.16.5设备：承包人在施工中所采用的设备应经发包人确认后方可投入施工。</w:t>
      </w:r>
    </w:p>
    <w:p w14:paraId="55553F8D">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3.1.16.6承包人须将经发包人认可的样本、样品保存在工地，作为以后验收工程的标准。</w:t>
      </w:r>
    </w:p>
    <w:p w14:paraId="11FB0002">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发包人对任何样本、样品之认可，并不会免除或减轻承包人按合同文件所承担的义务与责任。</w:t>
      </w:r>
    </w:p>
    <w:p w14:paraId="629878F9">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3.1.16.7对所有进口材料、设备，承包人必须提供商检海关手续原件及其它有效证明文件（如贸易合同﹑进口发票﹑提单﹑装箱单﹑报关单﹑产地来源证﹑品质说明书等）予发包人，并联络海关会同发包人工程师及监理单位工程师代表当场开箱审慎检验和清点验收（发包人工程师及监理单位工程师未到或无法到场验收的，承包人应当自行检验和验收并对该检验和验收结果负责），以确保材料设备符合安装﹑调试的有关要求，并获取进出口商品检验局进口设备同意安装通知书原件﹐保证此等进口材料设备的合法性，避免走私及伪劣产品给发包人带来不必要的损失。</w:t>
      </w:r>
      <w:bookmarkEnd w:id="304"/>
    </w:p>
    <w:p w14:paraId="6F2BAF80">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3.2 项目经理</w:t>
      </w:r>
    </w:p>
    <w:p w14:paraId="24FE3CE1">
      <w:pPr>
        <w:spacing w:line="360" w:lineRule="auto"/>
        <w:ind w:firstLine="480" w:firstLineChars="200"/>
        <w:rPr>
          <w:rFonts w:hint="eastAsia" w:ascii="宋体" w:hAnsi="宋体" w:eastAsia="宋体" w:cs="宋体"/>
          <w:sz w:val="24"/>
          <w:szCs w:val="24"/>
        </w:rPr>
      </w:pPr>
      <w:r>
        <w:rPr>
          <w:rFonts w:hint="eastAsia" w:ascii="宋体" w:hAnsi="宋体" w:eastAsia="宋体" w:cs="宋体"/>
          <w:kern w:val="0"/>
          <w:sz w:val="24"/>
          <w:szCs w:val="24"/>
          <w:highlight w:val="white"/>
        </w:rPr>
        <w:t xml:space="preserve">3.2.1 </w:t>
      </w:r>
      <w:r>
        <w:rPr>
          <w:rFonts w:hint="eastAsia" w:ascii="宋体" w:hAnsi="宋体" w:eastAsia="宋体" w:cs="宋体"/>
          <w:sz w:val="24"/>
          <w:szCs w:val="24"/>
          <w:highlight w:val="white"/>
        </w:rPr>
        <w:t>项目经理：</w:t>
      </w:r>
    </w:p>
    <w:p w14:paraId="5974101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姓    名：</w:t>
      </w:r>
      <w:bookmarkStart w:id="305" w:name="EB5bb50edab5204af3b3f054b2c1109d55"/>
      <w:bookmarkEnd w:id="305"/>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248BF882">
      <w:pPr>
        <w:spacing w:line="360" w:lineRule="auto"/>
        <w:ind w:firstLine="480" w:firstLineChars="200"/>
        <w:rPr>
          <w:rFonts w:hint="eastAsia" w:ascii="宋体" w:hAnsi="宋体" w:cs="宋体"/>
          <w:color w:val="auto"/>
          <w:sz w:val="24"/>
          <w:szCs w:val="24"/>
        </w:rPr>
      </w:pPr>
      <w:r>
        <w:rPr>
          <w:rFonts w:hint="eastAsia" w:ascii="宋体" w:hAnsi="宋体" w:eastAsia="宋体" w:cs="宋体"/>
          <w:color w:val="auto"/>
          <w:sz w:val="24"/>
          <w:szCs w:val="24"/>
          <w:highlight w:val="white"/>
        </w:rPr>
        <w:t>身份证号：</w:t>
      </w:r>
      <w:bookmarkStart w:id="306" w:name="EB490d47343c4c4beb85b44a53ac3961a0"/>
      <w:bookmarkEnd w:id="306"/>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7C93741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建造师执业资格等级：</w:t>
      </w:r>
      <w:bookmarkStart w:id="307" w:name="EBe8c4bfc0e0714271bbe0303616eb5c51"/>
      <w:bookmarkEnd w:id="307"/>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135D46D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建造师注册证书号：</w:t>
      </w:r>
      <w:bookmarkStart w:id="308" w:name="EBfccf8a487c184de4983c51691bfed087"/>
      <w:bookmarkEnd w:id="308"/>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707348B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建造师执业印章号：</w:t>
      </w:r>
      <w:bookmarkStart w:id="309" w:name="EB6f29a828adff4f249580d4419a998ce1"/>
      <w:bookmarkEnd w:id="309"/>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kern w:val="0"/>
          <w:sz w:val="24"/>
          <w:szCs w:val="24"/>
          <w:u w:val="single"/>
        </w:rPr>
        <w:t>/</w:t>
      </w:r>
      <w:r>
        <w:rPr>
          <w:rFonts w:hint="eastAsia" w:ascii="宋体" w:hAnsi="宋体" w:eastAsia="宋体" w:cs="宋体"/>
          <w:color w:val="auto"/>
          <w:sz w:val="24"/>
          <w:szCs w:val="24"/>
          <w:highlight w:val="white"/>
          <w:u w:val="single"/>
        </w:rPr>
        <w:t xml:space="preserve">         </w:t>
      </w:r>
      <w:r>
        <w:rPr>
          <w:rFonts w:hint="eastAsia" w:ascii="宋体" w:hAnsi="宋体" w:eastAsia="宋体" w:cs="宋体"/>
          <w:color w:val="auto"/>
          <w:sz w:val="24"/>
          <w:szCs w:val="24"/>
          <w:highlight w:val="white"/>
        </w:rPr>
        <w:t>；</w:t>
      </w:r>
    </w:p>
    <w:p w14:paraId="7B9066B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安全生产考核合格证书号：</w:t>
      </w:r>
      <w:bookmarkStart w:id="310" w:name="EB59ae3f5004fa4784baa024bd54e1e41c"/>
      <w:bookmarkEnd w:id="310"/>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6840281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联系电话：</w:t>
      </w:r>
      <w:bookmarkStart w:id="311" w:name="EB183a51b3a3bf4e6282b169352e320fa4"/>
      <w:bookmarkEnd w:id="311"/>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23BB861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电子信箱：</w:t>
      </w:r>
      <w:bookmarkStart w:id="312" w:name="EB0fb3d9c139a44666922c2b69f367ea13"/>
      <w:bookmarkEnd w:id="312"/>
      <w:r>
        <w:rPr>
          <w:rFonts w:hint="eastAsia" w:ascii="宋体" w:hAnsi="宋体" w:eastAsia="宋体" w:cs="宋体"/>
          <w:sz w:val="24"/>
          <w:szCs w:val="24"/>
          <w:highlight w:val="white"/>
          <w:u w:val="single"/>
        </w:rPr>
        <w:t xml:space="preserve">         </w:t>
      </w:r>
      <w:r>
        <w:rPr>
          <w:rFonts w:hint="eastAsia" w:ascii="宋体" w:hAnsi="宋体" w:eastAsia="宋体" w:cs="宋体"/>
          <w:kern w:val="0"/>
          <w:sz w:val="24"/>
          <w:szCs w:val="24"/>
          <w:u w:val="single"/>
        </w:rPr>
        <w:t>/</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p>
    <w:p w14:paraId="099B1C1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通信地址：</w:t>
      </w:r>
      <w:bookmarkStart w:id="313" w:name="EB7e05c994ccd24d8fa844ad5264a79281"/>
      <w:bookmarkEnd w:id="313"/>
      <w:r>
        <w:rPr>
          <w:rFonts w:hint="eastAsia" w:ascii="宋体" w:hAnsi="宋体" w:eastAsia="宋体" w:cs="宋体"/>
          <w:sz w:val="24"/>
          <w:szCs w:val="24"/>
          <w:highlight w:val="white"/>
          <w:u w:val="single"/>
        </w:rPr>
        <w:t xml:space="preserve">          </w:t>
      </w:r>
      <w:r>
        <w:rPr>
          <w:rFonts w:hint="eastAsia" w:ascii="宋体" w:hAnsi="宋体" w:eastAsia="宋体" w:cs="宋体"/>
          <w:kern w:val="0"/>
          <w:sz w:val="24"/>
          <w:szCs w:val="24"/>
          <w:u w:val="single"/>
        </w:rPr>
        <w:t>/</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p>
    <w:p w14:paraId="073F015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承包人对项目经理的授权范围如下：</w:t>
      </w:r>
      <w:bookmarkStart w:id="314" w:name="EB91ae455537c843e6aa2711a1d68d29f6"/>
      <w:bookmarkEnd w:id="314"/>
      <w:r>
        <w:rPr>
          <w:rFonts w:hint="eastAsia" w:ascii="宋体" w:hAnsi="宋体" w:eastAsia="宋体" w:cs="宋体"/>
          <w:sz w:val="24"/>
          <w:szCs w:val="24"/>
          <w:highlight w:val="white"/>
          <w:u w:val="single"/>
        </w:rPr>
        <w:t xml:space="preserve">          </w:t>
      </w:r>
      <w:r>
        <w:rPr>
          <w:rFonts w:hint="eastAsia" w:ascii="宋体" w:hAnsi="宋体" w:eastAsia="宋体" w:cs="宋体"/>
          <w:kern w:val="0"/>
          <w:sz w:val="24"/>
          <w:szCs w:val="24"/>
          <w:u w:val="single"/>
        </w:rPr>
        <w:t>/</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p>
    <w:p w14:paraId="12A8FCD9">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3.2.2关于项目经理每月在施工现场的时间要求：</w:t>
      </w:r>
    </w:p>
    <w:p w14:paraId="2E38F8D6">
      <w:pPr>
        <w:spacing w:line="360" w:lineRule="auto"/>
        <w:ind w:firstLine="480" w:firstLineChars="200"/>
        <w:rPr>
          <w:rFonts w:hint="eastAsia" w:ascii="宋体" w:hAnsi="宋体" w:eastAsia="宋体" w:cs="宋体"/>
          <w:kern w:val="0"/>
          <w:sz w:val="24"/>
          <w:szCs w:val="24"/>
        </w:rPr>
      </w:pPr>
      <w:bookmarkStart w:id="315" w:name="EBeee018cd35ef43d990a672658778b19e"/>
      <w:r>
        <w:rPr>
          <w:rFonts w:hint="eastAsia" w:ascii="宋体" w:hAnsi="宋体" w:eastAsia="宋体" w:cs="宋体"/>
          <w:kern w:val="0"/>
          <w:sz w:val="24"/>
          <w:szCs w:val="24"/>
          <w:highlight w:val="white"/>
        </w:rPr>
        <w:t>承包人项目经理应每天在施工现场不少于8小时，项目经理若工作期间离开本工程现场超过1天须事先向监理单位工程师、项目管理公司派驻代表（如有）、发包人工程师书面请假，且得到三方签字同意后方可离开。否则，按违约计，每发生一次，承包人应向发包人支付2万元的违约金。到场项目经理必须与投标文件以及合同上上记载项目经理一致，在未得发包人书面同意前不能更换。如果发现属挂靠性质，发包人有权单方解除合同，且承包人应按照合同约定赔偿因此导致的发包人经济损失。</w:t>
      </w:r>
    </w:p>
    <w:bookmarkEnd w:id="315"/>
    <w:p w14:paraId="64512F30">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承包人未提交劳动合同，以及没有为项目经理缴纳社会保险证明的违约责任：</w:t>
      </w:r>
    </w:p>
    <w:p w14:paraId="0F46BB0F">
      <w:pPr>
        <w:spacing w:line="360" w:lineRule="auto"/>
        <w:ind w:firstLine="480" w:firstLineChars="200"/>
        <w:rPr>
          <w:rFonts w:hint="eastAsia" w:ascii="宋体" w:hAnsi="宋体" w:eastAsia="宋体" w:cs="宋体"/>
          <w:sz w:val="24"/>
          <w:szCs w:val="24"/>
          <w:u w:val="single"/>
        </w:rPr>
      </w:pPr>
      <w:bookmarkStart w:id="316" w:name="EB1455796331c54bb88555685a000960d4"/>
      <w:r>
        <w:rPr>
          <w:rFonts w:hint="eastAsia" w:ascii="宋体" w:hAnsi="宋体" w:eastAsia="宋体" w:cs="宋体"/>
          <w:kern w:val="0"/>
          <w:sz w:val="24"/>
          <w:szCs w:val="24"/>
          <w:highlight w:val="white"/>
        </w:rPr>
        <w:t>必须按句容市住房与城乡建设局相关规定执行，如发包人发现或核实信息有虚假，则发包人有权单方解除合同，并按专用合同条款16.2.3条约定执行。</w:t>
      </w:r>
      <w:bookmarkEnd w:id="316"/>
    </w:p>
    <w:p w14:paraId="5D78F44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项目经理未经批准，擅自离开施工现场的违约责任：</w:t>
      </w:r>
    </w:p>
    <w:p w14:paraId="1EBD907B">
      <w:pPr>
        <w:spacing w:line="360" w:lineRule="auto"/>
        <w:ind w:firstLine="480" w:firstLineChars="200"/>
        <w:rPr>
          <w:rFonts w:hint="eastAsia" w:ascii="宋体" w:hAnsi="宋体" w:eastAsia="宋体" w:cs="宋体"/>
          <w:sz w:val="24"/>
          <w:szCs w:val="24"/>
          <w:u w:val="single"/>
        </w:rPr>
      </w:pPr>
      <w:bookmarkStart w:id="317" w:name="EB14bc8176bf6644c4add527302193c651"/>
      <w:r>
        <w:rPr>
          <w:rFonts w:hint="eastAsia" w:ascii="宋体" w:hAnsi="宋体" w:eastAsia="宋体" w:cs="宋体"/>
          <w:kern w:val="0"/>
          <w:sz w:val="24"/>
          <w:szCs w:val="24"/>
          <w:highlight w:val="white"/>
        </w:rPr>
        <w:t>项目经理若工作期间离开本工程现场超过1天须事先向监理单位工程师、项目管理公司派驻代表（如有）、发包人工程师书面请假，且得到三方签字同意后方可离开。否则，按违约计，每发生一次，承包人应向发包人支付2万元的违约金 。</w:t>
      </w:r>
      <w:bookmarkEnd w:id="317"/>
    </w:p>
    <w:p w14:paraId="5CD2738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3.2.3 承包人擅自更换项目经理的违约责任：</w:t>
      </w:r>
    </w:p>
    <w:p w14:paraId="09618FCF">
      <w:pPr>
        <w:spacing w:line="360" w:lineRule="auto"/>
        <w:ind w:firstLine="480" w:firstLineChars="200"/>
        <w:rPr>
          <w:rFonts w:hint="eastAsia" w:ascii="宋体" w:hAnsi="宋体" w:eastAsia="宋体" w:cs="宋体"/>
          <w:sz w:val="24"/>
          <w:szCs w:val="24"/>
        </w:rPr>
      </w:pPr>
      <w:bookmarkStart w:id="318" w:name="EBe45b79f8a8a147b2a576cac9665fc30d"/>
      <w:r>
        <w:rPr>
          <w:rFonts w:hint="eastAsia" w:ascii="宋体" w:hAnsi="宋体" w:eastAsia="宋体" w:cs="宋体"/>
          <w:sz w:val="24"/>
          <w:szCs w:val="24"/>
          <w:highlight w:val="white"/>
        </w:rPr>
        <w:t>到场项目经理必须与投标文件以及合同上记载项目经理一致，在未得发包人书面同意前不能更换。如果发现属挂靠性质，发包人有权单方解除合同，并按专用合同条款16.2.3条约定执行。</w:t>
      </w:r>
      <w:bookmarkEnd w:id="318"/>
    </w:p>
    <w:p w14:paraId="2D853A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3.2.4 承包人无正当理由拒绝更换项目经理的违约责任：</w:t>
      </w:r>
    </w:p>
    <w:p w14:paraId="51B95C06">
      <w:pPr>
        <w:spacing w:line="360" w:lineRule="auto"/>
        <w:ind w:firstLine="480" w:firstLineChars="200"/>
        <w:rPr>
          <w:rFonts w:hint="eastAsia" w:ascii="宋体" w:hAnsi="宋体" w:eastAsia="宋体" w:cs="宋体"/>
          <w:sz w:val="24"/>
          <w:szCs w:val="24"/>
          <w:highlight w:val="white"/>
        </w:rPr>
      </w:pPr>
      <w:bookmarkStart w:id="319" w:name="EB7288427fef464056936691353ebbd123"/>
      <w:bookmarkEnd w:id="319"/>
      <w:r>
        <w:rPr>
          <w:rFonts w:hint="eastAsia" w:ascii="宋体" w:hAnsi="宋体" w:eastAsia="宋体" w:cs="宋体"/>
          <w:sz w:val="24"/>
          <w:szCs w:val="24"/>
          <w:highlight w:val="white"/>
        </w:rPr>
        <w:t>发包人有权单方解除合同，并按专用合同条款16.2.3条约定执行。</w:t>
      </w:r>
    </w:p>
    <w:p w14:paraId="09456F39">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3.3 承包人人员</w:t>
      </w:r>
    </w:p>
    <w:p w14:paraId="49A7DDF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3.3.1 承包人提交项目管理机构及施工现场管理人员安排报告的期限：</w:t>
      </w:r>
      <w:r>
        <w:rPr>
          <w:rFonts w:hint="eastAsia" w:ascii="宋体" w:hAnsi="宋体" w:eastAsia="宋体" w:cs="宋体"/>
          <w:sz w:val="24"/>
          <w:szCs w:val="24"/>
        </w:rPr>
        <w:t>按通用条款执行。</w:t>
      </w:r>
    </w:p>
    <w:p w14:paraId="2039AD6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3.3.3 承包人无正当理由拒绝撤换主要施工管理人员的违约责任：</w:t>
      </w:r>
    </w:p>
    <w:p w14:paraId="48657267">
      <w:pPr>
        <w:spacing w:line="360" w:lineRule="auto"/>
        <w:ind w:firstLine="480" w:firstLineChars="200"/>
        <w:rPr>
          <w:rFonts w:hint="eastAsia" w:ascii="宋体" w:hAnsi="宋体" w:eastAsia="宋体" w:cs="宋体"/>
          <w:sz w:val="24"/>
          <w:szCs w:val="24"/>
        </w:rPr>
      </w:pPr>
      <w:bookmarkStart w:id="320" w:name="EB4993d135e65141fb940bf8a9334bfb71"/>
      <w:bookmarkEnd w:id="320"/>
      <w:r>
        <w:rPr>
          <w:rFonts w:hint="eastAsia" w:ascii="宋体" w:hAnsi="宋体" w:eastAsia="宋体" w:cs="宋体"/>
          <w:sz w:val="24"/>
          <w:szCs w:val="24"/>
          <w:highlight w:val="white"/>
          <w:u w:val="single"/>
        </w:rPr>
        <w:t>发包人有权单方解除合同，并按专用合同条款16.2.3条约定执行</w:t>
      </w:r>
      <w:r>
        <w:rPr>
          <w:rFonts w:hint="eastAsia" w:ascii="宋体" w:hAnsi="宋体" w:eastAsia="宋体" w:cs="宋体"/>
          <w:sz w:val="24"/>
          <w:szCs w:val="24"/>
          <w:highlight w:val="white"/>
        </w:rPr>
        <w:t>。</w:t>
      </w:r>
    </w:p>
    <w:p w14:paraId="1AB0F25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3.3.4 承包人主要施工管理人员离开施工现场的批准要求：</w:t>
      </w:r>
    </w:p>
    <w:p w14:paraId="35D50ED5">
      <w:pPr>
        <w:spacing w:line="360" w:lineRule="auto"/>
        <w:ind w:firstLine="480" w:firstLineChars="200"/>
        <w:rPr>
          <w:rFonts w:hint="eastAsia" w:ascii="宋体" w:hAnsi="宋体" w:eastAsia="宋体" w:cs="宋体"/>
          <w:sz w:val="24"/>
          <w:szCs w:val="24"/>
          <w:highlight w:val="white"/>
        </w:rPr>
      </w:pPr>
      <w:bookmarkStart w:id="321" w:name="EB90c32d6d8e55438083d1a2ab0e61faa5"/>
      <w:r>
        <w:rPr>
          <w:rFonts w:hint="eastAsia" w:ascii="宋体" w:hAnsi="宋体" w:eastAsia="宋体" w:cs="宋体"/>
          <w:sz w:val="24"/>
          <w:szCs w:val="24"/>
          <w:highlight w:val="white"/>
        </w:rPr>
        <w:t>承包人项目主要管理人员（项目技术负责人、项目施工负责人、专职安全员、专职质量员等5类人员）正常工作期间不得擅自离开本工程现场，遇事须离岗1天及以上的，须事先向监理单位工程师、发包人现场代表、承包人项目经理书面请假，且得到三方签字同意后方可离开（紧急情况下请假手续于事后一天内补全）。否则，按违约计，每发生一次，承包人应向发包人支付2千元的违约金</w:t>
      </w:r>
      <w:bookmarkEnd w:id="321"/>
      <w:r>
        <w:rPr>
          <w:rFonts w:hint="eastAsia" w:ascii="宋体" w:hAnsi="宋体" w:eastAsia="宋体" w:cs="宋体"/>
          <w:sz w:val="24"/>
          <w:szCs w:val="24"/>
          <w:highlight w:val="white"/>
        </w:rPr>
        <w:t>。</w:t>
      </w:r>
    </w:p>
    <w:p w14:paraId="149B5CC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3.3.5主要管理人员按照甲方要求进行考勤，考勤机由施工单位提供。</w:t>
      </w:r>
    </w:p>
    <w:p w14:paraId="52FE697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3.3.6承包人擅自更换主要施工管理人员的违约责任：</w:t>
      </w:r>
    </w:p>
    <w:p w14:paraId="403ED764">
      <w:pPr>
        <w:spacing w:line="360" w:lineRule="auto"/>
        <w:ind w:firstLine="480" w:firstLineChars="200"/>
        <w:rPr>
          <w:rFonts w:hint="eastAsia" w:ascii="宋体" w:hAnsi="宋体" w:eastAsia="宋体" w:cs="宋体"/>
          <w:sz w:val="24"/>
          <w:szCs w:val="24"/>
        </w:rPr>
      </w:pPr>
      <w:bookmarkStart w:id="322" w:name="EB70bd5af9adfd4cacb18a66f4cbb83ddb"/>
      <w:r>
        <w:rPr>
          <w:rFonts w:hint="eastAsia" w:ascii="宋体" w:hAnsi="宋体" w:eastAsia="宋体" w:cs="宋体"/>
          <w:sz w:val="24"/>
          <w:szCs w:val="24"/>
          <w:u w:val="single"/>
        </w:rPr>
        <w:t>每发生一次，承包人应向发包人支付2万元的违约金</w:t>
      </w:r>
      <w:bookmarkEnd w:id="322"/>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3FFE70F0">
      <w:pPr>
        <w:spacing w:line="360" w:lineRule="auto"/>
        <w:ind w:firstLine="480" w:firstLineChars="200"/>
        <w:rPr>
          <w:rFonts w:hint="eastAsia" w:ascii="宋体" w:hAnsi="宋体" w:eastAsia="宋体" w:cs="宋体"/>
          <w:sz w:val="24"/>
          <w:szCs w:val="24"/>
        </w:rPr>
      </w:pPr>
      <w:bookmarkStart w:id="323" w:name="EB37539f747b2b45aa8283fd9fb7990478"/>
      <w:bookmarkEnd w:id="323"/>
      <w:r>
        <w:rPr>
          <w:rFonts w:hint="eastAsia" w:ascii="宋体" w:hAnsi="宋体" w:eastAsia="宋体" w:cs="宋体"/>
          <w:sz w:val="24"/>
          <w:szCs w:val="24"/>
          <w:highlight w:val="white"/>
        </w:rPr>
        <w:t>承包人主要施工管理人员擅自离开施工现场的违约责任：</w:t>
      </w:r>
    </w:p>
    <w:p w14:paraId="14BE9CC8">
      <w:pPr>
        <w:spacing w:after="0" w:line="360" w:lineRule="auto"/>
        <w:ind w:firstLine="480" w:firstLineChars="200"/>
        <w:outlineLvl w:val="9"/>
        <w:rPr>
          <w:rFonts w:hint="eastAsia" w:ascii="宋体" w:hAnsi="宋体" w:eastAsia="宋体" w:cs="宋体"/>
          <w:sz w:val="24"/>
          <w:szCs w:val="24"/>
          <w:highlight w:val="white"/>
          <w:u w:val="single"/>
        </w:rPr>
      </w:pPr>
      <w:bookmarkStart w:id="324" w:name="EB23d14f3ef71740edbfb5e6fb05e01938"/>
      <w:bookmarkEnd w:id="324"/>
      <w:bookmarkStart w:id="325" w:name="EB4bf077bd6e9c4fc7a53842506d93a9d0"/>
      <w:r>
        <w:rPr>
          <w:rFonts w:hint="eastAsia" w:ascii="宋体" w:hAnsi="宋体" w:eastAsia="宋体" w:cs="宋体"/>
          <w:sz w:val="24"/>
          <w:szCs w:val="24"/>
          <w:highlight w:val="white"/>
          <w:u w:val="single"/>
        </w:rPr>
        <w:t>每发生一次，承包人应向发包人支付2千元的违约金</w:t>
      </w:r>
      <w:bookmarkEnd w:id="325"/>
      <w:r>
        <w:rPr>
          <w:rFonts w:hint="eastAsia" w:ascii="宋体" w:hAnsi="宋体" w:eastAsia="宋体" w:cs="宋体"/>
          <w:sz w:val="24"/>
          <w:szCs w:val="24"/>
          <w:highlight w:val="white"/>
          <w:u w:val="single"/>
        </w:rPr>
        <w:t>。</w:t>
      </w:r>
    </w:p>
    <w:p w14:paraId="5A4FC84D">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3.5 分包</w:t>
      </w:r>
    </w:p>
    <w:p w14:paraId="4943250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3.5.1 分包的一般约定</w:t>
      </w:r>
    </w:p>
    <w:p w14:paraId="1AA2628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禁止分包的工程包括：</w:t>
      </w:r>
      <w:bookmarkStart w:id="326" w:name="EB96564b48ab694f7c8bec56ad34661eb0"/>
      <w:bookmarkEnd w:id="326"/>
      <w:r>
        <w:rPr>
          <w:rFonts w:hint="eastAsia" w:ascii="宋体" w:hAnsi="宋体" w:eastAsia="宋体" w:cs="宋体"/>
          <w:sz w:val="24"/>
          <w:szCs w:val="24"/>
          <w:u w:val="single"/>
        </w:rPr>
        <w:t xml:space="preserve">      /          </w:t>
      </w:r>
      <w:r>
        <w:rPr>
          <w:rFonts w:hint="eastAsia" w:ascii="宋体" w:hAnsi="宋体" w:eastAsia="宋体" w:cs="宋体"/>
          <w:sz w:val="24"/>
          <w:szCs w:val="24"/>
          <w:highlight w:val="white"/>
        </w:rPr>
        <w:t>。</w:t>
      </w:r>
    </w:p>
    <w:p w14:paraId="6941615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主体结构、关键性工作的范围：</w:t>
      </w:r>
      <w:r>
        <w:rPr>
          <w:rFonts w:hint="eastAsia" w:ascii="宋体" w:hAnsi="宋体" w:eastAsia="宋体" w:cs="宋体"/>
          <w:sz w:val="24"/>
          <w:szCs w:val="24"/>
          <w:u w:val="single"/>
        </w:rPr>
        <w:t xml:space="preserve">           /              </w:t>
      </w:r>
      <w:r>
        <w:rPr>
          <w:rFonts w:hint="eastAsia" w:ascii="宋体" w:hAnsi="宋体" w:eastAsia="宋体" w:cs="宋体"/>
          <w:sz w:val="24"/>
          <w:szCs w:val="24"/>
          <w:highlight w:val="white"/>
        </w:rPr>
        <w:t>。</w:t>
      </w:r>
    </w:p>
    <w:p w14:paraId="2851E9E3">
      <w:pPr>
        <w:spacing w:line="360" w:lineRule="auto"/>
        <w:ind w:firstLine="480" w:firstLineChars="200"/>
        <w:rPr>
          <w:rFonts w:hint="eastAsia" w:ascii="宋体" w:hAnsi="宋体" w:eastAsia="宋体" w:cs="宋体"/>
          <w:sz w:val="24"/>
          <w:szCs w:val="24"/>
        </w:rPr>
      </w:pPr>
      <w:bookmarkStart w:id="327" w:name="EBddcddce8724b4ad7a84aeabec9e07558"/>
      <w:bookmarkEnd w:id="327"/>
      <w:r>
        <w:rPr>
          <w:rFonts w:hint="eastAsia" w:ascii="宋体" w:hAnsi="宋体" w:eastAsia="宋体" w:cs="宋体"/>
          <w:sz w:val="24"/>
          <w:szCs w:val="24"/>
          <w:highlight w:val="white"/>
        </w:rPr>
        <w:t xml:space="preserve">    3.5.2分包的确定</w:t>
      </w:r>
    </w:p>
    <w:p w14:paraId="4F967E4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允许分包的专业工程包括：</w:t>
      </w:r>
      <w:bookmarkStart w:id="328" w:name="EB235a9e53098d4a9180c989c3c3dc625f"/>
      <w:bookmarkEnd w:id="328"/>
      <w:r>
        <w:rPr>
          <w:rFonts w:hint="eastAsia" w:ascii="宋体" w:hAnsi="宋体" w:eastAsia="宋体" w:cs="宋体"/>
          <w:b/>
          <w:sz w:val="24"/>
          <w:szCs w:val="24"/>
          <w:highlight w:val="white"/>
          <w:u w:val="single"/>
        </w:rPr>
        <w:t>按招标文件或相关法规规定</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p>
    <w:p w14:paraId="24E95CE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其他关于分包的约定：</w:t>
      </w:r>
    </w:p>
    <w:p w14:paraId="226926EF">
      <w:pPr>
        <w:spacing w:line="360" w:lineRule="auto"/>
        <w:ind w:firstLine="480" w:firstLineChars="200"/>
        <w:rPr>
          <w:rFonts w:hint="eastAsia" w:ascii="宋体" w:hAnsi="宋体" w:eastAsia="宋体" w:cs="宋体"/>
          <w:sz w:val="24"/>
          <w:szCs w:val="24"/>
        </w:rPr>
      </w:pPr>
      <w:bookmarkStart w:id="329" w:name="EB648c05484edf44b987d781bd53acd4d2"/>
      <w:r>
        <w:rPr>
          <w:rFonts w:hint="eastAsia" w:ascii="宋体" w:hAnsi="宋体" w:eastAsia="宋体" w:cs="宋体"/>
          <w:sz w:val="24"/>
          <w:szCs w:val="24"/>
          <w:highlight w:val="white"/>
        </w:rPr>
        <w:t>所有分包专业划分必须获得发包人书面确认同意或根据发包人意见进行调整确认后方可实施，否则属违约。</w:t>
      </w:r>
    </w:p>
    <w:p w14:paraId="1D42C21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对于本合同协议书约定的分包工程，承包人需在分包工程开始实施前提前3个月或在发包人要求的时间向发包人书面提交拟分包的分包单位的名称及相关资料供发包人审批，发包人可根据承包人提交的资料等自行考虑承包人提交的分包单位是否符合本工程要求并自行决定是否予以审批。如承包人提供的分包单位未能通过发包人审批的，承包人应在收到发包人审批未能通过的通知后10日内再提交新的分包单位供发包人审批。且如有以下情形之一的：</w:t>
      </w:r>
    </w:p>
    <w:p w14:paraId="3E1A0A95">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（1）承包人未能提前3个月或在发包人要求的时间内提交分包单位供发包人审批；</w:t>
      </w:r>
    </w:p>
    <w:p w14:paraId="12AC4C5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（2）承包人在收到发包人审批未能通过的通知后10日内未再向发包人提交新的拟分包单位供发包人审批；</w:t>
      </w:r>
    </w:p>
    <w:p w14:paraId="63C085B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（3）承包人提交的拟分包单位三次未获得发包人审批。</w:t>
      </w:r>
    </w:p>
    <w:p w14:paraId="32267F6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发包人可要求承包人将以上工程分包给发包人推荐的分包单位，承包人应当按照发包人的要求（包括但不限于发包人对于分包合同条款的要求）与该分包单位签订分包合同。否则，发包人有权将该部分分包工程另行发包，并有权要求承包人承担本合同价款10%的违约金，由此造成的工期延误由承包人承担，此外发包人还有权解除本合同。</w:t>
      </w:r>
      <w:bookmarkEnd w:id="329"/>
    </w:p>
    <w:p w14:paraId="26265DE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3.5.4 分包合同价款</w:t>
      </w:r>
    </w:p>
    <w:p w14:paraId="2DC80FC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关于分包合同价款支付的约定：</w:t>
      </w:r>
      <w:bookmarkStart w:id="330" w:name="EBa4ba452c72704ccda4781a83be181a74"/>
      <w:bookmarkEnd w:id="330"/>
      <w:r>
        <w:rPr>
          <w:rFonts w:hint="eastAsia" w:ascii="宋体" w:hAnsi="宋体" w:eastAsia="宋体" w:cs="宋体"/>
          <w:sz w:val="24"/>
          <w:szCs w:val="24"/>
          <w:u w:val="single"/>
        </w:rPr>
        <w:t xml:space="preserve">      /        </w:t>
      </w:r>
      <w:r>
        <w:rPr>
          <w:rFonts w:hint="eastAsia" w:ascii="宋体" w:hAnsi="宋体" w:eastAsia="宋体" w:cs="宋体"/>
          <w:sz w:val="24"/>
          <w:szCs w:val="24"/>
          <w:highlight w:val="white"/>
        </w:rPr>
        <w:t>。</w:t>
      </w:r>
    </w:p>
    <w:p w14:paraId="0C9D02E7">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3.6 工程照管与成品、半成品保护</w:t>
      </w:r>
    </w:p>
    <w:p w14:paraId="209214BF">
      <w:pPr>
        <w:spacing w:before="0" w:after="0"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承包人负责照管工程及工程相关的材料、工程设备的起始时间：</w:t>
      </w:r>
      <w:bookmarkStart w:id="331" w:name="EBcdadaa1d3e334968a3686bdca8d90648"/>
      <w:r>
        <w:rPr>
          <w:rFonts w:hint="eastAsia" w:ascii="宋体" w:hAnsi="宋体" w:eastAsia="宋体" w:cs="宋体"/>
          <w:kern w:val="0"/>
          <w:sz w:val="24"/>
          <w:szCs w:val="24"/>
          <w:highlight w:val="white"/>
          <w:u w:val="single"/>
        </w:rPr>
        <w:t>开工后至竣工交付</w:t>
      </w:r>
      <w:bookmarkEnd w:id="331"/>
      <w:r>
        <w:rPr>
          <w:rFonts w:hint="eastAsia" w:ascii="宋体" w:hAnsi="宋体" w:eastAsia="宋体" w:cs="宋体"/>
          <w:kern w:val="0"/>
          <w:sz w:val="24"/>
          <w:szCs w:val="24"/>
          <w:highlight w:val="white"/>
          <w:u w:val="single"/>
        </w:rPr>
        <w:t xml:space="preserve">时，期间费用由承包人承担 。 </w:t>
      </w:r>
    </w:p>
    <w:p w14:paraId="75BC851D">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3.7 履约担保</w:t>
      </w:r>
    </w:p>
    <w:p w14:paraId="665D889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承包人是否提供履约担保：</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w:t>
      </w:r>
    </w:p>
    <w:p w14:paraId="690F622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承包人提供履约担保的形式、金额及期限的</w:t>
      </w:r>
    </w:p>
    <w:p w14:paraId="2C09E068">
      <w:pPr>
        <w:spacing w:line="360" w:lineRule="auto"/>
        <w:ind w:firstLine="480" w:firstLineChars="200"/>
        <w:rPr>
          <w:rFonts w:hint="eastAsia" w:ascii="宋体" w:hAnsi="宋体" w:eastAsia="宋体" w:cs="宋体"/>
          <w:sz w:val="24"/>
          <w:szCs w:val="24"/>
        </w:rPr>
      </w:pPr>
      <w:bookmarkStart w:id="332" w:name="EB77461b8d24d14d57aef0c5ba1eb2dac7"/>
      <w:r>
        <w:rPr>
          <w:rFonts w:hint="eastAsia" w:ascii="宋体" w:hAnsi="宋体" w:eastAsia="宋体" w:cs="宋体"/>
          <w:sz w:val="24"/>
          <w:szCs w:val="24"/>
          <w:highlight w:val="white"/>
        </w:rPr>
        <w:t>承包人须在履约担保提交时间内提供无条件、不可撤销银行履约保函。该银行履约保函的保证银行和内容须经发包人批准，而获得履约保函的费用由承包人负责。履约保函的格式须参照附于后的样本。获批准的履约保函须交由发包人保管，任何按本合同应支付给承包人的款项须在提交履约保函后或在扣除相等于未提交的履约保函保证金额的款项后才可支付。</w:t>
      </w:r>
    </w:p>
    <w:p w14:paraId="477F096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履约担保的形式：银行履约保函；金额：合同价×10%。</w:t>
      </w:r>
    </w:p>
    <w:p w14:paraId="6D31511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期限：中标单位获得《中标通知书》且合同签订后30日历天内，提供履约保函。工程竣工验收通过并获得“房屋建筑或市政基础设施工程竣工备案意见书”或索赔达到担保额度时，履约担保的担保责任方可解除。</w:t>
      </w:r>
    </w:p>
    <w:p w14:paraId="6722CE4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履约担保内容：当承包人未依约履行合同、发生违约行为时，对承包人应承担的违约金及因承包人违约对发包人所造成的损失数额，承包人同意以监理单位的估算为准，发包人有权就相关金额向出具保函的银行主张付款或扣取相应的履约担保金，并通知承包人，承包人有义务在接到上述通知后七天内将保函余额或履约保证金恢复到原金额。本合同约定提交的履约担保均不计利息。</w:t>
      </w:r>
      <w:bookmarkEnd w:id="332"/>
    </w:p>
    <w:p w14:paraId="0D361613">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4. 监理人</w:t>
      </w:r>
    </w:p>
    <w:p w14:paraId="7F67C103">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4.1监理人的一般规定</w:t>
      </w:r>
    </w:p>
    <w:p w14:paraId="4DD0414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关于监理人的监理内容</w:t>
      </w:r>
      <w:bookmarkStart w:id="333" w:name="EB80dcb35eba424728a3877b3155374a38"/>
      <w:r>
        <w:rPr>
          <w:rFonts w:hint="eastAsia" w:ascii="宋体" w:hAnsi="宋体" w:eastAsia="宋体" w:cs="宋体"/>
          <w:sz w:val="24"/>
          <w:szCs w:val="24"/>
        </w:rPr>
        <w:t>：</w:t>
      </w:r>
      <w:r>
        <w:rPr>
          <w:rFonts w:hint="eastAsia" w:ascii="宋体" w:hAnsi="宋体" w:eastAsia="宋体" w:cs="宋体"/>
          <w:sz w:val="24"/>
          <w:szCs w:val="24"/>
          <w:highlight w:val="white"/>
        </w:rPr>
        <w:t>执行通用条款</w:t>
      </w:r>
      <w:bookmarkEnd w:id="333"/>
      <w:r>
        <w:rPr>
          <w:rFonts w:hint="eastAsia" w:ascii="宋体" w:hAnsi="宋体" w:eastAsia="宋体" w:cs="宋体"/>
          <w:sz w:val="24"/>
          <w:szCs w:val="24"/>
          <w:highlight w:val="white"/>
        </w:rPr>
        <w:t>。</w:t>
      </w:r>
    </w:p>
    <w:p w14:paraId="2D15826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关于监理人的监理权限</w:t>
      </w:r>
      <w:bookmarkStart w:id="334" w:name="EBc88039e858954015add2305399752bca"/>
      <w:r>
        <w:rPr>
          <w:rFonts w:hint="eastAsia" w:ascii="宋体" w:hAnsi="宋体" w:eastAsia="宋体" w:cs="宋体"/>
          <w:sz w:val="24"/>
          <w:szCs w:val="24"/>
        </w:rPr>
        <w:t>：</w:t>
      </w:r>
      <w:r>
        <w:rPr>
          <w:rFonts w:hint="eastAsia" w:ascii="宋体" w:hAnsi="宋体" w:eastAsia="宋体" w:cs="宋体"/>
          <w:sz w:val="24"/>
          <w:szCs w:val="24"/>
          <w:highlight w:val="white"/>
        </w:rPr>
        <w:t>执行通用条款</w:t>
      </w:r>
      <w:bookmarkEnd w:id="334"/>
      <w:r>
        <w:rPr>
          <w:rFonts w:hint="eastAsia" w:ascii="宋体" w:hAnsi="宋体" w:eastAsia="宋体" w:cs="宋体"/>
          <w:sz w:val="24"/>
          <w:szCs w:val="24"/>
          <w:highlight w:val="white"/>
        </w:rPr>
        <w:t xml:space="preserve">。 </w:t>
      </w:r>
    </w:p>
    <w:p w14:paraId="4F2A82C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关于监理人在施工现场的办公场所、生活场所的提供和费用承担的约定：</w:t>
      </w:r>
    </w:p>
    <w:p w14:paraId="2127E80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u w:val="single"/>
        </w:rPr>
        <w:t xml:space="preserve">办公场所及简易办公家具由承包人提供，费用由承包人承担；生活场所及费用由监理人承担  </w:t>
      </w:r>
      <w:r>
        <w:rPr>
          <w:rFonts w:hint="eastAsia" w:ascii="宋体" w:hAnsi="宋体" w:eastAsia="宋体" w:cs="宋体"/>
          <w:sz w:val="24"/>
          <w:szCs w:val="24"/>
          <w:highlight w:val="white"/>
        </w:rPr>
        <w:t>。</w:t>
      </w:r>
    </w:p>
    <w:p w14:paraId="46309F2D">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4.2 监理人员</w:t>
      </w:r>
    </w:p>
    <w:p w14:paraId="557C48EA">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highlight w:val="white"/>
        </w:rPr>
        <w:t>总监理工程师：</w:t>
      </w:r>
    </w:p>
    <w:p w14:paraId="4F52195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姓    名：</w:t>
      </w:r>
      <w:bookmarkStart w:id="335" w:name="EB3d72000623354a08a31ae2da120a50c4"/>
      <w:bookmarkEnd w:id="335"/>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2A4C667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职    务：</w:t>
      </w:r>
      <w:bookmarkStart w:id="336" w:name="EB801565143b6f495484fc10288fce1629"/>
      <w:bookmarkEnd w:id="336"/>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3AF7FD1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监理工程师执业资格证书号：</w:t>
      </w:r>
      <w:bookmarkStart w:id="337" w:name="EB4bbb437b47dd4a5ebb682f85ee576820"/>
      <w:bookmarkEnd w:id="337"/>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4B38D6B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联系电话：</w:t>
      </w:r>
      <w:bookmarkStart w:id="338" w:name="EBebedad41c0a74a489924310ddf39653d"/>
      <w:bookmarkEnd w:id="338"/>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59AB15E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电子信箱：</w:t>
      </w:r>
      <w:bookmarkStart w:id="339" w:name="EBef4d281b43854417abf6b139d77e998d"/>
      <w:bookmarkEnd w:id="339"/>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6DA8C82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white"/>
        </w:rPr>
        <w:t>通信地址：</w:t>
      </w:r>
      <w:bookmarkStart w:id="340" w:name="EB338bb639291745db8cf5ae7e7bd52445"/>
      <w:bookmarkEnd w:id="340"/>
      <w:r>
        <w:rPr>
          <w:rFonts w:hint="eastAsia" w:ascii="宋体" w:hAnsi="宋体" w:eastAsia="宋体" w:cs="宋体"/>
          <w:color w:val="auto"/>
          <w:sz w:val="24"/>
          <w:szCs w:val="24"/>
          <w:highlight w:val="white"/>
          <w:u w:val="single"/>
        </w:rPr>
        <w:t xml:space="preserve">       /       </w:t>
      </w:r>
      <w:r>
        <w:rPr>
          <w:rFonts w:hint="eastAsia" w:ascii="宋体" w:hAnsi="宋体" w:eastAsia="宋体" w:cs="宋体"/>
          <w:color w:val="auto"/>
          <w:sz w:val="24"/>
          <w:szCs w:val="24"/>
          <w:highlight w:val="white"/>
        </w:rPr>
        <w:t>；</w:t>
      </w:r>
    </w:p>
    <w:p w14:paraId="267621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关于监理人的其他约定：</w:t>
      </w:r>
      <w:bookmarkStart w:id="341" w:name="EB05ba2c140bbe4509beaa2a207568453a"/>
      <w:bookmarkEnd w:id="341"/>
      <w:r>
        <w:rPr>
          <w:rFonts w:hint="eastAsia" w:ascii="宋体" w:hAnsi="宋体" w:eastAsia="宋体" w:cs="宋体"/>
          <w:sz w:val="24"/>
          <w:szCs w:val="24"/>
          <w:highlight w:val="white"/>
        </w:rPr>
        <w:t>。</w:t>
      </w:r>
    </w:p>
    <w:p w14:paraId="6ECD7477">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4.4 商定或确定</w:t>
      </w:r>
    </w:p>
    <w:p w14:paraId="60FE708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在发包人和承包人不能通过协商达成一致意见时，发包人授权监理人对以下事项进行确定：</w:t>
      </w:r>
    </w:p>
    <w:p w14:paraId="155A268F">
      <w:pPr>
        <w:autoSpaceDE w:val="0"/>
        <w:autoSpaceDN w:val="0"/>
        <w:adjustRightInd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w:t>
      </w:r>
      <w:bookmarkStart w:id="342" w:name="EB3059ac607bd5457a826b2fb3f2b8c6c3"/>
      <w:r>
        <w:rPr>
          <w:rFonts w:hint="eastAsia" w:ascii="宋体" w:hAnsi="宋体" w:eastAsia="宋体" w:cs="宋体"/>
          <w:kern w:val="0"/>
          <w:sz w:val="24"/>
          <w:szCs w:val="24"/>
          <w:highlight w:val="white"/>
        </w:rPr>
        <w:t>在发包人和承包人不能通过协商达成一致意见时，发包人授权监理人对以下事项进行确定，但确定前须事先征得发包人书面同意：</w:t>
      </w:r>
    </w:p>
    <w:p w14:paraId="7AE8D98A">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（1）工程建设有关的协作单位的日常组织协调，重要协调事项应与发包人派驻2的工程师共同行使；协调各承包人之间的争议。</w:t>
      </w:r>
    </w:p>
    <w:p w14:paraId="5D414EFC">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2）工程施工组织设计和技术方案的认可、变更、月进度报告的审核和下月进度报告的批准，由监理单位派驻的工程师提出审核意见后，报发包人派驻的工程师批准。施工进度更改经监理单位委派的工程师审核签署意见后报发包人派驻的工程师批准。</w:t>
      </w:r>
    </w:p>
    <w:p w14:paraId="31A2AC7E">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（3）监理单位委派的工程师与发包人派驻的工程师共同发布开工令、停工令、复工令。</w:t>
      </w:r>
    </w:p>
    <w:p w14:paraId="1DA4E6B3">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（4）检验工程上适用的材料和施工质量，对于不符合要求及标准的，监理单位委派的工程师或发包人派驻的工程师有权通知承包人停工整改返工直到符合要求和标准。</w:t>
      </w:r>
    </w:p>
    <w:p w14:paraId="56E434D3">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（5）工程款支付经监理单位委派的工程师审核后报发包人派驻的工程师批准。</w:t>
      </w:r>
    </w:p>
    <w:p w14:paraId="798A23ED">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（6）任何涉及设计变更的事项，如现场设计签证的签署、变更设计指令的发出、对于承包人设计变更建议的认可、制配图纸的认可，均需经监理单位委派的工程师审核签署意见后报发包人派驻的工程师批准。</w:t>
      </w:r>
    </w:p>
    <w:p w14:paraId="169EC565">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（7）供货样本和代用材料的认可由监理单位委派的工程师审核后报发包人派驻的工程师批准。</w:t>
      </w:r>
    </w:p>
    <w:p w14:paraId="05D39506">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（8）现场奖罚。</w:t>
      </w:r>
    </w:p>
    <w:p w14:paraId="6EA8EAC6">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9）经发包人派驻的工程师同意，监理单位委派的工程师有权要求承包人从工地撤换不能胜任职务或玩忽职守人员，没有发包人派驻的工程师与监理单位委派的工程师共同同意，这些人员不应再承担本工程中的任何工作。</w:t>
      </w:r>
    </w:p>
    <w:p w14:paraId="731EC245">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（10）措施费方案的确定、计日工记录的核实、执行暂估价部分工作的指令由监理单位委派的工程师审核后报发包人派驻的工程师批准。</w:t>
      </w:r>
    </w:p>
    <w:p w14:paraId="7846F720">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（11）合同文件发生冲突、矛盾时，对于合同文件的解释由监理单位与发包人共同进行。</w:t>
      </w:r>
    </w:p>
    <w:p w14:paraId="5B8EEB75">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（12）价款、费用、工期顺延有关的事项经监理单位委派的工程师审核后报发包人派驻的工程师批准。</w:t>
      </w:r>
    </w:p>
    <w:p w14:paraId="306676C2">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（13）监理单位委派的工程师应与发包人派驻的工程师共同办理现场签证。</w:t>
      </w:r>
    </w:p>
    <w:p w14:paraId="0493B514">
      <w:pPr>
        <w:autoSpaceDE w:val="0"/>
        <w:autoSpaceDN w:val="0"/>
        <w:adjustRightInd w:val="0"/>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（14）监理单位委派的工程师应与发包人派驻的工程师共同办理隐蔽工程验收。</w:t>
      </w:r>
      <w:bookmarkEnd w:id="342"/>
    </w:p>
    <w:p w14:paraId="5D057FA8">
      <w:pPr>
        <w:spacing w:before="0" w:after="0" w:line="360" w:lineRule="auto"/>
        <w:ind w:firstLine="480" w:firstLineChars="200"/>
        <w:outlineLvl w:val="9"/>
        <w:rPr>
          <w:rFonts w:hint="eastAsia" w:ascii="宋体" w:hAnsi="宋体" w:eastAsia="宋体" w:cs="宋体"/>
          <w:b w:val="0"/>
          <w:kern w:val="2"/>
          <w:sz w:val="24"/>
          <w:szCs w:val="24"/>
        </w:rPr>
      </w:pPr>
      <w:r>
        <w:rPr>
          <w:rFonts w:hint="eastAsia" w:ascii="宋体" w:hAnsi="宋体" w:eastAsia="宋体" w:cs="宋体"/>
          <w:b w:val="0"/>
          <w:sz w:val="24"/>
          <w:szCs w:val="24"/>
          <w:highlight w:val="white"/>
        </w:rPr>
        <w:t>5. 工程质量</w:t>
      </w:r>
    </w:p>
    <w:p w14:paraId="31CFA79B">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5.1 质量要求</w:t>
      </w:r>
    </w:p>
    <w:p w14:paraId="6110D8D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5.1.1 特殊质量标准和要求：</w:t>
      </w:r>
    </w:p>
    <w:p w14:paraId="3FA4D8E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u w:val="single"/>
        </w:rPr>
        <w:t xml:space="preserve">合格且必须符合现行国家有关工程施工质量规范和标准的要求。  </w:t>
      </w:r>
    </w:p>
    <w:p w14:paraId="595CEE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关于工程奖项的约定：</w:t>
      </w:r>
      <w:r>
        <w:rPr>
          <w:rFonts w:hint="eastAsia" w:ascii="宋体" w:hAnsi="宋体" w:eastAsia="宋体" w:cs="宋体"/>
          <w:sz w:val="24"/>
          <w:szCs w:val="24"/>
          <w:u w:val="single"/>
        </w:rPr>
        <w:t>/</w:t>
      </w:r>
      <w:bookmarkStart w:id="343" w:name="EB635f7c5b084240c181534c61640b47e7"/>
      <w:bookmarkEnd w:id="343"/>
    </w:p>
    <w:p w14:paraId="53913822">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5.3 隐蔽工程检查</w:t>
      </w:r>
    </w:p>
    <w:p w14:paraId="3A5D715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5.3.2承包人提前通知监理人隐蔽工程检查的期限的约定：</w:t>
      </w:r>
    </w:p>
    <w:p w14:paraId="1FF9103B">
      <w:pPr>
        <w:spacing w:line="360" w:lineRule="auto"/>
        <w:ind w:firstLine="480" w:firstLineChars="200"/>
        <w:rPr>
          <w:rFonts w:hint="eastAsia" w:ascii="宋体" w:hAnsi="宋体" w:eastAsia="宋体" w:cs="宋体"/>
          <w:sz w:val="24"/>
          <w:szCs w:val="24"/>
        </w:rPr>
      </w:pPr>
      <w:bookmarkStart w:id="344" w:name="EB1aa61166ec044fa5a8109ac5aaab919e"/>
      <w:r>
        <w:rPr>
          <w:rFonts w:hint="eastAsia" w:ascii="宋体" w:hAnsi="宋体" w:eastAsia="宋体" w:cs="宋体"/>
          <w:sz w:val="24"/>
          <w:szCs w:val="24"/>
          <w:highlight w:val="white"/>
        </w:rPr>
        <w:t>工程具备隐蔽条件或达到专用条款约定的中间验收部位，承包人进行自检，并在隐蔽或中间验收前48小时以书面形式通知监理人验收。通知包括隐蔽和中间验收的内容、验收时间和地点。承包人准备验收记录，验收合格，监理人在验收记录上签字后，承包人可进行隐蔽和继续施工。验收不合格，承包人在监理人限定的时间内修改后重新验收。</w:t>
      </w:r>
    </w:p>
    <w:p w14:paraId="78746D0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监理人未能按以上时间提出延期要求，不进行验收，承包人可自行组织验收。</w:t>
      </w:r>
    </w:p>
    <w:p w14:paraId="39AC2B2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承包人应按质量验收标准对工程进行分项、分部和单位工程质量进行自我评定，并及时将单位工程质量评定结果送发包人和质量监督站。工程中间验收的，应会同发包人、监理单位进行中间验收。</w:t>
      </w:r>
    </w:p>
    <w:p w14:paraId="1B2370A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 xml:space="preserve">经监理人验收，工程质量符合标准、规范和设计图纸等要求，验收24小时后，监理人不在验收记录上签字，视为监理人已经认可验收记录，承包人可进行隐蔽或继续施工。 </w:t>
      </w:r>
      <w:bookmarkEnd w:id="344"/>
    </w:p>
    <w:p w14:paraId="0240AC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监理人不能按时进行检查时，应提前</w:t>
      </w:r>
      <w:bookmarkStart w:id="345" w:name="EB12a4f0fa1d324833b65530d60384a028"/>
      <w:r>
        <w:rPr>
          <w:rFonts w:hint="eastAsia" w:ascii="宋体" w:hAnsi="宋体" w:eastAsia="宋体" w:cs="宋体"/>
          <w:sz w:val="24"/>
          <w:szCs w:val="24"/>
          <w:highlight w:val="white"/>
          <w:u w:val="single"/>
        </w:rPr>
        <w:t>24</w:t>
      </w:r>
      <w:bookmarkEnd w:id="345"/>
      <w:r>
        <w:rPr>
          <w:rFonts w:hint="eastAsia" w:ascii="宋体" w:hAnsi="宋体" w:eastAsia="宋体" w:cs="宋体"/>
          <w:sz w:val="24"/>
          <w:szCs w:val="24"/>
          <w:highlight w:val="white"/>
        </w:rPr>
        <w:t>小时提交书面延期要求。</w:t>
      </w:r>
    </w:p>
    <w:p w14:paraId="078D207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关于延期最长不得超过：</w:t>
      </w:r>
      <w:bookmarkStart w:id="346" w:name="EB5b8c7675c75f4330a9be2b9b7213d6c2"/>
      <w:r>
        <w:rPr>
          <w:rFonts w:hint="eastAsia" w:ascii="宋体" w:hAnsi="宋体" w:eastAsia="宋体" w:cs="宋体"/>
          <w:sz w:val="24"/>
          <w:szCs w:val="24"/>
          <w:highlight w:val="white"/>
          <w:u w:val="single"/>
        </w:rPr>
        <w:t>24</w:t>
      </w:r>
      <w:bookmarkEnd w:id="346"/>
      <w:r>
        <w:rPr>
          <w:rFonts w:hint="eastAsia" w:ascii="宋体" w:hAnsi="宋体" w:eastAsia="宋体" w:cs="宋体"/>
          <w:sz w:val="24"/>
          <w:szCs w:val="24"/>
          <w:highlight w:val="white"/>
        </w:rPr>
        <w:t>小时。</w:t>
      </w:r>
    </w:p>
    <w:p w14:paraId="119B9EB8">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6. 安全文明施工与环境保护</w:t>
      </w:r>
    </w:p>
    <w:p w14:paraId="2CE7C351">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6.1安全文明施工</w:t>
      </w:r>
    </w:p>
    <w:p w14:paraId="66CF40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6.1.1 项目安全生产的达标目标及相应事项的约定：</w:t>
      </w:r>
    </w:p>
    <w:p w14:paraId="7F098677">
      <w:pPr>
        <w:spacing w:line="360" w:lineRule="auto"/>
        <w:ind w:firstLine="480" w:firstLineChars="200"/>
        <w:rPr>
          <w:rFonts w:hint="eastAsia" w:ascii="宋体" w:hAnsi="宋体" w:eastAsia="宋体" w:cs="宋体"/>
          <w:sz w:val="24"/>
          <w:szCs w:val="24"/>
          <w:highlight w:val="white"/>
        </w:rPr>
      </w:pPr>
      <w:bookmarkStart w:id="347" w:name="EB6e67bc6c1b0941b7ad85815e60a85933"/>
      <w:r>
        <w:rPr>
          <w:rFonts w:hint="eastAsia" w:ascii="宋体" w:hAnsi="宋体" w:eastAsia="宋体" w:cs="宋体"/>
          <w:sz w:val="24"/>
          <w:szCs w:val="24"/>
          <w:highlight w:val="white"/>
        </w:rPr>
        <w:t>施工阶段须执行国家和江苏省关于施工安全管理的规定及发包人关于施工安全管理的合理要求。承包人须指定专人负责施工安全管理。专职安全管理人员的配备必须符合建设部的相关规定及甲方相关文件要求。报发包人的专职人员不能未得发包人同意随意更换。每台塔吊专职人员必须配备3人，即塔吊司机、信号工、司索工。</w:t>
      </w:r>
      <w:bookmarkEnd w:id="347"/>
    </w:p>
    <w:p w14:paraId="3ED9EC4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6.1.4 关于治安保卫的特别约定：</w:t>
      </w:r>
    </w:p>
    <w:p w14:paraId="12B0DB0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u w:val="single"/>
        </w:rPr>
        <w:t xml:space="preserve">由承包人承担现场保安责任，负责保安管理，费用已包含在合同价款内  </w:t>
      </w:r>
      <w:r>
        <w:rPr>
          <w:rFonts w:hint="eastAsia" w:ascii="宋体" w:hAnsi="宋体" w:eastAsia="宋体" w:cs="宋体"/>
          <w:sz w:val="24"/>
          <w:szCs w:val="24"/>
          <w:highlight w:val="white"/>
        </w:rPr>
        <w:t>。</w:t>
      </w:r>
    </w:p>
    <w:p w14:paraId="57500EE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关于编制施工场地治安管理计划的约定：</w:t>
      </w:r>
      <w:r>
        <w:rPr>
          <w:rFonts w:hint="eastAsia" w:ascii="宋体" w:hAnsi="宋体" w:eastAsia="宋体" w:cs="宋体"/>
          <w:sz w:val="24"/>
          <w:szCs w:val="24"/>
          <w:highlight w:val="white"/>
          <w:u w:val="single"/>
        </w:rPr>
        <w:t xml:space="preserve">由承包人编制并报发包人批准执行   </w:t>
      </w:r>
    </w:p>
    <w:p w14:paraId="49B58D8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6.1.5 文明施工</w:t>
      </w:r>
    </w:p>
    <w:p w14:paraId="6340407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合同当事人对文明施工的要求：</w:t>
      </w:r>
    </w:p>
    <w:p w14:paraId="12AA84C4">
      <w:pPr>
        <w:spacing w:line="360" w:lineRule="auto"/>
        <w:ind w:firstLine="480" w:firstLineChars="200"/>
        <w:rPr>
          <w:rFonts w:hint="eastAsia" w:ascii="宋体" w:hAnsi="宋体" w:eastAsia="宋体" w:cs="宋体"/>
          <w:sz w:val="24"/>
          <w:szCs w:val="24"/>
        </w:rPr>
      </w:pPr>
      <w:bookmarkStart w:id="348" w:name="EB3d73b8b4a32d4c4d9fbfb7a1a0825051"/>
      <w:r>
        <w:rPr>
          <w:rFonts w:hint="eastAsia" w:ascii="宋体" w:hAnsi="宋体" w:eastAsia="宋体" w:cs="宋体"/>
          <w:sz w:val="24"/>
          <w:szCs w:val="24"/>
          <w:highlight w:val="white"/>
        </w:rPr>
        <w:t>6.1.5.1围墙</w:t>
      </w:r>
    </w:p>
    <w:p w14:paraId="65B1CC1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围墙设置应按合同附件及相关规定（施工现场临时围墙要求）要求设置。</w:t>
      </w:r>
    </w:p>
    <w:p w14:paraId="7B472DF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6.1.5.2施工区域内便道及排水沟</w:t>
      </w:r>
    </w:p>
    <w:p w14:paraId="5097E20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按合同附件及相关规定（施工现场临时施工便道及排水沟）设置。</w:t>
      </w:r>
    </w:p>
    <w:p w14:paraId="043928D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6.1.5.3施工区域内杆线、临时建筑防护。</w:t>
      </w:r>
    </w:p>
    <w:p w14:paraId="1B653DF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按照施工现场总平面图及施工安全专项施工方案的要求进行设置，并承担由此产生的费用。</w:t>
      </w:r>
    </w:p>
    <w:p w14:paraId="685042C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6.1.5.4现场卫生</w:t>
      </w:r>
    </w:p>
    <w:p w14:paraId="6C12086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施工过程中现场卫生应随时保证清洁卫生，应配置专门的保洁人员以保证现场随脏随时清扫，应设置集中垃圾堆放池，垃圾池内的垃圾定期清运。场地外的道路由于施工污染，也应随脏随时清理，土方运输车辆应在施工出入口处设置清洗平台和清洗高压泵，以保证土方及其他车辆干净的出入现场，确保场外及场内清洁卫生。</w:t>
      </w:r>
    </w:p>
    <w:p w14:paraId="7B17510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6.1.5.5现场材料</w:t>
      </w:r>
    </w:p>
    <w:p w14:paraId="2A76924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现场材料应堆放整齐，标识牌应按相关规定标识清楚。</w:t>
      </w:r>
    </w:p>
    <w:p w14:paraId="0C84511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6.1.5.6未尽事宜</w:t>
      </w:r>
    </w:p>
    <w:p w14:paraId="70A8C7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本条未尽事宜按国家及地方安全文明施工执行，如</w:t>
      </w:r>
      <w:bookmarkStart w:id="349" w:name="OLE_LINK1"/>
      <w:r>
        <w:rPr>
          <w:rFonts w:hint="eastAsia" w:ascii="宋体" w:hAnsi="宋体" w:eastAsia="宋体" w:cs="宋体"/>
          <w:sz w:val="24"/>
          <w:szCs w:val="24"/>
          <w:highlight w:val="white"/>
        </w:rPr>
        <w:t>镇建价[2015]6号</w:t>
      </w:r>
      <w:bookmarkEnd w:id="349"/>
      <w:r>
        <w:rPr>
          <w:rFonts w:hint="eastAsia" w:ascii="宋体" w:hAnsi="宋体" w:eastAsia="宋体" w:cs="宋体"/>
          <w:sz w:val="24"/>
          <w:szCs w:val="24"/>
          <w:highlight w:val="white"/>
        </w:rPr>
        <w:t>文规定、《</w:t>
      </w:r>
      <w:r>
        <w:rPr>
          <w:rFonts w:hint="eastAsia" w:ascii="宋体" w:hAnsi="宋体" w:eastAsia="宋体" w:cs="宋体"/>
          <w:sz w:val="24"/>
          <w:szCs w:val="24"/>
        </w:rPr>
        <w:t>省住房城乡建设厅关于调整建设工程按质论价等费用计取方法的公告</w:t>
      </w:r>
      <w:r>
        <w:rPr>
          <w:rFonts w:hint="eastAsia" w:ascii="宋体" w:hAnsi="宋体" w:eastAsia="宋体" w:cs="宋体"/>
          <w:sz w:val="24"/>
          <w:szCs w:val="24"/>
          <w:highlight w:val="white"/>
        </w:rPr>
        <w:t>》执行。</w:t>
      </w:r>
    </w:p>
    <w:p w14:paraId="653BFE64">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本工程安全文明工地标准为“</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”（招标标准）。如获得“</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”文明工地标准并经相关部门评定确认，计取</w:t>
      </w:r>
      <w:r>
        <w:rPr>
          <w:rFonts w:hint="eastAsia" w:ascii="宋体" w:hAnsi="宋体" w:eastAsia="宋体" w:cs="宋体"/>
          <w:sz w:val="24"/>
          <w:szCs w:val="24"/>
        </w:rPr>
        <w:t>标化工地增加费（仅指省级安全文明增加一星、二星、三星费用）</w:t>
      </w:r>
      <w:r>
        <w:rPr>
          <w:rFonts w:hint="eastAsia" w:ascii="宋体" w:hAnsi="宋体" w:eastAsia="宋体" w:cs="宋体"/>
          <w:sz w:val="24"/>
          <w:szCs w:val="24"/>
          <w:highlight w:val="white"/>
        </w:rPr>
        <w:t>。</w:t>
      </w:r>
    </w:p>
    <w:p w14:paraId="1B7A2A6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如本工程未获得“</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”，但获得“</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 xml:space="preserve">”（比招标标准低一级的标准），则结算时，按标底预算“标化工地增加费”费率扣除原招、投标计取的文明工地标化工地增加费，且承包人按结算价分部分项工程费用的  </w:t>
      </w:r>
      <w:r>
        <w:rPr>
          <w:rFonts w:hint="eastAsia" w:ascii="宋体" w:hAnsi="宋体" w:eastAsia="宋体" w:cs="宋体"/>
          <w:sz w:val="24"/>
          <w:szCs w:val="24"/>
          <w:highlight w:val="white"/>
          <w:u w:val="single"/>
        </w:rPr>
        <w:t xml:space="preserve">    “标化工地增加费”费率   </w:t>
      </w:r>
      <w:r>
        <w:rPr>
          <w:rFonts w:hint="eastAsia" w:ascii="宋体" w:hAnsi="宋体" w:eastAsia="宋体" w:cs="宋体"/>
          <w:sz w:val="24"/>
          <w:szCs w:val="24"/>
          <w:highlight w:val="white"/>
        </w:rPr>
        <w:t>向发包人支付违约金。</w:t>
      </w:r>
    </w:p>
    <w:p w14:paraId="6795833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如本工程既未获得“</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”（比招标标准低一级的），则结算时，按标底预算“标化工地增加费”费率扣除原招、投标计取的文明工地标化工地增加费，且承包人另按结算价分部分项工程费用的</w:t>
      </w:r>
      <w:r>
        <w:rPr>
          <w:rFonts w:hint="eastAsia" w:ascii="宋体" w:hAnsi="宋体" w:eastAsia="宋体" w:cs="宋体"/>
          <w:sz w:val="24"/>
          <w:szCs w:val="24"/>
          <w:highlight w:val="white"/>
          <w:u w:val="single"/>
        </w:rPr>
        <w:t>（为上奖罚比例的2倍）</w:t>
      </w:r>
      <w:r>
        <w:rPr>
          <w:rFonts w:hint="eastAsia" w:ascii="宋体" w:hAnsi="宋体" w:eastAsia="宋体" w:cs="宋体"/>
          <w:sz w:val="24"/>
          <w:szCs w:val="24"/>
          <w:highlight w:val="white"/>
        </w:rPr>
        <w:t>向发包人支付违约金。</w:t>
      </w:r>
    </w:p>
    <w:p w14:paraId="527BA065">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质量（按质论价）与安全文明施工违约责任属于严格责任，承包人无权以专业分包人、发包人或者其他第三人的原因作为抗辩理由。即无论承包人是否有过错，承包人的行为是否与未获得评定有因果关系，只要未获达到相应评定，承包人即应承担质量（按质论价）与文明工地违约责任。</w:t>
      </w:r>
      <w:bookmarkEnd w:id="348"/>
    </w:p>
    <w:p w14:paraId="3D00D8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6.1.6 关于安全文明施工费支付比例和支付期限的约定：</w:t>
      </w:r>
      <w:r>
        <w:rPr>
          <w:rFonts w:hint="eastAsia" w:ascii="宋体" w:hAnsi="宋体" w:eastAsia="宋体" w:cs="宋体"/>
          <w:sz w:val="24"/>
          <w:szCs w:val="24"/>
          <w:highlight w:val="white"/>
          <w:u w:val="single"/>
        </w:rPr>
        <w:t xml:space="preserve">  按照规范规定    </w:t>
      </w:r>
      <w:r>
        <w:rPr>
          <w:rFonts w:hint="eastAsia" w:ascii="宋体" w:hAnsi="宋体" w:eastAsia="宋体" w:cs="宋体"/>
          <w:sz w:val="24"/>
          <w:szCs w:val="24"/>
          <w:highlight w:val="white"/>
        </w:rPr>
        <w:t>。</w:t>
      </w:r>
    </w:p>
    <w:p w14:paraId="07D9948C">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7. 工期和进度</w:t>
      </w:r>
    </w:p>
    <w:p w14:paraId="0A335B63">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7.1 施工组织设计</w:t>
      </w:r>
    </w:p>
    <w:p w14:paraId="7B64A178">
      <w:pPr>
        <w:autoSpaceDE w:val="0"/>
        <w:autoSpaceDN w:val="0"/>
        <w:adjustRightInd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highlight w:val="white"/>
        </w:rPr>
        <w:t>7.1.1 合</w:t>
      </w:r>
      <w:r>
        <w:rPr>
          <w:rFonts w:hint="eastAsia" w:ascii="宋体" w:hAnsi="宋体" w:eastAsia="宋体" w:cs="宋体"/>
          <w:kern w:val="0"/>
          <w:sz w:val="24"/>
          <w:szCs w:val="24"/>
          <w:highlight w:val="white"/>
        </w:rPr>
        <w:t>同当事人约定的施工组织设计应包括的其他内容</w:t>
      </w:r>
      <w:bookmarkStart w:id="350" w:name="EB11bbfed44473470f942908c4c51e081f"/>
      <w:r>
        <w:rPr>
          <w:rFonts w:hint="eastAsia" w:ascii="宋体" w:hAnsi="宋体" w:eastAsia="宋体" w:cs="宋体"/>
          <w:kern w:val="0"/>
          <w:sz w:val="24"/>
          <w:szCs w:val="24"/>
          <w:highlight w:val="white"/>
        </w:rPr>
        <w:t>：执行通用条款</w:t>
      </w:r>
      <w:bookmarkEnd w:id="350"/>
      <w:r>
        <w:rPr>
          <w:rFonts w:hint="eastAsia" w:ascii="宋体" w:hAnsi="宋体" w:eastAsia="宋体" w:cs="宋体"/>
          <w:sz w:val="24"/>
          <w:szCs w:val="24"/>
          <w:highlight w:val="white"/>
        </w:rPr>
        <w:t>。</w:t>
      </w:r>
    </w:p>
    <w:p w14:paraId="09C239C9">
      <w:pPr>
        <w:autoSpaceDE w:val="0"/>
        <w:autoSpaceDN w:val="0"/>
        <w:adjustRightInd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highlight w:val="white"/>
        </w:rPr>
        <w:t xml:space="preserve">7.1.2 </w:t>
      </w:r>
      <w:r>
        <w:rPr>
          <w:rFonts w:hint="eastAsia" w:ascii="宋体" w:hAnsi="宋体" w:eastAsia="宋体" w:cs="宋体"/>
          <w:kern w:val="0"/>
          <w:sz w:val="24"/>
          <w:szCs w:val="24"/>
          <w:highlight w:val="white"/>
        </w:rPr>
        <w:t>施工组织设计的提交和修改</w:t>
      </w:r>
    </w:p>
    <w:p w14:paraId="4B6F91A4">
      <w:pPr>
        <w:autoSpaceDE w:val="0"/>
        <w:autoSpaceDN w:val="0"/>
        <w:adjustRightInd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承包人提交详细施工组织设计的期限的约定：</w:t>
      </w:r>
    </w:p>
    <w:p w14:paraId="0752A419">
      <w:pPr>
        <w:autoSpaceDE w:val="0"/>
        <w:autoSpaceDN w:val="0"/>
        <w:adjustRightInd w:val="0"/>
        <w:spacing w:line="360" w:lineRule="auto"/>
        <w:ind w:firstLine="480" w:firstLineChars="200"/>
        <w:rPr>
          <w:rFonts w:hint="eastAsia" w:ascii="宋体" w:hAnsi="宋体" w:eastAsia="宋体" w:cs="宋体"/>
          <w:sz w:val="24"/>
          <w:szCs w:val="24"/>
        </w:rPr>
      </w:pPr>
      <w:bookmarkStart w:id="351" w:name="EBffddc3420bae4e12964a9fe235b8a442"/>
      <w:r>
        <w:rPr>
          <w:rFonts w:hint="eastAsia" w:ascii="宋体" w:hAnsi="宋体" w:eastAsia="宋体" w:cs="宋体"/>
          <w:kern w:val="0"/>
          <w:sz w:val="24"/>
          <w:szCs w:val="24"/>
          <w:highlight w:val="white"/>
        </w:rPr>
        <w:t>承包人须在接到发包人发出中标通知书后15天内提交详细的包括已明确的所有专业分包工程的施工组织设计及进度计划表。施工组织设计和进度计划表应当说明施工时间、采取的方法、程序、分段和次序以及每个阶段估计需要的时间以及发包人要求列明的其他事项</w:t>
      </w:r>
      <w:bookmarkEnd w:id="351"/>
      <w:r>
        <w:rPr>
          <w:rFonts w:hint="eastAsia" w:ascii="宋体" w:hAnsi="宋体" w:eastAsia="宋体" w:cs="宋体"/>
          <w:kern w:val="0"/>
          <w:sz w:val="24"/>
          <w:szCs w:val="24"/>
          <w:highlight w:val="white"/>
        </w:rPr>
        <w:t>。</w:t>
      </w:r>
    </w:p>
    <w:p w14:paraId="0F1314C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发包人和监理人在收到详细的施工组织设计后确认或提出修改意见的期限：</w:t>
      </w:r>
      <w:r>
        <w:rPr>
          <w:rFonts w:hint="eastAsia" w:ascii="宋体" w:hAnsi="宋体" w:eastAsia="宋体" w:cs="宋体"/>
          <w:sz w:val="24"/>
          <w:szCs w:val="24"/>
          <w:u w:val="single"/>
        </w:rPr>
        <w:t>按通用条款执行</w:t>
      </w:r>
    </w:p>
    <w:p w14:paraId="18BE3F5A">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7.2 施工进度计划</w:t>
      </w:r>
    </w:p>
    <w:p w14:paraId="5B50B125">
      <w:pPr>
        <w:spacing w:after="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7.2.2 施工进度计划的修订</w:t>
      </w:r>
    </w:p>
    <w:p w14:paraId="17BECD1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发包人和监理人在收到修订的施工进度计划后确认或提出修改意见的期限：</w:t>
      </w:r>
    </w:p>
    <w:p w14:paraId="3A6EF8B0">
      <w:pPr>
        <w:spacing w:line="360" w:lineRule="auto"/>
        <w:ind w:firstLine="480" w:firstLineChars="200"/>
        <w:rPr>
          <w:rFonts w:hint="eastAsia" w:ascii="宋体" w:hAnsi="宋体" w:eastAsia="宋体" w:cs="宋体"/>
          <w:sz w:val="24"/>
          <w:szCs w:val="24"/>
        </w:rPr>
      </w:pPr>
      <w:bookmarkStart w:id="352" w:name="EBad11476eeaf945a4bb48c806a0209a0c"/>
      <w:r>
        <w:rPr>
          <w:rFonts w:hint="eastAsia" w:ascii="宋体" w:hAnsi="宋体" w:eastAsia="宋体" w:cs="宋体"/>
          <w:sz w:val="24"/>
          <w:szCs w:val="24"/>
          <w:highlight w:val="white"/>
        </w:rPr>
        <w:t>若在施工期间有特殊情况出现，发包人认为必须修改已认可的施工组织设计划及进度计划表，承包人须按发包人要求修改其施工组织设计及进度计划表，所有资料在发包人发出要求后的4天内提交，同时详细说明其修改依据及为确保最终完工时间而采取的解决方案</w:t>
      </w:r>
      <w:bookmarkEnd w:id="352"/>
      <w:r>
        <w:rPr>
          <w:rFonts w:hint="eastAsia" w:ascii="宋体" w:hAnsi="宋体" w:eastAsia="宋体" w:cs="宋体"/>
          <w:sz w:val="24"/>
          <w:szCs w:val="24"/>
          <w:highlight w:val="white"/>
        </w:rPr>
        <w:t>。</w:t>
      </w:r>
    </w:p>
    <w:p w14:paraId="3BB950A5">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7.3 开工</w:t>
      </w:r>
    </w:p>
    <w:p w14:paraId="02E34C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7.3.1 开工准备</w:t>
      </w:r>
    </w:p>
    <w:p w14:paraId="18D31D8B">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highlight w:val="white"/>
        </w:rPr>
        <w:t>关于承包人提交</w:t>
      </w:r>
      <w:r>
        <w:rPr>
          <w:rFonts w:hint="eastAsia" w:ascii="宋体" w:hAnsi="宋体" w:eastAsia="宋体" w:cs="宋体"/>
          <w:kern w:val="0"/>
          <w:sz w:val="24"/>
          <w:szCs w:val="24"/>
          <w:highlight w:val="white"/>
        </w:rPr>
        <w:t>工程开工报审表的期限：</w:t>
      </w:r>
      <w:r>
        <w:rPr>
          <w:rFonts w:hint="eastAsia" w:ascii="宋体" w:hAnsi="宋体" w:eastAsia="宋体" w:cs="宋体"/>
          <w:sz w:val="24"/>
          <w:szCs w:val="24"/>
          <w:u w:val="single"/>
        </w:rPr>
        <w:t>开工前  。</w:t>
      </w:r>
    </w:p>
    <w:p w14:paraId="75D5F7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关于发包人应完成的其他开工准备工作及期限：</w:t>
      </w:r>
      <w:r>
        <w:rPr>
          <w:rFonts w:hint="eastAsia" w:ascii="宋体" w:hAnsi="宋体" w:eastAsia="宋体" w:cs="宋体"/>
          <w:sz w:val="24"/>
          <w:szCs w:val="24"/>
          <w:u w:val="single"/>
        </w:rPr>
        <w:t>开工前  。</w:t>
      </w:r>
    </w:p>
    <w:p w14:paraId="4C79DE3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关于承包人应完成的其他开工准备工作及期限：</w:t>
      </w:r>
      <w:r>
        <w:rPr>
          <w:rFonts w:hint="eastAsia" w:ascii="宋体" w:hAnsi="宋体" w:eastAsia="宋体" w:cs="宋体"/>
          <w:sz w:val="24"/>
          <w:szCs w:val="24"/>
          <w:u w:val="single"/>
        </w:rPr>
        <w:t>开工前  。</w:t>
      </w:r>
    </w:p>
    <w:p w14:paraId="2A5286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7.3.2开工通知</w:t>
      </w:r>
    </w:p>
    <w:p w14:paraId="002C5E5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因发包人原因造成监理人未能在计划开工日期之日起</w:t>
      </w:r>
      <w:bookmarkStart w:id="353" w:name="EBe09d4b8c7f1548b4b34f90e8b4259001"/>
      <w:bookmarkEnd w:id="353"/>
      <w:r>
        <w:rPr>
          <w:rFonts w:hint="eastAsia" w:ascii="宋体" w:hAnsi="宋体" w:eastAsia="宋体" w:cs="宋体"/>
          <w:sz w:val="24"/>
          <w:szCs w:val="24"/>
          <w:highlight w:val="white"/>
        </w:rPr>
        <w:t>天内发出开工通知的，承包人有权提出价格调整要求，或者解除合同。</w:t>
      </w:r>
    </w:p>
    <w:p w14:paraId="79AB60A2">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7.4 测量放线</w:t>
      </w:r>
    </w:p>
    <w:p w14:paraId="37B07A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7.4.1发包人通过监理人向承包人提供测量基准点、基准线和水准点及其书面资料的期限：</w:t>
      </w:r>
    </w:p>
    <w:p w14:paraId="43C840B9">
      <w:pPr>
        <w:spacing w:after="0" w:line="360" w:lineRule="auto"/>
        <w:ind w:firstLine="480" w:firstLineChars="200"/>
        <w:outlineLvl w:val="9"/>
        <w:rPr>
          <w:rFonts w:hint="eastAsia" w:ascii="宋体" w:hAnsi="宋体" w:eastAsia="宋体" w:cs="宋体"/>
          <w:sz w:val="24"/>
          <w:szCs w:val="24"/>
          <w:u w:val="single"/>
        </w:rPr>
      </w:pPr>
      <w:r>
        <w:rPr>
          <w:rFonts w:hint="eastAsia" w:ascii="宋体" w:hAnsi="宋体" w:eastAsia="宋体" w:cs="宋体"/>
          <w:sz w:val="24"/>
          <w:szCs w:val="24"/>
          <w:u w:val="single"/>
        </w:rPr>
        <w:t>开工前  。</w:t>
      </w:r>
    </w:p>
    <w:p w14:paraId="5EF64FBD">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7.5 工期延误</w:t>
      </w:r>
    </w:p>
    <w:p w14:paraId="319268A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7.5.1 因发包人原因导致工期延误</w:t>
      </w:r>
    </w:p>
    <w:p w14:paraId="4202E5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（7）因发包人原因导致工期延误的其他情形：</w:t>
      </w:r>
    </w:p>
    <w:p w14:paraId="483F1B44">
      <w:pPr>
        <w:spacing w:line="360" w:lineRule="auto"/>
        <w:ind w:left="0" w:leftChars="0" w:firstLine="480" w:firstLineChars="200"/>
        <w:rPr>
          <w:rFonts w:hint="eastAsia" w:ascii="宋体" w:hAnsi="宋体" w:eastAsia="宋体" w:cs="宋体"/>
          <w:sz w:val="24"/>
          <w:szCs w:val="24"/>
        </w:rPr>
      </w:pPr>
      <w:bookmarkStart w:id="354" w:name="EB8b266267eae14a6383eb01cdcc800977"/>
      <w:r>
        <w:rPr>
          <w:rFonts w:hint="eastAsia" w:ascii="宋体" w:hAnsi="宋体" w:eastAsia="宋体" w:cs="宋体"/>
          <w:sz w:val="24"/>
          <w:szCs w:val="24"/>
          <w:highlight w:val="white"/>
          <w:u w:val="single"/>
        </w:rPr>
        <w:t>如遇停水、停电、停气，承包人应通过自备临时装置等方式自行解决</w:t>
      </w:r>
      <w:bookmarkEnd w:id="354"/>
      <w:r>
        <w:rPr>
          <w:rFonts w:hint="eastAsia" w:ascii="宋体" w:hAnsi="宋体" w:eastAsia="宋体" w:cs="宋体"/>
          <w:sz w:val="24"/>
          <w:szCs w:val="24"/>
          <w:highlight w:val="white"/>
          <w:u w:val="single"/>
        </w:rPr>
        <w:t xml:space="preserve">。工期与费用不予调整  </w:t>
      </w:r>
      <w:r>
        <w:rPr>
          <w:rFonts w:hint="eastAsia" w:ascii="宋体" w:hAnsi="宋体" w:eastAsia="宋体" w:cs="宋体"/>
          <w:sz w:val="24"/>
          <w:szCs w:val="24"/>
          <w:highlight w:val="white"/>
        </w:rPr>
        <w:t>。7.5.2 因承包人原因导致工期延误</w:t>
      </w:r>
    </w:p>
    <w:p w14:paraId="4E72ECA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因承包人原因造成工期延误，逾期竣工违约金的计算方法为：</w:t>
      </w:r>
    </w:p>
    <w:p w14:paraId="65A0549E">
      <w:pPr>
        <w:spacing w:line="360" w:lineRule="auto"/>
        <w:ind w:firstLine="480" w:firstLineChars="200"/>
        <w:rPr>
          <w:rFonts w:hint="eastAsia" w:ascii="宋体" w:hAnsi="宋体" w:eastAsia="宋体" w:cs="宋体"/>
          <w:sz w:val="24"/>
          <w:szCs w:val="24"/>
        </w:rPr>
      </w:pPr>
      <w:bookmarkStart w:id="355" w:name="EB0f2d187be5504353b72782271aedb79c"/>
      <w:r>
        <w:rPr>
          <w:rFonts w:hint="eastAsia" w:ascii="宋体" w:hAnsi="宋体" w:eastAsia="宋体" w:cs="宋体"/>
          <w:sz w:val="24"/>
          <w:szCs w:val="24"/>
          <w:highlight w:val="white"/>
        </w:rPr>
        <w:t>如合同工期延误，每延误一天，承包人向发包人支付违约金5万元。发包人确定的节点工期不得延误，每节点工期延误一天，承包人应向发包人支付违约金 5万元。</w:t>
      </w:r>
      <w:r>
        <w:rPr>
          <w:rFonts w:hint="eastAsia" w:ascii="宋体" w:hAnsi="宋体" w:eastAsia="宋体" w:cs="宋体"/>
          <w:sz w:val="24"/>
          <w:szCs w:val="24"/>
        </w:rPr>
        <w:t>如合同工期延误超过20天后，承包人赔偿违约金的同时视为自动终止合同，由此承包人发生的施工费用，发包人不予认可，由承包人自行承担。</w:t>
      </w:r>
      <w:r>
        <w:rPr>
          <w:rFonts w:hint="eastAsia" w:ascii="宋体" w:hAnsi="宋体" w:eastAsia="宋体" w:cs="宋体"/>
          <w:sz w:val="24"/>
          <w:szCs w:val="24"/>
          <w:highlight w:val="white"/>
        </w:rPr>
        <w:t>节点工期延误赔偿可在当期工程进度款中扣除，若经过采取补救措施，总工期未有延误，则节点工期延误赔偿金额可返还承包人。工期延误，节点工期延误，最后分别计算，二者互不抵扣。</w:t>
      </w:r>
      <w:bookmarkEnd w:id="355"/>
    </w:p>
    <w:p w14:paraId="7C280A8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因承包人原因造成工期延误，逾期竣工违约金的上限：</w:t>
      </w:r>
      <w:bookmarkStart w:id="356" w:name="EB661cc8cb377345b2928324a5e4cc8e9f"/>
      <w:bookmarkEnd w:id="356"/>
      <w:r>
        <w:rPr>
          <w:rFonts w:hint="eastAsia" w:ascii="宋体" w:hAnsi="宋体" w:eastAsia="宋体" w:cs="宋体"/>
          <w:sz w:val="24"/>
          <w:szCs w:val="24"/>
          <w:u w:val="single"/>
        </w:rPr>
        <w:t xml:space="preserve">    /  </w:t>
      </w:r>
      <w:r>
        <w:rPr>
          <w:rFonts w:hint="eastAsia" w:ascii="宋体" w:hAnsi="宋体" w:eastAsia="宋体" w:cs="宋体"/>
          <w:sz w:val="24"/>
          <w:szCs w:val="24"/>
          <w:highlight w:val="white"/>
        </w:rPr>
        <w:t>。</w:t>
      </w:r>
    </w:p>
    <w:p w14:paraId="39FCC059">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7.6 不利物质条件</w:t>
      </w:r>
    </w:p>
    <w:p w14:paraId="5DF889C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不利物质条件的其他情形和有关约定：</w:t>
      </w:r>
      <w:bookmarkStart w:id="357" w:name="EB35fa5063941641a8be92d6bb8a0fbec5"/>
      <w:bookmarkEnd w:id="357"/>
      <w:r>
        <w:rPr>
          <w:rFonts w:hint="eastAsia" w:ascii="宋体" w:hAnsi="宋体" w:eastAsia="宋体" w:cs="宋体"/>
          <w:sz w:val="24"/>
          <w:szCs w:val="24"/>
          <w:u w:val="single"/>
        </w:rPr>
        <w:t xml:space="preserve">    /  </w:t>
      </w:r>
      <w:r>
        <w:rPr>
          <w:rFonts w:hint="eastAsia" w:ascii="宋体" w:hAnsi="宋体" w:eastAsia="宋体" w:cs="宋体"/>
          <w:sz w:val="24"/>
          <w:szCs w:val="24"/>
          <w:highlight w:val="white"/>
        </w:rPr>
        <w:t>。</w:t>
      </w:r>
    </w:p>
    <w:p w14:paraId="0E37A7A5">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7.7异常恶劣的气候条件</w:t>
      </w:r>
    </w:p>
    <w:p w14:paraId="6824334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发包人和承包人同意以下情形视为异常恶劣的气候条件：</w:t>
      </w:r>
    </w:p>
    <w:p w14:paraId="3F33719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w:t>
      </w:r>
      <w:bookmarkStart w:id="358" w:name="EBb7f2d92b33f24a51a688d5e157f561be"/>
      <w:r>
        <w:rPr>
          <w:rFonts w:hint="eastAsia" w:ascii="宋体" w:hAnsi="宋体" w:eastAsia="宋体" w:cs="宋体"/>
          <w:sz w:val="24"/>
          <w:szCs w:val="24"/>
          <w:highlight w:val="white"/>
        </w:rPr>
        <w:t>里氏 5.5 级及以上的地震</w:t>
      </w:r>
      <w:bookmarkEnd w:id="358"/>
      <w:r>
        <w:rPr>
          <w:rFonts w:hint="eastAsia" w:ascii="宋体" w:hAnsi="宋体" w:eastAsia="宋体" w:cs="宋体"/>
          <w:sz w:val="24"/>
          <w:szCs w:val="24"/>
          <w:highlight w:val="white"/>
        </w:rPr>
        <w:t>；</w:t>
      </w:r>
    </w:p>
    <w:p w14:paraId="7591A91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w:t>
      </w:r>
      <w:bookmarkStart w:id="359" w:name="EB86e700eee6744be39d839e599f78f506"/>
      <w:r>
        <w:rPr>
          <w:rFonts w:hint="eastAsia" w:ascii="宋体" w:hAnsi="宋体" w:eastAsia="宋体" w:cs="宋体"/>
          <w:sz w:val="24"/>
          <w:szCs w:val="24"/>
          <w:highlight w:val="white"/>
        </w:rPr>
        <w:t>8 级以上大风（以句容市气象台资料为准）</w:t>
      </w:r>
      <w:bookmarkEnd w:id="359"/>
      <w:r>
        <w:rPr>
          <w:rFonts w:hint="eastAsia" w:ascii="宋体" w:hAnsi="宋体" w:eastAsia="宋体" w:cs="宋体"/>
          <w:sz w:val="24"/>
          <w:szCs w:val="24"/>
          <w:highlight w:val="white"/>
        </w:rPr>
        <w:t>；</w:t>
      </w:r>
    </w:p>
    <w:p w14:paraId="0A3E9F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w:t>
      </w:r>
      <w:bookmarkStart w:id="360" w:name="EB975a5b9780494bc39073cd0ea1313252"/>
      <w:r>
        <w:rPr>
          <w:rFonts w:hint="eastAsia" w:ascii="宋体" w:hAnsi="宋体" w:eastAsia="宋体" w:cs="宋体"/>
          <w:sz w:val="24"/>
          <w:szCs w:val="24"/>
          <w:highlight w:val="white"/>
        </w:rPr>
        <w:t>日降雨雪量达到 100mm 以上</w:t>
      </w:r>
      <w:bookmarkEnd w:id="360"/>
      <w:r>
        <w:rPr>
          <w:rFonts w:hint="eastAsia" w:ascii="宋体" w:hAnsi="宋体" w:eastAsia="宋体" w:cs="宋体"/>
          <w:sz w:val="24"/>
          <w:szCs w:val="24"/>
          <w:highlight w:val="white"/>
        </w:rPr>
        <w:t>。</w:t>
      </w:r>
    </w:p>
    <w:p w14:paraId="45462B04">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7.9 提前竣工的奖励</w:t>
      </w:r>
    </w:p>
    <w:p w14:paraId="7CE917B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7.9.2提前竣工的奖励：</w:t>
      </w:r>
      <w:bookmarkStart w:id="361" w:name="EBcbbaf52047fd40178ce08851f20c853b"/>
      <w:r>
        <w:rPr>
          <w:rFonts w:hint="eastAsia" w:ascii="宋体" w:hAnsi="宋体" w:eastAsia="宋体" w:cs="宋体"/>
          <w:sz w:val="24"/>
          <w:szCs w:val="24"/>
          <w:highlight w:val="white"/>
        </w:rPr>
        <w:t xml:space="preserve"> 如发包人书面要求缩短工期，承包人在确保本工程获招标质量标准“合格”的前提下实现缩短工期，按赶工措施费计取 。</w:t>
      </w:r>
      <w:bookmarkEnd w:id="361"/>
    </w:p>
    <w:p w14:paraId="320A9FF5">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8. 材料与设备</w:t>
      </w:r>
    </w:p>
    <w:p w14:paraId="124BC804">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8.4材料与工程设备的保管与使用</w:t>
      </w:r>
    </w:p>
    <w:p w14:paraId="36BD776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8.4.1发包人供应的材料设备的保管费用的承担：</w:t>
      </w:r>
    </w:p>
    <w:p w14:paraId="5942A131">
      <w:pPr>
        <w:spacing w:after="0" w:line="360" w:lineRule="auto"/>
        <w:ind w:firstLine="480" w:firstLineChars="200"/>
        <w:outlineLvl w:val="9"/>
        <w:rPr>
          <w:rFonts w:hint="eastAsia" w:ascii="宋体" w:hAnsi="宋体" w:eastAsia="宋体" w:cs="宋体"/>
          <w:sz w:val="24"/>
          <w:szCs w:val="24"/>
          <w:highlight w:val="white"/>
        </w:rPr>
      </w:pPr>
      <w:r>
        <w:rPr>
          <w:rFonts w:hint="eastAsia" w:ascii="宋体" w:hAnsi="宋体" w:eastAsia="宋体" w:cs="宋体"/>
          <w:sz w:val="24"/>
          <w:szCs w:val="24"/>
          <w:highlight w:val="white"/>
          <w:u w:val="single"/>
        </w:rPr>
        <w:t xml:space="preserve">由承包人承担，保管费用已包含于合同价款中   </w:t>
      </w:r>
      <w:r>
        <w:rPr>
          <w:rFonts w:hint="eastAsia" w:ascii="宋体" w:hAnsi="宋体" w:eastAsia="宋体" w:cs="宋体"/>
          <w:sz w:val="24"/>
          <w:szCs w:val="24"/>
          <w:highlight w:val="white"/>
        </w:rPr>
        <w:t>。</w:t>
      </w:r>
    </w:p>
    <w:p w14:paraId="470E9CBC">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8.6 样品</w:t>
      </w:r>
    </w:p>
    <w:p w14:paraId="2F6DC0E6">
      <w:pPr>
        <w:spacing w:after="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8.6.1样品的报送与封存</w:t>
      </w:r>
    </w:p>
    <w:p w14:paraId="7AF02EEB">
      <w:pPr>
        <w:autoSpaceDE w:val="0"/>
        <w:autoSpaceDN w:val="0"/>
        <w:adjustRightInd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需要承包人报送样品的材料或工程设备，样品的种类、名称、规格、数量要求：</w:t>
      </w:r>
    </w:p>
    <w:p w14:paraId="1537A0C9">
      <w:pPr>
        <w:autoSpaceDE w:val="0"/>
        <w:autoSpaceDN w:val="0"/>
        <w:adjustRightInd w:val="0"/>
        <w:spacing w:line="360" w:lineRule="auto"/>
        <w:ind w:firstLine="480" w:firstLineChars="200"/>
        <w:rPr>
          <w:rFonts w:hint="eastAsia" w:ascii="宋体" w:hAnsi="宋体" w:eastAsia="宋体" w:cs="宋体"/>
          <w:sz w:val="24"/>
          <w:szCs w:val="24"/>
        </w:rPr>
      </w:pPr>
      <w:bookmarkStart w:id="362" w:name="EB3854beee115046429c76b6ef4b00a737"/>
      <w:r>
        <w:rPr>
          <w:rFonts w:hint="eastAsia" w:ascii="宋体" w:hAnsi="宋体" w:eastAsia="宋体" w:cs="宋体"/>
          <w:kern w:val="0"/>
          <w:sz w:val="24"/>
          <w:szCs w:val="24"/>
          <w:highlight w:val="white"/>
        </w:rPr>
        <w:t>承包人须将经发包人认可的样本、样品保存在工地，作为以后验收工程的标准。发包人对任何样本、样品之认可，并不会免除或减轻承包人按合同文件所承担的义务与责任 。</w:t>
      </w:r>
      <w:bookmarkEnd w:id="362"/>
    </w:p>
    <w:p w14:paraId="6D1311D3">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8.8 施工设备和临时设施</w:t>
      </w:r>
    </w:p>
    <w:p w14:paraId="1BEAA7DC">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8.8.1 承包人提供的施工设备和临时设施：</w:t>
      </w:r>
    </w:p>
    <w:p w14:paraId="2CAD4F77">
      <w:pPr>
        <w:autoSpaceDE w:val="0"/>
        <w:autoSpaceDN w:val="0"/>
        <w:adjustRightInd w:val="0"/>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关于修建临时设施费用承担的约定：</w:t>
      </w:r>
      <w:r>
        <w:rPr>
          <w:rFonts w:hint="eastAsia" w:ascii="宋体" w:hAnsi="宋体" w:eastAsia="宋体" w:cs="宋体"/>
          <w:sz w:val="24"/>
          <w:szCs w:val="24"/>
          <w:highlight w:val="white"/>
          <w:u w:val="single"/>
        </w:rPr>
        <w:t xml:space="preserve"> 由承包人承担</w:t>
      </w:r>
      <w:r>
        <w:rPr>
          <w:rFonts w:hint="eastAsia" w:ascii="宋体" w:hAnsi="宋体" w:eastAsia="宋体" w:cs="宋体"/>
          <w:sz w:val="24"/>
          <w:szCs w:val="24"/>
          <w:highlight w:val="white"/>
        </w:rPr>
        <w:t>。</w:t>
      </w:r>
    </w:p>
    <w:p w14:paraId="618F559D">
      <w:pPr>
        <w:autoSpaceDE w:val="0"/>
        <w:autoSpaceDN w:val="0"/>
        <w:adjustRightInd w:val="0"/>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合同履约期间配合相关检查及整改所产生费用承担的约定：</w:t>
      </w:r>
      <w:r>
        <w:rPr>
          <w:rFonts w:hint="eastAsia" w:ascii="宋体" w:hAnsi="宋体" w:eastAsia="宋体" w:cs="宋体"/>
          <w:sz w:val="24"/>
          <w:szCs w:val="24"/>
          <w:highlight w:val="white"/>
          <w:u w:val="single"/>
        </w:rPr>
        <w:t xml:space="preserve"> 由承包人承担</w:t>
      </w:r>
      <w:r>
        <w:rPr>
          <w:rFonts w:hint="eastAsia" w:ascii="宋体" w:hAnsi="宋体" w:eastAsia="宋体" w:cs="宋体"/>
          <w:sz w:val="24"/>
          <w:szCs w:val="24"/>
          <w:highlight w:val="white"/>
        </w:rPr>
        <w:t>。</w:t>
      </w:r>
    </w:p>
    <w:p w14:paraId="630CC1A9">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9. 试验与检验</w:t>
      </w:r>
    </w:p>
    <w:p w14:paraId="6805A9F1">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9.1试验设备与试验人员</w:t>
      </w:r>
    </w:p>
    <w:p w14:paraId="2462D43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9.1.2 试验设备</w:t>
      </w:r>
    </w:p>
    <w:p w14:paraId="0B9C628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施工现场需要配置的试验场所：</w:t>
      </w:r>
      <w:r>
        <w:rPr>
          <w:rFonts w:hint="eastAsia" w:ascii="宋体" w:hAnsi="宋体" w:eastAsia="宋体" w:cs="宋体"/>
          <w:b/>
          <w:sz w:val="24"/>
          <w:szCs w:val="24"/>
          <w:highlight w:val="white"/>
          <w:u w:val="single"/>
        </w:rPr>
        <w:t>根据行业主管部门要求执行。</w:t>
      </w:r>
    </w:p>
    <w:p w14:paraId="75021E4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施工现场需要配备的试验设备：</w:t>
      </w:r>
      <w:r>
        <w:rPr>
          <w:rFonts w:hint="eastAsia" w:ascii="宋体" w:hAnsi="宋体" w:eastAsia="宋体" w:cs="宋体"/>
          <w:b/>
          <w:sz w:val="24"/>
          <w:szCs w:val="24"/>
          <w:highlight w:val="white"/>
          <w:u w:val="single"/>
        </w:rPr>
        <w:t>根据行业主管部门要求执行。</w:t>
      </w:r>
    </w:p>
    <w:p w14:paraId="222E2CE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施工现场需要具备的其他试验条件：</w:t>
      </w:r>
      <w:bookmarkStart w:id="363" w:name="EB987123ddd58d46ddbd6b62ad71854931"/>
      <w:bookmarkEnd w:id="363"/>
      <w:r>
        <w:rPr>
          <w:rFonts w:hint="eastAsia" w:ascii="宋体" w:hAnsi="宋体" w:eastAsia="宋体" w:cs="宋体"/>
          <w:b/>
          <w:sz w:val="24"/>
          <w:szCs w:val="24"/>
          <w:highlight w:val="white"/>
          <w:u w:val="single"/>
        </w:rPr>
        <w:t>据行业主管部门要求执行。</w:t>
      </w:r>
    </w:p>
    <w:p w14:paraId="0461FFEC">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 xml:space="preserve">9.4 现场工艺试验 </w:t>
      </w:r>
    </w:p>
    <w:p w14:paraId="06C2CBCF">
      <w:pPr>
        <w:spacing w:line="360" w:lineRule="auto"/>
        <w:ind w:firstLine="480" w:firstLineChars="200"/>
        <w:rPr>
          <w:rFonts w:hint="eastAsia" w:ascii="宋体" w:hAnsi="宋体" w:eastAsia="宋体" w:cs="宋体"/>
          <w:b/>
          <w:sz w:val="24"/>
          <w:szCs w:val="24"/>
          <w:highlight w:val="white"/>
          <w:u w:val="single"/>
        </w:rPr>
      </w:pPr>
      <w:r>
        <w:rPr>
          <w:rFonts w:hint="eastAsia" w:ascii="宋体" w:hAnsi="宋体" w:eastAsia="宋体" w:cs="宋体"/>
          <w:sz w:val="24"/>
          <w:szCs w:val="24"/>
          <w:highlight w:val="white"/>
        </w:rPr>
        <w:t>现场工艺试验的有关约定：</w:t>
      </w:r>
      <w:r>
        <w:rPr>
          <w:rFonts w:hint="eastAsia" w:ascii="宋体" w:hAnsi="宋体" w:eastAsia="宋体" w:cs="宋体"/>
          <w:b/>
          <w:sz w:val="24"/>
          <w:szCs w:val="24"/>
          <w:highlight w:val="white"/>
          <w:u w:val="single"/>
        </w:rPr>
        <w:t>根据行业主管部门要求执行</w:t>
      </w:r>
    </w:p>
    <w:p w14:paraId="77FA3CC5">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highlight w:val="white"/>
        </w:rPr>
        <w:t>10. 变更</w:t>
      </w:r>
    </w:p>
    <w:p w14:paraId="14005F75">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10.1变更的范围</w:t>
      </w:r>
    </w:p>
    <w:p w14:paraId="4CB9D33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关于变更的范围的约定：</w:t>
      </w:r>
    </w:p>
    <w:p w14:paraId="62598319">
      <w:pPr>
        <w:spacing w:line="360" w:lineRule="auto"/>
        <w:ind w:firstLine="480" w:firstLineChars="200"/>
        <w:rPr>
          <w:rFonts w:hint="eastAsia" w:ascii="宋体" w:hAnsi="宋体" w:eastAsia="宋体" w:cs="宋体"/>
          <w:sz w:val="24"/>
          <w:szCs w:val="24"/>
        </w:rPr>
      </w:pPr>
      <w:bookmarkStart w:id="364" w:name="EB3e3c391fddf84506a86e88183ca5517f"/>
      <w:r>
        <w:rPr>
          <w:rFonts w:hint="eastAsia" w:ascii="宋体" w:hAnsi="宋体" w:eastAsia="宋体" w:cs="宋体"/>
          <w:sz w:val="24"/>
          <w:szCs w:val="24"/>
          <w:highlight w:val="white"/>
        </w:rPr>
        <w:t>关于变更的范围的约定：政府投资工程有关变更的处理办法执行句容市人民政府《关于印发政府重点投资项目变更验收及移交管理细则的通知》（句政发【2019】51号）和《关于实行市政府投资房屋建筑和市政基础设施工程变更备案操作试行办法的通知》（句政发【2016】9 2号）(前述文件包括其不时更新，具体按主管部门发布的最新规定执行)。</w:t>
      </w:r>
    </w:p>
    <w:p w14:paraId="70DB755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中标后一个月内需完成对招标工程量清单与施工图纸的复核，如两者的误差额（包括清单内容、数量等）达到达到句政发【2019】51号文要求的备案起点时，必须在分部分项工程实施前向发包人提出变更费用申请，否则工程结算时对因此造成的造价增加将不予认可</w:t>
      </w:r>
      <w:bookmarkEnd w:id="364"/>
      <w:r>
        <w:rPr>
          <w:rFonts w:hint="eastAsia" w:ascii="宋体" w:hAnsi="宋体" w:eastAsia="宋体" w:cs="宋体"/>
          <w:sz w:val="24"/>
          <w:szCs w:val="24"/>
          <w:highlight w:val="white"/>
        </w:rPr>
        <w:t>，变更按照规范规定的时间节点办理，后期补办不予认可。</w:t>
      </w:r>
    </w:p>
    <w:p w14:paraId="1C060ECA">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10.4 变更估价</w:t>
      </w:r>
    </w:p>
    <w:p w14:paraId="68E5335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10.4.1 变更估价原则</w:t>
      </w:r>
    </w:p>
    <w:p w14:paraId="53D48DC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关于变更估价的约定：</w:t>
      </w:r>
    </w:p>
    <w:p w14:paraId="0B2E22C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如:</w:t>
      </w:r>
      <w:bookmarkStart w:id="365" w:name="EB31cad61091ba43ea8cc60860acd5d773"/>
      <w:r>
        <w:rPr>
          <w:rFonts w:hint="eastAsia" w:ascii="宋体" w:hAnsi="宋体" w:eastAsia="宋体" w:cs="宋体"/>
          <w:sz w:val="24"/>
          <w:szCs w:val="24"/>
          <w:highlight w:val="white"/>
        </w:rPr>
        <w:t>承包人、发包人工程师、监理单位工程师因变更洽商估值金额发生争议，该等争议不能视为承包人不完成或不按进度完成该项变更的理由。承包人应在发包人要求的时间内完成变更工作，承包人不得要求发包人工程师、监理单位工程师对变更估值金额与承包人达成一致意见作为执行该项变更工作的条件。</w:t>
      </w:r>
      <w:bookmarkEnd w:id="365"/>
    </w:p>
    <w:p w14:paraId="181A6D0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应按“句政发【2019】51号”文件要求执行变更备案等手续，承包人需提供相关资料文件，未能及时上报合格资料备案而导致不能结算的，应由承包人自行负责。如果由此造成发包人确定的节点工期延误，每节点工期延误一天，承包人应向发包人支付违约金 5万元。如果由此造成节点工期延误超过20天后，承包人赔偿违约金的同时视为自动终止合同，由此承包人发生的施工费用，发包人不予认可，由承包人自行承担。节点工期延误赔偿可在当期工程进度款中扣除，若经过采取补救措施，总工期未有延误，则节点工期延误赔偿金额可返还承包人(前述文件包括其不时更新，具体按主管部门发布的最新规定执行)。</w:t>
      </w:r>
    </w:p>
    <w:p w14:paraId="6566AD7D">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10.4.1.1工程量的变化，单价不变。</w:t>
      </w:r>
    </w:p>
    <w:p w14:paraId="0EE74DC8">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（1）因清单计算误差或估算量的调整等引起工程量的增加或减少时，综合单价均不调整；</w:t>
      </w:r>
    </w:p>
    <w:p w14:paraId="639A200E">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（2）因清单漏项或设计变更引起新的工程量清单项目，其综合单价的确定按下述方法进行：</w:t>
      </w:r>
    </w:p>
    <w:p w14:paraId="11C40518">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①合同中已有适用新增项目的单价，按合同中已有的价格。</w:t>
      </w:r>
    </w:p>
    <w:p w14:paraId="7A85E0FE">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②合同中只有类似新增项目的单价，可以参照类似价格。</w:t>
      </w:r>
    </w:p>
    <w:p w14:paraId="3079297B">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③合同中没有适用或类似新增项目的单价，由承包人提出，发包人确认。双方不能协商一致的，按建设行政主管部门发布的计价办法或计价标准并按下浮率下浮进行计价。</w:t>
      </w:r>
    </w:p>
    <w:p w14:paraId="18D07557">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10.4.1.2因设计变更引起的项目特征的变化单价的调整方法</w:t>
      </w:r>
    </w:p>
    <w:p w14:paraId="69C2A4DD">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①清单项目中减少一项或几项子项内容，则直接减去该项子目单价。</w:t>
      </w:r>
    </w:p>
    <w:p w14:paraId="31105DEC">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②清单项目中增加一项或几项子项内容，则相应增加该项子目单价。子目单价的确定同因工程量的变化调整单价方法。</w:t>
      </w:r>
    </w:p>
    <w:p w14:paraId="14839D6D">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③清单项目中减少一项或几项子项内容的同时增加一项或几项子项内容且工艺发生变化，则重新组价，按上述两种方法确定，组价后按下浮率下浮计价。</w:t>
      </w:r>
    </w:p>
    <w:p w14:paraId="55C52041">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rPr>
        <w:t>④</w:t>
      </w:r>
      <w:r>
        <w:rPr>
          <w:rFonts w:hint="eastAsia" w:ascii="宋体" w:hAnsi="宋体" w:eastAsia="宋体" w:cs="宋体"/>
          <w:kern w:val="2"/>
          <w:sz w:val="24"/>
          <w:szCs w:val="24"/>
          <w:highlight w:val="white"/>
        </w:rPr>
        <w:t>清单项目中某项子目材料规格不变，品牌改变，则只需调整材料价格差价并按下浮率下浮计价；清单项目中某项子目材料规格改变、品牌不变，如不涉及定额套用调整，则子目单价不变，如因规格改变而引起定额子目需重新套用，仅此材料的定额子目作相应调整，如因规格改变而引起此价格改变，则只需调整此材料价格差价并按下浮率下浮计价。但承包人不得擅自变更，否则按质量不合格处理。</w:t>
      </w:r>
    </w:p>
    <w:p w14:paraId="2009DF33">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合同外重新组价的综合单价调整方法：执行中标下浮率下浮作为工程结算依据。</w:t>
      </w:r>
    </w:p>
    <w:p w14:paraId="46409A86">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10.4.1.3措施费的调整</w:t>
      </w:r>
    </w:p>
    <w:p w14:paraId="710475F9">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(1)本项目措施费用，除临时设施费、材料检验实验费、现场安全文明施工措施费（基本费、</w:t>
      </w:r>
      <w:r>
        <w:rPr>
          <w:rFonts w:hint="eastAsia" w:ascii="宋体" w:hAnsi="宋体" w:eastAsia="宋体" w:cs="宋体"/>
          <w:kern w:val="2"/>
          <w:sz w:val="24"/>
          <w:szCs w:val="24"/>
        </w:rPr>
        <w:t>扬尘污染防治增加费</w:t>
      </w:r>
      <w:r>
        <w:rPr>
          <w:rFonts w:hint="eastAsia" w:ascii="宋体" w:hAnsi="宋体" w:eastAsia="宋体" w:cs="宋体"/>
          <w:kern w:val="2"/>
          <w:sz w:val="24"/>
          <w:szCs w:val="24"/>
          <w:highlight w:val="white"/>
        </w:rPr>
        <w:t>）以分部分项工程工程量清单计价采用中标费率进行结算以外，其余均由投标单位自行根据现场实际情况、招标图纸及招标要求，一次性投标报价包干，工程结算均不作调整。</w:t>
      </w:r>
    </w:p>
    <w:p w14:paraId="2555BCF9">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(2)“措施项目清单”内除模板、脚手架工程量因设计变更引起的主体结构混凝土工程量或砌体结构的增加/减少作相应调整以及按分部分项工程费用取费率计算的除外，承包人在“措施项目清单”内所填上的价款视为包括承包人的一切风险，包干使用，不论实际情况与承包人的估计有多大出入，亦不论有没有设计变更，一律不予以调整。</w:t>
      </w:r>
    </w:p>
    <w:p w14:paraId="6341B5D5">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(3)合同文件乃互相补充，“措施项目清单”及“其他项目清单”已经包含了依据本合同以及相关附件完成本工程项目所必然产生的或可能产生的措施费和其他项目的子项以及子项费用。除按照本合同明确约定的调整外，不再增加子项项目和项目费用。</w:t>
      </w:r>
    </w:p>
    <w:p w14:paraId="7BD3FEA1">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(4)承包人若在“措施项目清单”及“其他项目清单”内只填上一个总价，将会被要求提交每一项目的价款。</w:t>
      </w:r>
    </w:p>
    <w:p w14:paraId="0C2CE1E2">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(5)“措施项目清单”及“其他项目清单”内的项目在工程付款时，都按承包人已完成的工程量的进度分摊支付。</w:t>
      </w:r>
    </w:p>
    <w:p w14:paraId="154010AB">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(6)若承包人在“措施项目清单”及“其他项目清单”内没有填上价款，则视为承包人不要求措施费和其他项目费用或措施费和其他项目费用已经包含在合同价款中。</w:t>
      </w:r>
    </w:p>
    <w:p w14:paraId="5E5FE448">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（7）其他项目费的确定</w:t>
      </w:r>
    </w:p>
    <w:p w14:paraId="3EF18E88">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总承包单位针对</w:t>
      </w:r>
      <w:r>
        <w:rPr>
          <w:rFonts w:hint="eastAsia" w:ascii="宋体" w:hAnsi="宋体" w:eastAsia="宋体" w:cs="宋体"/>
          <w:kern w:val="2"/>
          <w:sz w:val="24"/>
          <w:szCs w:val="24"/>
          <w:highlight w:val="white"/>
          <w:u w:val="single"/>
        </w:rPr>
        <w:t>电梯专业、燃气、自来水、供电等</w:t>
      </w:r>
      <w:r>
        <w:rPr>
          <w:rFonts w:hint="eastAsia" w:ascii="宋体" w:hAnsi="宋体" w:eastAsia="宋体" w:cs="宋体"/>
          <w:kern w:val="2"/>
          <w:sz w:val="24"/>
          <w:szCs w:val="24"/>
          <w:highlight w:val="white"/>
        </w:rPr>
        <w:t>承包单位（包括但不限于）收取的管理费、配合费、服务费等，已包含在总承包单位投标报价、合同总价中。水电费、保管费等事宜由专业承包单位与总承包项目部协商，并直接支付给总承包单位项目部。如双方自行协商达成共识除外。</w:t>
      </w:r>
    </w:p>
    <w:p w14:paraId="52062983">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除此以外总承包单位不得再向该专业单位或其他专业单位或建设单位收取任何费用，如双方自行协商达成共识除外。</w:t>
      </w:r>
    </w:p>
    <w:p w14:paraId="62FF6E42">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10.4.1.4除暂定数量调整外，承包人的价款视作包括了所有人工费、材料费、机械费、管理费、规费、利润、税金及完成本工程不可或缺的工作及责任的所有费用，不论是否在图纸或专用条款内具体说明。</w:t>
      </w:r>
    </w:p>
    <w:p w14:paraId="4DB5970D">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10.4.1.5为确保工程措施项目落实到位，承包人施工前应将措施方案报送监理单位、发包人确认，措施方案确认后方可实施，如工程的措施方案监理与发包人认为不合理，可要求承包人无条件按照所要求的方案进行整改，如整改仍达不到其要求，发包人有权根据实际情况扣取相关措施费用（包括现场文明施工基本费），在发包人认为情况严重的情况下，发包人有权单方解除合同。</w:t>
      </w:r>
    </w:p>
    <w:p w14:paraId="3D2DEBEE">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10.4.1.6施工条件改变造成的额外费用</w:t>
      </w:r>
    </w:p>
    <w:p w14:paraId="2E7AD66D">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(1)施工条件、施工方法改变因素：地质地基条件变化、水文气候条件变化等。</w:t>
      </w:r>
    </w:p>
    <w:p w14:paraId="1737D33D">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(2)费用计算原则和方法：非发包人原因引起施工条件变化造成的额外费用由承包人承担。</w:t>
      </w:r>
    </w:p>
    <w:p w14:paraId="46DB156C">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地质地基条件与发包人提供的情况不符，经设计单位、监理单位、发包人确认必须调整原有的施工方案，由此所确认的新方案造成的额外费用增、减由发包人承担。涉及工程量调整的按工程量调整办法处理，涉及措施费调整的按措施费调整办法处理。</w:t>
      </w:r>
    </w:p>
    <w:p w14:paraId="4BA63C48">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10.4.1.7工期延误造成的额外费用计价方法</w:t>
      </w:r>
    </w:p>
    <w:p w14:paraId="0D7CF230">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(1)工期延误因素：设计变更、施工条件变更、甲供材料（设备）供应拖延、预付款、进度款拖延等。</w:t>
      </w:r>
    </w:p>
    <w:p w14:paraId="2351B039">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(2)费用计算原则和方法：非发包人原因引起工期延误造成的额外费用由承包人承担。</w:t>
      </w:r>
    </w:p>
    <w:p w14:paraId="68882E70">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因工期延误导致脚手、模板、支撑等租赁费、机械设备停置费、施工排水降水费的增加由承包人承担。如承包人原因引起工期延误，延误阶段的材料、人工、机械、费率等上涨造成的费用由承包人承担，延误阶段的材料、人工、机械、费率等下浮费用由发包人受益。</w:t>
      </w:r>
    </w:p>
    <w:p w14:paraId="169BE687">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10.4.1.8工程结算时，未做项目及发包人另行专业分包工程所涉及到的工程项目价款将按相应工程的标底预算价按照中标下浮率下浮后从承包合同价款中扣除。如未做项目及发包人专业分包工程价款在签订合同时列入暂估价的，结算时扣除未做项目及发包人专业分包工程对应的暂估价。</w:t>
      </w:r>
    </w:p>
    <w:p w14:paraId="2747A340">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10.4.1.9除本合同文件约定的调整情况外。合同价款在任何情况下均不做调整。</w:t>
      </w:r>
    </w:p>
    <w:p w14:paraId="0701904A">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10.4.1.10</w:t>
      </w:r>
    </w:p>
    <w:p w14:paraId="73446430">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如果工程量清单项的中标综合单价超过标底预算价的百分数（安装20%，灯具、设备50%，土建（含人防）装修10%，园林绿化15%，市政15%）,即：（中标综合单价-标底预算综合单价）/标底预算综合单价），则该项结算综合单价为:标底预算综合单价*（1-中标下浮率）。</w:t>
      </w:r>
    </w:p>
    <w:p w14:paraId="3C7E4C51">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（2）、如果工程量清单项的中标综合单价低于标底预算价的百分数，即：（标底预算综合单价-中标综合单价）/标底预算综合单价），则该项结算综合单价为:中标综合单价。</w:t>
      </w:r>
    </w:p>
    <w:p w14:paraId="57AF5703">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3）、在中标以后，施工过程中如果中标人由于清单报价中的材料价格报价明显高于或者低于市场均价及镇江发布的当地信息价20%以上情况，应当按照废标处理，招标人有权力让评标委员会推荐的第二名候选人中标。</w:t>
      </w:r>
    </w:p>
    <w:p w14:paraId="572F4586">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4）、在施工过程中，如果清单中变更某项材料，并不影响整个施工工艺，仅调整此项材料风险以外的材料价差，如果此项材料涉及的中标工程量低于清单招标控制价的工程量，则按中标工程量作为调整材料价差的工程量；如果此项材料涉及的中标工程量高于清单招标控制价的工程量，则按实际工程量作为调整材料价差的工程量（并按中标下浮率下浮）；除此不作任何调整。</w:t>
      </w:r>
    </w:p>
    <w:p w14:paraId="38804CEE">
      <w:pPr>
        <w:pStyle w:val="307"/>
        <w:tabs>
          <w:tab w:val="left" w:pos="8280"/>
        </w:tabs>
        <w:spacing w:before="0" w:after="0" w:line="360" w:lineRule="auto"/>
        <w:ind w:left="0" w:right="0" w:firstLine="480" w:firstLineChars="200"/>
        <w:jc w:val="both"/>
        <w:rPr>
          <w:rFonts w:hint="eastAsia" w:ascii="宋体" w:hAnsi="宋体" w:eastAsia="宋体" w:cs="宋体"/>
          <w:kern w:val="2"/>
          <w:sz w:val="24"/>
          <w:szCs w:val="24"/>
          <w:highlight w:val="white"/>
        </w:rPr>
      </w:pPr>
      <w:r>
        <w:rPr>
          <w:rFonts w:hint="eastAsia" w:ascii="宋体" w:hAnsi="宋体" w:eastAsia="宋体" w:cs="宋体"/>
          <w:kern w:val="2"/>
          <w:sz w:val="24"/>
          <w:szCs w:val="24"/>
          <w:highlight w:val="white"/>
        </w:rPr>
        <w:t>10.4.1.11承包方需配合发包人履行内审责任，双方约定工程款结算金额以财政评审中心（或审计局）最终审计金额为依据。</w:t>
      </w:r>
    </w:p>
    <w:p w14:paraId="33374CD9">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10.5承包人的合理化建议</w:t>
      </w:r>
    </w:p>
    <w:p w14:paraId="1224410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监理人审查承包人合理化建议的期限：</w:t>
      </w:r>
      <w:bookmarkStart w:id="366" w:name="EBaa6d9609e07c436a947a73ca8dfd351c"/>
      <w:r>
        <w:rPr>
          <w:rFonts w:hint="eastAsia" w:ascii="宋体" w:hAnsi="宋体" w:eastAsia="宋体" w:cs="宋体"/>
          <w:sz w:val="24"/>
          <w:szCs w:val="24"/>
          <w:highlight w:val="white"/>
        </w:rPr>
        <w:t>执行通用条款</w:t>
      </w:r>
      <w:bookmarkEnd w:id="366"/>
      <w:r>
        <w:rPr>
          <w:rFonts w:hint="eastAsia" w:ascii="宋体" w:hAnsi="宋体" w:eastAsia="宋体" w:cs="宋体"/>
          <w:sz w:val="24"/>
          <w:szCs w:val="24"/>
          <w:highlight w:val="white"/>
        </w:rPr>
        <w:t>。</w:t>
      </w:r>
    </w:p>
    <w:p w14:paraId="3C3F3E0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发包人审批承包人合理化建议的期限：</w:t>
      </w:r>
      <w:bookmarkStart w:id="367" w:name="EB866c08ca4711411ebb74247200b4e575"/>
      <w:bookmarkEnd w:id="367"/>
      <w:r>
        <w:rPr>
          <w:rFonts w:hint="eastAsia" w:ascii="宋体" w:hAnsi="宋体" w:eastAsia="宋体" w:cs="宋体"/>
          <w:sz w:val="24"/>
          <w:szCs w:val="24"/>
          <w:highlight w:val="white"/>
        </w:rPr>
        <w:t>执行通用条款。</w:t>
      </w:r>
    </w:p>
    <w:p w14:paraId="2DACE97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承包人提出的合理化建议降低了合同价格或者提高了工程经济效益的奖励的方法和金额为：</w:t>
      </w:r>
    </w:p>
    <w:p w14:paraId="7BE12B26">
      <w:pPr>
        <w:spacing w:line="360" w:lineRule="auto"/>
        <w:ind w:firstLine="480" w:firstLineChars="200"/>
        <w:rPr>
          <w:rFonts w:hint="eastAsia" w:ascii="宋体" w:hAnsi="宋体" w:eastAsia="宋体" w:cs="宋体"/>
          <w:sz w:val="24"/>
          <w:szCs w:val="24"/>
          <w:u w:val="single"/>
        </w:rPr>
      </w:pPr>
      <w:bookmarkStart w:id="368" w:name="EBcad785867e8348b496d2c124389ca6aa"/>
      <w:bookmarkEnd w:id="368"/>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w:t>
      </w:r>
    </w:p>
    <w:p w14:paraId="04365589">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10.7 暂估价</w:t>
      </w:r>
    </w:p>
    <w:p w14:paraId="30BA5C41">
      <w:pPr>
        <w:spacing w:line="360" w:lineRule="auto"/>
        <w:ind w:firstLine="480" w:firstLineChars="200"/>
        <w:rPr>
          <w:rFonts w:hint="eastAsia" w:ascii="宋体" w:hAnsi="宋体" w:eastAsia="宋体" w:cs="宋体"/>
          <w:sz w:val="24"/>
          <w:szCs w:val="24"/>
        </w:rPr>
      </w:pPr>
      <w:r>
        <w:rPr>
          <w:rFonts w:hint="eastAsia" w:ascii="宋体" w:hAnsi="宋体" w:eastAsia="宋体" w:cs="宋体"/>
          <w:kern w:val="0"/>
          <w:sz w:val="24"/>
          <w:szCs w:val="24"/>
          <w:highlight w:val="white"/>
        </w:rPr>
        <w:t>暂估价材料和工程设备的明细详见附件11：《</w:t>
      </w:r>
      <w:r>
        <w:rPr>
          <w:rFonts w:hint="eastAsia" w:ascii="宋体" w:hAnsi="宋体" w:eastAsia="宋体" w:cs="宋体"/>
          <w:sz w:val="24"/>
          <w:szCs w:val="24"/>
          <w:highlight w:val="white"/>
        </w:rPr>
        <w:t>暂估价一览表》</w:t>
      </w:r>
      <w:r>
        <w:rPr>
          <w:rFonts w:hint="eastAsia" w:ascii="宋体" w:hAnsi="宋体" w:eastAsia="宋体" w:cs="宋体"/>
          <w:kern w:val="0"/>
          <w:sz w:val="24"/>
          <w:szCs w:val="24"/>
          <w:highlight w:val="white"/>
        </w:rPr>
        <w:t>。</w:t>
      </w:r>
    </w:p>
    <w:p w14:paraId="5FDDDAD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10.7.1 依法必须招标的暂估价项目</w:t>
      </w:r>
    </w:p>
    <w:p w14:paraId="2654D2B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对于依法必须招标的暂估价项目的确认和批准采取第</w:t>
      </w:r>
      <w:bookmarkStart w:id="369" w:name="EBdae702c30a2748c8a31931d00fc33a11"/>
      <w:bookmarkEnd w:id="369"/>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种方式确定。</w:t>
      </w:r>
    </w:p>
    <w:p w14:paraId="16268F9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10.7.2 不属于依法必须招标的暂估价项目</w:t>
      </w:r>
    </w:p>
    <w:p w14:paraId="46EC97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对于不属于依法必须招标的暂估价项目的确认和批准采取第</w:t>
      </w:r>
      <w:bookmarkStart w:id="370" w:name="EBe979f9658402497c9f7abd2660a4d511"/>
      <w:bookmarkEnd w:id="370"/>
      <w:r>
        <w:rPr>
          <w:rFonts w:hint="eastAsia" w:ascii="宋体" w:hAnsi="宋体" w:eastAsia="宋体" w:cs="宋体"/>
          <w:sz w:val="24"/>
          <w:szCs w:val="24"/>
          <w:highlight w:val="white"/>
          <w:u w:val="single"/>
        </w:rPr>
        <w:t xml:space="preserve"> 3</w:t>
      </w:r>
      <w:r>
        <w:rPr>
          <w:rFonts w:hint="eastAsia" w:ascii="宋体" w:hAnsi="宋体" w:eastAsia="宋体" w:cs="宋体"/>
          <w:sz w:val="24"/>
          <w:szCs w:val="24"/>
          <w:highlight w:val="white"/>
        </w:rPr>
        <w:t>种方式确定。</w:t>
      </w:r>
    </w:p>
    <w:p w14:paraId="2A4D0484">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highlight w:val="white"/>
        </w:rPr>
        <w:t>第3种方式：</w:t>
      </w:r>
      <w:r>
        <w:rPr>
          <w:rFonts w:hint="eastAsia" w:ascii="宋体" w:hAnsi="宋体" w:eastAsia="宋体" w:cs="宋体"/>
          <w:kern w:val="0"/>
          <w:sz w:val="24"/>
          <w:szCs w:val="24"/>
          <w:highlight w:val="white"/>
        </w:rPr>
        <w:t>承包人直接实施的暂估价项目</w:t>
      </w:r>
    </w:p>
    <w:p w14:paraId="120129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承包人直接实施的暂估价项目的约定：</w:t>
      </w:r>
      <w:bookmarkStart w:id="371" w:name="EBe71510d90cdc4ea48adc88a972c8067d"/>
      <w:r>
        <w:rPr>
          <w:rFonts w:hint="eastAsia" w:ascii="宋体" w:hAnsi="宋体" w:eastAsia="宋体" w:cs="宋体"/>
          <w:sz w:val="24"/>
          <w:szCs w:val="24"/>
          <w:highlight w:val="white"/>
        </w:rPr>
        <w:t>暂估价的调整具体按下述方法进行：</w:t>
      </w:r>
    </w:p>
    <w:p w14:paraId="2EF86C7A">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（1）暂估材料价格调整方法：由承包人提出，造价咨询单位询价，发包人签证确认。</w:t>
      </w:r>
    </w:p>
    <w:p w14:paraId="151F403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（2）暂估项目费用调整方法：暂估价部分超过100万元（工程类）、30万元（设计等服务类）须进入句容市公共资源交易平台进行二次招标</w:t>
      </w:r>
      <w:bookmarkEnd w:id="371"/>
      <w:r>
        <w:rPr>
          <w:rFonts w:hint="eastAsia" w:ascii="宋体" w:hAnsi="宋体" w:eastAsia="宋体" w:cs="宋体"/>
          <w:sz w:val="24"/>
          <w:szCs w:val="24"/>
          <w:highlight w:val="white"/>
        </w:rPr>
        <w:t>。</w:t>
      </w:r>
    </w:p>
    <w:p w14:paraId="3D626F7D">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10.8 暂列金额</w:t>
      </w:r>
    </w:p>
    <w:p w14:paraId="56D96C9C">
      <w:pPr>
        <w:autoSpaceDE w:val="0"/>
        <w:autoSpaceDN w:val="0"/>
        <w:adjustRightInd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合同当事人关于暂列金额使用的约定：</w:t>
      </w:r>
      <w:bookmarkStart w:id="372" w:name="EB2f945007d3fa4715b3c68227cac0ff69"/>
      <w:bookmarkEnd w:id="372"/>
      <w:r>
        <w:rPr>
          <w:rFonts w:hint="eastAsia" w:ascii="宋体" w:hAnsi="宋体" w:eastAsia="宋体" w:cs="宋体"/>
          <w:kern w:val="0"/>
          <w:sz w:val="24"/>
          <w:szCs w:val="24"/>
          <w:highlight w:val="white"/>
          <w:u w:val="single"/>
        </w:rPr>
        <w:t xml:space="preserve">   /   </w:t>
      </w:r>
      <w:r>
        <w:rPr>
          <w:rFonts w:hint="eastAsia" w:ascii="宋体" w:hAnsi="宋体" w:eastAsia="宋体" w:cs="宋体"/>
          <w:kern w:val="0"/>
          <w:sz w:val="24"/>
          <w:szCs w:val="24"/>
          <w:highlight w:val="white"/>
        </w:rPr>
        <w:t>。</w:t>
      </w:r>
    </w:p>
    <w:p w14:paraId="70DB2D8D">
      <w:pPr>
        <w:spacing w:before="0" w:after="0" w:line="360" w:lineRule="auto"/>
        <w:ind w:firstLine="480" w:firstLineChars="200"/>
        <w:outlineLvl w:val="9"/>
        <w:rPr>
          <w:rFonts w:hint="eastAsia" w:ascii="宋体" w:hAnsi="宋体" w:eastAsia="宋体" w:cs="宋体"/>
          <w:b w:val="0"/>
          <w:kern w:val="2"/>
          <w:sz w:val="24"/>
          <w:szCs w:val="24"/>
        </w:rPr>
      </w:pPr>
      <w:r>
        <w:rPr>
          <w:rFonts w:hint="eastAsia" w:ascii="宋体" w:hAnsi="宋体" w:eastAsia="宋体" w:cs="宋体"/>
          <w:b w:val="0"/>
          <w:sz w:val="24"/>
          <w:szCs w:val="24"/>
          <w:highlight w:val="white"/>
        </w:rPr>
        <w:t>11. 价格调整</w:t>
      </w:r>
    </w:p>
    <w:p w14:paraId="1B81B13D">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11.1 市场价格波动引起的调整</w:t>
      </w:r>
    </w:p>
    <w:p w14:paraId="79D0F91E">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市场价格波动是否调整合同价格的约定：</w:t>
      </w:r>
    </w:p>
    <w:p w14:paraId="093EABD7">
      <w:pPr>
        <w:spacing w:line="360" w:lineRule="auto"/>
        <w:ind w:firstLine="480" w:firstLineChars="200"/>
        <w:rPr>
          <w:rFonts w:hint="eastAsia" w:ascii="宋体" w:hAnsi="宋体" w:eastAsia="宋体" w:cs="宋体"/>
          <w:sz w:val="24"/>
          <w:szCs w:val="24"/>
        </w:rPr>
      </w:pPr>
      <w:bookmarkStart w:id="373" w:name="EB55d6582a9fc249b7aac8c1cdde23dfcc"/>
      <w:r>
        <w:rPr>
          <w:rFonts w:hint="eastAsia" w:ascii="宋体" w:hAnsi="宋体" w:eastAsia="宋体" w:cs="宋体"/>
          <w:kern w:val="0"/>
          <w:sz w:val="24"/>
          <w:szCs w:val="24"/>
          <w:highlight w:val="white"/>
        </w:rPr>
        <w:t>人工、材料、机械等要素的市场价格波动产生的差价按以下（ b ） 办法调整。</w:t>
      </w:r>
    </w:p>
    <w:p w14:paraId="7D38C330">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a本工程合同工期在6个月以内，且标底中已按规定计取了风险费用，不再调整差价。</w:t>
      </w:r>
    </w:p>
    <w:p w14:paraId="268F99B0">
      <w:pPr>
        <w:spacing w:line="360" w:lineRule="auto"/>
        <w:ind w:firstLine="480" w:firstLineChars="200"/>
        <w:rPr>
          <w:rFonts w:hint="eastAsia" w:ascii="宋体" w:hAnsi="宋体" w:eastAsia="宋体" w:cs="宋体"/>
          <w:kern w:val="0"/>
          <w:sz w:val="24"/>
          <w:szCs w:val="24"/>
          <w:highlight w:val="white"/>
        </w:rPr>
      </w:pPr>
      <w:r>
        <w:rPr>
          <w:rFonts w:hint="eastAsia" w:ascii="宋体" w:hAnsi="宋体" w:eastAsia="宋体" w:cs="宋体"/>
          <w:kern w:val="0"/>
          <w:sz w:val="24"/>
          <w:szCs w:val="24"/>
          <w:highlight w:val="white"/>
        </w:rPr>
        <w:t>b本工程标底中未计取风险费用，差价调整：参照苏建价〔2008〕67号文调整，造价管理部门发布指导价的材料差价按施工期间的平均指导价，调整材料差价执行下浮率下浮作为工程结算依据。</w:t>
      </w:r>
      <w:bookmarkEnd w:id="373"/>
    </w:p>
    <w:p w14:paraId="45EA691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因市场价格波动调整合同价格，采用以下第</w:t>
      </w:r>
      <w:bookmarkStart w:id="374" w:name="EB4adc9768fa814fa49b3b2e8342b71e41"/>
      <w:r>
        <w:rPr>
          <w:rFonts w:hint="eastAsia" w:ascii="宋体" w:hAnsi="宋体" w:eastAsia="宋体" w:cs="宋体"/>
          <w:sz w:val="24"/>
          <w:szCs w:val="24"/>
          <w:highlight w:val="white"/>
        </w:rPr>
        <w:t>（3）</w:t>
      </w:r>
      <w:bookmarkEnd w:id="374"/>
      <w:r>
        <w:rPr>
          <w:rFonts w:hint="eastAsia" w:ascii="宋体" w:hAnsi="宋体" w:eastAsia="宋体" w:cs="宋体"/>
          <w:sz w:val="24"/>
          <w:szCs w:val="24"/>
          <w:highlight w:val="white"/>
        </w:rPr>
        <w:t>种方式对合同价格进行调整：</w:t>
      </w:r>
    </w:p>
    <w:p w14:paraId="0392ADF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第1种方式：采用价格指数进行价格调整。</w:t>
      </w:r>
    </w:p>
    <w:p w14:paraId="5F385C8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关于各可调因子、定值和变值权重，以及基本价格指数及其来源的约定：</w:t>
      </w:r>
      <w:bookmarkStart w:id="375" w:name="EB160ded03914f496188467d46b8187824"/>
      <w:bookmarkEnd w:id="375"/>
      <w:r>
        <w:rPr>
          <w:rFonts w:hint="eastAsia" w:ascii="宋体" w:hAnsi="宋体" w:eastAsia="宋体" w:cs="宋体"/>
          <w:sz w:val="24"/>
          <w:szCs w:val="24"/>
          <w:highlight w:val="white"/>
          <w:u w:val="single"/>
        </w:rPr>
        <w:t>/</w:t>
      </w:r>
      <w:r>
        <w:rPr>
          <w:rFonts w:hint="eastAsia" w:ascii="宋体" w:hAnsi="宋体" w:eastAsia="宋体" w:cs="宋体"/>
          <w:sz w:val="24"/>
          <w:szCs w:val="24"/>
          <w:highlight w:val="white"/>
        </w:rPr>
        <w:t xml:space="preserve">；  </w:t>
      </w:r>
    </w:p>
    <w:p w14:paraId="17A259E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第2种方式：采用造价信息进行价格调整。</w:t>
      </w:r>
    </w:p>
    <w:p w14:paraId="11ECCB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（2）关于基准价格的约定：</w:t>
      </w:r>
      <w:bookmarkStart w:id="376" w:name="EBebed725e00e74166b85dd952b89f7741"/>
      <w:bookmarkEnd w:id="376"/>
      <w:r>
        <w:rPr>
          <w:rFonts w:hint="eastAsia" w:ascii="宋体" w:hAnsi="宋体" w:eastAsia="宋体" w:cs="宋体"/>
          <w:sz w:val="24"/>
          <w:szCs w:val="24"/>
          <w:highlight w:val="white"/>
          <w:u w:val="single"/>
        </w:rPr>
        <w:t>/</w:t>
      </w:r>
      <w:r>
        <w:rPr>
          <w:rFonts w:hint="eastAsia" w:ascii="宋体" w:hAnsi="宋体" w:eastAsia="宋体" w:cs="宋体"/>
          <w:sz w:val="24"/>
          <w:szCs w:val="24"/>
          <w:highlight w:val="white"/>
        </w:rPr>
        <w:t>。</w:t>
      </w:r>
    </w:p>
    <w:p w14:paraId="7116DB3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专用合同条款①承包人在已标价工程量清单或预算书中载明的材料单价低于基准价格的：专用合同条款合同履行期间材料单价涨幅以基准价格为基础超过</w:t>
      </w:r>
      <w:bookmarkStart w:id="377" w:name="EB0cd3f373d7124fb3a23644f1c9816e97"/>
      <w:r>
        <w:rPr>
          <w:rFonts w:hint="eastAsia" w:ascii="宋体" w:hAnsi="宋体" w:eastAsia="宋体" w:cs="宋体"/>
          <w:sz w:val="24"/>
          <w:szCs w:val="24"/>
          <w:highlight w:val="white"/>
        </w:rPr>
        <w:t>5</w:t>
      </w:r>
      <w:bookmarkEnd w:id="377"/>
      <w:r>
        <w:rPr>
          <w:rFonts w:hint="eastAsia" w:ascii="宋体" w:hAnsi="宋体" w:eastAsia="宋体" w:cs="宋体"/>
          <w:sz w:val="24"/>
          <w:szCs w:val="24"/>
          <w:highlight w:val="white"/>
        </w:rPr>
        <w:t>%时，或材料单价跌幅以已标价工程量清单或预算书中载明材料单价为基础超过</w:t>
      </w:r>
      <w:bookmarkStart w:id="378" w:name="EBcaacac187b6440788d4dde9b39b13413"/>
      <w:r>
        <w:rPr>
          <w:rFonts w:hint="eastAsia" w:ascii="宋体" w:hAnsi="宋体" w:eastAsia="宋体" w:cs="宋体"/>
          <w:sz w:val="24"/>
          <w:szCs w:val="24"/>
          <w:highlight w:val="white"/>
        </w:rPr>
        <w:t>5</w:t>
      </w:r>
      <w:bookmarkEnd w:id="378"/>
      <w:r>
        <w:rPr>
          <w:rFonts w:hint="eastAsia" w:ascii="宋体" w:hAnsi="宋体" w:eastAsia="宋体" w:cs="宋体"/>
          <w:sz w:val="24"/>
          <w:szCs w:val="24"/>
          <w:highlight w:val="white"/>
        </w:rPr>
        <w:t>%时，其超过部分据实调整。</w:t>
      </w:r>
    </w:p>
    <w:p w14:paraId="6C4F012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②承包人在已标价工程量清单或预算书中载明的材料单价高于基准价格的：专用合同条款合同履行期间材料单价跌幅以基准价格为基础超过</w:t>
      </w:r>
      <w:bookmarkStart w:id="379" w:name="EBa98dfa07919543dfba4f09fcc90f5120"/>
      <w:r>
        <w:rPr>
          <w:rFonts w:hint="eastAsia" w:ascii="宋体" w:hAnsi="宋体" w:eastAsia="宋体" w:cs="宋体"/>
          <w:sz w:val="24"/>
          <w:szCs w:val="24"/>
          <w:highlight w:val="white"/>
        </w:rPr>
        <w:t>5</w:t>
      </w:r>
      <w:bookmarkEnd w:id="379"/>
      <w:r>
        <w:rPr>
          <w:rFonts w:hint="eastAsia" w:ascii="宋体" w:hAnsi="宋体" w:eastAsia="宋体" w:cs="宋体"/>
          <w:sz w:val="24"/>
          <w:szCs w:val="24"/>
          <w:highlight w:val="white"/>
        </w:rPr>
        <w:t>%时，材料单价涨幅以已标价工程量清单或预算书中载明材料单价为基础超过</w:t>
      </w:r>
      <w:bookmarkStart w:id="380" w:name="EB291c53a473db4a51af6e78b6dafade77"/>
      <w:r>
        <w:rPr>
          <w:rFonts w:hint="eastAsia" w:ascii="宋体" w:hAnsi="宋体" w:eastAsia="宋体" w:cs="宋体"/>
          <w:sz w:val="24"/>
          <w:szCs w:val="24"/>
          <w:highlight w:val="white"/>
        </w:rPr>
        <w:t>5</w:t>
      </w:r>
      <w:bookmarkEnd w:id="380"/>
      <w:r>
        <w:rPr>
          <w:rFonts w:hint="eastAsia" w:ascii="宋体" w:hAnsi="宋体" w:eastAsia="宋体" w:cs="宋体"/>
          <w:sz w:val="24"/>
          <w:szCs w:val="24"/>
          <w:highlight w:val="white"/>
        </w:rPr>
        <w:t>%时，其超过部分据实调整。</w:t>
      </w:r>
    </w:p>
    <w:p w14:paraId="382EE19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③承包人在已标价工程量清单或预算书中载明的材料单价等于基准单价的：专用合同条款合同履行期间材料单价涨跌幅以基准单价为基础超过±</w:t>
      </w:r>
      <w:bookmarkStart w:id="381" w:name="EB2e50a11a80e540fbbb2d3bbcc72b1471"/>
      <w:r>
        <w:rPr>
          <w:rFonts w:hint="eastAsia" w:ascii="宋体" w:hAnsi="宋体" w:eastAsia="宋体" w:cs="宋体"/>
          <w:sz w:val="24"/>
          <w:szCs w:val="24"/>
          <w:highlight w:val="white"/>
        </w:rPr>
        <w:t>5</w:t>
      </w:r>
      <w:bookmarkEnd w:id="381"/>
      <w:r>
        <w:rPr>
          <w:rFonts w:hint="eastAsia" w:ascii="宋体" w:hAnsi="宋体" w:eastAsia="宋体" w:cs="宋体"/>
          <w:sz w:val="24"/>
          <w:szCs w:val="24"/>
          <w:highlight w:val="white"/>
        </w:rPr>
        <w:t>%时，其超过部分据实调整。</w:t>
      </w:r>
    </w:p>
    <w:p w14:paraId="4823506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第3种方式：其他价格调整方式：</w:t>
      </w:r>
    </w:p>
    <w:p w14:paraId="2679436E">
      <w:pPr>
        <w:spacing w:line="360" w:lineRule="auto"/>
        <w:ind w:firstLine="480" w:firstLineChars="200"/>
        <w:rPr>
          <w:rFonts w:hint="eastAsia" w:ascii="宋体" w:hAnsi="宋体" w:eastAsia="宋体" w:cs="宋体"/>
          <w:sz w:val="24"/>
          <w:szCs w:val="24"/>
        </w:rPr>
      </w:pPr>
      <w:bookmarkStart w:id="382" w:name="EB5f50a21cfbfc4725a6b1177e2aacfc11"/>
      <w:r>
        <w:rPr>
          <w:rFonts w:hint="eastAsia" w:ascii="宋体" w:hAnsi="宋体" w:eastAsia="宋体" w:cs="宋体"/>
          <w:sz w:val="24"/>
          <w:szCs w:val="24"/>
          <w:highlight w:val="white"/>
        </w:rPr>
        <w:t>①材料调差方法（包括材料变更）：参照苏建价〔2008〕67号文价格调整，调整材料差价执行下浮率下浮作为工程结算依据。</w:t>
      </w:r>
    </w:p>
    <w:p w14:paraId="3399719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②因人工工资单价的政策性变化调整单价</w:t>
      </w:r>
    </w:p>
    <w:p w14:paraId="64EB7B6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工日数的确定：合同约定范围内的工日数以中标价中的工日数为准。</w:t>
      </w:r>
    </w:p>
    <w:p w14:paraId="42B1931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预算工资单价调整方法：按相关政策性文件并按下浮率下浮执行。</w:t>
      </w:r>
    </w:p>
    <w:p w14:paraId="017FBF0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因人工工资单价的调整引起管理费、利润的调整：按投标文件中的费率调整。</w:t>
      </w:r>
      <w:bookmarkEnd w:id="382"/>
      <w:r>
        <w:rPr>
          <w:rFonts w:hint="eastAsia" w:ascii="宋体" w:hAnsi="宋体" w:eastAsia="宋体" w:cs="宋体"/>
          <w:sz w:val="24"/>
          <w:szCs w:val="24"/>
          <w:highlight w:val="white"/>
        </w:rPr>
        <w:t xml:space="preserve">  </w:t>
      </w:r>
    </w:p>
    <w:p w14:paraId="70E7F3FE">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本工程的可调价要素为：人工、机械以及建设工程材料指导价中(镇江范围内)明确的材料品种（除此以外材料不参加价格调差），由施工单位自行考虑其风险因素。</w:t>
      </w:r>
    </w:p>
    <w:p w14:paraId="5361C1EF">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12. 合同价格、计量与支付</w:t>
      </w:r>
    </w:p>
    <w:p w14:paraId="6D226A02">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12.1 合同价格形式</w:t>
      </w:r>
    </w:p>
    <w:p w14:paraId="461082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12.1.1、单价合同。</w:t>
      </w:r>
    </w:p>
    <w:p w14:paraId="155F3F0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综合单价包含的风险范围：</w:t>
      </w:r>
      <w:bookmarkStart w:id="383" w:name="EB1dc8ffa2d8064286ae98f4354449956e"/>
      <w:r>
        <w:rPr>
          <w:rFonts w:hint="eastAsia" w:ascii="宋体" w:hAnsi="宋体" w:eastAsia="宋体" w:cs="宋体"/>
          <w:sz w:val="24"/>
          <w:szCs w:val="24"/>
          <w:highlight w:val="white"/>
        </w:rPr>
        <w:t>除专用条款10.4.1条约定的合同价款的调整因素外，合同价款不调整。 承包人应充分考虑工程建设周期内市场价格等因素的波动风险，风险费用由投标人自主报价 。</w:t>
      </w:r>
      <w:bookmarkEnd w:id="383"/>
    </w:p>
    <w:p w14:paraId="620A19F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风险费用的计算方法：</w:t>
      </w:r>
      <w:r>
        <w:rPr>
          <w:rFonts w:hint="eastAsia" w:ascii="宋体" w:hAnsi="宋体" w:eastAsia="宋体" w:cs="宋体"/>
          <w:sz w:val="24"/>
          <w:szCs w:val="24"/>
          <w:highlight w:val="white"/>
          <w:u w:val="single"/>
        </w:rPr>
        <w:t>按投标人报价计取</w:t>
      </w:r>
      <w:r>
        <w:rPr>
          <w:rFonts w:hint="eastAsia" w:ascii="宋体" w:hAnsi="宋体" w:eastAsia="宋体" w:cs="宋体"/>
          <w:sz w:val="24"/>
          <w:szCs w:val="24"/>
          <w:highlight w:val="white"/>
        </w:rPr>
        <w:t>。</w:t>
      </w:r>
    </w:p>
    <w:p w14:paraId="6314110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风险范围以外合同价格的调整方法，按（ 2 ）方式调整：</w:t>
      </w:r>
      <w:bookmarkStart w:id="384" w:name="EB4336b36a0cda402badc2b85cde7ea42c"/>
    </w:p>
    <w:p w14:paraId="707AD51E">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kern w:val="0"/>
          <w:sz w:val="24"/>
          <w:szCs w:val="24"/>
          <w:highlight w:val="white"/>
        </w:rPr>
        <w:t>（1）、本工程合同工期在6个月以内，且标底中已按规定计取了风险费用，不再调整差价。</w:t>
      </w:r>
    </w:p>
    <w:p w14:paraId="5309D4F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 xml:space="preserve">（2）、合同工期在6个月以上的：A、施工期间发生人工、材料及其他政策性调整时按实调整。B、工程量清单漏项或设计变更引起的工程量清单项目，投标项目中已有的项目，综合单价执行中标时的综合单价;投标项目中没有的项目，相应的综合单价由承包人按照预算价编制依据确定的单价经招标人审核后按投标下浮比例同比下浮。投标下浮比例=1-[（投标报价-招标人暂估价及暂列金额）÷（预算价-招标人暂估价及暂列金额）]。C、因市场价格波动引起的调整按第 11.1 款〔市场价格波动引起的调整〕约定执行 </w:t>
      </w:r>
      <w:bookmarkEnd w:id="384"/>
      <w:r>
        <w:rPr>
          <w:rFonts w:hint="eastAsia" w:ascii="宋体" w:hAnsi="宋体" w:eastAsia="宋体" w:cs="宋体"/>
          <w:sz w:val="24"/>
          <w:szCs w:val="24"/>
          <w:highlight w:val="white"/>
        </w:rPr>
        <w:t>。</w:t>
      </w:r>
    </w:p>
    <w:p w14:paraId="5D16A94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12.1.2、总价合同。</w:t>
      </w:r>
    </w:p>
    <w:p w14:paraId="72745B9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总价包含的风险范围：</w:t>
      </w:r>
      <w:bookmarkStart w:id="385" w:name="EB27abc1da743d4aa4a8f5c4114a638c92"/>
      <w:r>
        <w:rPr>
          <w:rFonts w:hint="eastAsia" w:ascii="宋体" w:hAnsi="宋体" w:eastAsia="宋体" w:cs="宋体"/>
          <w:sz w:val="24"/>
          <w:szCs w:val="24"/>
          <w:highlight w:val="white"/>
        </w:rPr>
        <w:t>除发包人增减工程范围、工作量和设计变更外，合同价一律不调整，包括但不限于招投标清单错、漏项、市场价格波动、汇率变化、政策性调整等 。</w:t>
      </w:r>
      <w:bookmarkEnd w:id="385"/>
    </w:p>
    <w:p w14:paraId="04630A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风险费用的计算方法：</w:t>
      </w:r>
      <w:bookmarkStart w:id="386" w:name="EB71db1e49dea84f82ad18ebb57277d065"/>
      <w:bookmarkEnd w:id="386"/>
      <w:r>
        <w:rPr>
          <w:rFonts w:hint="eastAsia" w:ascii="宋体" w:hAnsi="宋体" w:eastAsia="宋体" w:cs="宋体"/>
          <w:b/>
          <w:sz w:val="24"/>
          <w:szCs w:val="24"/>
          <w:highlight w:val="white"/>
          <w:u w:val="single"/>
        </w:rPr>
        <w:t>投标人报价包干，结算不调整</w:t>
      </w:r>
      <w:r>
        <w:rPr>
          <w:rFonts w:hint="eastAsia" w:ascii="宋体" w:hAnsi="宋体" w:eastAsia="宋体" w:cs="宋体"/>
          <w:sz w:val="24"/>
          <w:szCs w:val="24"/>
          <w:highlight w:val="white"/>
          <w:u w:val="single"/>
        </w:rPr>
        <w:t xml:space="preserve"> ，但如果在结算过程中发现施工现场有清单或图纸中未施工的项目，应于扣除  </w:t>
      </w:r>
      <w:r>
        <w:rPr>
          <w:rFonts w:hint="eastAsia" w:ascii="宋体" w:hAnsi="宋体" w:eastAsia="宋体" w:cs="宋体"/>
          <w:sz w:val="24"/>
          <w:szCs w:val="24"/>
          <w:highlight w:val="white"/>
        </w:rPr>
        <w:t>。</w:t>
      </w:r>
    </w:p>
    <w:p w14:paraId="699CDDB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风险范围以外合同价格的调整方法：</w:t>
      </w:r>
      <w:bookmarkStart w:id="387" w:name="EB4e696ab6fcb647169ebf7936d99a7d26"/>
      <w:bookmarkEnd w:id="387"/>
      <w:r>
        <w:rPr>
          <w:rFonts w:hint="eastAsia" w:ascii="宋体" w:hAnsi="宋体" w:eastAsia="宋体" w:cs="宋体"/>
          <w:b/>
          <w:sz w:val="24"/>
          <w:szCs w:val="24"/>
          <w:highlight w:val="white"/>
          <w:u w:val="single"/>
        </w:rPr>
        <w:t>不予调整</w:t>
      </w:r>
      <w:r>
        <w:rPr>
          <w:rFonts w:hint="eastAsia" w:ascii="宋体" w:hAnsi="宋体" w:eastAsia="宋体" w:cs="宋体"/>
          <w:sz w:val="24"/>
          <w:szCs w:val="24"/>
          <w:highlight w:val="white"/>
        </w:rPr>
        <w:t>。</w:t>
      </w:r>
    </w:p>
    <w:p w14:paraId="6302B86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3、其他价格方式：</w:t>
      </w:r>
      <w:bookmarkStart w:id="388" w:name="EBebea0e5f614d492d98493df5c1b340e5"/>
      <w:bookmarkEnd w:id="388"/>
      <w:r>
        <w:rPr>
          <w:rFonts w:hint="eastAsia" w:ascii="宋体" w:hAnsi="宋体" w:eastAsia="宋体" w:cs="宋体"/>
          <w:sz w:val="24"/>
          <w:szCs w:val="24"/>
          <w:highlight w:val="white"/>
          <w:u w:val="single"/>
        </w:rPr>
        <w:t>/</w:t>
      </w:r>
      <w:r>
        <w:rPr>
          <w:rFonts w:hint="eastAsia" w:ascii="宋体" w:hAnsi="宋体" w:eastAsia="宋体" w:cs="宋体"/>
          <w:sz w:val="24"/>
          <w:szCs w:val="24"/>
          <w:highlight w:val="white"/>
        </w:rPr>
        <w:t>。</w:t>
      </w:r>
    </w:p>
    <w:p w14:paraId="529DBACB">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12.2 预付款</w:t>
      </w:r>
    </w:p>
    <w:p w14:paraId="101C51C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12.2.1 预付款的支付</w:t>
      </w:r>
    </w:p>
    <w:p w14:paraId="6487837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预付款支付比例或金额：</w:t>
      </w:r>
      <w:bookmarkStart w:id="389" w:name="EB2c26a7cb083741089331078cc02ca2e7"/>
      <w:bookmarkEnd w:id="389"/>
      <w:r>
        <w:rPr>
          <w:rFonts w:hint="eastAsia" w:ascii="宋体" w:hAnsi="宋体" w:eastAsia="宋体" w:cs="宋体"/>
          <w:sz w:val="24"/>
          <w:szCs w:val="24"/>
          <w:highlight w:val="white"/>
          <w:u w:val="single"/>
        </w:rPr>
        <w:t>/</w:t>
      </w:r>
      <w:r>
        <w:rPr>
          <w:rFonts w:hint="eastAsia" w:ascii="宋体" w:hAnsi="宋体" w:eastAsia="宋体" w:cs="宋体"/>
          <w:sz w:val="24"/>
          <w:szCs w:val="24"/>
          <w:highlight w:val="white"/>
        </w:rPr>
        <w:t>。</w:t>
      </w:r>
    </w:p>
    <w:p w14:paraId="50A2346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预付款支付期限：</w:t>
      </w:r>
      <w:bookmarkStart w:id="390" w:name="EB6f2aaa90a5e64c4fa0b0c5d47cae0928"/>
      <w:bookmarkEnd w:id="390"/>
      <w:r>
        <w:rPr>
          <w:rFonts w:hint="eastAsia" w:ascii="宋体" w:hAnsi="宋体" w:eastAsia="宋体" w:cs="宋体"/>
          <w:sz w:val="24"/>
          <w:szCs w:val="24"/>
          <w:highlight w:val="white"/>
          <w:u w:val="single"/>
        </w:rPr>
        <w:t>/</w:t>
      </w:r>
      <w:r>
        <w:rPr>
          <w:rFonts w:hint="eastAsia" w:ascii="宋体" w:hAnsi="宋体" w:eastAsia="宋体" w:cs="宋体"/>
          <w:sz w:val="24"/>
          <w:szCs w:val="24"/>
          <w:highlight w:val="white"/>
        </w:rPr>
        <w:t>。</w:t>
      </w:r>
    </w:p>
    <w:p w14:paraId="0752D38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预付款扣回的方式：</w:t>
      </w:r>
      <w:bookmarkStart w:id="391" w:name="EBe3f7fcc2028b48aeb29f900d6b268cbb"/>
      <w:bookmarkEnd w:id="391"/>
      <w:r>
        <w:rPr>
          <w:rFonts w:hint="eastAsia" w:ascii="宋体" w:hAnsi="宋体" w:eastAsia="宋体" w:cs="宋体"/>
          <w:sz w:val="24"/>
          <w:szCs w:val="24"/>
          <w:highlight w:val="white"/>
          <w:u w:val="single"/>
        </w:rPr>
        <w:t>/</w:t>
      </w:r>
      <w:r>
        <w:rPr>
          <w:rFonts w:hint="eastAsia" w:ascii="宋体" w:hAnsi="宋体" w:eastAsia="宋体" w:cs="宋体"/>
          <w:sz w:val="24"/>
          <w:szCs w:val="24"/>
          <w:highlight w:val="white"/>
        </w:rPr>
        <w:t>。</w:t>
      </w:r>
    </w:p>
    <w:p w14:paraId="557181F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12.2.2 预付款担保</w:t>
      </w:r>
    </w:p>
    <w:p w14:paraId="1C93A41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承包人提交预付款担保的期限：</w:t>
      </w:r>
      <w:bookmarkStart w:id="392" w:name="EBf4bb81ae6d4247aa893872808d17ee64"/>
      <w:bookmarkEnd w:id="392"/>
      <w:r>
        <w:rPr>
          <w:rFonts w:hint="eastAsia" w:ascii="宋体" w:hAnsi="宋体" w:eastAsia="宋体" w:cs="宋体"/>
          <w:b/>
          <w:sz w:val="24"/>
          <w:szCs w:val="24"/>
          <w:u w:val="single"/>
        </w:rPr>
        <w:t>按通用条款执行</w:t>
      </w:r>
      <w:r>
        <w:rPr>
          <w:rFonts w:hint="eastAsia" w:ascii="宋体" w:hAnsi="宋体" w:eastAsia="宋体" w:cs="宋体"/>
          <w:sz w:val="24"/>
          <w:szCs w:val="24"/>
          <w:u w:val="single"/>
        </w:rPr>
        <w:t xml:space="preserve">  </w:t>
      </w:r>
      <w:r>
        <w:rPr>
          <w:rFonts w:hint="eastAsia" w:ascii="宋体" w:hAnsi="宋体" w:eastAsia="宋体" w:cs="宋体"/>
          <w:sz w:val="24"/>
          <w:szCs w:val="24"/>
          <w:highlight w:val="white"/>
        </w:rPr>
        <w:t>。</w:t>
      </w:r>
    </w:p>
    <w:p w14:paraId="3BA3079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预付款担保的形式为：</w:t>
      </w:r>
      <w:bookmarkStart w:id="393" w:name="EB16aa7b8798734e8e97f312d6fcc108f4"/>
      <w:bookmarkEnd w:id="393"/>
      <w:r>
        <w:rPr>
          <w:rFonts w:hint="eastAsia" w:ascii="宋体" w:hAnsi="宋体" w:eastAsia="宋体" w:cs="宋体"/>
          <w:b/>
          <w:sz w:val="24"/>
          <w:szCs w:val="24"/>
          <w:highlight w:val="white"/>
          <w:u w:val="single"/>
        </w:rPr>
        <w:t>按通用条款执行</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p>
    <w:p w14:paraId="6C54E591">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12.3 计量</w:t>
      </w:r>
    </w:p>
    <w:p w14:paraId="647CF8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12.3.1 计量原则</w:t>
      </w:r>
    </w:p>
    <w:p w14:paraId="158000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工程量计算规则：</w:t>
      </w:r>
      <w:r>
        <w:rPr>
          <w:rFonts w:hint="eastAsia" w:ascii="宋体" w:hAnsi="宋体" w:eastAsia="宋体" w:cs="宋体"/>
          <w:bCs/>
          <w:sz w:val="24"/>
          <w:szCs w:val="24"/>
          <w:highlight w:val="white"/>
          <w:u w:val="single"/>
        </w:rPr>
        <w:t xml:space="preserve">已完成合格工程按照《2013工程量清单计算规范》执行  </w:t>
      </w:r>
      <w:r>
        <w:rPr>
          <w:rFonts w:hint="eastAsia" w:ascii="宋体" w:hAnsi="宋体" w:eastAsia="宋体" w:cs="宋体"/>
          <w:sz w:val="24"/>
          <w:szCs w:val="24"/>
          <w:highlight w:val="white"/>
        </w:rPr>
        <w:t>。</w:t>
      </w:r>
    </w:p>
    <w:p w14:paraId="0707DA2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12.3.2 计量周期</w:t>
      </w:r>
    </w:p>
    <w:p w14:paraId="019B1BA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关于计量周期的约定；</w:t>
      </w:r>
      <w:bookmarkStart w:id="394" w:name="EB59f54a05a2e74f3da059aa25dd8a5b29"/>
      <w:bookmarkEnd w:id="394"/>
      <w:r>
        <w:rPr>
          <w:rFonts w:hint="eastAsia" w:ascii="宋体" w:hAnsi="宋体" w:eastAsia="宋体" w:cs="宋体"/>
          <w:b/>
          <w:sz w:val="24"/>
          <w:szCs w:val="24"/>
          <w:highlight w:val="white"/>
          <w:u w:val="single"/>
        </w:rPr>
        <w:t>按通用条款执行</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p>
    <w:p w14:paraId="21A1508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12.3.3 单价合同的计量</w:t>
      </w:r>
    </w:p>
    <w:p w14:paraId="09B229C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关于单价合同计量的约定：</w:t>
      </w:r>
      <w:bookmarkStart w:id="395" w:name="EB6ebecd0f24824d49a0137f734a488f80"/>
      <w:r>
        <w:rPr>
          <w:rFonts w:hint="eastAsia" w:ascii="宋体" w:hAnsi="宋体" w:eastAsia="宋体" w:cs="宋体"/>
          <w:sz w:val="24"/>
          <w:szCs w:val="24"/>
          <w:highlight w:val="white"/>
          <w:u w:val="single"/>
        </w:rPr>
        <w:t>执行通用条款</w:t>
      </w:r>
      <w:bookmarkEnd w:id="395"/>
      <w:r>
        <w:rPr>
          <w:rFonts w:hint="eastAsia" w:ascii="宋体" w:hAnsi="宋体" w:eastAsia="宋体" w:cs="宋体"/>
          <w:sz w:val="24"/>
          <w:szCs w:val="24"/>
          <w:highlight w:val="white"/>
          <w:u w:val="single"/>
        </w:rPr>
        <w:t>。</w:t>
      </w:r>
    </w:p>
    <w:p w14:paraId="7E4D25A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12.3.4 总价合同的计量</w:t>
      </w:r>
    </w:p>
    <w:p w14:paraId="0ACB4B9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关于总价合同计量的约定：</w:t>
      </w:r>
      <w:bookmarkStart w:id="396" w:name="EBe714171bb71043389718b03e114470e1"/>
      <w:r>
        <w:rPr>
          <w:rFonts w:hint="eastAsia" w:ascii="宋体" w:hAnsi="宋体" w:eastAsia="宋体" w:cs="宋体"/>
          <w:sz w:val="24"/>
          <w:szCs w:val="24"/>
          <w:highlight w:val="white"/>
          <w:u w:val="single"/>
        </w:rPr>
        <w:t>执行通用条款</w:t>
      </w:r>
      <w:bookmarkEnd w:id="396"/>
      <w:r>
        <w:rPr>
          <w:rFonts w:hint="eastAsia" w:ascii="宋体" w:hAnsi="宋体" w:eastAsia="宋体" w:cs="宋体"/>
          <w:sz w:val="24"/>
          <w:szCs w:val="24"/>
          <w:highlight w:val="white"/>
          <w:u w:val="single"/>
        </w:rPr>
        <w:t>。</w:t>
      </w:r>
    </w:p>
    <w:p w14:paraId="7B8D6E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12.3.5总价合同采用支付分解表计量支付的，是否适用第</w:t>
      </w:r>
      <w:r>
        <w:rPr>
          <w:rFonts w:hint="eastAsia" w:ascii="宋体" w:hAnsi="宋体" w:eastAsia="宋体" w:cs="宋体"/>
          <w:kern w:val="0"/>
          <w:sz w:val="24"/>
          <w:szCs w:val="24"/>
          <w:highlight w:val="white"/>
        </w:rPr>
        <w:t xml:space="preserve">12.3.4 </w:t>
      </w:r>
      <w:r>
        <w:rPr>
          <w:rFonts w:hint="eastAsia" w:ascii="宋体" w:hAnsi="宋体" w:eastAsia="宋体" w:cs="宋体"/>
          <w:sz w:val="24"/>
          <w:szCs w:val="24"/>
          <w:highlight w:val="white"/>
        </w:rPr>
        <w:t>项</w:t>
      </w:r>
      <w:r>
        <w:rPr>
          <w:rFonts w:hint="eastAsia" w:ascii="宋体" w:hAnsi="宋体" w:eastAsia="宋体" w:cs="宋体"/>
          <w:kern w:val="0"/>
          <w:sz w:val="24"/>
          <w:szCs w:val="24"/>
          <w:highlight w:val="white"/>
        </w:rPr>
        <w:t>〔总价合同的计量〕</w:t>
      </w:r>
      <w:r>
        <w:rPr>
          <w:rFonts w:hint="eastAsia" w:ascii="宋体" w:hAnsi="宋体" w:eastAsia="宋体" w:cs="宋体"/>
          <w:sz w:val="24"/>
          <w:szCs w:val="24"/>
          <w:highlight w:val="white"/>
        </w:rPr>
        <w:t>约定进行计量：</w:t>
      </w:r>
      <w:bookmarkStart w:id="397" w:name="EB64295323eb3041e596ee4c5393942cf9"/>
      <w:bookmarkEnd w:id="397"/>
      <w:r>
        <w:rPr>
          <w:rFonts w:hint="eastAsia" w:ascii="宋体" w:hAnsi="宋体" w:eastAsia="宋体" w:cs="宋体"/>
          <w:b/>
          <w:sz w:val="24"/>
          <w:szCs w:val="24"/>
          <w:highlight w:val="white"/>
          <w:u w:val="single"/>
        </w:rPr>
        <w:t xml:space="preserve">   /   </w:t>
      </w:r>
      <w:r>
        <w:rPr>
          <w:rFonts w:hint="eastAsia" w:ascii="宋体" w:hAnsi="宋体" w:eastAsia="宋体" w:cs="宋体"/>
          <w:sz w:val="24"/>
          <w:szCs w:val="24"/>
          <w:highlight w:val="white"/>
        </w:rPr>
        <w:t>。</w:t>
      </w:r>
    </w:p>
    <w:p w14:paraId="5D424B3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12.3.6 其他价格形式合同的计量</w:t>
      </w:r>
    </w:p>
    <w:p w14:paraId="4149394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其他价格形式的计量方式和程序：</w:t>
      </w:r>
    </w:p>
    <w:p w14:paraId="5A60CC94">
      <w:pPr>
        <w:spacing w:line="360" w:lineRule="auto"/>
        <w:ind w:firstLine="480" w:firstLineChars="200"/>
        <w:rPr>
          <w:rFonts w:hint="eastAsia" w:ascii="宋体" w:hAnsi="宋体" w:eastAsia="宋体" w:cs="宋体"/>
          <w:sz w:val="24"/>
          <w:szCs w:val="24"/>
        </w:rPr>
      </w:pPr>
      <w:bookmarkStart w:id="398" w:name="EBc25bc19eb47a49e398ccaa76dc6ca5c9"/>
      <w:bookmarkEnd w:id="398"/>
      <w:r>
        <w:rPr>
          <w:rFonts w:hint="eastAsia" w:ascii="宋体" w:hAnsi="宋体" w:eastAsia="宋体" w:cs="宋体"/>
          <w:sz w:val="24"/>
          <w:szCs w:val="24"/>
          <w:u w:val="single"/>
        </w:rPr>
        <w:t xml:space="preserve">     /      </w:t>
      </w:r>
      <w:r>
        <w:rPr>
          <w:rFonts w:hint="eastAsia" w:ascii="宋体" w:hAnsi="宋体" w:eastAsia="宋体" w:cs="宋体"/>
          <w:sz w:val="24"/>
          <w:szCs w:val="24"/>
          <w:highlight w:val="white"/>
        </w:rPr>
        <w:t>。</w:t>
      </w:r>
    </w:p>
    <w:p w14:paraId="54094EFB">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12.4 工程进度款支付</w:t>
      </w:r>
      <w:r>
        <w:rPr>
          <w:rFonts w:hint="eastAsia" w:ascii="宋体" w:hAnsi="宋体" w:eastAsia="宋体" w:cs="宋体"/>
          <w:sz w:val="24"/>
          <w:szCs w:val="24"/>
        </w:rPr>
        <w:t xml:space="preserve">  </w:t>
      </w:r>
    </w:p>
    <w:p w14:paraId="1113D3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12.4.1 付款周期</w:t>
      </w:r>
    </w:p>
    <w:p w14:paraId="748F500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关于付款周期的约定：</w:t>
      </w:r>
    </w:p>
    <w:p w14:paraId="07AE31E9">
      <w:pPr>
        <w:spacing w:line="360" w:lineRule="auto"/>
        <w:ind w:firstLine="480" w:firstLineChars="200"/>
        <w:rPr>
          <w:rFonts w:hint="eastAsia" w:ascii="宋体" w:hAnsi="宋体" w:eastAsia="宋体" w:cs="宋体"/>
          <w:sz w:val="24"/>
          <w:szCs w:val="24"/>
          <w:highlight w:val="white"/>
        </w:rPr>
      </w:pPr>
      <w:bookmarkStart w:id="399" w:name="EBe9dda42c098b4f57a793ee2bced532e3"/>
      <w:r>
        <w:rPr>
          <w:rFonts w:hint="eastAsia" w:ascii="宋体" w:hAnsi="宋体" w:eastAsia="宋体" w:cs="宋体"/>
          <w:sz w:val="24"/>
          <w:szCs w:val="24"/>
          <w:highlight w:val="white"/>
        </w:rPr>
        <w:t>12.4.1.1</w:t>
      </w:r>
    </w:p>
    <w:p w14:paraId="4A95A97C">
      <w:pPr>
        <w:spacing w:line="360" w:lineRule="auto"/>
        <w:ind w:firstLine="480" w:firstLineChars="200"/>
        <w:rPr>
          <w:rFonts w:hint="eastAsia" w:ascii="宋体" w:hAnsi="宋体" w:eastAsia="宋体" w:cs="宋体"/>
          <w:color w:val="auto"/>
          <w:sz w:val="24"/>
          <w:szCs w:val="24"/>
          <w:highlight w:val="white"/>
        </w:rPr>
      </w:pPr>
      <w:r>
        <w:rPr>
          <w:rFonts w:hint="eastAsia" w:ascii="宋体" w:hAnsi="宋体" w:eastAsia="宋体" w:cs="宋体"/>
          <w:color w:val="auto"/>
          <w:sz w:val="24"/>
          <w:szCs w:val="24"/>
          <w:highlight w:val="white"/>
        </w:rPr>
        <w:t>（1）工程进度款按项目进度节点支付：</w:t>
      </w:r>
    </w:p>
    <w:p w14:paraId="434A2150">
      <w:pPr>
        <w:spacing w:line="360" w:lineRule="auto"/>
        <w:ind w:firstLine="480" w:firstLineChars="200"/>
        <w:rPr>
          <w:rFonts w:hint="eastAsia" w:ascii="宋体" w:hAnsi="宋体" w:eastAsia="宋体" w:cs="宋体"/>
          <w:color w:val="auto"/>
          <w:sz w:val="24"/>
          <w:szCs w:val="24"/>
          <w:highlight w:val="white"/>
        </w:rPr>
      </w:pPr>
      <w:r>
        <w:rPr>
          <w:rFonts w:hint="eastAsia" w:ascii="宋体" w:hAnsi="宋体" w:eastAsia="宋体" w:cs="宋体"/>
          <w:color w:val="auto"/>
          <w:sz w:val="24"/>
          <w:szCs w:val="24"/>
          <w:highlight w:val="white"/>
        </w:rPr>
        <w:t>合同签订后，在收到乙方正式发票10个工作日内，甲方向乙方支付合同总额的30%作为预付款；</w:t>
      </w:r>
    </w:p>
    <w:p w14:paraId="7F485E8D">
      <w:pPr>
        <w:spacing w:line="360" w:lineRule="auto"/>
        <w:ind w:firstLine="480" w:firstLineChars="200"/>
        <w:rPr>
          <w:rFonts w:hint="eastAsia" w:ascii="宋体" w:hAnsi="宋体" w:eastAsia="宋体" w:cs="宋体"/>
          <w:color w:val="auto"/>
          <w:sz w:val="24"/>
          <w:szCs w:val="24"/>
          <w:highlight w:val="white"/>
        </w:rPr>
      </w:pPr>
      <w:r>
        <w:rPr>
          <w:rFonts w:hint="eastAsia" w:ascii="宋体" w:hAnsi="宋体" w:eastAsia="宋体" w:cs="宋体"/>
          <w:sz w:val="24"/>
          <w:szCs w:val="24"/>
          <w:highlight w:val="white"/>
        </w:rPr>
        <w:t>（</w:t>
      </w:r>
      <w:r>
        <w:rPr>
          <w:rFonts w:hint="eastAsia" w:ascii="宋体" w:hAnsi="宋体" w:cs="宋体"/>
          <w:sz w:val="24"/>
          <w:szCs w:val="24"/>
          <w:highlight w:val="white"/>
          <w:lang w:val="en-US" w:eastAsia="zh-CN"/>
        </w:rPr>
        <w:t>2</w:t>
      </w:r>
      <w:r>
        <w:rPr>
          <w:rFonts w:hint="eastAsia" w:ascii="宋体" w:hAnsi="宋体" w:eastAsia="宋体" w:cs="宋体"/>
          <w:sz w:val="24"/>
          <w:szCs w:val="24"/>
          <w:highlight w:val="white"/>
        </w:rPr>
        <w:t>）</w:t>
      </w:r>
      <w:r>
        <w:rPr>
          <w:rFonts w:hint="eastAsia" w:ascii="宋体" w:hAnsi="宋体" w:eastAsia="宋体" w:cs="宋体"/>
          <w:color w:val="auto"/>
          <w:sz w:val="24"/>
          <w:szCs w:val="24"/>
          <w:highlight w:val="white"/>
        </w:rPr>
        <w:t>承包人完成承包事项经发包人书面认可，并经政府主管部门验收合格并出具竣工验收合格证书，发包人予以支付至合同总价款（扣除应扣款后）的60 %。</w:t>
      </w:r>
    </w:p>
    <w:p w14:paraId="334945A2">
      <w:pPr>
        <w:spacing w:line="360" w:lineRule="auto"/>
        <w:ind w:firstLine="480" w:firstLineChars="200"/>
        <w:rPr>
          <w:rFonts w:hint="eastAsia" w:ascii="宋体" w:hAnsi="宋体" w:eastAsia="宋体" w:cs="宋体"/>
          <w:color w:val="auto"/>
          <w:sz w:val="24"/>
          <w:szCs w:val="24"/>
          <w:highlight w:val="white"/>
        </w:rPr>
      </w:pPr>
      <w:r>
        <w:rPr>
          <w:rFonts w:hint="eastAsia" w:ascii="宋体" w:hAnsi="宋体" w:eastAsia="宋体" w:cs="宋体"/>
          <w:sz w:val="24"/>
          <w:szCs w:val="24"/>
          <w:highlight w:val="white"/>
        </w:rPr>
        <w:t>（</w:t>
      </w:r>
      <w:r>
        <w:rPr>
          <w:rFonts w:hint="eastAsia" w:ascii="宋体" w:hAnsi="宋体" w:cs="宋体"/>
          <w:sz w:val="24"/>
          <w:szCs w:val="24"/>
          <w:highlight w:val="white"/>
          <w:lang w:val="en-US" w:eastAsia="zh-CN"/>
        </w:rPr>
        <w:t>3</w:t>
      </w:r>
      <w:r>
        <w:rPr>
          <w:rFonts w:hint="eastAsia" w:ascii="宋体" w:hAnsi="宋体" w:eastAsia="宋体" w:cs="宋体"/>
          <w:sz w:val="24"/>
          <w:szCs w:val="24"/>
          <w:highlight w:val="white"/>
        </w:rPr>
        <w:t>）</w:t>
      </w:r>
      <w:r>
        <w:rPr>
          <w:rFonts w:hint="eastAsia" w:ascii="宋体" w:hAnsi="宋体" w:eastAsia="宋体" w:cs="宋体"/>
          <w:color w:val="auto"/>
          <w:sz w:val="24"/>
          <w:szCs w:val="24"/>
          <w:highlight w:val="white"/>
        </w:rPr>
        <w:t>完成竣工结算审计后付至审定价款的97%</w:t>
      </w:r>
    </w:p>
    <w:p w14:paraId="3E866656">
      <w:pPr>
        <w:spacing w:line="360" w:lineRule="auto"/>
        <w:ind w:firstLine="480" w:firstLineChars="200"/>
        <w:rPr>
          <w:rFonts w:hint="eastAsia" w:ascii="宋体" w:hAnsi="宋体" w:eastAsia="宋体" w:cs="宋体"/>
          <w:color w:val="auto"/>
          <w:sz w:val="24"/>
          <w:szCs w:val="24"/>
          <w:highlight w:val="white"/>
        </w:rPr>
      </w:pPr>
      <w:r>
        <w:rPr>
          <w:rFonts w:hint="eastAsia" w:ascii="宋体" w:hAnsi="宋体" w:eastAsia="宋体" w:cs="宋体"/>
          <w:sz w:val="24"/>
          <w:szCs w:val="24"/>
          <w:highlight w:val="white"/>
        </w:rPr>
        <w:t>（</w:t>
      </w:r>
      <w:r>
        <w:rPr>
          <w:rFonts w:hint="eastAsia" w:ascii="宋体" w:hAnsi="宋体" w:cs="宋体"/>
          <w:sz w:val="24"/>
          <w:szCs w:val="24"/>
          <w:highlight w:val="white"/>
          <w:lang w:val="en-US" w:eastAsia="zh-CN"/>
        </w:rPr>
        <w:t>4</w:t>
      </w:r>
      <w:r>
        <w:rPr>
          <w:rFonts w:hint="eastAsia" w:ascii="宋体" w:hAnsi="宋体" w:eastAsia="宋体" w:cs="宋体"/>
          <w:sz w:val="24"/>
          <w:szCs w:val="24"/>
          <w:highlight w:val="white"/>
        </w:rPr>
        <w:t>）</w:t>
      </w:r>
      <w:r>
        <w:rPr>
          <w:rFonts w:hint="eastAsia" w:ascii="宋体" w:hAnsi="宋体" w:eastAsia="宋体" w:cs="宋体"/>
          <w:color w:val="auto"/>
          <w:sz w:val="24"/>
          <w:szCs w:val="24"/>
          <w:highlight w:val="white"/>
        </w:rPr>
        <w:t>保修金在缺陷责任期满后付清。</w:t>
      </w:r>
    </w:p>
    <w:p w14:paraId="6DC50B93">
      <w:pPr>
        <w:spacing w:line="360" w:lineRule="auto"/>
        <w:ind w:firstLine="480" w:firstLineChars="200"/>
        <w:rPr>
          <w:rFonts w:hint="eastAsia" w:ascii="宋体" w:hAnsi="宋体" w:eastAsia="宋体" w:cs="宋体"/>
          <w:color w:val="auto"/>
          <w:sz w:val="24"/>
          <w:szCs w:val="24"/>
          <w:highlight w:val="white"/>
        </w:rPr>
      </w:pPr>
      <w:r>
        <w:rPr>
          <w:rFonts w:hint="eastAsia" w:ascii="宋体" w:hAnsi="宋体" w:eastAsia="宋体" w:cs="宋体"/>
          <w:sz w:val="24"/>
          <w:szCs w:val="24"/>
          <w:highlight w:val="white"/>
        </w:rPr>
        <w:t>（</w:t>
      </w:r>
      <w:r>
        <w:rPr>
          <w:rFonts w:hint="eastAsia" w:ascii="宋体" w:hAnsi="宋体" w:cs="宋体"/>
          <w:sz w:val="24"/>
          <w:szCs w:val="24"/>
          <w:highlight w:val="white"/>
          <w:lang w:val="en-US" w:eastAsia="zh-CN"/>
        </w:rPr>
        <w:t>5</w:t>
      </w:r>
      <w:r>
        <w:rPr>
          <w:rFonts w:hint="eastAsia" w:ascii="宋体" w:hAnsi="宋体" w:eastAsia="宋体" w:cs="宋体"/>
          <w:sz w:val="24"/>
          <w:szCs w:val="24"/>
          <w:highlight w:val="white"/>
        </w:rPr>
        <w:t>）</w:t>
      </w:r>
      <w:r>
        <w:rPr>
          <w:rFonts w:hint="eastAsia" w:ascii="宋体" w:hAnsi="宋体" w:eastAsia="宋体" w:cs="宋体"/>
          <w:color w:val="auto"/>
          <w:sz w:val="24"/>
          <w:szCs w:val="24"/>
          <w:highlight w:val="white"/>
        </w:rPr>
        <w:t>工程结算审计核减额超7%以外部分的审计费用由承包方承担，项目被抽中复审的，承包方需无条件予以配合。</w:t>
      </w:r>
    </w:p>
    <w:p w14:paraId="1F036138">
      <w:pPr>
        <w:spacing w:line="360" w:lineRule="auto"/>
        <w:ind w:firstLine="480" w:firstLineChars="200"/>
        <w:rPr>
          <w:rFonts w:hint="eastAsia" w:ascii="宋体" w:hAnsi="宋体" w:eastAsia="宋体" w:cs="宋体"/>
          <w:color w:val="auto"/>
          <w:sz w:val="24"/>
          <w:szCs w:val="24"/>
          <w:highlight w:val="white"/>
        </w:rPr>
      </w:pPr>
      <w:r>
        <w:rPr>
          <w:rFonts w:hint="eastAsia" w:ascii="宋体" w:hAnsi="宋体" w:eastAsia="宋体" w:cs="宋体"/>
          <w:sz w:val="24"/>
          <w:szCs w:val="24"/>
          <w:highlight w:val="white"/>
        </w:rPr>
        <w:t>（</w:t>
      </w:r>
      <w:r>
        <w:rPr>
          <w:rFonts w:hint="eastAsia" w:ascii="宋体" w:hAnsi="宋体" w:cs="宋体"/>
          <w:sz w:val="24"/>
          <w:szCs w:val="24"/>
          <w:highlight w:val="white"/>
          <w:lang w:val="en-US" w:eastAsia="zh-CN"/>
        </w:rPr>
        <w:t>6</w:t>
      </w:r>
      <w:r>
        <w:rPr>
          <w:rFonts w:hint="eastAsia" w:ascii="宋体" w:hAnsi="宋体" w:eastAsia="宋体" w:cs="宋体"/>
          <w:sz w:val="24"/>
          <w:szCs w:val="24"/>
          <w:highlight w:val="white"/>
        </w:rPr>
        <w:t>）</w:t>
      </w:r>
      <w:r>
        <w:rPr>
          <w:rFonts w:hint="eastAsia" w:ascii="宋体" w:hAnsi="宋体" w:eastAsia="宋体" w:cs="宋体"/>
          <w:color w:val="auto"/>
          <w:sz w:val="24"/>
          <w:szCs w:val="24"/>
          <w:highlight w:val="white"/>
        </w:rPr>
        <w:t>为保证农民工工资支付，需要总承包单位办理农民工工资专用账户。</w:t>
      </w:r>
    </w:p>
    <w:p w14:paraId="2E32B4E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备注：</w:t>
      </w:r>
      <w:r>
        <w:rPr>
          <w:rFonts w:hint="eastAsia" w:ascii="宋体" w:hAnsi="宋体" w:eastAsia="宋体" w:cs="宋体"/>
          <w:sz w:val="24"/>
          <w:szCs w:val="24"/>
          <w:highlight w:val="white"/>
        </w:rPr>
        <w:t>保修金在缺陷责任期满后且得到相关物业及管理方签字认可后支付。上述保修金支付时须扣除承包人不及时履行保修义务而由发包人另行委托其它施工单位进行维修而发生的一切费用，若发生的费用超过预留的保修金，承包人须补足。</w:t>
      </w:r>
    </w:p>
    <w:p w14:paraId="7795C80F">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12.4.1.2、应扣款项是指专业工程暂估价、暂列金额、现场文明考评费、奖励费。其中现场文明考评费、奖励费在经过相关部门评定，确定计取费率前，列入应扣款项；在经过评定，确定计取费率后不列入应扣款项。</w:t>
      </w:r>
    </w:p>
    <w:p w14:paraId="3315311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12.4.1.3、安全与文明工地保证金待句容财政评审中心审计结束，且本工程获得相应证书后一个月内，按照安全与文明工地评定结果支付。</w:t>
      </w:r>
    </w:p>
    <w:p w14:paraId="37B3D3E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12.4.1.4、所支付工程款金额在实际支付时均应当扣除违约金、罚金、预付款、临时设施费用等其他应扣款后支付。所支付款项均无息。在承包人未能按专业分包合同约定向专业分包单位支付工程款时，发包人有权代承包人向专业分包单位直接支付工程款，但支付前专业分包单位须取得承包人对已完工程质量等的认可。以上款项将从发包人向承包人支付的进度款或结算款中扣除。但发包人不会因此而与专业分包单位发生施工合同关系。施工期内为付款而对有关工程质量、材料数量、工程量、综合单价、工程量的认可与核实，仅作为付款用。不能视为工程已验收合格和工程结算的依据。发生以下任何一种情况时，发包人均有权暂停付款：a承包人未按本合同约定提交银行保函的。b承包人进场的施工机械性能不良或外观锈、烂，在发包人书面通知撤换而在3日内未见执行的。c承包人提供的材料缺少合格证、质保书、使用说明书等质量保证资料，在监理或发包人书面通知补足而在3日内未见承包人执行的。d承包人供应的材料质量不符合设计要求或有关标准、规范要求，在监理或发包人书面通知撤换而在5日内未见承包人执行的，隐蔽工程未经验收承包人擅自覆盖的。e承包人将本工程非法分包或转包的。f承包人未履行本合同义务或履行义务不符合合同及发包人要求，在发包人催告后仍未整改的。g承包人未执行发包人发出的任何指令，经发包人催告后仍未执行的。</w:t>
      </w:r>
    </w:p>
    <w:p w14:paraId="3EEBE29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12.4.1.5发包人支付每笔款项前，承包人需按发包人的要求提供付款申请及相关付款资料，同时按发包人的要求开具等额有效增值税专用发票（如果承包人提供的增值税专用发票存在任何问题，均由承包人承担相应责任及由此造成的任何损失），发包人收到承包人全部完整有效的付款资料后予以支付相应工程款，否则发包人可拒绝付款且不承担任何责任。承包人应在结算报告出具后一个月内将全额发票开出并提供给发包人。</w:t>
      </w:r>
    </w:p>
    <w:p w14:paraId="5B4407A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12.4.1.6承包人提供结算资料的期限 :承包人完成承包事项经发包人书面认可，且经政府主管部门验收合格并出具竣工验收报告之日起28日内提供合格结算资料及完成对外送审，但若承包人未及时保修或未及时上报合格结算资料，则发包人有权暂停支付该款，同时,每逾期一日,承包人应按本合同金额的千分之三(按不低于每日2千元，不高于每日2万元)向发包人支付违约金直至承包人完成保修并按约定提供合格完整的结算资料及完成对外送审之日止。该违约金承包人应在该提供结算资料期限届满后按合同约定首次达到支付相应合同款节点之日前支付至发包人指定的账户，承包人向发包人指定账户支付完毕应付违约金后，发包人方可恢复继续支付相应合同款。该违约金付款凭证作为发包人支付相应合同节点款的支付依据。</w:t>
      </w:r>
    </w:p>
    <w:p w14:paraId="31D43C1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 xml:space="preserve">发包人指定收取本条违约金账户如下 ： </w:t>
      </w:r>
    </w:p>
    <w:p w14:paraId="54DE873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 xml:space="preserve">户名：                            </w:t>
      </w:r>
    </w:p>
    <w:p w14:paraId="485556B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 xml:space="preserve">开户行：                           </w:t>
      </w:r>
    </w:p>
    <w:p w14:paraId="58FC607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 xml:space="preserve">账号：                             </w:t>
      </w:r>
    </w:p>
    <w:p w14:paraId="708EFEB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承包人完成承包事项经发包人书面认可，且经政府主管部门验收合格并出具竣工验收报告之日起个</w:t>
      </w:r>
      <w:r>
        <w:rPr>
          <w:rFonts w:hint="eastAsia" w:ascii="宋体" w:hAnsi="宋体" w:eastAsia="宋体" w:cs="宋体"/>
          <w:sz w:val="24"/>
          <w:szCs w:val="24"/>
          <w:highlight w:val="white"/>
          <w:u w:val="single"/>
        </w:rPr>
        <w:t>1</w:t>
      </w:r>
      <w:r>
        <w:rPr>
          <w:rFonts w:hint="eastAsia" w:ascii="宋体" w:hAnsi="宋体" w:eastAsia="宋体" w:cs="宋体"/>
          <w:sz w:val="24"/>
          <w:szCs w:val="24"/>
          <w:highlight w:val="white"/>
        </w:rPr>
        <w:t>月内未提供合格结算资料及完成对外送审的，视为承包人放弃剩余工程款的追偿权利，发包人有权不予支付剩余工程款，并有权要求承包人赔偿发包人因此遭受的损失。</w:t>
      </w:r>
      <w:bookmarkEnd w:id="399"/>
    </w:p>
    <w:p w14:paraId="39ED80F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12.4.2 进度付款申请单的编制</w:t>
      </w:r>
    </w:p>
    <w:p w14:paraId="69C9ECB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关于进度付款申请单编制的约定：</w:t>
      </w:r>
      <w:r>
        <w:rPr>
          <w:rFonts w:hint="eastAsia" w:ascii="宋体" w:hAnsi="宋体" w:eastAsia="宋体" w:cs="宋体"/>
          <w:b/>
          <w:sz w:val="24"/>
          <w:szCs w:val="24"/>
          <w:u w:val="single"/>
        </w:rPr>
        <w:t>按发包人要求编制。</w:t>
      </w:r>
      <w:r>
        <w:rPr>
          <w:rFonts w:hint="eastAsia" w:ascii="宋体" w:hAnsi="宋体" w:eastAsia="宋体" w:cs="宋体"/>
          <w:sz w:val="24"/>
          <w:szCs w:val="24"/>
          <w:u w:val="single"/>
        </w:rPr>
        <w:t xml:space="preserve"> </w:t>
      </w:r>
    </w:p>
    <w:p w14:paraId="3696E00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12.4.3 进度付款申请单的提交</w:t>
      </w:r>
    </w:p>
    <w:p w14:paraId="73D0A5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（1）单价合同进度付款申请单提交的约定：</w:t>
      </w:r>
      <w:r>
        <w:rPr>
          <w:rFonts w:hint="eastAsia" w:ascii="宋体" w:hAnsi="宋体" w:eastAsia="宋体" w:cs="宋体"/>
          <w:b/>
          <w:sz w:val="24"/>
          <w:szCs w:val="24"/>
          <w:u w:val="single"/>
        </w:rPr>
        <w:t>按发包人要求</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5D33567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（2）总价合同进度付款申请单提交的约定：</w:t>
      </w:r>
      <w:bookmarkStart w:id="400" w:name="EBb8a7e2b3607c40d19d5e8742a9e8a590"/>
      <w:bookmarkEnd w:id="400"/>
      <w:r>
        <w:rPr>
          <w:rFonts w:hint="eastAsia" w:ascii="宋体" w:hAnsi="宋体" w:eastAsia="宋体" w:cs="宋体"/>
          <w:b/>
          <w:sz w:val="24"/>
          <w:szCs w:val="24"/>
          <w:u w:val="single"/>
        </w:rPr>
        <w:t>按发包人要求</w:t>
      </w:r>
      <w:r>
        <w:rPr>
          <w:rFonts w:hint="eastAsia" w:ascii="宋体" w:hAnsi="宋体" w:eastAsia="宋体" w:cs="宋体"/>
          <w:sz w:val="24"/>
          <w:szCs w:val="24"/>
          <w:u w:val="single"/>
        </w:rPr>
        <w:t xml:space="preserve"> </w:t>
      </w:r>
      <w:r>
        <w:rPr>
          <w:rFonts w:hint="eastAsia" w:ascii="宋体" w:hAnsi="宋体" w:eastAsia="宋体" w:cs="宋体"/>
          <w:sz w:val="24"/>
          <w:szCs w:val="24"/>
          <w:highlight w:val="white"/>
        </w:rPr>
        <w:t>。</w:t>
      </w:r>
    </w:p>
    <w:p w14:paraId="3AE9A7A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（3）其他价格形式合同进度付款申请单提交的约定：</w:t>
      </w:r>
      <w:r>
        <w:rPr>
          <w:rFonts w:hint="eastAsia" w:ascii="宋体" w:hAnsi="宋体" w:eastAsia="宋体" w:cs="宋体"/>
          <w:sz w:val="24"/>
          <w:szCs w:val="24"/>
          <w:u w:val="single"/>
        </w:rPr>
        <w:t xml:space="preserve">    /   </w:t>
      </w:r>
      <w:r>
        <w:rPr>
          <w:rFonts w:hint="eastAsia" w:ascii="宋体" w:hAnsi="宋体" w:eastAsia="宋体" w:cs="宋体"/>
          <w:sz w:val="24"/>
          <w:szCs w:val="24"/>
        </w:rPr>
        <w:t>。</w:t>
      </w:r>
      <w:bookmarkStart w:id="401" w:name="EB8c5b60e92c32402c836aaf3d9d1bfc2a"/>
      <w:bookmarkEnd w:id="401"/>
    </w:p>
    <w:p w14:paraId="327BE6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12.4.4 进度款审核和支付</w:t>
      </w:r>
    </w:p>
    <w:p w14:paraId="3730FB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（1）监理人审查并报送发包人的期限：</w:t>
      </w:r>
      <w:bookmarkStart w:id="402" w:name="EB7883780a1cc74d5b91d12a5f0883b3b9"/>
      <w:bookmarkEnd w:id="402"/>
      <w:r>
        <w:rPr>
          <w:rFonts w:hint="eastAsia" w:ascii="宋体" w:hAnsi="宋体" w:eastAsia="宋体" w:cs="宋体"/>
          <w:b/>
          <w:sz w:val="24"/>
          <w:szCs w:val="24"/>
          <w:highlight w:val="white"/>
          <w:u w:val="single"/>
        </w:rPr>
        <w:t>监理人应在收到承包人进度付款申请单以及相关资料后7天内完成审查并报送发包人。</w:t>
      </w:r>
    </w:p>
    <w:p w14:paraId="78D4DF9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发包人完成审批并签发进度款支付证书的期限：</w:t>
      </w:r>
      <w:bookmarkStart w:id="403" w:name="EB230db849cb864f589499577b73b230c7"/>
      <w:bookmarkEnd w:id="403"/>
      <w:r>
        <w:rPr>
          <w:rFonts w:hint="eastAsia" w:ascii="宋体" w:hAnsi="宋体" w:eastAsia="宋体" w:cs="宋体"/>
          <w:sz w:val="24"/>
          <w:szCs w:val="24"/>
          <w:highlight w:val="white"/>
        </w:rPr>
        <w:t>/。</w:t>
      </w:r>
    </w:p>
    <w:p w14:paraId="59FB414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（2）发包人支付进度款的期限：</w:t>
      </w:r>
      <w:bookmarkStart w:id="404" w:name="EBb43ff779f80f4b999b79b1f09c3abd66"/>
      <w:bookmarkEnd w:id="404"/>
      <w:r>
        <w:rPr>
          <w:rFonts w:hint="eastAsia" w:ascii="宋体" w:hAnsi="宋体" w:eastAsia="宋体" w:cs="宋体"/>
          <w:b/>
          <w:sz w:val="24"/>
          <w:szCs w:val="24"/>
          <w:highlight w:val="white"/>
          <w:u w:val="single"/>
        </w:rPr>
        <w:t>/</w:t>
      </w:r>
      <w:r>
        <w:rPr>
          <w:rFonts w:hint="eastAsia" w:ascii="宋体" w:hAnsi="宋体" w:eastAsia="宋体" w:cs="宋体"/>
          <w:sz w:val="24"/>
          <w:szCs w:val="24"/>
          <w:highlight w:val="white"/>
        </w:rPr>
        <w:t>。</w:t>
      </w:r>
    </w:p>
    <w:p w14:paraId="6F167D3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发包人逾期支付进度款的违约金的计算方式：</w:t>
      </w:r>
      <w:bookmarkStart w:id="405" w:name="EB098a1e693f314e6e8a6f2766509be778"/>
      <w:bookmarkEnd w:id="405"/>
      <w:r>
        <w:rPr>
          <w:rFonts w:hint="eastAsia" w:ascii="宋体" w:hAnsi="宋体" w:eastAsia="宋体" w:cs="宋体"/>
          <w:b/>
          <w:sz w:val="24"/>
          <w:szCs w:val="24"/>
          <w:highlight w:val="white"/>
          <w:u w:val="single"/>
        </w:rPr>
        <w:t>不计取</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p>
    <w:p w14:paraId="7DFAABB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12.4.6 支付分解表的编制</w:t>
      </w:r>
    </w:p>
    <w:p w14:paraId="0C59A24C">
      <w:pPr>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2、总价合同支付分解表的编制与审批：</w:t>
      </w:r>
      <w:bookmarkStart w:id="406" w:name="EB61b302f59b77461d96a504b72bf55c9f"/>
      <w:bookmarkEnd w:id="406"/>
      <w:r>
        <w:rPr>
          <w:rFonts w:hint="eastAsia" w:ascii="宋体" w:hAnsi="宋体" w:eastAsia="宋体" w:cs="宋体"/>
          <w:sz w:val="24"/>
          <w:szCs w:val="24"/>
          <w:highlight w:val="white"/>
          <w:u w:val="single"/>
        </w:rPr>
        <w:t>/</w:t>
      </w:r>
      <w:r>
        <w:rPr>
          <w:rFonts w:hint="eastAsia" w:ascii="宋体" w:hAnsi="宋体" w:eastAsia="宋体" w:cs="宋体"/>
          <w:sz w:val="24"/>
          <w:szCs w:val="24"/>
          <w:highlight w:val="white"/>
        </w:rPr>
        <w:t>。</w:t>
      </w:r>
    </w:p>
    <w:p w14:paraId="10A13DE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3、单价合同的总价项目支付分解表的编制与审批：</w:t>
      </w:r>
      <w:bookmarkStart w:id="407" w:name="EB03cb45d60b2949c68096f515a4d80a28"/>
      <w:bookmarkEnd w:id="407"/>
      <w:r>
        <w:rPr>
          <w:rFonts w:hint="eastAsia" w:ascii="宋体" w:hAnsi="宋体" w:eastAsia="宋体" w:cs="宋体"/>
          <w:sz w:val="24"/>
          <w:szCs w:val="24"/>
          <w:highlight w:val="white"/>
          <w:u w:val="single"/>
        </w:rPr>
        <w:t>/</w:t>
      </w:r>
      <w:r>
        <w:rPr>
          <w:rFonts w:hint="eastAsia" w:ascii="宋体" w:hAnsi="宋体" w:eastAsia="宋体" w:cs="宋体"/>
          <w:sz w:val="24"/>
          <w:szCs w:val="24"/>
          <w:highlight w:val="white"/>
        </w:rPr>
        <w:t>。</w:t>
      </w:r>
    </w:p>
    <w:p w14:paraId="3D9DB28C">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13. 验收和工程试车</w:t>
      </w:r>
    </w:p>
    <w:p w14:paraId="4166FA65">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13.1 分部分项工程验收</w:t>
      </w:r>
    </w:p>
    <w:p w14:paraId="5D5211B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13.1.2监理人不能按时进行验收时，应提前</w:t>
      </w:r>
      <w:bookmarkStart w:id="408" w:name="EBb95ad652d9144b9781840d24af19b278"/>
      <w:r>
        <w:rPr>
          <w:rFonts w:hint="eastAsia" w:ascii="宋体" w:hAnsi="宋体" w:eastAsia="宋体" w:cs="宋体"/>
          <w:sz w:val="24"/>
          <w:szCs w:val="24"/>
          <w:highlight w:val="white"/>
        </w:rPr>
        <w:t>24</w:t>
      </w:r>
      <w:bookmarkEnd w:id="408"/>
      <w:r>
        <w:rPr>
          <w:rFonts w:hint="eastAsia" w:ascii="宋体" w:hAnsi="宋体" w:eastAsia="宋体" w:cs="宋体"/>
          <w:sz w:val="24"/>
          <w:szCs w:val="24"/>
          <w:highlight w:val="white"/>
        </w:rPr>
        <w:t>小时提交书面延期要求。</w:t>
      </w:r>
    </w:p>
    <w:p w14:paraId="019A8736">
      <w:pPr>
        <w:spacing w:line="360" w:lineRule="auto"/>
        <w:ind w:firstLine="480" w:firstLineChars="200"/>
        <w:rPr>
          <w:rFonts w:hint="eastAsia" w:ascii="宋体" w:hAnsi="宋体" w:eastAsia="宋体" w:cs="宋体"/>
          <w:b/>
          <w:sz w:val="24"/>
          <w:szCs w:val="24"/>
        </w:rPr>
      </w:pPr>
      <w:r>
        <w:rPr>
          <w:rFonts w:hint="eastAsia" w:ascii="宋体" w:hAnsi="宋体" w:eastAsia="宋体" w:cs="宋体"/>
          <w:sz w:val="24"/>
          <w:szCs w:val="24"/>
          <w:highlight w:val="white"/>
        </w:rPr>
        <w:t>关于延期最长不得超过：24小时。</w:t>
      </w:r>
    </w:p>
    <w:p w14:paraId="11031634">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13.2 竣工验收</w:t>
      </w:r>
    </w:p>
    <w:p w14:paraId="7E031B8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13.2.2竣工验收程序</w:t>
      </w:r>
    </w:p>
    <w:p w14:paraId="27BB740C">
      <w:pPr>
        <w:spacing w:line="360" w:lineRule="auto"/>
        <w:ind w:left="0" w:leftChars="0"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关于竣工验收程序的约定</w:t>
      </w:r>
      <w:bookmarkStart w:id="409" w:name="EB7edad710c2a748c6b4d20f99404ab18f"/>
      <w:r>
        <w:rPr>
          <w:rFonts w:hint="eastAsia" w:ascii="宋体" w:hAnsi="宋体" w:eastAsia="宋体" w:cs="宋体"/>
          <w:kern w:val="0"/>
          <w:sz w:val="24"/>
          <w:szCs w:val="24"/>
          <w:highlight w:val="white"/>
        </w:rPr>
        <w:t>：</w:t>
      </w:r>
      <w:r>
        <w:rPr>
          <w:rFonts w:hint="eastAsia" w:ascii="宋体" w:hAnsi="宋体" w:eastAsia="宋体" w:cs="宋体"/>
          <w:sz w:val="24"/>
          <w:szCs w:val="24"/>
          <w:highlight w:val="white"/>
        </w:rPr>
        <w:t>执行通用条款</w:t>
      </w:r>
      <w:bookmarkEnd w:id="409"/>
      <w:r>
        <w:rPr>
          <w:rFonts w:hint="eastAsia" w:ascii="宋体" w:hAnsi="宋体" w:eastAsia="宋体" w:cs="宋体"/>
          <w:sz w:val="24"/>
          <w:szCs w:val="24"/>
          <w:highlight w:val="white"/>
        </w:rPr>
        <w:t>。</w:t>
      </w:r>
    </w:p>
    <w:p w14:paraId="39156374">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发包人不按照本项约定组织竣工验收、颁发工程接收证书的违约金的计算方法：</w:t>
      </w:r>
    </w:p>
    <w:p w14:paraId="3BFEEBC7">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highlight w:val="white"/>
          <w:u w:val="single"/>
        </w:rPr>
        <w:t>不计取</w:t>
      </w:r>
      <w:r>
        <w:rPr>
          <w:rFonts w:hint="eastAsia" w:ascii="宋体" w:hAnsi="宋体" w:eastAsia="宋体" w:cs="宋体"/>
          <w:sz w:val="24"/>
          <w:szCs w:val="24"/>
          <w:highlight w:val="white"/>
        </w:rPr>
        <w:t>。</w:t>
      </w:r>
    </w:p>
    <w:p w14:paraId="20DE72A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13.2.5移交、接收全部与部分工程</w:t>
      </w:r>
    </w:p>
    <w:p w14:paraId="5BB82F7D">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承包人向发包人移交工程的期限：</w:t>
      </w:r>
      <w:r>
        <w:rPr>
          <w:rFonts w:hint="eastAsia" w:ascii="宋体" w:hAnsi="宋体" w:eastAsia="宋体" w:cs="宋体"/>
          <w:kern w:val="0"/>
          <w:sz w:val="24"/>
          <w:szCs w:val="24"/>
          <w:highlight w:val="white"/>
          <w:u w:val="single"/>
        </w:rPr>
        <w:t xml:space="preserve">  </w:t>
      </w:r>
      <w:r>
        <w:rPr>
          <w:rFonts w:hint="eastAsia" w:ascii="宋体" w:hAnsi="宋体" w:eastAsia="宋体" w:cs="宋体"/>
          <w:b/>
          <w:kern w:val="0"/>
          <w:sz w:val="24"/>
          <w:szCs w:val="24"/>
          <w:highlight w:val="white"/>
          <w:u w:val="single"/>
        </w:rPr>
        <w:t>按通用条款约定执行</w:t>
      </w:r>
      <w:r>
        <w:rPr>
          <w:rFonts w:hint="eastAsia" w:ascii="宋体" w:hAnsi="宋体" w:eastAsia="宋体" w:cs="宋体"/>
          <w:kern w:val="0"/>
          <w:sz w:val="24"/>
          <w:szCs w:val="24"/>
          <w:highlight w:val="white"/>
          <w:u w:val="single"/>
        </w:rPr>
        <w:t xml:space="preserve">   </w:t>
      </w:r>
    </w:p>
    <w:p w14:paraId="6B0B97BD">
      <w:pPr>
        <w:spacing w:line="360" w:lineRule="auto"/>
        <w:ind w:firstLine="480" w:firstLineChars="200"/>
        <w:rPr>
          <w:rFonts w:hint="eastAsia" w:ascii="宋体" w:hAnsi="宋体" w:eastAsia="宋体" w:cs="宋体"/>
          <w:kern w:val="0"/>
          <w:sz w:val="24"/>
          <w:szCs w:val="24"/>
        </w:rPr>
      </w:pPr>
      <w:bookmarkStart w:id="410" w:name="EBd001e50a91824b4ca0cb44f5758fcb6c"/>
      <w:r>
        <w:rPr>
          <w:rFonts w:hint="eastAsia" w:ascii="宋体" w:hAnsi="宋体" w:eastAsia="宋体" w:cs="宋体"/>
          <w:kern w:val="0"/>
          <w:sz w:val="24"/>
          <w:szCs w:val="24"/>
          <w:highlight w:val="white"/>
        </w:rPr>
        <w:t>合同当事人应当在颁发工程接收证书后 7 天内完成工程的移交</w:t>
      </w:r>
      <w:bookmarkEnd w:id="410"/>
      <w:r>
        <w:rPr>
          <w:rFonts w:hint="eastAsia" w:ascii="宋体" w:hAnsi="宋体" w:eastAsia="宋体" w:cs="宋体"/>
          <w:sz w:val="24"/>
          <w:szCs w:val="24"/>
          <w:highlight w:val="white"/>
        </w:rPr>
        <w:t>。</w:t>
      </w:r>
    </w:p>
    <w:p w14:paraId="349ACA60">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发包人未按本合同约定接收全部或部分工程的，违约金的计算方法为：</w:t>
      </w:r>
      <w:r>
        <w:rPr>
          <w:rFonts w:hint="eastAsia" w:ascii="宋体" w:hAnsi="宋体" w:eastAsia="宋体" w:cs="宋体"/>
          <w:b/>
          <w:sz w:val="24"/>
          <w:szCs w:val="24"/>
          <w:u w:val="single"/>
        </w:rPr>
        <w:t>不计取</w:t>
      </w:r>
    </w:p>
    <w:p w14:paraId="52DADAB1">
      <w:pPr>
        <w:spacing w:line="360" w:lineRule="auto"/>
        <w:ind w:firstLine="480" w:firstLineChars="200"/>
        <w:rPr>
          <w:rFonts w:hint="eastAsia" w:ascii="宋体" w:hAnsi="宋体" w:eastAsia="宋体" w:cs="宋体"/>
          <w:sz w:val="24"/>
          <w:szCs w:val="24"/>
          <w:u w:val="single"/>
        </w:rPr>
      </w:pPr>
      <w:bookmarkStart w:id="411" w:name="EBcd20677fe0ab40acb2d933654ea082af"/>
      <w:r>
        <w:rPr>
          <w:rFonts w:hint="eastAsia" w:ascii="宋体" w:hAnsi="宋体" w:eastAsia="宋体" w:cs="宋体"/>
          <w:kern w:val="0"/>
          <w:sz w:val="24"/>
          <w:szCs w:val="24"/>
          <w:highlight w:val="white"/>
        </w:rPr>
        <w:t>发包人自应当接收工程之日起，承担工程照管、成品保护、保管等与工程有关的各项费用</w:t>
      </w:r>
      <w:bookmarkEnd w:id="411"/>
      <w:r>
        <w:rPr>
          <w:rFonts w:hint="eastAsia" w:ascii="宋体" w:hAnsi="宋体" w:eastAsia="宋体" w:cs="宋体"/>
          <w:sz w:val="24"/>
          <w:szCs w:val="24"/>
          <w:highlight w:val="white"/>
        </w:rPr>
        <w:t>。</w:t>
      </w:r>
    </w:p>
    <w:p w14:paraId="753E186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承包人未按时移交工程的，违约金的计算方法为：</w:t>
      </w:r>
      <w:r>
        <w:rPr>
          <w:rFonts w:hint="eastAsia" w:ascii="宋体" w:hAnsi="宋体" w:eastAsia="宋体" w:cs="宋体"/>
          <w:b/>
          <w:sz w:val="24"/>
          <w:szCs w:val="24"/>
          <w:highlight w:val="white"/>
          <w:u w:val="single"/>
        </w:rPr>
        <w:t xml:space="preserve">每逾期一天，应向发包人支付违约金5万元 </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bookmarkStart w:id="412" w:name="EB0d2965a3f5ef4d27bf40cdba10c33acb"/>
      <w:bookmarkEnd w:id="412"/>
    </w:p>
    <w:p w14:paraId="174A9253">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13.3 工程试车</w:t>
      </w:r>
    </w:p>
    <w:p w14:paraId="716B4E7A">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13.3.1 试车程序</w:t>
      </w:r>
    </w:p>
    <w:p w14:paraId="1CDC5BD2">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工程试车内容：</w:t>
      </w:r>
      <w:bookmarkStart w:id="413" w:name="EB0f0fd06d4d82435bb1c4524a22e179c5"/>
      <w:r>
        <w:rPr>
          <w:rFonts w:hint="eastAsia" w:ascii="宋体" w:hAnsi="宋体" w:eastAsia="宋体" w:cs="宋体"/>
          <w:kern w:val="0"/>
          <w:sz w:val="24"/>
          <w:szCs w:val="24"/>
          <w:highlight w:val="white"/>
        </w:rPr>
        <w:t>根据通用合同条款约定执行</w:t>
      </w:r>
      <w:bookmarkEnd w:id="413"/>
      <w:r>
        <w:rPr>
          <w:rFonts w:hint="eastAsia" w:ascii="宋体" w:hAnsi="宋体" w:eastAsia="宋体" w:cs="宋体"/>
          <w:sz w:val="24"/>
          <w:szCs w:val="24"/>
          <w:highlight w:val="white"/>
        </w:rPr>
        <w:t>。</w:t>
      </w:r>
    </w:p>
    <w:p w14:paraId="1FE66CDE">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（1）单机无负荷试车费用由</w:t>
      </w:r>
      <w:bookmarkStart w:id="414" w:name="EBbc23ba363bce43cebfcf2990577bc549"/>
      <w:r>
        <w:rPr>
          <w:rFonts w:hint="eastAsia" w:ascii="宋体" w:hAnsi="宋体" w:eastAsia="宋体" w:cs="宋体"/>
          <w:kern w:val="0"/>
          <w:sz w:val="24"/>
          <w:szCs w:val="24"/>
          <w:highlight w:val="white"/>
        </w:rPr>
        <w:t>根据通用合同条款约定执行</w:t>
      </w:r>
      <w:bookmarkEnd w:id="414"/>
      <w:r>
        <w:rPr>
          <w:rFonts w:hint="eastAsia" w:ascii="宋体" w:hAnsi="宋体" w:eastAsia="宋体" w:cs="宋体"/>
          <w:kern w:val="0"/>
          <w:sz w:val="24"/>
          <w:szCs w:val="24"/>
          <w:highlight w:val="white"/>
        </w:rPr>
        <w:t>承担；</w:t>
      </w:r>
    </w:p>
    <w:p w14:paraId="42DC4774">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（2）无负荷联动试车费用由</w:t>
      </w:r>
      <w:bookmarkStart w:id="415" w:name="EB1e3f7e61b1b6467d8a525c011923fd1b"/>
      <w:r>
        <w:rPr>
          <w:rFonts w:hint="eastAsia" w:ascii="宋体" w:hAnsi="宋体" w:eastAsia="宋体" w:cs="宋体"/>
          <w:kern w:val="0"/>
          <w:sz w:val="24"/>
          <w:szCs w:val="24"/>
          <w:highlight w:val="white"/>
        </w:rPr>
        <w:t>根据通用合同条款约定执行</w:t>
      </w:r>
      <w:bookmarkEnd w:id="415"/>
      <w:r>
        <w:rPr>
          <w:rFonts w:hint="eastAsia" w:ascii="宋体" w:hAnsi="宋体" w:eastAsia="宋体" w:cs="宋体"/>
          <w:kern w:val="0"/>
          <w:sz w:val="24"/>
          <w:szCs w:val="24"/>
          <w:highlight w:val="white"/>
        </w:rPr>
        <w:t>承担。</w:t>
      </w:r>
    </w:p>
    <w:p w14:paraId="188412A8">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13.3.3 投料试车</w:t>
      </w:r>
    </w:p>
    <w:p w14:paraId="24E47AA4">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关于投料试车相关事项的约定：</w:t>
      </w:r>
      <w:bookmarkStart w:id="416" w:name="EBa5117a954e144ce790e12865129cbc07"/>
      <w:r>
        <w:rPr>
          <w:rFonts w:hint="eastAsia" w:ascii="宋体" w:hAnsi="宋体" w:eastAsia="宋体" w:cs="宋体"/>
          <w:kern w:val="0"/>
          <w:sz w:val="24"/>
          <w:szCs w:val="24"/>
          <w:highlight w:val="white"/>
        </w:rPr>
        <w:t>根据通用合同条款约定执行</w:t>
      </w:r>
      <w:bookmarkEnd w:id="416"/>
      <w:r>
        <w:rPr>
          <w:rFonts w:hint="eastAsia" w:ascii="宋体" w:hAnsi="宋体" w:eastAsia="宋体" w:cs="宋体"/>
          <w:sz w:val="24"/>
          <w:szCs w:val="24"/>
          <w:highlight w:val="white"/>
        </w:rPr>
        <w:t>。</w:t>
      </w:r>
    </w:p>
    <w:p w14:paraId="1FD01064">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13.6 竣工退场</w:t>
      </w:r>
    </w:p>
    <w:p w14:paraId="0EA4FBB2">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13.6.1 竣工退场</w:t>
      </w:r>
    </w:p>
    <w:p w14:paraId="41BFE4D9">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承包人完成竣工退场的期限：</w:t>
      </w:r>
      <w:bookmarkStart w:id="417" w:name="EB672ef2e8108946dea38d00a6dca869bc"/>
      <w:r>
        <w:rPr>
          <w:rFonts w:hint="eastAsia" w:ascii="宋体" w:hAnsi="宋体" w:eastAsia="宋体" w:cs="宋体"/>
          <w:bCs/>
          <w:kern w:val="0"/>
          <w:sz w:val="24"/>
          <w:szCs w:val="24"/>
          <w:highlight w:val="white"/>
          <w:u w:val="single"/>
        </w:rPr>
        <w:t>颁发工程接收证书后7天</w:t>
      </w:r>
      <w:r>
        <w:rPr>
          <w:rFonts w:hint="eastAsia" w:ascii="宋体" w:hAnsi="宋体" w:eastAsia="宋体" w:cs="宋体"/>
          <w:kern w:val="0"/>
          <w:sz w:val="24"/>
          <w:szCs w:val="24"/>
          <w:highlight w:val="white"/>
        </w:rPr>
        <w:t>内</w:t>
      </w:r>
      <w:bookmarkEnd w:id="417"/>
      <w:r>
        <w:rPr>
          <w:rFonts w:hint="eastAsia" w:ascii="宋体" w:hAnsi="宋体" w:eastAsia="宋体" w:cs="宋体"/>
          <w:kern w:val="0"/>
          <w:sz w:val="24"/>
          <w:szCs w:val="24"/>
          <w:highlight w:val="white"/>
        </w:rPr>
        <w:t>。</w:t>
      </w:r>
    </w:p>
    <w:p w14:paraId="5ABBBA57">
      <w:pPr>
        <w:spacing w:before="0" w:after="0" w:line="360" w:lineRule="auto"/>
        <w:ind w:firstLine="480" w:firstLineChars="200"/>
        <w:outlineLvl w:val="9"/>
        <w:rPr>
          <w:rFonts w:hint="eastAsia" w:ascii="宋体" w:hAnsi="宋体" w:eastAsia="宋体" w:cs="宋体"/>
          <w:b w:val="0"/>
          <w:kern w:val="2"/>
          <w:sz w:val="24"/>
          <w:szCs w:val="24"/>
        </w:rPr>
      </w:pPr>
      <w:r>
        <w:rPr>
          <w:rFonts w:hint="eastAsia" w:ascii="宋体" w:hAnsi="宋体" w:eastAsia="宋体" w:cs="宋体"/>
          <w:b w:val="0"/>
          <w:sz w:val="24"/>
          <w:szCs w:val="24"/>
          <w:highlight w:val="white"/>
        </w:rPr>
        <w:t>14. 竣工结算</w:t>
      </w:r>
    </w:p>
    <w:p w14:paraId="4B8E4458">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14.1 竣工结算申请</w:t>
      </w:r>
    </w:p>
    <w:p w14:paraId="7D07BC8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承包人提交竣工结算申请单的期限：</w:t>
      </w:r>
      <w:bookmarkStart w:id="418" w:name="EB0c58981f84394a95948014d2e82b0e17"/>
      <w:r>
        <w:rPr>
          <w:rFonts w:hint="eastAsia" w:ascii="宋体" w:hAnsi="宋体" w:eastAsia="宋体" w:cs="宋体"/>
          <w:sz w:val="24"/>
          <w:szCs w:val="24"/>
          <w:highlight w:val="white"/>
        </w:rPr>
        <w:t>承包人应在工程竣工验收合格后 28 天内向发包人和监理人提交竣工结算申请单，并提交完整的结算资料</w:t>
      </w:r>
      <w:bookmarkEnd w:id="418"/>
      <w:r>
        <w:rPr>
          <w:rFonts w:hint="eastAsia" w:ascii="宋体" w:hAnsi="宋体" w:eastAsia="宋体" w:cs="宋体"/>
          <w:sz w:val="24"/>
          <w:szCs w:val="24"/>
          <w:highlight w:val="white"/>
        </w:rPr>
        <w:t>。按</w:t>
      </w:r>
      <w:r>
        <w:rPr>
          <w:rFonts w:hint="eastAsia" w:ascii="宋体" w:hAnsi="宋体" w:eastAsia="宋体" w:cs="宋体"/>
          <w:sz w:val="24"/>
          <w:szCs w:val="24"/>
        </w:rPr>
        <w:t>12.4.1.6执行。</w:t>
      </w:r>
    </w:p>
    <w:p w14:paraId="0532E94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竣工结算申请单应包括的内容：</w:t>
      </w:r>
      <w:r>
        <w:rPr>
          <w:rFonts w:hint="eastAsia" w:ascii="宋体" w:hAnsi="宋体" w:eastAsia="宋体" w:cs="宋体"/>
          <w:b/>
          <w:sz w:val="24"/>
          <w:szCs w:val="24"/>
          <w:highlight w:val="white"/>
          <w:u w:val="single"/>
        </w:rPr>
        <w:t>按发包人要求</w:t>
      </w:r>
    </w:p>
    <w:p w14:paraId="4408122D">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14.2 竣工结算审核</w:t>
      </w:r>
    </w:p>
    <w:p w14:paraId="6CDE572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发包人审批竣工付款申请单的期限：</w:t>
      </w:r>
      <w:bookmarkStart w:id="419" w:name="EBd851ce7bc2564845a05c90f9c84b986e"/>
      <w:bookmarkEnd w:id="419"/>
      <w:r>
        <w:rPr>
          <w:rFonts w:hint="eastAsia" w:ascii="宋体" w:hAnsi="宋体" w:eastAsia="宋体" w:cs="宋体"/>
          <w:sz w:val="24"/>
          <w:szCs w:val="24"/>
          <w:highlight w:val="white"/>
        </w:rPr>
        <w:t>/。</w:t>
      </w:r>
    </w:p>
    <w:p w14:paraId="6C77662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发包人完成竣工付款的期限：</w:t>
      </w:r>
      <w:bookmarkStart w:id="420" w:name="EB37a6fa15dc7642ffbf634f1a258fbe1e"/>
      <w:bookmarkEnd w:id="420"/>
      <w:r>
        <w:rPr>
          <w:rFonts w:hint="eastAsia" w:ascii="宋体" w:hAnsi="宋体" w:eastAsia="宋体" w:cs="宋体"/>
          <w:sz w:val="24"/>
          <w:szCs w:val="24"/>
          <w:highlight w:val="white"/>
        </w:rPr>
        <w:t>/。</w:t>
      </w:r>
    </w:p>
    <w:p w14:paraId="7B0C332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关于竣工付款证书异议部分复核的方式和程序：</w:t>
      </w:r>
      <w:r>
        <w:rPr>
          <w:rFonts w:hint="eastAsia" w:ascii="宋体" w:hAnsi="宋体" w:eastAsia="宋体" w:cs="宋体"/>
          <w:sz w:val="24"/>
          <w:szCs w:val="24"/>
        </w:rPr>
        <w:t>/</w:t>
      </w:r>
      <w:r>
        <w:rPr>
          <w:rFonts w:hint="eastAsia" w:ascii="宋体" w:hAnsi="宋体" w:eastAsia="宋体" w:cs="宋体"/>
          <w:sz w:val="24"/>
          <w:szCs w:val="24"/>
          <w:highlight w:val="white"/>
        </w:rPr>
        <w:t>。</w:t>
      </w:r>
    </w:p>
    <w:p w14:paraId="05A9E758">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14.4 最终结清</w:t>
      </w:r>
    </w:p>
    <w:p w14:paraId="0A1B1026">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14.4.1 最终结清申请单</w:t>
      </w:r>
    </w:p>
    <w:p w14:paraId="48514418">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承包人提交最终结清申请单的份数：</w:t>
      </w:r>
      <w:bookmarkStart w:id="421" w:name="EB2354e93ba72542c88357937da19659ac"/>
      <w:bookmarkEnd w:id="421"/>
      <w:r>
        <w:rPr>
          <w:rFonts w:hint="eastAsia" w:ascii="宋体" w:hAnsi="宋体" w:eastAsia="宋体" w:cs="宋体"/>
          <w:kern w:val="0"/>
          <w:sz w:val="24"/>
          <w:szCs w:val="24"/>
          <w:highlight w:val="white"/>
          <w:u w:val="single"/>
        </w:rPr>
        <w:t xml:space="preserve">  </w:t>
      </w:r>
      <w:r>
        <w:rPr>
          <w:rFonts w:hint="eastAsia" w:ascii="宋体" w:hAnsi="宋体" w:eastAsia="宋体" w:cs="宋体"/>
          <w:b/>
          <w:kern w:val="0"/>
          <w:sz w:val="24"/>
          <w:szCs w:val="24"/>
          <w:highlight w:val="white"/>
          <w:u w:val="single"/>
        </w:rPr>
        <w:t>按发包人要求</w:t>
      </w:r>
      <w:r>
        <w:rPr>
          <w:rFonts w:hint="eastAsia" w:ascii="宋体" w:hAnsi="宋体" w:eastAsia="宋体" w:cs="宋体"/>
          <w:kern w:val="0"/>
          <w:sz w:val="24"/>
          <w:szCs w:val="24"/>
          <w:highlight w:val="white"/>
          <w:u w:val="single"/>
        </w:rPr>
        <w:t xml:space="preserve">  </w:t>
      </w:r>
      <w:r>
        <w:rPr>
          <w:rFonts w:hint="eastAsia" w:ascii="宋体" w:hAnsi="宋体" w:eastAsia="宋体" w:cs="宋体"/>
          <w:sz w:val="24"/>
          <w:szCs w:val="24"/>
          <w:highlight w:val="white"/>
        </w:rPr>
        <w:t>。</w:t>
      </w:r>
    </w:p>
    <w:p w14:paraId="6F0CB338">
      <w:pPr>
        <w:spacing w:line="360" w:lineRule="auto"/>
        <w:ind w:firstLine="480" w:firstLineChars="200"/>
        <w:rPr>
          <w:rFonts w:hint="eastAsia" w:ascii="宋体" w:hAnsi="宋体" w:eastAsia="宋体" w:cs="宋体"/>
          <w:sz w:val="24"/>
          <w:szCs w:val="24"/>
        </w:rPr>
      </w:pPr>
      <w:r>
        <w:rPr>
          <w:rFonts w:hint="eastAsia" w:ascii="宋体" w:hAnsi="宋体" w:eastAsia="宋体" w:cs="宋体"/>
          <w:kern w:val="0"/>
          <w:sz w:val="24"/>
          <w:szCs w:val="24"/>
          <w:highlight w:val="white"/>
        </w:rPr>
        <w:t>承包人提交最终结算申请单的期限：</w:t>
      </w:r>
      <w:bookmarkStart w:id="422" w:name="EBbdc87edacd0844f3883ddabcefdd84a0"/>
      <w:bookmarkEnd w:id="422"/>
      <w:r>
        <w:rPr>
          <w:rFonts w:hint="eastAsia" w:ascii="宋体" w:hAnsi="宋体" w:eastAsia="宋体" w:cs="宋体"/>
          <w:b/>
          <w:kern w:val="0"/>
          <w:sz w:val="24"/>
          <w:szCs w:val="24"/>
          <w:highlight w:val="white"/>
          <w:u w:val="single"/>
        </w:rPr>
        <w:t>按发包人要求</w:t>
      </w:r>
      <w:r>
        <w:rPr>
          <w:rFonts w:hint="eastAsia" w:ascii="宋体" w:hAnsi="宋体" w:eastAsia="宋体" w:cs="宋体"/>
          <w:kern w:val="0"/>
          <w:sz w:val="24"/>
          <w:szCs w:val="24"/>
          <w:highlight w:val="white"/>
          <w:u w:val="single"/>
        </w:rPr>
        <w:t xml:space="preserve">  </w:t>
      </w:r>
      <w:r>
        <w:rPr>
          <w:rFonts w:hint="eastAsia" w:ascii="宋体" w:hAnsi="宋体" w:eastAsia="宋体" w:cs="宋体"/>
          <w:sz w:val="24"/>
          <w:szCs w:val="24"/>
          <w:highlight w:val="white"/>
        </w:rPr>
        <w:t>。</w:t>
      </w:r>
    </w:p>
    <w:p w14:paraId="1CE057C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14.4.2 最终结清证书和支付</w:t>
      </w:r>
    </w:p>
    <w:p w14:paraId="4891F09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（1）发包人完成最终结清申请单的审批并颁发最终结清证书的期限：</w:t>
      </w:r>
      <w:bookmarkStart w:id="423" w:name="EBf795222290e34946bb065087308c2e5e"/>
      <w:bookmarkEnd w:id="423"/>
      <w:r>
        <w:rPr>
          <w:rFonts w:hint="eastAsia" w:ascii="宋体" w:hAnsi="宋体" w:eastAsia="宋体" w:cs="宋体"/>
          <w:sz w:val="24"/>
          <w:szCs w:val="24"/>
          <w:highlight w:val="white"/>
        </w:rPr>
        <w:t>/。</w:t>
      </w:r>
    </w:p>
    <w:p w14:paraId="6FEE453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（2）发包人完成支付的期限：</w:t>
      </w:r>
      <w:bookmarkStart w:id="424" w:name="EB4e2b90dfae90407c90a459080633a490"/>
      <w:bookmarkEnd w:id="424"/>
      <w:r>
        <w:rPr>
          <w:rFonts w:hint="eastAsia" w:ascii="宋体" w:hAnsi="宋体" w:eastAsia="宋体" w:cs="宋体"/>
          <w:sz w:val="24"/>
          <w:szCs w:val="24"/>
          <w:highlight w:val="white"/>
        </w:rPr>
        <w:t>/。</w:t>
      </w:r>
    </w:p>
    <w:p w14:paraId="5EBF0AB8">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15. 缺陷责任期与保修</w:t>
      </w:r>
    </w:p>
    <w:p w14:paraId="5C4179AA">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15.2缺陷责任期</w:t>
      </w:r>
    </w:p>
    <w:p w14:paraId="31CB762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缺陷责任期的具体期限：</w:t>
      </w:r>
      <w:bookmarkStart w:id="425" w:name="EBb96837922cbc484493f445a4455515e0"/>
      <w:bookmarkEnd w:id="425"/>
      <w:r>
        <w:rPr>
          <w:rFonts w:hint="eastAsia" w:ascii="宋体" w:hAnsi="宋体" w:eastAsia="宋体" w:cs="宋体"/>
          <w:b/>
          <w:sz w:val="24"/>
          <w:szCs w:val="24"/>
          <w:highlight w:val="white"/>
          <w:u w:val="single"/>
        </w:rPr>
        <w:t>按通用条款执行</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w:t>
      </w:r>
    </w:p>
    <w:p w14:paraId="69279E7A">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15.3 质量保证金</w:t>
      </w:r>
    </w:p>
    <w:p w14:paraId="39635F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关于是否扣留质量保证金的约定：</w:t>
      </w:r>
      <w:bookmarkStart w:id="426" w:name="EBbefcb30ad35b4a5b9c0fc06ee5a19317"/>
      <w:r>
        <w:rPr>
          <w:rFonts w:hint="eastAsia" w:ascii="宋体" w:hAnsi="宋体" w:eastAsia="宋体" w:cs="宋体"/>
          <w:sz w:val="24"/>
          <w:szCs w:val="24"/>
          <w:highlight w:val="white"/>
          <w:u w:val="single"/>
        </w:rPr>
        <w:t>工程款总额的 3%</w:t>
      </w:r>
      <w:bookmarkEnd w:id="426"/>
      <w:r>
        <w:rPr>
          <w:rFonts w:hint="eastAsia" w:ascii="宋体" w:hAnsi="宋体" w:eastAsia="宋体" w:cs="宋体"/>
          <w:sz w:val="24"/>
          <w:szCs w:val="24"/>
          <w:highlight w:val="white"/>
          <w:u w:val="single"/>
        </w:rPr>
        <w:t>。</w:t>
      </w:r>
      <w:r>
        <w:rPr>
          <w:rFonts w:hint="eastAsia" w:ascii="宋体" w:hAnsi="宋体" w:eastAsia="宋体" w:cs="宋体"/>
          <w:sz w:val="24"/>
          <w:szCs w:val="24"/>
          <w:highlight w:val="white"/>
        </w:rPr>
        <w:t>在工程项目竣工前，承包人按专用合同条款第3.7条提供履约担保的，发包人不得同时预留工程质量保证金。</w:t>
      </w:r>
    </w:p>
    <w:p w14:paraId="7D4961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15.3.1 承包人提供质量保证金的方式</w:t>
      </w:r>
    </w:p>
    <w:p w14:paraId="12B69D9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质量保证金采用以下第</w:t>
      </w:r>
      <w:bookmarkStart w:id="427" w:name="EB8f34c043b8ea4f81b5de1615638dd312"/>
      <w:r>
        <w:rPr>
          <w:rFonts w:hint="eastAsia" w:ascii="宋体" w:hAnsi="宋体" w:eastAsia="宋体" w:cs="宋体"/>
          <w:sz w:val="24"/>
          <w:szCs w:val="24"/>
          <w:highlight w:val="white"/>
        </w:rPr>
        <w:t>（2）</w:t>
      </w:r>
      <w:bookmarkEnd w:id="427"/>
      <w:r>
        <w:rPr>
          <w:rFonts w:hint="eastAsia" w:ascii="宋体" w:hAnsi="宋体" w:eastAsia="宋体" w:cs="宋体"/>
          <w:sz w:val="24"/>
          <w:szCs w:val="24"/>
          <w:highlight w:val="white"/>
        </w:rPr>
        <w:t>种方式：</w:t>
      </w:r>
    </w:p>
    <w:p w14:paraId="1C341DB9">
      <w:pPr>
        <w:autoSpaceDE w:val="0"/>
        <w:autoSpaceDN w:val="0"/>
        <w:adjustRightInd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（1）质量保证金保函，保证金额为：</w:t>
      </w:r>
      <w:bookmarkStart w:id="428" w:name="EBb73b33f7b67641a19987642267911e02"/>
      <w:bookmarkEnd w:id="428"/>
      <w:r>
        <w:rPr>
          <w:rFonts w:hint="eastAsia" w:ascii="宋体" w:hAnsi="宋体" w:eastAsia="宋体" w:cs="宋体"/>
          <w:kern w:val="0"/>
          <w:sz w:val="24"/>
          <w:szCs w:val="24"/>
          <w:highlight w:val="white"/>
        </w:rPr>
        <w:t xml:space="preserve">； </w:t>
      </w:r>
    </w:p>
    <w:p w14:paraId="70DD40E4">
      <w:pPr>
        <w:autoSpaceDE w:val="0"/>
        <w:autoSpaceDN w:val="0"/>
        <w:adjustRightInd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（2）</w:t>
      </w:r>
      <w:bookmarkStart w:id="429" w:name="EBc3e6022b4f7a4ffe8fb4a64a10213b20"/>
      <w:r>
        <w:rPr>
          <w:rFonts w:hint="eastAsia" w:ascii="宋体" w:hAnsi="宋体" w:eastAsia="宋体" w:cs="宋体"/>
          <w:kern w:val="0"/>
          <w:sz w:val="24"/>
          <w:szCs w:val="24"/>
          <w:highlight w:val="white"/>
        </w:rPr>
        <w:t>3</w:t>
      </w:r>
      <w:bookmarkEnd w:id="429"/>
      <w:r>
        <w:rPr>
          <w:rFonts w:hint="eastAsia" w:ascii="宋体" w:hAnsi="宋体" w:eastAsia="宋体" w:cs="宋体"/>
          <w:kern w:val="0"/>
          <w:sz w:val="24"/>
          <w:szCs w:val="24"/>
          <w:highlight w:val="white"/>
        </w:rPr>
        <w:t>%的工程款；</w:t>
      </w:r>
    </w:p>
    <w:p w14:paraId="2216F7C2">
      <w:pPr>
        <w:autoSpaceDE w:val="0"/>
        <w:autoSpaceDN w:val="0"/>
        <w:adjustRightInd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（3）其他方式:</w:t>
      </w:r>
      <w:bookmarkStart w:id="430" w:name="EBa6c318d912d74ffc855b8a1ebac9982f"/>
      <w:bookmarkEnd w:id="430"/>
      <w:r>
        <w:rPr>
          <w:rFonts w:hint="eastAsia" w:ascii="宋体" w:hAnsi="宋体" w:eastAsia="宋体" w:cs="宋体"/>
          <w:kern w:val="0"/>
          <w:sz w:val="24"/>
          <w:szCs w:val="24"/>
          <w:highlight w:val="white"/>
        </w:rPr>
        <w:t>。</w:t>
      </w:r>
    </w:p>
    <w:p w14:paraId="0A3C08E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 xml:space="preserve">15.3.2 质量保证金的扣留 </w:t>
      </w:r>
    </w:p>
    <w:p w14:paraId="7013130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质量保证金的扣留采取以下第</w:t>
      </w:r>
      <w:bookmarkStart w:id="431" w:name="EBc6578a82612747b0b43c70ed831b36b4"/>
      <w:r>
        <w:rPr>
          <w:rFonts w:hint="eastAsia" w:ascii="宋体" w:hAnsi="宋体" w:eastAsia="宋体" w:cs="宋体"/>
          <w:sz w:val="24"/>
          <w:szCs w:val="24"/>
          <w:highlight w:val="white"/>
        </w:rPr>
        <w:t>（2）</w:t>
      </w:r>
      <w:bookmarkEnd w:id="431"/>
      <w:r>
        <w:rPr>
          <w:rFonts w:hint="eastAsia" w:ascii="宋体" w:hAnsi="宋体" w:eastAsia="宋体" w:cs="宋体"/>
          <w:sz w:val="24"/>
          <w:szCs w:val="24"/>
          <w:highlight w:val="white"/>
        </w:rPr>
        <w:t>种方式：</w:t>
      </w:r>
    </w:p>
    <w:p w14:paraId="4898DB80">
      <w:pPr>
        <w:autoSpaceDE w:val="0"/>
        <w:autoSpaceDN w:val="0"/>
        <w:adjustRightInd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（1）在支付工程进度款时逐次扣留，在此情形下，质量保证金的计算基数不包括预付款的支付、扣回以及价格调整的金额；</w:t>
      </w:r>
    </w:p>
    <w:p w14:paraId="5276FF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（2）工程竣工结算时一次性扣留质量保证金；</w:t>
      </w:r>
    </w:p>
    <w:p w14:paraId="5470D76A">
      <w:pPr>
        <w:autoSpaceDE w:val="0"/>
        <w:autoSpaceDN w:val="0"/>
        <w:adjustRightInd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（3）其他扣留方式:</w:t>
      </w:r>
      <w:bookmarkStart w:id="432" w:name="EB24579f9accb94eacafb075fdbb379837"/>
      <w:bookmarkEnd w:id="432"/>
      <w:r>
        <w:rPr>
          <w:rFonts w:hint="eastAsia" w:ascii="宋体" w:hAnsi="宋体" w:eastAsia="宋体" w:cs="宋体"/>
          <w:kern w:val="0"/>
          <w:sz w:val="24"/>
          <w:szCs w:val="24"/>
          <w:highlight w:val="white"/>
          <w:u w:val="single"/>
        </w:rPr>
        <w:t xml:space="preserve">  / </w:t>
      </w:r>
      <w:r>
        <w:rPr>
          <w:rFonts w:hint="eastAsia" w:ascii="宋体" w:hAnsi="宋体" w:eastAsia="宋体" w:cs="宋体"/>
          <w:kern w:val="0"/>
          <w:sz w:val="24"/>
          <w:szCs w:val="24"/>
          <w:highlight w:val="white"/>
        </w:rPr>
        <w:t xml:space="preserve">  。</w:t>
      </w:r>
    </w:p>
    <w:p w14:paraId="6991BD5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关于质量保证金的补充约定：</w:t>
      </w:r>
      <w:r>
        <w:rPr>
          <w:rFonts w:hint="eastAsia" w:ascii="宋体" w:hAnsi="宋体" w:eastAsia="宋体" w:cs="宋体"/>
          <w:sz w:val="24"/>
          <w:szCs w:val="24"/>
          <w:u w:val="single"/>
        </w:rPr>
        <w:t xml:space="preserve">/    </w:t>
      </w:r>
      <w:bookmarkStart w:id="433" w:name="EB1089c4acc5664b36acf41aab8fe31cae"/>
      <w:bookmarkEnd w:id="433"/>
      <w:r>
        <w:rPr>
          <w:rFonts w:hint="eastAsia" w:ascii="宋体" w:hAnsi="宋体" w:eastAsia="宋体" w:cs="宋体"/>
          <w:kern w:val="0"/>
          <w:sz w:val="24"/>
          <w:szCs w:val="24"/>
          <w:highlight w:val="white"/>
        </w:rPr>
        <w:t>。</w:t>
      </w:r>
    </w:p>
    <w:p w14:paraId="6D38383B">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15.4保修</w:t>
      </w:r>
    </w:p>
    <w:p w14:paraId="41EDC29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15.4.1 保修责任</w:t>
      </w:r>
    </w:p>
    <w:p w14:paraId="282BEABD">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highlight w:val="white"/>
        </w:rPr>
        <w:t>工程保修期为：</w:t>
      </w:r>
      <w:bookmarkStart w:id="434" w:name="EB537dcd20aee34bdb9709c60faf5d32f9"/>
      <w:r>
        <w:rPr>
          <w:rFonts w:hint="eastAsia" w:ascii="宋体" w:hAnsi="宋体" w:eastAsia="宋体" w:cs="宋体"/>
          <w:sz w:val="24"/>
          <w:szCs w:val="24"/>
          <w:highlight w:val="white"/>
        </w:rPr>
        <w:t>本工程各部分的保修期按“附件三”规定执行，未有规定的均按二年计算。保修期由工程竣工验收合格获得《房屋建筑或市政基础设施工程竣工备案意见书》且交付发包人之日起计，两者时间以较晚一时间作为保修期起始时间。</w:t>
      </w:r>
      <w:bookmarkEnd w:id="434"/>
    </w:p>
    <w:p w14:paraId="193FE18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15.4.3 修复通知</w:t>
      </w:r>
    </w:p>
    <w:p w14:paraId="256E3C01">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承包人收到保修通知并到达工程现场的合理时间：</w:t>
      </w:r>
      <w:bookmarkStart w:id="435" w:name="EBcd633b3dc882425990ca7e976bd37810"/>
      <w:bookmarkEnd w:id="435"/>
      <w:r>
        <w:rPr>
          <w:rFonts w:hint="eastAsia" w:ascii="宋体" w:hAnsi="宋体" w:eastAsia="宋体" w:cs="宋体"/>
          <w:b/>
          <w:kern w:val="0"/>
          <w:sz w:val="24"/>
          <w:szCs w:val="24"/>
          <w:highlight w:val="white"/>
          <w:u w:val="single"/>
        </w:rPr>
        <w:t>按“附件三”内容执行</w:t>
      </w:r>
      <w:r>
        <w:rPr>
          <w:rFonts w:hint="eastAsia" w:ascii="宋体" w:hAnsi="宋体" w:eastAsia="宋体" w:cs="宋体"/>
          <w:kern w:val="0"/>
          <w:sz w:val="24"/>
          <w:szCs w:val="24"/>
          <w:highlight w:val="white"/>
        </w:rPr>
        <w:t>。</w:t>
      </w:r>
    </w:p>
    <w:p w14:paraId="0731811A">
      <w:pPr>
        <w:spacing w:before="0" w:after="0" w:line="360" w:lineRule="auto"/>
        <w:ind w:firstLine="480" w:firstLineChars="200"/>
        <w:outlineLvl w:val="9"/>
        <w:rPr>
          <w:rFonts w:hint="eastAsia" w:ascii="宋体" w:hAnsi="宋体" w:eastAsia="宋体" w:cs="宋体"/>
          <w:b w:val="0"/>
          <w:kern w:val="2"/>
          <w:sz w:val="24"/>
          <w:szCs w:val="24"/>
        </w:rPr>
      </w:pPr>
      <w:r>
        <w:rPr>
          <w:rFonts w:hint="eastAsia" w:ascii="宋体" w:hAnsi="宋体" w:eastAsia="宋体" w:cs="宋体"/>
          <w:b w:val="0"/>
          <w:sz w:val="24"/>
          <w:szCs w:val="24"/>
          <w:highlight w:val="white"/>
        </w:rPr>
        <w:t>16. 违约</w:t>
      </w:r>
    </w:p>
    <w:p w14:paraId="4C8F93D6">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16.1 发包人违约</w:t>
      </w:r>
    </w:p>
    <w:p w14:paraId="43C2086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16.1.1发包人违约的情形</w:t>
      </w:r>
    </w:p>
    <w:p w14:paraId="0693E57C">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发包人违约的其他情形：</w:t>
      </w:r>
      <w:r>
        <w:rPr>
          <w:rFonts w:hint="eastAsia" w:ascii="宋体" w:hAnsi="宋体" w:eastAsia="宋体" w:cs="宋体"/>
          <w:kern w:val="0"/>
          <w:sz w:val="24"/>
          <w:szCs w:val="24"/>
          <w:u w:val="single"/>
        </w:rPr>
        <w:t xml:space="preserve">     /     </w:t>
      </w:r>
      <w:bookmarkStart w:id="436" w:name="EB05743f68458f4cc99488df9977aca5cd"/>
      <w:bookmarkEnd w:id="436"/>
      <w:r>
        <w:rPr>
          <w:rFonts w:hint="eastAsia" w:ascii="宋体" w:hAnsi="宋体" w:eastAsia="宋体" w:cs="宋体"/>
          <w:kern w:val="0"/>
          <w:sz w:val="24"/>
          <w:szCs w:val="24"/>
          <w:highlight w:val="white"/>
        </w:rPr>
        <w:t>。</w:t>
      </w:r>
    </w:p>
    <w:p w14:paraId="34E93C90">
      <w:pPr>
        <w:spacing w:line="360" w:lineRule="auto"/>
        <w:ind w:left="0"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 xml:space="preserve">    16.1.2 发包人违约的责任</w:t>
      </w:r>
    </w:p>
    <w:p w14:paraId="4FD4C200">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发包人违约责任的承担方式和计算方法：</w:t>
      </w:r>
    </w:p>
    <w:p w14:paraId="20A78CE7">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（1）因发包人原因未能在计划开工日期前7天内下达开工通知的违约责任：</w:t>
      </w:r>
      <w:r>
        <w:rPr>
          <w:rFonts w:hint="eastAsia" w:ascii="宋体" w:hAnsi="宋体" w:eastAsia="宋体" w:cs="宋体"/>
          <w:kern w:val="0"/>
          <w:sz w:val="24"/>
          <w:szCs w:val="24"/>
          <w:u w:val="single"/>
        </w:rPr>
        <w:t xml:space="preserve">     /     </w:t>
      </w:r>
    </w:p>
    <w:p w14:paraId="0A652336">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（2）因发包人原因未能按合同约定支付合同价款的违约责任：</w:t>
      </w:r>
      <w:r>
        <w:rPr>
          <w:rFonts w:hint="eastAsia" w:ascii="宋体" w:hAnsi="宋体" w:eastAsia="宋体" w:cs="宋体"/>
          <w:kern w:val="0"/>
          <w:sz w:val="24"/>
          <w:szCs w:val="24"/>
          <w:u w:val="single"/>
        </w:rPr>
        <w:t xml:space="preserve">     /     </w:t>
      </w:r>
    </w:p>
    <w:p w14:paraId="3EB052D4">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（3）发包人违反第10.1款〔变更的范围〕第（2）项约定，自行实施被取消的工作或转由他人实施的违约责任：</w:t>
      </w:r>
      <w:r>
        <w:rPr>
          <w:rFonts w:hint="eastAsia" w:ascii="宋体" w:hAnsi="宋体" w:eastAsia="宋体" w:cs="宋体"/>
          <w:kern w:val="0"/>
          <w:sz w:val="24"/>
          <w:szCs w:val="24"/>
          <w:u w:val="single"/>
        </w:rPr>
        <w:t xml:space="preserve">     /     </w:t>
      </w:r>
    </w:p>
    <w:p w14:paraId="448D6A8D">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（4）发包人提供的材料、工程设备的规格、数量或质量不符合合同约定，或因发包人原因导致交货日期延误或交货地点变更等情况的违约责任：</w:t>
      </w:r>
      <w:r>
        <w:rPr>
          <w:rFonts w:hint="eastAsia" w:ascii="宋体" w:hAnsi="宋体" w:eastAsia="宋体" w:cs="宋体"/>
          <w:kern w:val="0"/>
          <w:sz w:val="24"/>
          <w:szCs w:val="24"/>
          <w:u w:val="single"/>
        </w:rPr>
        <w:t xml:space="preserve">     /     </w:t>
      </w:r>
    </w:p>
    <w:p w14:paraId="2278978E">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（5）因发包人违反合同约定造成暂停施工的违约责任：</w:t>
      </w:r>
      <w:r>
        <w:rPr>
          <w:rFonts w:hint="eastAsia" w:ascii="宋体" w:hAnsi="宋体" w:eastAsia="宋体" w:cs="宋体"/>
          <w:kern w:val="0"/>
          <w:sz w:val="24"/>
          <w:szCs w:val="24"/>
          <w:u w:val="single"/>
        </w:rPr>
        <w:t xml:space="preserve">     /     </w:t>
      </w:r>
    </w:p>
    <w:p w14:paraId="40681359">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（6）发包人无正当理由没有在约定期限内发出复工指示，导致承包人无法复工的违约责任：</w:t>
      </w:r>
    </w:p>
    <w:p w14:paraId="078C61D8">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u w:val="single"/>
        </w:rPr>
        <w:t xml:space="preserve">     /     </w:t>
      </w:r>
    </w:p>
    <w:p w14:paraId="2A0404FF">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（7）其他：</w:t>
      </w:r>
      <w:r>
        <w:rPr>
          <w:rFonts w:hint="eastAsia" w:ascii="宋体" w:hAnsi="宋体" w:eastAsia="宋体" w:cs="宋体"/>
          <w:kern w:val="0"/>
          <w:sz w:val="24"/>
          <w:szCs w:val="24"/>
          <w:u w:val="single"/>
        </w:rPr>
        <w:t xml:space="preserve">     /     </w:t>
      </w:r>
      <w:bookmarkStart w:id="437" w:name="EB44413ede0a8b49849b0a086b881e095d"/>
      <w:bookmarkEnd w:id="437"/>
    </w:p>
    <w:p w14:paraId="59023C6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16.1.3 因发包人违约解除合同</w:t>
      </w:r>
    </w:p>
    <w:p w14:paraId="19D5E035">
      <w:pPr>
        <w:autoSpaceDE w:val="0"/>
        <w:autoSpaceDN w:val="0"/>
        <w:adjustRightInd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承包人按16.1.1项〔发包人违约的情形〕约定暂停施工满</w:t>
      </w:r>
      <w:r>
        <w:rPr>
          <w:rFonts w:hint="eastAsia" w:ascii="宋体" w:hAnsi="宋体" w:eastAsia="宋体" w:cs="宋体"/>
          <w:kern w:val="0"/>
          <w:sz w:val="24"/>
          <w:szCs w:val="24"/>
          <w:u w:val="single"/>
        </w:rPr>
        <w:t xml:space="preserve">     /     </w:t>
      </w:r>
      <w:r>
        <w:rPr>
          <w:rFonts w:hint="eastAsia" w:ascii="宋体" w:hAnsi="宋体" w:eastAsia="宋体" w:cs="宋体"/>
          <w:kern w:val="0"/>
          <w:sz w:val="24"/>
          <w:szCs w:val="24"/>
          <w:highlight w:val="white"/>
        </w:rPr>
        <w:t>后发包人仍不纠正其违约行为并致使合同目的不能实现的，承包人有权解除合同。</w:t>
      </w:r>
    </w:p>
    <w:p w14:paraId="44526F39">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16.2 承包人违约</w:t>
      </w:r>
    </w:p>
    <w:p w14:paraId="1A626DF3">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16.2.1 承包人违约的情形</w:t>
      </w:r>
    </w:p>
    <w:p w14:paraId="1DBBB612">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承包人违约的其他情形：</w:t>
      </w:r>
    </w:p>
    <w:p w14:paraId="54C8C249">
      <w:pPr>
        <w:spacing w:line="360" w:lineRule="auto"/>
        <w:ind w:firstLine="480" w:firstLineChars="200"/>
        <w:rPr>
          <w:rFonts w:hint="eastAsia" w:ascii="宋体" w:hAnsi="宋体" w:eastAsia="宋体" w:cs="宋体"/>
          <w:sz w:val="24"/>
          <w:szCs w:val="24"/>
          <w:highlight w:val="white"/>
        </w:rPr>
      </w:pPr>
      <w:bookmarkStart w:id="438" w:name="EBf0a3c14a712f4701a178f78b751f3d09"/>
      <w:r>
        <w:rPr>
          <w:rFonts w:hint="eastAsia" w:ascii="宋体" w:hAnsi="宋体" w:eastAsia="宋体" w:cs="宋体"/>
          <w:sz w:val="24"/>
          <w:szCs w:val="24"/>
          <w:highlight w:val="white"/>
        </w:rPr>
        <w:t>16.2.1.1工期奖罚</w:t>
      </w:r>
    </w:p>
    <w:p w14:paraId="5B1C9306">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highlight w:val="white"/>
        </w:rPr>
        <w:t>（1）如发包人书面要求缩短工期，承包人在确保本工程获招标质量标准“ **** ”的前提下实现缩短工期，按赶工措施费计取。</w:t>
      </w:r>
    </w:p>
    <w:p w14:paraId="34F063C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（2）如合同工期延误，每延误一天，承包人向发包人支付违约金 5万 元。</w:t>
      </w:r>
    </w:p>
    <w:p w14:paraId="2686372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发包人确定的节点工期不得延误，每节点工期延误一天，承包人应向发包人支付违约金 5万元。</w:t>
      </w:r>
    </w:p>
    <w:p w14:paraId="06B2ED8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节点工期延误赔偿可在当期工程进度款中扣除，若经过采取补救措施，总工期未有延误，则节点工期延误赔偿金额可返还承包人。</w:t>
      </w:r>
    </w:p>
    <w:p w14:paraId="49FF6B9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工期延误，节点工期延误，违约金最后分别计算，二者互不抵扣。</w:t>
      </w:r>
    </w:p>
    <w:p w14:paraId="6E6EF8F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16.2.1.2质量奖罚措施</w:t>
      </w:r>
    </w:p>
    <w:p w14:paraId="28EE4DE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（1）本工程中获得“</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”的，奖励</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万元；未获得“</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”的，承包人向发包人另行支付违约金万元（双倍）。</w:t>
      </w:r>
    </w:p>
    <w:p w14:paraId="4E1B212F">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如经一次验收不合格的，除应当返工至合格外，承包人另应按结算价分部分项工程费的0.8 %支付违约金，二次验收不合格的除应返工至合格外，承包人另按结算价分部分项工程费的1.2 %支付违约金。三次验收不合格的，视为承包人根本违约，发包人有权单方解除合同。验收不合格违约金与达不到质量约定的违约金两者分别计算，互不冲突，互不抵扣。</w:t>
      </w:r>
    </w:p>
    <w:p w14:paraId="66EFBD5F">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以上计价计入工程量清单其他措施“工程按质论价费”，计取相应规费、税金。</w:t>
      </w:r>
    </w:p>
    <w:p w14:paraId="0B6A5BD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16.2.1.3现场文明工地</w:t>
      </w:r>
    </w:p>
    <w:p w14:paraId="37ECBA24">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本工程安全文明工地标准为“</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”（招标标准）。如获得“</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”文明工地标准并经相关部门评定确认，计取</w:t>
      </w:r>
      <w:r>
        <w:rPr>
          <w:rFonts w:hint="eastAsia" w:ascii="宋体" w:hAnsi="宋体" w:eastAsia="宋体" w:cs="宋体"/>
          <w:sz w:val="24"/>
          <w:szCs w:val="24"/>
        </w:rPr>
        <w:t>标化工地增加费（仅指省级安全文明增加一星、二星、三星费用）</w:t>
      </w:r>
      <w:r>
        <w:rPr>
          <w:rFonts w:hint="eastAsia" w:ascii="宋体" w:hAnsi="宋体" w:eastAsia="宋体" w:cs="宋体"/>
          <w:sz w:val="24"/>
          <w:szCs w:val="24"/>
          <w:highlight w:val="white"/>
        </w:rPr>
        <w:t>。</w:t>
      </w:r>
    </w:p>
    <w:p w14:paraId="029E181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如本工程未获得“</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”，但获得“</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 xml:space="preserve">”（比招标标准低一级的标准），则结算时，按标底预算“标化工地增加费”费率扣除原招、投标计取的文明工地标化工地增加费，且承包人按结算价分部分项工程费用的  </w:t>
      </w:r>
      <w:r>
        <w:rPr>
          <w:rFonts w:hint="eastAsia" w:ascii="宋体" w:hAnsi="宋体" w:eastAsia="宋体" w:cs="宋体"/>
          <w:sz w:val="24"/>
          <w:szCs w:val="24"/>
          <w:highlight w:val="white"/>
          <w:u w:val="single"/>
        </w:rPr>
        <w:t xml:space="preserve">    “标化工地增加费”费率   </w:t>
      </w:r>
      <w:r>
        <w:rPr>
          <w:rFonts w:hint="eastAsia" w:ascii="宋体" w:hAnsi="宋体" w:eastAsia="宋体" w:cs="宋体"/>
          <w:sz w:val="24"/>
          <w:szCs w:val="24"/>
          <w:highlight w:val="white"/>
        </w:rPr>
        <w:t>向发包人支付违约金。</w:t>
      </w:r>
    </w:p>
    <w:p w14:paraId="2B7E01B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如本工程既未获得“</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”（比招标标准低一级的），则结算时，按标底预算“标化工地增加费”费率扣除原招、投标计取的文明工地标化工地增加费，且承包人另按结算价分部分项工程费用的</w:t>
      </w:r>
      <w:r>
        <w:rPr>
          <w:rFonts w:hint="eastAsia" w:ascii="宋体" w:hAnsi="宋体" w:eastAsia="宋体" w:cs="宋体"/>
          <w:sz w:val="24"/>
          <w:szCs w:val="24"/>
          <w:highlight w:val="white"/>
          <w:u w:val="single"/>
        </w:rPr>
        <w:t>（为上奖罚比例的2倍）</w:t>
      </w:r>
      <w:r>
        <w:rPr>
          <w:rFonts w:hint="eastAsia" w:ascii="宋体" w:hAnsi="宋体" w:eastAsia="宋体" w:cs="宋体"/>
          <w:sz w:val="24"/>
          <w:szCs w:val="24"/>
          <w:highlight w:val="white"/>
        </w:rPr>
        <w:t>向发包人支付违约金。</w:t>
      </w:r>
    </w:p>
    <w:p w14:paraId="6D009635">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质量（按质论价）与安全文明施工违约责任属于严格责任，承包人无权以专业分包人、发包人或者其他第三人的原因作为抗辩理由。即无论承包人是否有过错，承包人的行为是否与未获得评定有因果关系，只要未获达到相应评定，承包人即应承担质量（按质论价）与文明工地违约责任。</w:t>
      </w:r>
    </w:p>
    <w:p w14:paraId="7F6FADF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16.2.1.4用于本工程的所有原材料、半成品、成品，承包人应按照规范要求及江苏省的有关规定做好见证、取样、送检工作，否则，承包人需按经下相应标准支付发包人违约金，并在进度款中扣除，结算时永久扣除。</w:t>
      </w:r>
    </w:p>
    <w:p w14:paraId="1BE9F56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（1）需进行试验的进场材料抽检频率少于规范规定，每出现一次承包人支付发包人违约金1千元。</w:t>
      </w:r>
    </w:p>
    <w:p w14:paraId="3833B955">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（2）送检的材料经检测不合格，每出现一次承包人支付发包人违约金2千元。</w:t>
      </w:r>
    </w:p>
    <w:p w14:paraId="7E98EA0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（3）如加倍复试不合格，材料退场，且每次支付发包人违约金5千元。</w:t>
      </w:r>
    </w:p>
    <w:p w14:paraId="7097171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4）发包人及监理单位有现场再次抽样送检的权力，如取样检测结果不合格，承包人应承担相应的检测费用及给工程带来的一切质量后果，该批材料退场，且承包人需按照该批材料价款（需以合格材料的价格计算）的两倍且不低于2万元的标准向发包人支付违约金。</w:t>
      </w:r>
    </w:p>
    <w:p w14:paraId="5CC8A87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（5）如发现未按照规定的品牌进场供应材料，或弄虚作假、以次充好，将责令材料退场，且承包人需按照该批材料价款（需以合格材料的价格计算）的两倍且不低于2万元的标准向发包人支付违约金。</w:t>
      </w:r>
    </w:p>
    <w:p w14:paraId="752F42B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16.2.1.5报验程序：</w:t>
      </w:r>
    </w:p>
    <w:p w14:paraId="46418F94">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各检验批、分项工程完工后，应严格执行三检制度，如经监理单位验收发现验收结果不合格，每出现一次承包人支付发包人违约金5千元；经过监理单位复查仍不能通过验收的，除应整改直至符合要求外，承包人应另外再支付发包人违约金2万元。</w:t>
      </w:r>
    </w:p>
    <w:p w14:paraId="1DED8FC8">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（2）对于承包人未报验，擅自进行下道工序施工的，每出现一次支付发包人违约金5千元；如隐蔽工程未经验收进行施工的，应无条件返工，每出现一次承包人支付发包人违约金1万元。</w:t>
      </w:r>
    </w:p>
    <w:p w14:paraId="5593DA2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（3）承包人上报的资料、数据应真实可靠，如弄虚作假，每出现一次支付发包人违约金1千元。</w:t>
      </w:r>
    </w:p>
    <w:p w14:paraId="694592A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（4）承包人报验人员要指定专职质检员报验，严禁由资料员直接向监理方报验，每出现一次支付发包人违约金5百元。</w:t>
      </w:r>
    </w:p>
    <w:p w14:paraId="5EA519B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16.2.1.6对于发包人、监理单位或相关会议提出的整改问题及尽快落实的有关事宜，承包人应及时落实整改，要求书面回复的应及时回复。如经发现未按要求的时间整改，每出现一次支付发包人违约金5千元；经再次催告仍未整改，再支付发包人违约金1万元。</w:t>
      </w:r>
    </w:p>
    <w:p w14:paraId="4A35247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16.2.1.7对于影响工程造价的隐蔽工程，必须经监理单位实测实量，拍照留档。否则，对该部位工程返工重新取证，并且支付发包人违约金1万元。</w:t>
      </w:r>
    </w:p>
    <w:p w14:paraId="1D17F4D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16.2.1.8混凝土工程：</w:t>
      </w:r>
    </w:p>
    <w:p w14:paraId="3DE358F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（1）混凝土浇筑前，监理单位将随机对现场的混凝土坍落度进行抽测。如经检查发现混凝土离析或坍落度超标，该混凝土不能用于工程并且每出现一次支付发包人违约金5千元。</w:t>
      </w:r>
    </w:p>
    <w:p w14:paraId="5ECC74CE">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（2）对于同一施工段的混凝土应连续浇筑，保证混凝土的运输、浇筑及间歇不能超过混凝土的初凝时间。如经发现未及时采取有效措施，造成混凝土初凝，每出现一次支付发包人违约金5千元。</w:t>
      </w:r>
    </w:p>
    <w:p w14:paraId="14FCDFF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（3）混凝土浇筑过程中，承包人应根据天气的变化，及时调整配合比的用水量，进入现场的混凝土严禁加水，降低标号。每出现一次支付发包人违约金5千元。</w:t>
      </w:r>
    </w:p>
    <w:p w14:paraId="4EBB962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（4）混凝土施工缝、后浇带的留设位置，应符合设计图纸和规范要求。严禁随意停浇、随意留施工缝，每出现一次支付发包人违约金5千元；施工缝浇筑前应按要求清理，否则每出现一次支付发包人违约金1千元。</w:t>
      </w:r>
    </w:p>
    <w:p w14:paraId="2DC6D5F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5）混凝土的养护工作承包人应安排专职人员，已拆模的混凝土构件，承包人应及时采取包裹或覆盖。砼框架柱应采用塑料薄膜包裹严密，养护期间薄膜不得损坏，每发现一处不严密或损坏支付发包人违约金5百元；砼地面或现浇板应采用麻袋敷盖浇水湿润养护不得少于7日历天，抗渗砼的养护不得少于14日历天，如经发现浇水不及时或敷盖不到位，每出现一处支付发包人违约金1千元。</w:t>
      </w:r>
    </w:p>
    <w:p w14:paraId="0ABE063A">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（6）混凝土现浇结构外观质量如出现露筋、蜂窝、孔洞、麻面、夹渣、裂缝等一般缺陷，每出现一处支付发包人违约金1千元；如出现严重缺陷，每一处支付发包人违约金5千元。</w:t>
      </w:r>
    </w:p>
    <w:p w14:paraId="6D33F37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（7）对混凝土构件的外形、外表，承包人应在各个专业施工阶段做好成品保护措施，如保护措施不当，造成缺楞吊角、沾污等质量缺陷，每发现一处支付发包人违约金1千元。</w:t>
      </w:r>
    </w:p>
    <w:p w14:paraId="505DCDF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（8）砼现浇板浇筑后，板面上进行任何操作，都不能影响混凝土的内在质量，严禁在刚浇完的板面上堆放重物。否则，每出现一次支付发包人违约金1千元。</w:t>
      </w:r>
    </w:p>
    <w:p w14:paraId="32389CE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9）混凝土同养试块和标养试块的留置，应严格按规范的要求留设。如经检查留设的数量不足，每出现一次支付发包人违约金1千元；同养试块未能按规定要求指定地点进行养护，每出现一次支付发包人违约金1千元。</w:t>
      </w:r>
    </w:p>
    <w:p w14:paraId="266BF575">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（10）混凝土开盘前应向监理单位上报混凝土浇筑申请表，监理单位将组织各专业对该部位进行验收，合格后下发浇捣令，方可浇筑混凝土。否则，未经批准擅自施工的，每出现一次支付发包人违约金5千元。</w:t>
      </w:r>
    </w:p>
    <w:p w14:paraId="263DF4F4">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16.2.1.9模板工程：</w:t>
      </w:r>
    </w:p>
    <w:p w14:paraId="04E8385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（1）模板的搭设标高，构件的截面尺寸必须符合设计要求。如经检查超过允许偏差并经整改仍不符合要求的，每出现一次支付发包人违约金1千元。</w:t>
      </w:r>
    </w:p>
    <w:p w14:paraId="1E01F85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（2）模板的拼缝应严密，尤其是柱子的根部、梁柱交接的竖角、柱与柱的接口、板与板的拼缝等易出现漏浆部位，应采取措施封堵。否则，因上述原因每出现一处漏浆支付发包人违约金5百元。</w:t>
      </w:r>
    </w:p>
    <w:p w14:paraId="3433D96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（3）模板安装完毕后，应及时清理残留在模板内的杂物及锯末。如经检查发现，每出现一处支付发包人违约金5百元。</w:t>
      </w:r>
    </w:p>
    <w:p w14:paraId="5B0EDC3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4）模板的拆除：承包人应根据本工程的工期充分配备数量充足的模板，如符合拆模条件，应先向监理单位上报拆模申请并附该部位的混凝土试块报告，经监理单位批准后方可拆模。否则，每出现一次支付发包人违约金1万元。</w:t>
      </w:r>
    </w:p>
    <w:p w14:paraId="277086E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16.2.1.10钢筋工程：</w:t>
      </w:r>
    </w:p>
    <w:p w14:paraId="3B939ECF">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（1）钢筋的加工、制作、安装应严格按设计图纸和规范要求进行施工，如经检查发现有不符合要求的，每出现一次支付发包人违约金5百元。</w:t>
      </w:r>
    </w:p>
    <w:p w14:paraId="3011226A">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（2）钢筋的搭接尺寸、焊接质量应按照规范的要求操作，如经检查每出现一个接头不符合要求，支付发包人违约金5百元。</w:t>
      </w:r>
    </w:p>
    <w:p w14:paraId="3A176AE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（3）钢筋接头的见证取样应按规范要求的数量留设，在施工现场随机取样，严禁制作假样。否则，每出现一次支付发包人违约金5千元。</w:t>
      </w:r>
    </w:p>
    <w:p w14:paraId="3AB8FCAF">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 xml:space="preserve">（4）钢筋的架设应牢固、平顺、整齐，绑扎好的钢筋应做好成品保护，铺设跳板，严禁施工人员随便踩踏，经检查有一处钢筋变形，每出现一次支付发包人违约金1千元；钢筋表面不能有油渍、混凝土结块等污物，混凝土浇筑过程中应随时清除每个部位钢筋上的混凝土浆液，否则，经检查每一处向发包人支付违约金5百元。 </w:t>
      </w:r>
    </w:p>
    <w:p w14:paraId="7F67FF0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16.2.1.11砌筑工程：</w:t>
      </w:r>
    </w:p>
    <w:p w14:paraId="3FE42F7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（1）砖砌体施工前，砖块应提前1-2天浇水，严禁干砖上墙或边浇水边砌墙。否则，每出现一次支付发包人违约金5百元。</w:t>
      </w:r>
    </w:p>
    <w:p w14:paraId="7A5D581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（2）砌筑砂浆在现场严禁加水，要根据天气及砖块的湿润度，随时调整含水量。否则，每出现一次支付发包人违约金5百元。</w:t>
      </w:r>
    </w:p>
    <w:p w14:paraId="4238D4D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（3）各种规格墙体的组砌方式，应符合规范要求，上下错缝、内外搭接。如经检查，每发现出一处组砌方式不符要求，支付发包人违约金5百元。</w:t>
      </w:r>
    </w:p>
    <w:p w14:paraId="78E952F8">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（4）墙体的垂直度、表面平整度、灰缝厚度应符合规范要求。如经检查，每发现一处超标支付发包人违约金5百元。</w:t>
      </w:r>
    </w:p>
    <w:p w14:paraId="722F8FA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（5）框架柱、构造柱、墙体转角处的拉结筋设置及数量应符合规范要求。否则，每出现一处支付发包人违约金5百元。</w:t>
      </w:r>
    </w:p>
    <w:p w14:paraId="55811B3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（6）墙面上应保持洁净，严禁出现水泥砂浆污染墙面。否则，每出现一处支付发包人违约金5百元。</w:t>
      </w:r>
    </w:p>
    <w:p w14:paraId="7EEC2498">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16.2.1.12防水工程：</w:t>
      </w:r>
    </w:p>
    <w:p w14:paraId="00A1AB1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（1）防水面基层应牢固、表面洁净，无空鼓、起砂、脱皮现象。承包人清理完毕后，经监理单位验收合格方可进行防水施工。否则，每出现一次支付发包人违约金1千元。</w:t>
      </w:r>
    </w:p>
    <w:p w14:paraId="0CFD2B8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（2）为保证易漏区的防水质量，对于转角处、穿墙管道、出屋面管道、变形缝、出水口、天沟等部位应采取增强措施。否则，每发现一处未做增强层，支付发包人违约金1千元。</w:t>
      </w:r>
    </w:p>
    <w:p w14:paraId="25905325">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（3）防水层应保证搭接尺寸，长边短边搭接宽度≥100mm。否则，每出现一处不符合要求支付发包人违约金5百元。</w:t>
      </w:r>
    </w:p>
    <w:p w14:paraId="39E8BCD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4）防水工程施工完毕后，做保护层前，应安排专人看管已施工完毕的部位，严禁防水层上其它专业人员踩踏。必要时应采取可靠措施加以防护，要做到万无一失。否则，每发现一处防水层破坏，支付发包人违约金2千元。</w:t>
      </w:r>
    </w:p>
    <w:p w14:paraId="027CD725">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（5）如采用防水涂料，施工前应先做样板。施工后的防水层厚度要符合设计和规范要求，监理随机抽检。否则，每发现一处支付发包人违约金1千元。</w:t>
      </w:r>
    </w:p>
    <w:p w14:paraId="57DF927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16.2.1.13在质量检查中，发现工程质量问题的，承包人除应按要求返工合格外，同时应按照该部分工程造价（按照合格工程造价计价）的两倍且不低于2万元的标准，向发包人支付违约金。</w:t>
      </w:r>
    </w:p>
    <w:p w14:paraId="6BEBF3A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16.2.1.14对于设计图纸不清或未按设计变更要求执行，承包人擅自施工的，每出现一次支付发包人违约金5千元。</w:t>
      </w:r>
    </w:p>
    <w:p w14:paraId="69384DC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16.2.1.15承包人有其他任何违反合同约定、施工现场管理规定或发包人要求的行为，发包人有权根据具体情况酌情对承包人处以一定金额的违约金，对此承包人无任何异议。</w:t>
      </w:r>
    </w:p>
    <w:p w14:paraId="7582666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16.2.1.16本合同文件所约定的承包人应向发包人支付的违约金，发包人可在支付进度款或结算款时予以扣除。合同文件中约定的违约金标准有不同的，按照较高标准执行。</w:t>
      </w:r>
    </w:p>
    <w:p w14:paraId="7225DF0A">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16.2.1.17承包人在签订本合同时已经明知，发包人即将就或已就本工程项目相关房屋的出售、出租与相关第三方签订合同，任何的工程延误都将可能导致发包人向第三方承担逾期交房的违约责任，因承包人原因导致发包人向第三人承担逾期交房违约责任的，发包人有权向承包人追偿。</w:t>
      </w:r>
    </w:p>
    <w:p w14:paraId="6F3F92AE">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16.2.1.18承包人承诺，其在签订本合同前及履行本合同过程中直至本合同终止，企业信用应始终保持良好，不存在任何失信行为，不属于 “信用中国”、“信用江苏”及句容市信用办所公布的失信企业，否则视为承包人根本违约，发包人有权单方行使合同解除权。发包人决定解除合同的，承包人应在本合同解除后三日内一次性退还发包人已付全部款项，并按本合同金额的20%向发包人支付违约金，如因此给发包人造成其他损失的，承包人应予以赔偿。本条为惩罚性赔偿/处罚条款。</w:t>
      </w:r>
      <w:bookmarkEnd w:id="438"/>
    </w:p>
    <w:p w14:paraId="6B543992">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16.2.2承包人违约的责任</w:t>
      </w:r>
    </w:p>
    <w:p w14:paraId="5BA105DB">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承包人违约责任的承担方式和计算方法：</w:t>
      </w:r>
    </w:p>
    <w:p w14:paraId="71B08821">
      <w:pPr>
        <w:spacing w:line="360" w:lineRule="auto"/>
        <w:ind w:firstLine="480" w:firstLineChars="200"/>
        <w:rPr>
          <w:rFonts w:hint="eastAsia" w:ascii="宋体" w:hAnsi="宋体" w:eastAsia="宋体" w:cs="宋体"/>
          <w:kern w:val="0"/>
          <w:sz w:val="24"/>
          <w:szCs w:val="24"/>
          <w:highlight w:val="white"/>
          <w:u w:val="single"/>
        </w:rPr>
      </w:pPr>
      <w:r>
        <w:rPr>
          <w:rFonts w:hint="eastAsia" w:ascii="宋体" w:hAnsi="宋体" w:eastAsia="宋体" w:cs="宋体"/>
          <w:kern w:val="0"/>
          <w:sz w:val="24"/>
          <w:szCs w:val="24"/>
          <w:highlight w:val="white"/>
          <w:u w:val="single"/>
        </w:rPr>
        <w:t>承包人违反合同约定义务的，应向发包人支付合同总价款20%的违约金，若该违约金无法弥补给发包人造成的损失的，还需按照实际损失另行赔偿</w:t>
      </w:r>
      <w:r>
        <w:rPr>
          <w:rFonts w:hint="eastAsia" w:ascii="宋体" w:hAnsi="宋体" w:eastAsia="宋体" w:cs="宋体"/>
          <w:kern w:val="0"/>
          <w:sz w:val="24"/>
          <w:szCs w:val="24"/>
          <w:highlight w:val="white"/>
        </w:rPr>
        <w:t>。</w:t>
      </w:r>
      <w:r>
        <w:rPr>
          <w:rFonts w:hint="eastAsia" w:ascii="宋体" w:hAnsi="宋体" w:eastAsia="宋体" w:cs="宋体"/>
          <w:sz w:val="24"/>
          <w:szCs w:val="24"/>
          <w:highlight w:val="white"/>
        </w:rPr>
        <w:t xml:space="preserve">   </w:t>
      </w:r>
    </w:p>
    <w:p w14:paraId="12BDA1E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16.2.3 因承包人违约解除合同</w:t>
      </w:r>
    </w:p>
    <w:p w14:paraId="4B823C0F">
      <w:pPr>
        <w:spacing w:before="0" w:after="0"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关于承包人违约解除合同的特别约定：</w:t>
      </w:r>
      <w:bookmarkStart w:id="439" w:name="EBea7ed3ea2a9543598c25d0a0800b9596"/>
    </w:p>
    <w:p w14:paraId="1548917F">
      <w:pPr>
        <w:spacing w:before="0" w:after="0"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因承包人违约，如发包人要求继续履行合同的，承包人应继续按本合同约定履行，同时按本合同通用条款及专用条款的约定承担违约责任；如发包人选择解除合同的，自发包人按本合同载明的承包人通讯地址寄发解除合同通知书后第四日予以解除，承包人应在合同解除后七日内完成撤场及各项交接工作，承包人应按本合同金额10%向发包人支付违约金，违约金不足以弥补发包人损失的，承包人还应据实赔偿发包人该等损失，同时，发包人已支付的工程款部分，除发包人认可的工程量涉及金额外，其余工程款，承包人应在合同解除后七日内连同各项应支付违约金、赔偿金及其他应付款项一次性支付给发包人。发包人如通过诉讼方式解除合同的，因行使合同解除权所涉及的诉讼费、律师费、执行费、调档费、查询费、交通住宿费等一切费用，均由承包人承担。</w:t>
      </w:r>
      <w:bookmarkEnd w:id="439"/>
    </w:p>
    <w:p w14:paraId="1A9300A7">
      <w:pPr>
        <w:spacing w:before="0" w:after="0"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发包人继续使用承包人在施工现场的材料、设备、临时工程、承包人文件和由承包人或以其名义编制的其他文件的费用承担方式：</w:t>
      </w:r>
      <w:r>
        <w:rPr>
          <w:rFonts w:hint="eastAsia" w:ascii="宋体" w:hAnsi="宋体" w:eastAsia="宋体" w:cs="宋体"/>
          <w:kern w:val="0"/>
          <w:sz w:val="24"/>
          <w:szCs w:val="24"/>
          <w:highlight w:val="white"/>
          <w:u w:val="single"/>
        </w:rPr>
        <w:t xml:space="preserve">   由承包人承担  </w:t>
      </w:r>
      <w:bookmarkStart w:id="440" w:name="EB47b07c1818564b1da26b194ae70d411b"/>
      <w:bookmarkEnd w:id="440"/>
    </w:p>
    <w:p w14:paraId="42673247">
      <w:pPr>
        <w:spacing w:before="0" w:after="0" w:line="360" w:lineRule="auto"/>
        <w:ind w:firstLine="480" w:firstLineChars="200"/>
        <w:outlineLvl w:val="9"/>
        <w:rPr>
          <w:rFonts w:hint="eastAsia" w:ascii="宋体" w:hAnsi="宋体" w:eastAsia="宋体" w:cs="宋体"/>
          <w:b w:val="0"/>
          <w:kern w:val="2"/>
          <w:sz w:val="24"/>
          <w:szCs w:val="24"/>
        </w:rPr>
      </w:pPr>
      <w:r>
        <w:rPr>
          <w:rFonts w:hint="eastAsia" w:ascii="宋体" w:hAnsi="宋体" w:eastAsia="宋体" w:cs="宋体"/>
          <w:b w:val="0"/>
          <w:sz w:val="24"/>
          <w:szCs w:val="24"/>
          <w:highlight w:val="white"/>
        </w:rPr>
        <w:t xml:space="preserve">17. 不可抗力 </w:t>
      </w:r>
    </w:p>
    <w:p w14:paraId="0CB60479">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17.1 不可抗力的确认</w:t>
      </w:r>
    </w:p>
    <w:p w14:paraId="0EC8F83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除通用合同条款约定的不可抗力事件之外，视为不可抗力的其他情形：</w:t>
      </w:r>
    </w:p>
    <w:p w14:paraId="6E62BF52">
      <w:pPr>
        <w:spacing w:line="360" w:lineRule="auto"/>
        <w:ind w:firstLine="480" w:firstLineChars="200"/>
        <w:rPr>
          <w:rFonts w:hint="eastAsia" w:ascii="宋体" w:hAnsi="宋体" w:eastAsia="宋体" w:cs="宋体"/>
          <w:kern w:val="0"/>
          <w:sz w:val="24"/>
          <w:szCs w:val="24"/>
          <w:u w:val="single"/>
        </w:rPr>
      </w:pPr>
      <w:r>
        <w:rPr>
          <w:rFonts w:hint="eastAsia" w:ascii="宋体" w:hAnsi="宋体" w:eastAsia="宋体" w:cs="宋体"/>
          <w:sz w:val="24"/>
          <w:szCs w:val="24"/>
          <w:u w:val="single"/>
        </w:rPr>
        <w:t>/</w:t>
      </w:r>
    </w:p>
    <w:p w14:paraId="7367B2EA">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17.4 因不可抗力解除合同</w:t>
      </w:r>
    </w:p>
    <w:p w14:paraId="05061FB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合同解除后，发包人应在商定或确定发包人应</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的支付。</w:t>
      </w:r>
    </w:p>
    <w:p w14:paraId="096421A6">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18. 保险</w:t>
      </w:r>
    </w:p>
    <w:p w14:paraId="2CE0C9B8">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18.1 工程保险</w:t>
      </w:r>
    </w:p>
    <w:p w14:paraId="7D12D93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关于工程保险的特别约定：</w:t>
      </w:r>
    </w:p>
    <w:p w14:paraId="1EE47395">
      <w:pPr>
        <w:spacing w:line="360" w:lineRule="auto"/>
        <w:ind w:firstLine="480" w:firstLineChars="200"/>
        <w:rPr>
          <w:rFonts w:hint="eastAsia" w:ascii="宋体" w:hAnsi="宋体" w:eastAsia="宋体" w:cs="宋体"/>
          <w:sz w:val="24"/>
          <w:szCs w:val="24"/>
        </w:rPr>
      </w:pPr>
      <w:bookmarkStart w:id="441" w:name="EB40da778b486349fb895d722c44ec54d9"/>
      <w:r>
        <w:rPr>
          <w:rFonts w:hint="eastAsia" w:ascii="宋体" w:hAnsi="宋体" w:eastAsia="宋体" w:cs="宋体"/>
          <w:sz w:val="24"/>
          <w:szCs w:val="24"/>
          <w:highlight w:val="white"/>
        </w:rPr>
        <w:t>承包人按规定为在施工现场的全部员工办理工伤保险，缴纳工伤保险费，并有义务监督与管理所有专业分包单位为施工人员进行保险办理。</w:t>
      </w:r>
      <w:bookmarkEnd w:id="441"/>
    </w:p>
    <w:p w14:paraId="6071CD86">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18.3 其他保险</w:t>
      </w:r>
    </w:p>
    <w:p w14:paraId="6C4DDB1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关于其他保险的约定：</w:t>
      </w:r>
    </w:p>
    <w:p w14:paraId="5D305F90">
      <w:pPr>
        <w:spacing w:line="360" w:lineRule="auto"/>
        <w:ind w:firstLine="480" w:firstLineChars="200"/>
        <w:rPr>
          <w:rFonts w:hint="eastAsia" w:ascii="宋体" w:hAnsi="宋体" w:eastAsia="宋体" w:cs="宋体"/>
          <w:kern w:val="0"/>
          <w:sz w:val="24"/>
          <w:szCs w:val="24"/>
        </w:rPr>
      </w:pPr>
      <w:bookmarkStart w:id="442" w:name="EB5224f810cb6f44da89cbb80290d2ed72"/>
      <w:r>
        <w:rPr>
          <w:rFonts w:hint="eastAsia" w:ascii="宋体" w:hAnsi="宋体" w:eastAsia="宋体" w:cs="宋体"/>
          <w:sz w:val="24"/>
          <w:szCs w:val="24"/>
          <w:highlight w:val="white"/>
        </w:rPr>
        <w:t>承包人必须为从事危险作业的职工办理意外伤害险，并为施工场地内自有人员生命财产办理保险，支付保险费用</w:t>
      </w:r>
      <w:bookmarkEnd w:id="442"/>
      <w:r>
        <w:rPr>
          <w:rFonts w:hint="eastAsia" w:ascii="宋体" w:hAnsi="宋体" w:eastAsia="宋体" w:cs="宋体"/>
          <w:sz w:val="24"/>
          <w:szCs w:val="24"/>
          <w:highlight w:val="white"/>
        </w:rPr>
        <w:t>。</w:t>
      </w:r>
    </w:p>
    <w:p w14:paraId="1F2E63B4">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sz w:val="24"/>
          <w:szCs w:val="24"/>
          <w:highlight w:val="white"/>
        </w:rPr>
        <w:t>承包人是否应为其施工设备等办理财产保险：</w:t>
      </w:r>
      <w:bookmarkStart w:id="443" w:name="EBd08adb41180e4b73809cb4ad4ac05ea9"/>
      <w:bookmarkEnd w:id="443"/>
      <w:r>
        <w:rPr>
          <w:rFonts w:hint="eastAsia" w:ascii="宋体" w:hAnsi="宋体" w:eastAsia="宋体" w:cs="宋体"/>
          <w:sz w:val="24"/>
          <w:szCs w:val="24"/>
          <w:highlight w:val="white"/>
          <w:u w:val="single"/>
        </w:rPr>
        <w:t xml:space="preserve">承包人必须为施工机械设备办理保险并支付保险费用    </w:t>
      </w:r>
      <w:r>
        <w:rPr>
          <w:rFonts w:hint="eastAsia" w:ascii="宋体" w:hAnsi="宋体" w:eastAsia="宋体" w:cs="宋体"/>
          <w:sz w:val="24"/>
          <w:szCs w:val="24"/>
          <w:highlight w:val="white"/>
        </w:rPr>
        <w:t>。</w:t>
      </w:r>
    </w:p>
    <w:p w14:paraId="6D9BB0AD">
      <w:pPr>
        <w:spacing w:after="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18.7 通知义务</w:t>
      </w:r>
    </w:p>
    <w:p w14:paraId="3EDFF82D">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highlight w:val="white"/>
        </w:rPr>
        <w:t>关于变更保险合同时的通知义务的约定：</w:t>
      </w:r>
      <w:bookmarkStart w:id="444" w:name="EBcd2a6700002044be925c31f763a50368"/>
      <w:r>
        <w:rPr>
          <w:rFonts w:hint="eastAsia" w:ascii="宋体" w:hAnsi="宋体" w:eastAsia="宋体" w:cs="宋体"/>
          <w:kern w:val="0"/>
          <w:sz w:val="24"/>
          <w:szCs w:val="24"/>
          <w:highlight w:val="white"/>
        </w:rPr>
        <w:t xml:space="preserve">执行通用条款 </w:t>
      </w:r>
      <w:bookmarkEnd w:id="444"/>
      <w:r>
        <w:rPr>
          <w:rFonts w:hint="eastAsia" w:ascii="宋体" w:hAnsi="宋体" w:eastAsia="宋体" w:cs="宋体"/>
          <w:sz w:val="24"/>
          <w:szCs w:val="24"/>
          <w:highlight w:val="white"/>
        </w:rPr>
        <w:t>。</w:t>
      </w:r>
    </w:p>
    <w:p w14:paraId="4691A44B">
      <w:pPr>
        <w:spacing w:before="0" w:after="0" w:line="360" w:lineRule="auto"/>
        <w:ind w:firstLine="480" w:firstLineChars="200"/>
        <w:outlineLvl w:val="9"/>
        <w:rPr>
          <w:rFonts w:hint="eastAsia" w:ascii="宋体" w:hAnsi="宋体" w:eastAsia="宋体" w:cs="宋体"/>
          <w:b w:val="0"/>
          <w:sz w:val="24"/>
          <w:szCs w:val="24"/>
        </w:rPr>
      </w:pPr>
      <w:r>
        <w:rPr>
          <w:rFonts w:hint="eastAsia" w:ascii="宋体" w:hAnsi="宋体" w:eastAsia="宋体" w:cs="宋体"/>
          <w:b w:val="0"/>
          <w:sz w:val="24"/>
          <w:szCs w:val="24"/>
          <w:highlight w:val="white"/>
        </w:rPr>
        <w:t>20. 争议解决</w:t>
      </w:r>
    </w:p>
    <w:p w14:paraId="20637AF9">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20.3 争议评审</w:t>
      </w:r>
    </w:p>
    <w:p w14:paraId="287C9B9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合同当事人是否同意将工程争议提交争议评审小组决定：</w:t>
      </w:r>
      <w:bookmarkStart w:id="445" w:name="EB13aac2132dfe4e6ab1a7d093150b0c37"/>
      <w:bookmarkEnd w:id="445"/>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 xml:space="preserve">。  </w:t>
      </w:r>
    </w:p>
    <w:p w14:paraId="7E4330D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20.3.1 争议评审小组的确定</w:t>
      </w:r>
    </w:p>
    <w:p w14:paraId="2292A5F5">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highlight w:val="white"/>
        </w:rPr>
        <w:t>争议评审小组成员的确定：</w:t>
      </w:r>
      <w:bookmarkStart w:id="446" w:name="EBec2a49e7a4ec4a37bfa2364e95c7b742"/>
      <w:bookmarkEnd w:id="446"/>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w:t>
      </w:r>
    </w:p>
    <w:p w14:paraId="4BF05CA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选定争议评审员的期限：</w:t>
      </w:r>
      <w:bookmarkStart w:id="447" w:name="EB29a91cafa0084d7b95929445e874344a"/>
      <w:bookmarkEnd w:id="447"/>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 xml:space="preserve"> 。</w:t>
      </w:r>
    </w:p>
    <w:p w14:paraId="744B548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争议评审小组成员的报酬承担方式：</w:t>
      </w:r>
      <w:bookmarkStart w:id="448" w:name="EB9fdd9a53ae3f442286343aff88fe7bcb"/>
      <w:bookmarkEnd w:id="448"/>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w:t>
      </w:r>
    </w:p>
    <w:p w14:paraId="1F1DF961">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highlight w:val="white"/>
        </w:rPr>
        <w:t>其他事项的约定：</w:t>
      </w:r>
      <w:r>
        <w:rPr>
          <w:rFonts w:hint="eastAsia" w:ascii="宋体" w:hAnsi="宋体" w:eastAsia="宋体" w:cs="宋体"/>
          <w:sz w:val="24"/>
          <w:szCs w:val="24"/>
          <w:highlight w:val="white"/>
          <w:u w:val="single"/>
        </w:rPr>
        <w:t xml:space="preserve">  /  。</w:t>
      </w:r>
    </w:p>
    <w:p w14:paraId="09A188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20.3.2 争议评审小组的决定</w:t>
      </w:r>
    </w:p>
    <w:p w14:paraId="619BC4E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合同当事人关于本项的约定：</w:t>
      </w:r>
      <w:r>
        <w:rPr>
          <w:rFonts w:hint="eastAsia" w:ascii="宋体" w:hAnsi="宋体" w:eastAsia="宋体" w:cs="宋体"/>
          <w:sz w:val="24"/>
          <w:szCs w:val="24"/>
          <w:highlight w:val="white"/>
          <w:u w:val="single"/>
        </w:rPr>
        <w:t xml:space="preserve">/  </w:t>
      </w:r>
      <w:bookmarkStart w:id="449" w:name="EB907bb7e8d12f4151b9ebfdf473ee5889"/>
      <w:bookmarkEnd w:id="449"/>
      <w:r>
        <w:rPr>
          <w:rFonts w:hint="eastAsia" w:ascii="宋体" w:hAnsi="宋体" w:eastAsia="宋体" w:cs="宋体"/>
          <w:sz w:val="24"/>
          <w:szCs w:val="24"/>
        </w:rPr>
        <w:t>。</w:t>
      </w:r>
    </w:p>
    <w:p w14:paraId="3D53C4FD">
      <w:pPr>
        <w:spacing w:after="0"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white"/>
        </w:rPr>
        <w:t>20.4仲裁或诉讼</w:t>
      </w:r>
    </w:p>
    <w:p w14:paraId="7B95F43A">
      <w:pPr>
        <w:spacing w:after="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因合同及合同有关事项发生的争议，按下列第</w:t>
      </w:r>
      <w:bookmarkStart w:id="450" w:name="EB6a8aeac766be4375a131b2bf78628151"/>
      <w:r>
        <w:rPr>
          <w:rFonts w:hint="eastAsia" w:ascii="宋体" w:hAnsi="宋体" w:eastAsia="宋体" w:cs="宋体"/>
          <w:sz w:val="24"/>
          <w:szCs w:val="24"/>
          <w:highlight w:val="white"/>
        </w:rPr>
        <w:t>（2）</w:t>
      </w:r>
      <w:bookmarkEnd w:id="450"/>
      <w:r>
        <w:rPr>
          <w:rFonts w:hint="eastAsia" w:ascii="宋体" w:hAnsi="宋体" w:eastAsia="宋体" w:cs="宋体"/>
          <w:sz w:val="24"/>
          <w:szCs w:val="24"/>
          <w:highlight w:val="white"/>
        </w:rPr>
        <w:t>种方式解决：</w:t>
      </w:r>
    </w:p>
    <w:p w14:paraId="4E2D0B3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（1）向</w:t>
      </w:r>
      <w:bookmarkStart w:id="451" w:name="EB8dac85de02494216a8e71a848e408970"/>
      <w:bookmarkEnd w:id="451"/>
      <w:r>
        <w:rPr>
          <w:rFonts w:hint="eastAsia" w:ascii="宋体" w:hAnsi="宋体" w:eastAsia="宋体" w:cs="宋体"/>
          <w:sz w:val="24"/>
          <w:szCs w:val="24"/>
          <w:highlight w:val="white"/>
        </w:rPr>
        <w:t>仲裁委员会申请仲裁；</w:t>
      </w:r>
    </w:p>
    <w:p w14:paraId="3B8FAA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（2）向</w:t>
      </w:r>
      <w:bookmarkStart w:id="452" w:name="EBdc9d5bcd2d354883aa31bb7fb453e04a"/>
      <w:r>
        <w:rPr>
          <w:rFonts w:hint="eastAsia" w:ascii="宋体" w:hAnsi="宋体" w:eastAsia="宋体" w:cs="宋体"/>
          <w:sz w:val="24"/>
          <w:szCs w:val="24"/>
          <w:highlight w:val="white"/>
        </w:rPr>
        <w:t>句容市</w:t>
      </w:r>
      <w:bookmarkEnd w:id="452"/>
      <w:r>
        <w:rPr>
          <w:rFonts w:hint="eastAsia" w:ascii="宋体" w:hAnsi="宋体" w:eastAsia="宋体" w:cs="宋体"/>
          <w:sz w:val="24"/>
          <w:szCs w:val="24"/>
          <w:highlight w:val="white"/>
        </w:rPr>
        <w:t>人民法院起诉。</w:t>
      </w:r>
    </w:p>
    <w:p w14:paraId="259E1561">
      <w:pPr>
        <w:spacing w:line="360" w:lineRule="auto"/>
        <w:ind w:firstLine="480" w:firstLineChars="200"/>
        <w:rPr>
          <w:rFonts w:hint="eastAsia" w:ascii="宋体" w:hAnsi="宋体" w:eastAsia="宋体" w:cs="宋体"/>
          <w:sz w:val="24"/>
          <w:szCs w:val="24"/>
          <w:highlight w:val="white"/>
        </w:rPr>
      </w:pPr>
      <w:bookmarkStart w:id="453" w:name="EB23ef1de943564857ae1039859faa899e"/>
      <w:r>
        <w:rPr>
          <w:rFonts w:hint="eastAsia" w:ascii="宋体" w:hAnsi="宋体" w:eastAsia="宋体" w:cs="宋体"/>
          <w:sz w:val="24"/>
          <w:szCs w:val="24"/>
          <w:highlight w:val="white"/>
        </w:rPr>
        <w:t>21、其他补充</w:t>
      </w:r>
    </w:p>
    <w:p w14:paraId="4196804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21.1对于现场签证，应在签证事项发生后14天内向发包人委派的工程师、监理单位委派的工程师提出，否则，视为承包人放弃主张签证的权利。只有经过发包人委派的工程师、监理单位委派的工程师共同签字确认并加盖监理单位和发包人公章后方能作为办理工程竣工结算的依据。否则，不能作为办理工程竣工结算的依据。</w:t>
      </w:r>
    </w:p>
    <w:p w14:paraId="794261C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对于工期，本合同第一部分合同协议书中第二条关于合同工期的约定，其中开工日期具体以发包人及监理出具的开工令载明日期为准，且总工期保持不变。</w:t>
      </w:r>
    </w:p>
    <w:p w14:paraId="6A3EB67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对于本合同中出现以合同金额/合同总价为计算依据（本数）而计算情形的，该合同金额/合同总价为本合同第一部分合同协议书中第四条所涉及合同价格中的价税合计数额。</w:t>
      </w:r>
    </w:p>
    <w:p w14:paraId="3043ACBA">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21.2临时工程</w:t>
      </w:r>
    </w:p>
    <w:p w14:paraId="0E238A0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承包人须按照本款要求完成下列临时工程，所需费用已包括在合同价款中，时间亦包括在总工期中。</w:t>
      </w:r>
    </w:p>
    <w:p w14:paraId="64384D5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21.2.1机械、工具、脚手架等</w:t>
      </w:r>
    </w:p>
    <w:p w14:paraId="4167CBF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须在监理单位工程师满意的情况下提供、架设和维修工程施工及保护所需的机械装置、设备、工具、器械、梯子、防水油布及其他物品，并提供足够数量的各类备用机械以保证工程不会因为机械故障而中断且在不再需要时拆除。</w:t>
      </w:r>
    </w:p>
    <w:p w14:paraId="05588B1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21.2.2承包人须根据有关单位要求在围板、廊道、篱笆等处提供足够的照明。</w:t>
      </w:r>
    </w:p>
    <w:p w14:paraId="0E63AC9E">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21.2.3承包人须在发包人满意的情况下提供、架设和维修一切必需的加工车间、食堂、办公室和材料储存仓库，并在不再需要时拆除。</w:t>
      </w:r>
    </w:p>
    <w:p w14:paraId="1ABD5D7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21.2.4所有工地上或建筑物内的材料必须整齐存放。易燃物品贮藏库必须分别建在许可的地区。</w:t>
      </w:r>
    </w:p>
    <w:p w14:paraId="620154B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21.2.5 承包人须在发包人满意的情况下提供和维修供男女工人使用的有效卫生厕所设施，使整个工地和建筑物保持清洁卫生及符合发包人和有关政府单位的要求，并在不再需要时拆除。</w:t>
      </w:r>
    </w:p>
    <w:p w14:paraId="022182F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21.2.6承包人须按发包人提供的规划布局方案提供和维修并在不再需要时拆除适用及防水的工地办公室。办公室须设有办公桌椅、接待家具、铝百叶窗帘、文件柜、空调、照明、电源插座及电话等设施并附设男女厕所及住宿必备之设备。</w:t>
      </w:r>
    </w:p>
    <w:p w14:paraId="02A05ED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承包人在施工时应给予适当的保护，专人维持日常卫生清洁，用水、用电、排污及电话线正常使用，并在发包人要求时拆除及修复受影响的地方，有关的用水、用电、排污费用由承包人负责。</w:t>
      </w:r>
    </w:p>
    <w:p w14:paraId="27DF124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21.2.7所有工地办公室、宿舍、厨房、临时厕所、仓库、加工棚、起重机等位置（包括专业分包单位和独立施工单位的临建预留位置）必须提供规划布局方案，经发包人确认，按认可方案执行。</w:t>
      </w:r>
    </w:p>
    <w:p w14:paraId="3A8189FE">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21.2.8承包人须提供一切所需的斜撑、顶撑及支撑，用于支持挖土、进行中工程或现有建筑物及斜坡。所有斜撑、顶撑及支撑等须由承包人设计交监理单位工程师及有关单位认可。在整个工程中承包人须对上述设施之安全负责，监理单位工程师的认可不会免除承包人的责任。监理单位工程师可发出图纸说明其要求，而承包人须按该等图纸架设斜撑、顶撑及支撑等，不得收取额外费用。</w:t>
      </w:r>
    </w:p>
    <w:p w14:paraId="048C623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21.2.9承包人须在工地内自行申请电话使用，并支付电话费及在完工后拆除。</w:t>
      </w:r>
    </w:p>
    <w:p w14:paraId="738633FE">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相关费用已包括在合同总价内，工期亦不会因此而延长。</w:t>
      </w:r>
    </w:p>
    <w:p w14:paraId="699A013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21.2.10临时用电电源已由发包人提供至红线内箱式变配站，而红线内的管线及动力、照明设施则由承包人负责，整套临时装置须符合政府单位及供电局条例，同时免费给专业分包单位及独立施工单位使用，并在不再需要时拆除。施工期间的水、电费用由承包人自理。</w:t>
      </w:r>
    </w:p>
    <w:p w14:paraId="16CB881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21.2.11临时道路：承包人须构筑和维修一切必需的临时道路、走道及加固面以在工地内外提供合适支承机械的通道，并在合同完成后修复被损坏或受影响的工程及场地至发包人满意。临时道路路面混凝土厚度不得小于15㎝，宽度不得窄于3.5m，路基必须用稳定材料如级配三合土或级配道碴填筑，道路线型应顺直，在转弯处应设置加宽路面，路面设置防滑设施，道路及临时设施边排水沟要求实施。为保证工地及运输路线道路的清洁干净，在基坑等土方出入工地时，工地出入口及取弃土场出入口设置混凝土平台以及高压洗车泵，以保证出入车辆的清洁而避免污染道路。</w:t>
      </w:r>
    </w:p>
    <w:p w14:paraId="22022960">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承包人须提交临时道路、走道及加固面的规划给发包人认可，发包人可发出关于规划和构筑临时道路的指令，承包人须遵从此等指令而不得收取额外费用。</w:t>
      </w:r>
    </w:p>
    <w:p w14:paraId="6F48BF4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21.2.12五牌一图：承包人须提供及架设一铭板，上书工程、发包人、工程顾问及各有关单位等的名称，并经发包人认可。文字须由优等标志绘制人员书写，工程进行期间不时重新油漆及书写铭板工作，在完工后拆除并修复受损地方。除发包人认可者外，工地上不得有其他告示。</w:t>
      </w:r>
    </w:p>
    <w:p w14:paraId="04F7E8E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21.2.13配合市政之临时工程</w:t>
      </w:r>
    </w:p>
    <w:p w14:paraId="054DF61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承包人须配合市政或发包人所需，搭建、改建、拆除、修复及新砌临时性的围墙、道路、围板、屏网及脚手架等临时工程。</w:t>
      </w:r>
    </w:p>
    <w:p w14:paraId="0CE79ED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并必须满足下一专业或工序施工条件。该费用已包括在本合同造价中。</w:t>
      </w:r>
    </w:p>
    <w:p w14:paraId="3532319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21.2.14其他临时工程</w:t>
      </w:r>
    </w:p>
    <w:p w14:paraId="7AE90C9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承包人须提供所有其他必需但未在此特别提及之临时工程。</w:t>
      </w:r>
    </w:p>
    <w:p w14:paraId="664A811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21.3根据苏建价[2016]154号文，承包人结算时以招标人标底为基数调整，并按中标下浮率下浮。</w:t>
      </w:r>
    </w:p>
    <w:bookmarkEnd w:id="453"/>
    <w:p w14:paraId="7B8A9D58">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21.4承包人应承担的安全责任</w:t>
      </w:r>
    </w:p>
    <w:p w14:paraId="1346394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（1）项目经理</w:t>
      </w:r>
    </w:p>
    <w:p w14:paraId="42FDCDB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承包人经授权项目负责人是本工程项目的安全第一责任人，应全面负责本工程的安全管理工作，切实履行安全职责。</w:t>
      </w:r>
    </w:p>
    <w:p w14:paraId="096ED46F">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（2）安全责任制</w:t>
      </w:r>
    </w:p>
    <w:p w14:paraId="648DF74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必须建立安全责任制，制定各工种安全技术操作规程，按规定配备专职安全监督人员，认真开展安全监督工作，按规定配备专职安全监督人员，认真开展安全监督工作，并随时和发包人互通信息。开工前应自上而下进行安全技术交底，使全体施工人员均掌握工程特点及施工安全措施。</w:t>
      </w:r>
    </w:p>
    <w:p w14:paraId="04D76278">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（3）上岗证书</w:t>
      </w:r>
    </w:p>
    <w:p w14:paraId="7FF4DE7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塔钟（设备）作业人员（起重、焊接、架子工、电工等）必须取得国家相关主管部门颁发的有效资格证书才能上岗。</w:t>
      </w:r>
    </w:p>
    <w:p w14:paraId="0FE97335">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（4）检验证书</w:t>
      </w:r>
    </w:p>
    <w:p w14:paraId="7B4ABF4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特种设备的使用、维护、检修等管理应符合国家法规要求，并有相应的定期检验证书和证明。应有设备维护保养和定期检验记录。应确保施工设备的安全可靠。开工前对施工机械、工器具及安全防护设施、安全用具进行检查，确保符合安全规定并不超过检验周期。</w:t>
      </w:r>
    </w:p>
    <w:p w14:paraId="5B20D00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（5）施工人员</w:t>
      </w:r>
    </w:p>
    <w:p w14:paraId="5A7A391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负责所属施工人员着装整齐、佩带工作标志，符合安规着装规定。承包人保证不使用未成年工和不适应现场安全施工的老、弱、病、残人员，承包人对所有工作人员的身体素质、精神状况、技能水平、作业中的安全行为负责。</w:t>
      </w:r>
    </w:p>
    <w:p w14:paraId="75042F6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（6）培训</w:t>
      </w:r>
    </w:p>
    <w:p w14:paraId="7DB2194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应对施工人员进行三级安全教育，时间达到规定要求，开工前应组织全体施工人员学习《中华人民共和国安全生产法》及各项地方安全法规、发包人安全管理规章制度等。若发生人员变更，在进入现场前，保证遵照以上程序办理。</w:t>
      </w:r>
    </w:p>
    <w:p w14:paraId="6EBDD61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（7）危险源</w:t>
      </w:r>
    </w:p>
    <w:p w14:paraId="60BE403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应根据生产及施工现场环境、周边情况、项目施工特点、以往经验教训辨识本项目施工过程可能存在的危害和安全隐患，并根据危害后果进行风险评价行成重要危险源和隐患清单（如：高出坠落、物体打击、触电、机械伤害、起重伤害、坍塌等），应针对重要危险源和可能存在的隐患，承包人应制定专项施工方案，经发包人和监理方审查合格后实施。无安全措施和专项施工方案不允许开工。</w:t>
      </w:r>
    </w:p>
    <w:p w14:paraId="2C9BEF28">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（8）安全警示标志</w:t>
      </w:r>
    </w:p>
    <w:p w14:paraId="132DCA7A">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存在危险因素的作业场所、设备设施应按照规定设置明显的安全警示标志。</w:t>
      </w:r>
    </w:p>
    <w:p w14:paraId="681A3DD8">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（9）环境保护</w:t>
      </w:r>
    </w:p>
    <w:p w14:paraId="35535F18">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应识别施工现场的环境因素，如：扬尘污染、粉尘污染、生活污水、固体废弃场、施工噪音等造成的环境危害。制定针对现场环境因素的环境管理制度和环境保护措施。及时纠正和整改发包人、周边居民提出的投诉和意见。及时缴纳地方政府环保部门开句的因承包人责任造成环境污染的相关罚款。</w:t>
      </w:r>
    </w:p>
    <w:p w14:paraId="026A13D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（10）应急准备</w:t>
      </w:r>
    </w:p>
    <w:p w14:paraId="433C17AB">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承包人应根据可能发生的危急情况、事故隐患和突发事件（如：防火、防汛、防爆、防污染、设备异常状态、防食物中毒、传染病和流行病等）制定应急预案。承包人应就应急预案进行培训，所有应急情况可能卷入的人员，包括指挥者、现场员工均应进行培训，适时组织演戏，并保留培训和演习记录。</w:t>
      </w:r>
    </w:p>
    <w:p w14:paraId="655920EA">
      <w:pPr>
        <w:numPr>
          <w:ilvl w:val="0"/>
          <w:numId w:val="4"/>
        </w:num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农民工工资支付</w:t>
      </w:r>
    </w:p>
    <w:p w14:paraId="48BF9F09">
      <w:pPr>
        <w:spacing w:line="360" w:lineRule="auto"/>
        <w:ind w:left="0"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总承包单位必须保证农民工工资足额支付，并按照相关文件执行。因农民工工资支付造成的群体事件每起罚款10万元。</w:t>
      </w:r>
    </w:p>
    <w:p w14:paraId="01145131">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（12）承包人须备有足够的安全帽供各专业人士及获许可参观现场人士使用。</w:t>
      </w:r>
    </w:p>
    <w:p w14:paraId="5175FCCE">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（13）遵守国家、行业关于工程建设项目的相关法律法规。</w:t>
      </w:r>
    </w:p>
    <w:p w14:paraId="3A2570D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（14）遵守发包人关于工程建设项目的安全规定。</w:t>
      </w:r>
    </w:p>
    <w:p w14:paraId="7E522D5D">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21.5安全环境管理考核办法</w:t>
      </w:r>
    </w:p>
    <w:p w14:paraId="39C4E7B3">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当承包人施工过程中发生安全事故或造成发包人损失时，甲、乙双约定按照下列条款中扣除：</w:t>
      </w:r>
    </w:p>
    <w:p w14:paraId="624AD4B8">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（1）发包人扣除承包人安全风险抵押金；</w:t>
      </w:r>
    </w:p>
    <w:p w14:paraId="516B63D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（2）当安全风险抵押金不足于相关处罚规定时，从安全文明施工保证金中扣除；</w:t>
      </w:r>
    </w:p>
    <w:p w14:paraId="6A188D1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（3）当安全文明施工保证金不足于相关处罚规定时，从工程款中扣除；</w:t>
      </w:r>
    </w:p>
    <w:p w14:paraId="61B3EC22">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（4）当工程款不足于弥补发包人损失时，以实际发生的损失额度计。</w:t>
      </w:r>
    </w:p>
    <w:p w14:paraId="18CD309C">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（5）安全文明施工相关费用明细报项目监理部备案。</w:t>
      </w:r>
    </w:p>
    <w:p w14:paraId="2BE9A5F6">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21.6发包人有考核要求的，以较高的考核办法为准。</w:t>
      </w:r>
    </w:p>
    <w:p w14:paraId="2E56D27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21.7承包人承诺放弃民法典规定的工程价款优先受偿权。</w:t>
      </w:r>
    </w:p>
    <w:p w14:paraId="2E197599">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21.8关于项目竣工结算：承包人应在本合同专用条款部分第12.4条规定的期限内执行。</w:t>
      </w:r>
    </w:p>
    <w:p w14:paraId="7420CE97">
      <w:pPr>
        <w:spacing w:line="360" w:lineRule="auto"/>
        <w:ind w:firstLine="480" w:firstLineChars="200"/>
        <w:rPr>
          <w:rFonts w:hint="eastAsia" w:ascii="宋体" w:hAnsi="宋体" w:eastAsia="宋体" w:cs="宋体"/>
          <w:sz w:val="24"/>
          <w:szCs w:val="24"/>
          <w:highlight w:val="white"/>
        </w:rPr>
      </w:pPr>
      <w:r>
        <w:rPr>
          <w:rFonts w:hint="eastAsia" w:ascii="宋体" w:hAnsi="宋体" w:eastAsia="宋体" w:cs="宋体"/>
          <w:sz w:val="24"/>
          <w:szCs w:val="24"/>
          <w:highlight w:val="white"/>
        </w:rPr>
        <w:t>21.9承包人知悉并认可，在本合同履行过程中，如因承包人原因，致使发包人被第三方主张权利（包括但不限于通过诉讼、仲裁等方式），发包人为此而支出的诉讼费、律师费、执行费、调档费、查询费、交通住宿费等一切费用，均由承包人承担，该笔费用，发包人有权不经通知而直接从应付给承包人的工程款中予以扣除，承包人对此不持任何异议。</w:t>
      </w:r>
    </w:p>
    <w:p w14:paraId="1C59548A">
      <w:pPr>
        <w:spacing w:line="360" w:lineRule="auto"/>
        <w:ind w:firstLine="480" w:firstLineChars="200"/>
        <w:rPr>
          <w:rFonts w:hint="eastAsia" w:ascii="宋体" w:hAnsi="宋体" w:eastAsia="宋体" w:cs="宋体"/>
          <w:sz w:val="24"/>
          <w:szCs w:val="24"/>
          <w:highlight w:val="cyan"/>
        </w:rPr>
      </w:pPr>
      <w:r>
        <w:rPr>
          <w:rFonts w:hint="eastAsia" w:ascii="宋体" w:hAnsi="宋体" w:eastAsia="宋体" w:cs="宋体"/>
          <w:sz w:val="24"/>
          <w:szCs w:val="24"/>
          <w:highlight w:val="white"/>
        </w:rPr>
        <w:t>21.10各方清楚知悉，如本项目为代建项目，各方确认已知悉发包人与代建单位就本项目所签订的代建合同的全部内容，代建单位有权按代建合同中代建单位的权利义务以发包人名义行使本合同中发包人权利并履行发包人义务。</w:t>
      </w:r>
    </w:p>
    <w:p w14:paraId="6F823E6C">
      <w:pPr>
        <w:rPr>
          <w:rFonts w:hint="eastAsia" w:ascii="宋体" w:hAnsi="宋体" w:eastAsia="宋体" w:cs="宋体"/>
          <w:sz w:val="24"/>
          <w:szCs w:val="24"/>
          <w:highlight w:val="cyan"/>
        </w:rPr>
      </w:pPr>
    </w:p>
    <w:p w14:paraId="28D50266">
      <w:pPr>
        <w:rPr>
          <w:rFonts w:hint="eastAsia" w:ascii="宋体" w:hAnsi="宋体" w:eastAsia="宋体" w:cs="宋体"/>
          <w:sz w:val="24"/>
          <w:szCs w:val="24"/>
          <w:highlight w:val="cyan"/>
        </w:rPr>
      </w:pPr>
    </w:p>
    <w:p w14:paraId="32EC7730">
      <w:pPr>
        <w:rPr>
          <w:rFonts w:hint="eastAsia" w:ascii="宋体" w:hAnsi="宋体" w:eastAsia="宋体" w:cs="宋体"/>
          <w:sz w:val="24"/>
          <w:szCs w:val="24"/>
          <w:highlight w:val="cyan"/>
        </w:rPr>
      </w:pPr>
    </w:p>
    <w:p w14:paraId="4C670F17">
      <w:pPr>
        <w:rPr>
          <w:rFonts w:hint="eastAsia" w:ascii="宋体" w:hAnsi="宋体" w:eastAsia="宋体" w:cs="宋体"/>
          <w:sz w:val="24"/>
          <w:szCs w:val="24"/>
          <w:highlight w:val="cyan"/>
        </w:rPr>
      </w:pPr>
    </w:p>
    <w:p w14:paraId="6051D4B6">
      <w:pPr>
        <w:rPr>
          <w:rFonts w:hint="eastAsia" w:ascii="宋体" w:hAnsi="宋体" w:eastAsia="宋体" w:cs="宋体"/>
          <w:sz w:val="24"/>
          <w:szCs w:val="24"/>
          <w:highlight w:val="yellow"/>
        </w:rPr>
      </w:pPr>
      <w:r>
        <w:rPr>
          <w:rFonts w:hint="eastAsia" w:ascii="宋体" w:hAnsi="宋体" w:eastAsia="宋体" w:cs="宋体"/>
          <w:sz w:val="24"/>
          <w:szCs w:val="24"/>
          <w:highlight w:val="white"/>
        </w:rPr>
        <w:br w:type="page"/>
      </w:r>
      <w:bookmarkStart w:id="454" w:name="EB31d1425ac5614d1291aec6db62bedd39"/>
      <w:r>
        <w:rPr>
          <w:rFonts w:hint="eastAsia" w:ascii="宋体" w:hAnsi="宋体" w:eastAsia="宋体" w:cs="宋体"/>
          <w:sz w:val="24"/>
          <w:szCs w:val="24"/>
          <w:highlight w:val="white"/>
        </w:rPr>
        <w:t xml:space="preserve"> </w:t>
      </w:r>
      <w:bookmarkEnd w:id="454"/>
      <w:bookmarkStart w:id="455" w:name="EB29cccdc7440b440ba155dbf578a2009b"/>
      <w:r>
        <w:rPr>
          <w:rFonts w:hint="eastAsia" w:ascii="宋体" w:hAnsi="宋体" w:eastAsia="宋体" w:cs="宋体"/>
          <w:sz w:val="24"/>
          <w:szCs w:val="24"/>
          <w:highlight w:val="white"/>
        </w:rPr>
        <w:t xml:space="preserve"> </w:t>
      </w:r>
      <w:bookmarkEnd w:id="455"/>
    </w:p>
    <w:p w14:paraId="18E0FFC9">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highlight w:val="white"/>
        </w:rPr>
        <w:t>附件</w:t>
      </w:r>
    </w:p>
    <w:p w14:paraId="3C92DA0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协议书附件：</w:t>
      </w:r>
    </w:p>
    <w:p w14:paraId="1F92C1E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附件1：承包人承揽工程项目一览表</w:t>
      </w:r>
    </w:p>
    <w:p w14:paraId="6C09AF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专用合同条款附件：</w:t>
      </w:r>
    </w:p>
    <w:p w14:paraId="590846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附件2：发包人供应材料设备一览表</w:t>
      </w:r>
    </w:p>
    <w:p w14:paraId="7793E0C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附件3：工程质量保修书</w:t>
      </w:r>
    </w:p>
    <w:p w14:paraId="77B1656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附件4：主要建设工程文件目录</w:t>
      </w:r>
    </w:p>
    <w:p w14:paraId="3FC864D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附件5：承包人用于本工程施工的机械设备表</w:t>
      </w:r>
    </w:p>
    <w:p w14:paraId="016039C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附件6：承包人主要施工管理人员表</w:t>
      </w:r>
    </w:p>
    <w:p w14:paraId="6F4BDB9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附件7：分包人主要施工管理人员表</w:t>
      </w:r>
    </w:p>
    <w:p w14:paraId="306D13E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附件8：履约担保格式</w:t>
      </w:r>
    </w:p>
    <w:p w14:paraId="7F945DF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附件9：预付款担保格式</w:t>
      </w:r>
    </w:p>
    <w:p w14:paraId="220A35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附件10：支付担保格式</w:t>
      </w:r>
    </w:p>
    <w:p w14:paraId="7A314DE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附件11：暂估价一览表</w:t>
      </w:r>
    </w:p>
    <w:p w14:paraId="75C52227">
      <w:pPr>
        <w:spacing w:line="360" w:lineRule="auto"/>
        <w:ind w:firstLine="480" w:firstLineChars="200"/>
        <w:rPr>
          <w:rFonts w:hint="eastAsia" w:ascii="宋体" w:hAnsi="宋体" w:eastAsia="宋体" w:cs="宋体"/>
          <w:sz w:val="24"/>
          <w:szCs w:val="24"/>
          <w:highlight w:val="white"/>
        </w:rPr>
        <w:sectPr>
          <w:pgSz w:w="11906" w:h="16838"/>
          <w:pgMar w:top="1418" w:right="1555" w:bottom="1418" w:left="1531" w:header="851" w:footer="992" w:gutter="0"/>
          <w:pgNumType w:fmt="decimal"/>
          <w:cols w:space="720" w:num="1"/>
          <w:titlePg/>
          <w:docGrid w:type="lines" w:linePitch="312" w:charSpace="0"/>
        </w:sectPr>
      </w:pPr>
      <w:r>
        <w:rPr>
          <w:rFonts w:hint="eastAsia" w:ascii="宋体" w:hAnsi="宋体" w:eastAsia="宋体" w:cs="宋体"/>
          <w:sz w:val="24"/>
          <w:szCs w:val="24"/>
          <w:highlight w:val="white"/>
        </w:rPr>
        <w:t>附件12：不拖欠农民工工资承诺书</w:t>
      </w:r>
    </w:p>
    <w:p w14:paraId="110CE92C">
      <w:pPr>
        <w:spacing w:before="156" w:beforeLines="50" w:after="156" w:afterLines="50" w:line="440" w:lineRule="exact"/>
        <w:rPr>
          <w:rFonts w:hint="eastAsia" w:ascii="宋体" w:hAnsi="宋体" w:eastAsia="宋体" w:cs="宋体"/>
          <w:sz w:val="24"/>
          <w:szCs w:val="24"/>
        </w:rPr>
      </w:pPr>
      <w:r>
        <w:rPr>
          <w:rFonts w:hint="eastAsia" w:ascii="宋体" w:hAnsi="宋体" w:eastAsia="宋体" w:cs="宋体"/>
          <w:sz w:val="24"/>
          <w:szCs w:val="24"/>
          <w:highlight w:val="white"/>
        </w:rPr>
        <w:t>附件1：</w:t>
      </w:r>
    </w:p>
    <w:p w14:paraId="5D0393E6">
      <w:pPr>
        <w:spacing w:before="156" w:beforeLines="50" w:after="156" w:afterLines="50" w:line="440" w:lineRule="exact"/>
        <w:rPr>
          <w:rFonts w:hint="eastAsia" w:ascii="宋体" w:hAnsi="宋体" w:eastAsia="宋体" w:cs="宋体"/>
          <w:sz w:val="24"/>
          <w:szCs w:val="24"/>
        </w:rPr>
      </w:pPr>
      <w:r>
        <w:rPr>
          <w:rFonts w:hint="eastAsia" w:ascii="宋体" w:hAnsi="宋体" w:eastAsia="宋体" w:cs="宋体"/>
          <w:sz w:val="24"/>
          <w:szCs w:val="24"/>
          <w:highlight w:val="white"/>
        </w:rPr>
        <w:t>承包人承揽工程项目一览表</w:t>
      </w:r>
    </w:p>
    <w:tbl>
      <w:tblPr>
        <w:tblStyle w:val="29"/>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229"/>
        <w:gridCol w:w="1774"/>
        <w:gridCol w:w="1364"/>
        <w:gridCol w:w="2320"/>
        <w:gridCol w:w="818"/>
        <w:gridCol w:w="1502"/>
        <w:gridCol w:w="2044"/>
        <w:gridCol w:w="1364"/>
        <w:gridCol w:w="818"/>
        <w:gridCol w:w="819"/>
      </w:tblGrid>
      <w:tr w14:paraId="071B23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437" w:type="pct"/>
            <w:tcBorders>
              <w:top w:val="single" w:color="auto" w:sz="12" w:space="0"/>
              <w:left w:val="single" w:color="auto" w:sz="12" w:space="0"/>
              <w:bottom w:val="double" w:color="auto" w:sz="6" w:space="0"/>
              <w:right w:val="single" w:color="auto" w:sz="6" w:space="0"/>
            </w:tcBorders>
            <w:noWrap w:val="0"/>
            <w:vAlign w:val="center"/>
          </w:tcPr>
          <w:p w14:paraId="102038CD">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单位工程名称</w:t>
            </w:r>
          </w:p>
        </w:tc>
        <w:tc>
          <w:tcPr>
            <w:tcW w:w="631" w:type="pct"/>
            <w:tcBorders>
              <w:top w:val="single" w:color="auto" w:sz="12" w:space="0"/>
              <w:left w:val="single" w:color="auto" w:sz="6" w:space="0"/>
              <w:bottom w:val="double" w:color="auto" w:sz="6" w:space="0"/>
              <w:right w:val="single" w:color="auto" w:sz="6" w:space="0"/>
            </w:tcBorders>
            <w:noWrap w:val="0"/>
            <w:vAlign w:val="center"/>
          </w:tcPr>
          <w:p w14:paraId="40ED7219">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建设规模</w:t>
            </w:r>
          </w:p>
        </w:tc>
        <w:tc>
          <w:tcPr>
            <w:tcW w:w="485" w:type="pct"/>
            <w:tcBorders>
              <w:top w:val="single" w:color="auto" w:sz="12" w:space="0"/>
              <w:left w:val="single" w:color="auto" w:sz="6" w:space="0"/>
              <w:bottom w:val="double" w:color="auto" w:sz="6" w:space="0"/>
              <w:right w:val="single" w:color="auto" w:sz="6" w:space="0"/>
            </w:tcBorders>
            <w:noWrap w:val="0"/>
            <w:vAlign w:val="center"/>
          </w:tcPr>
          <w:p w14:paraId="19B8FE15">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建筑面积(平方米)</w:t>
            </w:r>
          </w:p>
        </w:tc>
        <w:tc>
          <w:tcPr>
            <w:tcW w:w="825" w:type="pct"/>
            <w:tcBorders>
              <w:top w:val="single" w:color="auto" w:sz="12" w:space="0"/>
              <w:left w:val="single" w:color="auto" w:sz="6" w:space="0"/>
              <w:bottom w:val="double" w:color="auto" w:sz="6" w:space="0"/>
              <w:right w:val="single" w:color="auto" w:sz="6" w:space="0"/>
            </w:tcBorders>
            <w:noWrap w:val="0"/>
            <w:vAlign w:val="center"/>
          </w:tcPr>
          <w:p w14:paraId="3585E728">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结构形式</w:t>
            </w:r>
          </w:p>
        </w:tc>
        <w:tc>
          <w:tcPr>
            <w:tcW w:w="291" w:type="pct"/>
            <w:tcBorders>
              <w:top w:val="single" w:color="auto" w:sz="12" w:space="0"/>
              <w:left w:val="single" w:color="auto" w:sz="6" w:space="0"/>
              <w:bottom w:val="double" w:color="auto" w:sz="6" w:space="0"/>
              <w:right w:val="single" w:color="auto" w:sz="6" w:space="0"/>
            </w:tcBorders>
            <w:noWrap w:val="0"/>
            <w:vAlign w:val="center"/>
          </w:tcPr>
          <w:p w14:paraId="663855D2">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层数</w:t>
            </w:r>
          </w:p>
        </w:tc>
        <w:tc>
          <w:tcPr>
            <w:tcW w:w="534" w:type="pct"/>
            <w:tcBorders>
              <w:top w:val="single" w:color="auto" w:sz="12" w:space="0"/>
              <w:left w:val="single" w:color="auto" w:sz="6" w:space="0"/>
              <w:bottom w:val="double" w:color="auto" w:sz="6" w:space="0"/>
              <w:right w:val="single" w:color="auto" w:sz="6" w:space="0"/>
            </w:tcBorders>
            <w:noWrap w:val="0"/>
            <w:vAlign w:val="center"/>
          </w:tcPr>
          <w:p w14:paraId="7845C2EB">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生产能力</w:t>
            </w:r>
          </w:p>
        </w:tc>
        <w:tc>
          <w:tcPr>
            <w:tcW w:w="727" w:type="pct"/>
            <w:tcBorders>
              <w:top w:val="single" w:color="auto" w:sz="12" w:space="0"/>
              <w:left w:val="single" w:color="auto" w:sz="6" w:space="0"/>
              <w:bottom w:val="double" w:color="auto" w:sz="6" w:space="0"/>
              <w:right w:val="single" w:color="auto" w:sz="6" w:space="0"/>
            </w:tcBorders>
            <w:noWrap w:val="0"/>
            <w:vAlign w:val="center"/>
          </w:tcPr>
          <w:p w14:paraId="4E4951D8">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设备安装内容</w:t>
            </w:r>
          </w:p>
        </w:tc>
        <w:tc>
          <w:tcPr>
            <w:tcW w:w="485" w:type="pct"/>
            <w:tcBorders>
              <w:top w:val="single" w:color="auto" w:sz="12" w:space="0"/>
              <w:left w:val="single" w:color="auto" w:sz="6" w:space="0"/>
              <w:bottom w:val="double" w:color="auto" w:sz="6" w:space="0"/>
              <w:right w:val="single" w:color="auto" w:sz="6" w:space="0"/>
            </w:tcBorders>
            <w:noWrap w:val="0"/>
            <w:vAlign w:val="center"/>
          </w:tcPr>
          <w:p w14:paraId="0A757302">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合同价格（元）</w:t>
            </w:r>
          </w:p>
        </w:tc>
        <w:tc>
          <w:tcPr>
            <w:tcW w:w="291" w:type="pct"/>
            <w:tcBorders>
              <w:top w:val="single" w:color="auto" w:sz="12" w:space="0"/>
              <w:left w:val="single" w:color="auto" w:sz="6" w:space="0"/>
              <w:bottom w:val="double" w:color="auto" w:sz="6" w:space="0"/>
              <w:right w:val="single" w:color="auto" w:sz="6" w:space="0"/>
            </w:tcBorders>
            <w:noWrap w:val="0"/>
            <w:vAlign w:val="center"/>
          </w:tcPr>
          <w:p w14:paraId="04FEE2EC">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开工日期</w:t>
            </w:r>
          </w:p>
        </w:tc>
        <w:tc>
          <w:tcPr>
            <w:tcW w:w="291" w:type="pct"/>
            <w:tcBorders>
              <w:top w:val="single" w:color="auto" w:sz="12" w:space="0"/>
              <w:left w:val="single" w:color="auto" w:sz="6" w:space="0"/>
              <w:bottom w:val="double" w:color="auto" w:sz="6" w:space="0"/>
              <w:right w:val="single" w:color="auto" w:sz="12" w:space="0"/>
            </w:tcBorders>
            <w:noWrap w:val="0"/>
            <w:vAlign w:val="center"/>
          </w:tcPr>
          <w:p w14:paraId="09D42F03">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竣工日期</w:t>
            </w:r>
          </w:p>
        </w:tc>
      </w:tr>
      <w:tr w14:paraId="2AB374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double" w:color="auto" w:sz="6" w:space="0"/>
              <w:left w:val="single" w:color="auto" w:sz="12" w:space="0"/>
              <w:bottom w:val="single" w:color="auto" w:sz="6" w:space="0"/>
              <w:right w:val="single" w:color="auto" w:sz="6" w:space="0"/>
            </w:tcBorders>
            <w:noWrap w:val="0"/>
            <w:vAlign w:val="center"/>
          </w:tcPr>
          <w:p w14:paraId="31AB0492">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w:t>
            </w:r>
          </w:p>
        </w:tc>
        <w:tc>
          <w:tcPr>
            <w:tcW w:w="631" w:type="pct"/>
            <w:tcBorders>
              <w:top w:val="double" w:color="auto" w:sz="6" w:space="0"/>
              <w:left w:val="single" w:color="auto" w:sz="6" w:space="0"/>
              <w:bottom w:val="single" w:color="auto" w:sz="6" w:space="0"/>
              <w:right w:val="single" w:color="auto" w:sz="6" w:space="0"/>
            </w:tcBorders>
            <w:noWrap w:val="0"/>
            <w:vAlign w:val="center"/>
          </w:tcPr>
          <w:p w14:paraId="4F8BB924">
            <w:pPr>
              <w:pStyle w:val="13"/>
              <w:keepNext/>
              <w:spacing w:line="440" w:lineRule="exact"/>
              <w:ind w:left="63" w:right="63"/>
              <w:rPr>
                <w:rFonts w:hint="eastAsia" w:ascii="宋体" w:hAnsi="宋体" w:eastAsia="宋体" w:cs="宋体"/>
                <w:sz w:val="24"/>
                <w:szCs w:val="24"/>
              </w:rPr>
            </w:pPr>
          </w:p>
        </w:tc>
        <w:tc>
          <w:tcPr>
            <w:tcW w:w="485" w:type="pct"/>
            <w:tcBorders>
              <w:top w:val="double" w:color="auto" w:sz="6" w:space="0"/>
              <w:left w:val="single" w:color="auto" w:sz="6" w:space="0"/>
              <w:bottom w:val="single" w:color="auto" w:sz="6" w:space="0"/>
              <w:right w:val="single" w:color="auto" w:sz="6" w:space="0"/>
            </w:tcBorders>
            <w:noWrap w:val="0"/>
            <w:vAlign w:val="center"/>
          </w:tcPr>
          <w:p w14:paraId="5A559C75">
            <w:pPr>
              <w:pStyle w:val="13"/>
              <w:keepNext/>
              <w:spacing w:line="440" w:lineRule="exact"/>
              <w:ind w:left="63" w:right="63"/>
              <w:rPr>
                <w:rFonts w:hint="eastAsia" w:ascii="宋体" w:hAnsi="宋体" w:eastAsia="宋体" w:cs="宋体"/>
                <w:sz w:val="24"/>
                <w:szCs w:val="24"/>
              </w:rPr>
            </w:pPr>
          </w:p>
        </w:tc>
        <w:tc>
          <w:tcPr>
            <w:tcW w:w="825" w:type="pct"/>
            <w:tcBorders>
              <w:top w:val="double" w:color="auto" w:sz="6" w:space="0"/>
              <w:left w:val="single" w:color="auto" w:sz="6" w:space="0"/>
              <w:bottom w:val="single" w:color="auto" w:sz="6" w:space="0"/>
              <w:right w:val="single" w:color="auto" w:sz="6" w:space="0"/>
            </w:tcBorders>
            <w:noWrap w:val="0"/>
            <w:vAlign w:val="center"/>
          </w:tcPr>
          <w:p w14:paraId="32694FA4">
            <w:pPr>
              <w:pStyle w:val="13"/>
              <w:keepNext/>
              <w:spacing w:line="440" w:lineRule="exact"/>
              <w:ind w:left="63" w:right="63"/>
              <w:rPr>
                <w:rFonts w:hint="eastAsia" w:ascii="宋体" w:hAnsi="宋体" w:eastAsia="宋体" w:cs="宋体"/>
                <w:sz w:val="24"/>
                <w:szCs w:val="24"/>
              </w:rPr>
            </w:pPr>
          </w:p>
        </w:tc>
        <w:tc>
          <w:tcPr>
            <w:tcW w:w="291" w:type="pct"/>
            <w:tcBorders>
              <w:top w:val="double" w:color="auto" w:sz="6" w:space="0"/>
              <w:left w:val="single" w:color="auto" w:sz="6" w:space="0"/>
              <w:bottom w:val="single" w:color="auto" w:sz="6" w:space="0"/>
              <w:right w:val="single" w:color="auto" w:sz="6" w:space="0"/>
            </w:tcBorders>
            <w:noWrap w:val="0"/>
            <w:vAlign w:val="center"/>
          </w:tcPr>
          <w:p w14:paraId="010D473D">
            <w:pPr>
              <w:pStyle w:val="13"/>
              <w:keepNext/>
              <w:spacing w:line="440" w:lineRule="exact"/>
              <w:ind w:left="63" w:right="63"/>
              <w:rPr>
                <w:rFonts w:hint="eastAsia" w:ascii="宋体" w:hAnsi="宋体" w:eastAsia="宋体" w:cs="宋体"/>
                <w:sz w:val="24"/>
                <w:szCs w:val="24"/>
              </w:rPr>
            </w:pPr>
          </w:p>
        </w:tc>
        <w:tc>
          <w:tcPr>
            <w:tcW w:w="534" w:type="pct"/>
            <w:tcBorders>
              <w:top w:val="double" w:color="auto" w:sz="6" w:space="0"/>
              <w:left w:val="single" w:color="auto" w:sz="6" w:space="0"/>
              <w:bottom w:val="single" w:color="auto" w:sz="6" w:space="0"/>
              <w:right w:val="single" w:color="auto" w:sz="6" w:space="0"/>
            </w:tcBorders>
            <w:noWrap w:val="0"/>
            <w:vAlign w:val="center"/>
          </w:tcPr>
          <w:p w14:paraId="0CFDE633">
            <w:pPr>
              <w:pStyle w:val="13"/>
              <w:keepNext/>
              <w:spacing w:line="440" w:lineRule="exact"/>
              <w:ind w:left="63" w:right="63"/>
              <w:rPr>
                <w:rFonts w:hint="eastAsia" w:ascii="宋体" w:hAnsi="宋体" w:eastAsia="宋体" w:cs="宋体"/>
                <w:sz w:val="24"/>
                <w:szCs w:val="24"/>
              </w:rPr>
            </w:pPr>
          </w:p>
        </w:tc>
        <w:tc>
          <w:tcPr>
            <w:tcW w:w="727" w:type="pct"/>
            <w:tcBorders>
              <w:top w:val="double" w:color="auto" w:sz="6" w:space="0"/>
              <w:left w:val="single" w:color="auto" w:sz="6" w:space="0"/>
              <w:bottom w:val="single" w:color="auto" w:sz="6" w:space="0"/>
              <w:right w:val="single" w:color="auto" w:sz="6" w:space="0"/>
            </w:tcBorders>
            <w:noWrap w:val="0"/>
            <w:vAlign w:val="center"/>
          </w:tcPr>
          <w:p w14:paraId="7D439417">
            <w:pPr>
              <w:pStyle w:val="13"/>
              <w:keepNext/>
              <w:spacing w:line="440" w:lineRule="exact"/>
              <w:ind w:left="63" w:right="63"/>
              <w:rPr>
                <w:rFonts w:hint="eastAsia" w:ascii="宋体" w:hAnsi="宋体" w:eastAsia="宋体" w:cs="宋体"/>
                <w:sz w:val="24"/>
                <w:szCs w:val="24"/>
              </w:rPr>
            </w:pPr>
          </w:p>
        </w:tc>
        <w:tc>
          <w:tcPr>
            <w:tcW w:w="485" w:type="pct"/>
            <w:tcBorders>
              <w:top w:val="double" w:color="auto" w:sz="6" w:space="0"/>
              <w:left w:val="single" w:color="auto" w:sz="6" w:space="0"/>
              <w:bottom w:val="single" w:color="auto" w:sz="6" w:space="0"/>
              <w:right w:val="single" w:color="auto" w:sz="6" w:space="0"/>
            </w:tcBorders>
            <w:noWrap w:val="0"/>
            <w:vAlign w:val="center"/>
          </w:tcPr>
          <w:p w14:paraId="43E4DD4F">
            <w:pPr>
              <w:pStyle w:val="13"/>
              <w:keepNext/>
              <w:spacing w:line="440" w:lineRule="exact"/>
              <w:ind w:left="63" w:right="63"/>
              <w:rPr>
                <w:rFonts w:hint="eastAsia" w:ascii="宋体" w:hAnsi="宋体" w:eastAsia="宋体" w:cs="宋体"/>
                <w:sz w:val="24"/>
                <w:szCs w:val="24"/>
              </w:rPr>
            </w:pPr>
          </w:p>
        </w:tc>
        <w:tc>
          <w:tcPr>
            <w:tcW w:w="291" w:type="pct"/>
            <w:tcBorders>
              <w:top w:val="double" w:color="auto" w:sz="6" w:space="0"/>
              <w:left w:val="single" w:color="auto" w:sz="6" w:space="0"/>
              <w:bottom w:val="single" w:color="auto" w:sz="6" w:space="0"/>
              <w:right w:val="single" w:color="auto" w:sz="6" w:space="0"/>
            </w:tcBorders>
            <w:noWrap w:val="0"/>
            <w:vAlign w:val="center"/>
          </w:tcPr>
          <w:p w14:paraId="30F6C323">
            <w:pPr>
              <w:pStyle w:val="13"/>
              <w:keepNext/>
              <w:spacing w:line="440" w:lineRule="exact"/>
              <w:ind w:left="63" w:right="63"/>
              <w:rPr>
                <w:rFonts w:hint="eastAsia" w:ascii="宋体" w:hAnsi="宋体" w:eastAsia="宋体" w:cs="宋体"/>
                <w:sz w:val="24"/>
                <w:szCs w:val="24"/>
              </w:rPr>
            </w:pPr>
          </w:p>
        </w:tc>
        <w:tc>
          <w:tcPr>
            <w:tcW w:w="291" w:type="pct"/>
            <w:tcBorders>
              <w:top w:val="double" w:color="auto" w:sz="6" w:space="0"/>
              <w:left w:val="single" w:color="auto" w:sz="6" w:space="0"/>
              <w:bottom w:val="single" w:color="auto" w:sz="6" w:space="0"/>
              <w:right w:val="single" w:color="auto" w:sz="12" w:space="0"/>
            </w:tcBorders>
            <w:noWrap w:val="0"/>
            <w:vAlign w:val="center"/>
          </w:tcPr>
          <w:p w14:paraId="3825BB38">
            <w:pPr>
              <w:pStyle w:val="13"/>
              <w:keepNext/>
              <w:spacing w:line="440" w:lineRule="exact"/>
              <w:ind w:left="63" w:right="63"/>
              <w:rPr>
                <w:rFonts w:hint="eastAsia" w:ascii="宋体" w:hAnsi="宋体" w:eastAsia="宋体" w:cs="宋体"/>
                <w:sz w:val="24"/>
                <w:szCs w:val="24"/>
              </w:rPr>
            </w:pPr>
          </w:p>
        </w:tc>
      </w:tr>
      <w:tr w14:paraId="4033A8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nil"/>
              <w:left w:val="single" w:color="auto" w:sz="12" w:space="0"/>
              <w:bottom w:val="single" w:color="auto" w:sz="6" w:space="0"/>
              <w:right w:val="single" w:color="auto" w:sz="6" w:space="0"/>
            </w:tcBorders>
            <w:noWrap w:val="0"/>
            <w:vAlign w:val="center"/>
          </w:tcPr>
          <w:p w14:paraId="0A220632">
            <w:pPr>
              <w:pStyle w:val="13"/>
              <w:keepNext/>
              <w:spacing w:line="440" w:lineRule="exact"/>
              <w:ind w:left="63" w:right="63"/>
              <w:rPr>
                <w:rFonts w:hint="eastAsia" w:ascii="宋体" w:hAnsi="宋体" w:eastAsia="宋体" w:cs="宋体"/>
                <w:sz w:val="24"/>
                <w:szCs w:val="24"/>
              </w:rPr>
            </w:pPr>
          </w:p>
        </w:tc>
        <w:tc>
          <w:tcPr>
            <w:tcW w:w="631" w:type="pct"/>
            <w:tcBorders>
              <w:top w:val="nil"/>
              <w:left w:val="single" w:color="auto" w:sz="6" w:space="0"/>
              <w:bottom w:val="single" w:color="auto" w:sz="6" w:space="0"/>
              <w:right w:val="single" w:color="auto" w:sz="6" w:space="0"/>
            </w:tcBorders>
            <w:noWrap w:val="0"/>
            <w:vAlign w:val="center"/>
          </w:tcPr>
          <w:p w14:paraId="469E043D">
            <w:pPr>
              <w:pStyle w:val="13"/>
              <w:keepNext/>
              <w:spacing w:line="440" w:lineRule="exact"/>
              <w:ind w:left="63" w:right="63"/>
              <w:rPr>
                <w:rFonts w:hint="eastAsia" w:ascii="宋体" w:hAnsi="宋体" w:eastAsia="宋体" w:cs="宋体"/>
                <w:sz w:val="24"/>
                <w:szCs w:val="24"/>
              </w:rPr>
            </w:pPr>
          </w:p>
        </w:tc>
        <w:tc>
          <w:tcPr>
            <w:tcW w:w="485" w:type="pct"/>
            <w:tcBorders>
              <w:top w:val="nil"/>
              <w:left w:val="single" w:color="auto" w:sz="6" w:space="0"/>
              <w:bottom w:val="single" w:color="auto" w:sz="6" w:space="0"/>
              <w:right w:val="single" w:color="auto" w:sz="6" w:space="0"/>
            </w:tcBorders>
            <w:noWrap w:val="0"/>
            <w:vAlign w:val="center"/>
          </w:tcPr>
          <w:p w14:paraId="6805F475">
            <w:pPr>
              <w:pStyle w:val="13"/>
              <w:keepNext/>
              <w:spacing w:line="440" w:lineRule="exact"/>
              <w:ind w:left="63" w:right="63"/>
              <w:rPr>
                <w:rFonts w:hint="eastAsia" w:ascii="宋体" w:hAnsi="宋体" w:eastAsia="宋体" w:cs="宋体"/>
                <w:sz w:val="24"/>
                <w:szCs w:val="24"/>
              </w:rPr>
            </w:pPr>
          </w:p>
        </w:tc>
        <w:tc>
          <w:tcPr>
            <w:tcW w:w="825" w:type="pct"/>
            <w:tcBorders>
              <w:top w:val="nil"/>
              <w:left w:val="single" w:color="auto" w:sz="6" w:space="0"/>
              <w:bottom w:val="single" w:color="auto" w:sz="6" w:space="0"/>
              <w:right w:val="single" w:color="auto" w:sz="6" w:space="0"/>
            </w:tcBorders>
            <w:noWrap w:val="0"/>
            <w:vAlign w:val="center"/>
          </w:tcPr>
          <w:p w14:paraId="69DF6D63">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6" w:space="0"/>
            </w:tcBorders>
            <w:noWrap w:val="0"/>
            <w:vAlign w:val="center"/>
          </w:tcPr>
          <w:p w14:paraId="5DD4A224">
            <w:pPr>
              <w:pStyle w:val="13"/>
              <w:keepNext/>
              <w:spacing w:line="440" w:lineRule="exact"/>
              <w:ind w:left="63" w:right="63"/>
              <w:rPr>
                <w:rFonts w:hint="eastAsia" w:ascii="宋体" w:hAnsi="宋体" w:eastAsia="宋体" w:cs="宋体"/>
                <w:sz w:val="24"/>
                <w:szCs w:val="24"/>
              </w:rPr>
            </w:pPr>
          </w:p>
        </w:tc>
        <w:tc>
          <w:tcPr>
            <w:tcW w:w="534" w:type="pct"/>
            <w:tcBorders>
              <w:top w:val="nil"/>
              <w:left w:val="single" w:color="auto" w:sz="6" w:space="0"/>
              <w:bottom w:val="single" w:color="auto" w:sz="6" w:space="0"/>
              <w:right w:val="single" w:color="auto" w:sz="6" w:space="0"/>
            </w:tcBorders>
            <w:noWrap w:val="0"/>
            <w:vAlign w:val="center"/>
          </w:tcPr>
          <w:p w14:paraId="3FF3E647">
            <w:pPr>
              <w:pStyle w:val="13"/>
              <w:keepNext/>
              <w:spacing w:line="440" w:lineRule="exact"/>
              <w:ind w:left="63" w:right="63"/>
              <w:rPr>
                <w:rFonts w:hint="eastAsia" w:ascii="宋体" w:hAnsi="宋体" w:eastAsia="宋体" w:cs="宋体"/>
                <w:sz w:val="24"/>
                <w:szCs w:val="24"/>
              </w:rPr>
            </w:pPr>
          </w:p>
        </w:tc>
        <w:tc>
          <w:tcPr>
            <w:tcW w:w="727" w:type="pct"/>
            <w:tcBorders>
              <w:top w:val="nil"/>
              <w:left w:val="single" w:color="auto" w:sz="6" w:space="0"/>
              <w:bottom w:val="single" w:color="auto" w:sz="6" w:space="0"/>
              <w:right w:val="single" w:color="auto" w:sz="6" w:space="0"/>
            </w:tcBorders>
            <w:noWrap w:val="0"/>
            <w:vAlign w:val="center"/>
          </w:tcPr>
          <w:p w14:paraId="16509460">
            <w:pPr>
              <w:pStyle w:val="13"/>
              <w:keepNext/>
              <w:spacing w:line="440" w:lineRule="exact"/>
              <w:ind w:left="63" w:right="63"/>
              <w:rPr>
                <w:rFonts w:hint="eastAsia" w:ascii="宋体" w:hAnsi="宋体" w:eastAsia="宋体" w:cs="宋体"/>
                <w:sz w:val="24"/>
                <w:szCs w:val="24"/>
              </w:rPr>
            </w:pPr>
          </w:p>
        </w:tc>
        <w:tc>
          <w:tcPr>
            <w:tcW w:w="485" w:type="pct"/>
            <w:tcBorders>
              <w:top w:val="nil"/>
              <w:left w:val="single" w:color="auto" w:sz="6" w:space="0"/>
              <w:bottom w:val="single" w:color="auto" w:sz="6" w:space="0"/>
              <w:right w:val="single" w:color="auto" w:sz="6" w:space="0"/>
            </w:tcBorders>
            <w:noWrap w:val="0"/>
            <w:vAlign w:val="center"/>
          </w:tcPr>
          <w:p w14:paraId="404EFBB2">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6" w:space="0"/>
            </w:tcBorders>
            <w:noWrap w:val="0"/>
            <w:vAlign w:val="center"/>
          </w:tcPr>
          <w:p w14:paraId="30874AE6">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12" w:space="0"/>
            </w:tcBorders>
            <w:noWrap w:val="0"/>
            <w:vAlign w:val="center"/>
          </w:tcPr>
          <w:p w14:paraId="6AD84384">
            <w:pPr>
              <w:pStyle w:val="13"/>
              <w:keepNext/>
              <w:spacing w:line="440" w:lineRule="exact"/>
              <w:ind w:left="63" w:right="63"/>
              <w:rPr>
                <w:rFonts w:hint="eastAsia" w:ascii="宋体" w:hAnsi="宋体" w:eastAsia="宋体" w:cs="宋体"/>
                <w:sz w:val="24"/>
                <w:szCs w:val="24"/>
              </w:rPr>
            </w:pPr>
          </w:p>
        </w:tc>
      </w:tr>
      <w:tr w14:paraId="6D1405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nil"/>
              <w:left w:val="single" w:color="auto" w:sz="12" w:space="0"/>
              <w:bottom w:val="single" w:color="auto" w:sz="6" w:space="0"/>
              <w:right w:val="single" w:color="auto" w:sz="6" w:space="0"/>
            </w:tcBorders>
            <w:noWrap w:val="0"/>
            <w:vAlign w:val="center"/>
          </w:tcPr>
          <w:p w14:paraId="4EA9DC68">
            <w:pPr>
              <w:pStyle w:val="13"/>
              <w:keepNext/>
              <w:spacing w:line="440" w:lineRule="exact"/>
              <w:ind w:left="63" w:right="63"/>
              <w:rPr>
                <w:rFonts w:hint="eastAsia" w:ascii="宋体" w:hAnsi="宋体" w:eastAsia="宋体" w:cs="宋体"/>
                <w:sz w:val="24"/>
                <w:szCs w:val="24"/>
              </w:rPr>
            </w:pPr>
          </w:p>
        </w:tc>
        <w:tc>
          <w:tcPr>
            <w:tcW w:w="631" w:type="pct"/>
            <w:tcBorders>
              <w:top w:val="nil"/>
              <w:left w:val="single" w:color="auto" w:sz="6" w:space="0"/>
              <w:bottom w:val="single" w:color="auto" w:sz="6" w:space="0"/>
              <w:right w:val="single" w:color="auto" w:sz="6" w:space="0"/>
            </w:tcBorders>
            <w:noWrap w:val="0"/>
            <w:vAlign w:val="center"/>
          </w:tcPr>
          <w:p w14:paraId="6EFB2951">
            <w:pPr>
              <w:pStyle w:val="13"/>
              <w:keepNext/>
              <w:spacing w:line="440" w:lineRule="exact"/>
              <w:ind w:left="63" w:right="63"/>
              <w:rPr>
                <w:rFonts w:hint="eastAsia" w:ascii="宋体" w:hAnsi="宋体" w:eastAsia="宋体" w:cs="宋体"/>
                <w:sz w:val="24"/>
                <w:szCs w:val="24"/>
              </w:rPr>
            </w:pPr>
          </w:p>
        </w:tc>
        <w:tc>
          <w:tcPr>
            <w:tcW w:w="485" w:type="pct"/>
            <w:tcBorders>
              <w:top w:val="nil"/>
              <w:left w:val="single" w:color="auto" w:sz="6" w:space="0"/>
              <w:bottom w:val="single" w:color="auto" w:sz="6" w:space="0"/>
              <w:right w:val="single" w:color="auto" w:sz="6" w:space="0"/>
            </w:tcBorders>
            <w:noWrap w:val="0"/>
            <w:vAlign w:val="center"/>
          </w:tcPr>
          <w:p w14:paraId="56013669">
            <w:pPr>
              <w:pStyle w:val="13"/>
              <w:keepNext/>
              <w:spacing w:line="440" w:lineRule="exact"/>
              <w:ind w:left="63" w:right="63"/>
              <w:rPr>
                <w:rFonts w:hint="eastAsia" w:ascii="宋体" w:hAnsi="宋体" w:eastAsia="宋体" w:cs="宋体"/>
                <w:sz w:val="24"/>
                <w:szCs w:val="24"/>
              </w:rPr>
            </w:pPr>
          </w:p>
        </w:tc>
        <w:tc>
          <w:tcPr>
            <w:tcW w:w="825" w:type="pct"/>
            <w:tcBorders>
              <w:top w:val="nil"/>
              <w:left w:val="single" w:color="auto" w:sz="6" w:space="0"/>
              <w:bottom w:val="single" w:color="auto" w:sz="6" w:space="0"/>
              <w:right w:val="single" w:color="auto" w:sz="6" w:space="0"/>
            </w:tcBorders>
            <w:noWrap w:val="0"/>
            <w:vAlign w:val="center"/>
          </w:tcPr>
          <w:p w14:paraId="064EBEC9">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6" w:space="0"/>
            </w:tcBorders>
            <w:noWrap w:val="0"/>
            <w:vAlign w:val="center"/>
          </w:tcPr>
          <w:p w14:paraId="2A39191F">
            <w:pPr>
              <w:pStyle w:val="13"/>
              <w:keepNext/>
              <w:spacing w:line="440" w:lineRule="exact"/>
              <w:ind w:left="63" w:right="63"/>
              <w:rPr>
                <w:rFonts w:hint="eastAsia" w:ascii="宋体" w:hAnsi="宋体" w:eastAsia="宋体" w:cs="宋体"/>
                <w:sz w:val="24"/>
                <w:szCs w:val="24"/>
              </w:rPr>
            </w:pPr>
          </w:p>
        </w:tc>
        <w:tc>
          <w:tcPr>
            <w:tcW w:w="534" w:type="pct"/>
            <w:tcBorders>
              <w:top w:val="nil"/>
              <w:left w:val="single" w:color="auto" w:sz="6" w:space="0"/>
              <w:bottom w:val="single" w:color="auto" w:sz="6" w:space="0"/>
              <w:right w:val="single" w:color="auto" w:sz="6" w:space="0"/>
            </w:tcBorders>
            <w:noWrap w:val="0"/>
            <w:vAlign w:val="center"/>
          </w:tcPr>
          <w:p w14:paraId="56B06899">
            <w:pPr>
              <w:pStyle w:val="13"/>
              <w:keepNext/>
              <w:spacing w:line="440" w:lineRule="exact"/>
              <w:ind w:left="63" w:right="63"/>
              <w:rPr>
                <w:rFonts w:hint="eastAsia" w:ascii="宋体" w:hAnsi="宋体" w:eastAsia="宋体" w:cs="宋体"/>
                <w:sz w:val="24"/>
                <w:szCs w:val="24"/>
              </w:rPr>
            </w:pPr>
          </w:p>
        </w:tc>
        <w:tc>
          <w:tcPr>
            <w:tcW w:w="727" w:type="pct"/>
            <w:tcBorders>
              <w:top w:val="nil"/>
              <w:left w:val="single" w:color="auto" w:sz="6" w:space="0"/>
              <w:bottom w:val="single" w:color="auto" w:sz="6" w:space="0"/>
              <w:right w:val="single" w:color="auto" w:sz="6" w:space="0"/>
            </w:tcBorders>
            <w:noWrap w:val="0"/>
            <w:vAlign w:val="center"/>
          </w:tcPr>
          <w:p w14:paraId="17B07CCA">
            <w:pPr>
              <w:pStyle w:val="13"/>
              <w:keepNext/>
              <w:spacing w:line="440" w:lineRule="exact"/>
              <w:ind w:left="63" w:right="63"/>
              <w:rPr>
                <w:rFonts w:hint="eastAsia" w:ascii="宋体" w:hAnsi="宋体" w:eastAsia="宋体" w:cs="宋体"/>
                <w:sz w:val="24"/>
                <w:szCs w:val="24"/>
              </w:rPr>
            </w:pPr>
          </w:p>
        </w:tc>
        <w:tc>
          <w:tcPr>
            <w:tcW w:w="485" w:type="pct"/>
            <w:tcBorders>
              <w:top w:val="nil"/>
              <w:left w:val="single" w:color="auto" w:sz="6" w:space="0"/>
              <w:bottom w:val="single" w:color="auto" w:sz="6" w:space="0"/>
              <w:right w:val="single" w:color="auto" w:sz="6" w:space="0"/>
            </w:tcBorders>
            <w:noWrap w:val="0"/>
            <w:vAlign w:val="center"/>
          </w:tcPr>
          <w:p w14:paraId="4A48C6FB">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6" w:space="0"/>
            </w:tcBorders>
            <w:noWrap w:val="0"/>
            <w:vAlign w:val="center"/>
          </w:tcPr>
          <w:p w14:paraId="0C924CD0">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12" w:space="0"/>
            </w:tcBorders>
            <w:noWrap w:val="0"/>
            <w:vAlign w:val="center"/>
          </w:tcPr>
          <w:p w14:paraId="6150BEF1">
            <w:pPr>
              <w:pStyle w:val="13"/>
              <w:keepNext/>
              <w:spacing w:line="440" w:lineRule="exact"/>
              <w:ind w:left="63" w:right="63"/>
              <w:rPr>
                <w:rFonts w:hint="eastAsia" w:ascii="宋体" w:hAnsi="宋体" w:eastAsia="宋体" w:cs="宋体"/>
                <w:sz w:val="24"/>
                <w:szCs w:val="24"/>
              </w:rPr>
            </w:pPr>
          </w:p>
        </w:tc>
      </w:tr>
      <w:tr w14:paraId="0C04F3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single" w:color="auto" w:sz="6" w:space="0"/>
              <w:left w:val="single" w:color="auto" w:sz="12" w:space="0"/>
              <w:bottom w:val="single" w:color="auto" w:sz="6" w:space="0"/>
              <w:right w:val="single" w:color="auto" w:sz="6" w:space="0"/>
            </w:tcBorders>
            <w:noWrap w:val="0"/>
            <w:vAlign w:val="center"/>
          </w:tcPr>
          <w:p w14:paraId="214344F2">
            <w:pPr>
              <w:pStyle w:val="13"/>
              <w:keepNext/>
              <w:spacing w:line="440" w:lineRule="exact"/>
              <w:ind w:left="63" w:right="63"/>
              <w:rPr>
                <w:rFonts w:hint="eastAsia" w:ascii="宋体" w:hAnsi="宋体" w:eastAsia="宋体" w:cs="宋体"/>
                <w:sz w:val="24"/>
                <w:szCs w:val="24"/>
              </w:rPr>
            </w:pPr>
          </w:p>
        </w:tc>
        <w:tc>
          <w:tcPr>
            <w:tcW w:w="631" w:type="pct"/>
            <w:tcBorders>
              <w:top w:val="single" w:color="auto" w:sz="6" w:space="0"/>
              <w:left w:val="single" w:color="auto" w:sz="6" w:space="0"/>
              <w:bottom w:val="single" w:color="auto" w:sz="6" w:space="0"/>
              <w:right w:val="single" w:color="auto" w:sz="6" w:space="0"/>
            </w:tcBorders>
            <w:noWrap w:val="0"/>
            <w:vAlign w:val="center"/>
          </w:tcPr>
          <w:p w14:paraId="00526062">
            <w:pPr>
              <w:pStyle w:val="13"/>
              <w:keepNext/>
              <w:spacing w:line="440" w:lineRule="exact"/>
              <w:ind w:left="63" w:right="63"/>
              <w:rPr>
                <w:rFonts w:hint="eastAsia" w:ascii="宋体" w:hAnsi="宋体" w:eastAsia="宋体" w:cs="宋体"/>
                <w:sz w:val="24"/>
                <w:szCs w:val="24"/>
              </w:rPr>
            </w:pPr>
          </w:p>
        </w:tc>
        <w:tc>
          <w:tcPr>
            <w:tcW w:w="485" w:type="pct"/>
            <w:tcBorders>
              <w:top w:val="single" w:color="auto" w:sz="6" w:space="0"/>
              <w:left w:val="single" w:color="auto" w:sz="6" w:space="0"/>
              <w:bottom w:val="single" w:color="auto" w:sz="6" w:space="0"/>
              <w:right w:val="single" w:color="auto" w:sz="6" w:space="0"/>
            </w:tcBorders>
            <w:noWrap w:val="0"/>
            <w:vAlign w:val="center"/>
          </w:tcPr>
          <w:p w14:paraId="2DEB64B3">
            <w:pPr>
              <w:pStyle w:val="13"/>
              <w:keepNext/>
              <w:spacing w:line="440" w:lineRule="exact"/>
              <w:ind w:left="63" w:right="63"/>
              <w:rPr>
                <w:rFonts w:hint="eastAsia" w:ascii="宋体" w:hAnsi="宋体" w:eastAsia="宋体" w:cs="宋体"/>
                <w:sz w:val="24"/>
                <w:szCs w:val="24"/>
              </w:rPr>
            </w:pPr>
          </w:p>
        </w:tc>
        <w:tc>
          <w:tcPr>
            <w:tcW w:w="825" w:type="pct"/>
            <w:tcBorders>
              <w:top w:val="single" w:color="auto" w:sz="6" w:space="0"/>
              <w:left w:val="single" w:color="auto" w:sz="6" w:space="0"/>
              <w:bottom w:val="single" w:color="auto" w:sz="6" w:space="0"/>
              <w:right w:val="single" w:color="auto" w:sz="6" w:space="0"/>
            </w:tcBorders>
            <w:noWrap w:val="0"/>
            <w:vAlign w:val="center"/>
          </w:tcPr>
          <w:p w14:paraId="28A0F9AB">
            <w:pPr>
              <w:pStyle w:val="13"/>
              <w:keepNext/>
              <w:spacing w:line="440" w:lineRule="exact"/>
              <w:ind w:left="63" w:right="63"/>
              <w:rPr>
                <w:rFonts w:hint="eastAsia" w:ascii="宋体" w:hAnsi="宋体" w:eastAsia="宋体" w:cs="宋体"/>
                <w:sz w:val="24"/>
                <w:szCs w:val="24"/>
              </w:rPr>
            </w:pPr>
          </w:p>
        </w:tc>
        <w:tc>
          <w:tcPr>
            <w:tcW w:w="291" w:type="pct"/>
            <w:tcBorders>
              <w:top w:val="single" w:color="auto" w:sz="6" w:space="0"/>
              <w:left w:val="single" w:color="auto" w:sz="6" w:space="0"/>
              <w:bottom w:val="single" w:color="auto" w:sz="6" w:space="0"/>
              <w:right w:val="single" w:color="auto" w:sz="6" w:space="0"/>
            </w:tcBorders>
            <w:noWrap w:val="0"/>
            <w:vAlign w:val="center"/>
          </w:tcPr>
          <w:p w14:paraId="6DCAB781">
            <w:pPr>
              <w:pStyle w:val="13"/>
              <w:keepNext/>
              <w:spacing w:line="440" w:lineRule="exact"/>
              <w:ind w:left="63" w:right="63"/>
              <w:rPr>
                <w:rFonts w:hint="eastAsia" w:ascii="宋体" w:hAnsi="宋体" w:eastAsia="宋体" w:cs="宋体"/>
                <w:sz w:val="24"/>
                <w:szCs w:val="24"/>
              </w:rPr>
            </w:pPr>
          </w:p>
        </w:tc>
        <w:tc>
          <w:tcPr>
            <w:tcW w:w="534" w:type="pct"/>
            <w:tcBorders>
              <w:top w:val="single" w:color="auto" w:sz="6" w:space="0"/>
              <w:left w:val="single" w:color="auto" w:sz="6" w:space="0"/>
              <w:bottom w:val="single" w:color="auto" w:sz="6" w:space="0"/>
              <w:right w:val="single" w:color="auto" w:sz="6" w:space="0"/>
            </w:tcBorders>
            <w:noWrap w:val="0"/>
            <w:vAlign w:val="center"/>
          </w:tcPr>
          <w:p w14:paraId="323C7597">
            <w:pPr>
              <w:pStyle w:val="13"/>
              <w:keepNext/>
              <w:spacing w:line="440" w:lineRule="exact"/>
              <w:ind w:left="63" w:right="63"/>
              <w:rPr>
                <w:rFonts w:hint="eastAsia" w:ascii="宋体" w:hAnsi="宋体" w:eastAsia="宋体" w:cs="宋体"/>
                <w:sz w:val="24"/>
                <w:szCs w:val="24"/>
              </w:rPr>
            </w:pPr>
          </w:p>
        </w:tc>
        <w:tc>
          <w:tcPr>
            <w:tcW w:w="727" w:type="pct"/>
            <w:tcBorders>
              <w:top w:val="single" w:color="auto" w:sz="6" w:space="0"/>
              <w:left w:val="single" w:color="auto" w:sz="6" w:space="0"/>
              <w:bottom w:val="single" w:color="auto" w:sz="6" w:space="0"/>
              <w:right w:val="single" w:color="auto" w:sz="6" w:space="0"/>
            </w:tcBorders>
            <w:noWrap w:val="0"/>
            <w:vAlign w:val="center"/>
          </w:tcPr>
          <w:p w14:paraId="31FD7B92">
            <w:pPr>
              <w:pStyle w:val="13"/>
              <w:keepNext/>
              <w:spacing w:line="440" w:lineRule="exact"/>
              <w:ind w:left="63" w:right="63"/>
              <w:rPr>
                <w:rFonts w:hint="eastAsia" w:ascii="宋体" w:hAnsi="宋体" w:eastAsia="宋体" w:cs="宋体"/>
                <w:sz w:val="24"/>
                <w:szCs w:val="24"/>
              </w:rPr>
            </w:pPr>
          </w:p>
        </w:tc>
        <w:tc>
          <w:tcPr>
            <w:tcW w:w="485" w:type="pct"/>
            <w:tcBorders>
              <w:top w:val="single" w:color="auto" w:sz="6" w:space="0"/>
              <w:left w:val="single" w:color="auto" w:sz="6" w:space="0"/>
              <w:bottom w:val="single" w:color="auto" w:sz="6" w:space="0"/>
              <w:right w:val="single" w:color="auto" w:sz="6" w:space="0"/>
            </w:tcBorders>
            <w:noWrap w:val="0"/>
            <w:vAlign w:val="center"/>
          </w:tcPr>
          <w:p w14:paraId="036E30F7">
            <w:pPr>
              <w:pStyle w:val="13"/>
              <w:keepNext/>
              <w:spacing w:line="440" w:lineRule="exact"/>
              <w:ind w:left="63" w:right="63"/>
              <w:rPr>
                <w:rFonts w:hint="eastAsia" w:ascii="宋体" w:hAnsi="宋体" w:eastAsia="宋体" w:cs="宋体"/>
                <w:sz w:val="24"/>
                <w:szCs w:val="24"/>
              </w:rPr>
            </w:pPr>
          </w:p>
        </w:tc>
        <w:tc>
          <w:tcPr>
            <w:tcW w:w="291" w:type="pct"/>
            <w:tcBorders>
              <w:top w:val="single" w:color="auto" w:sz="6" w:space="0"/>
              <w:left w:val="single" w:color="auto" w:sz="6" w:space="0"/>
              <w:bottom w:val="single" w:color="auto" w:sz="6" w:space="0"/>
              <w:right w:val="single" w:color="auto" w:sz="6" w:space="0"/>
            </w:tcBorders>
            <w:noWrap w:val="0"/>
            <w:vAlign w:val="center"/>
          </w:tcPr>
          <w:p w14:paraId="516005EA">
            <w:pPr>
              <w:pStyle w:val="13"/>
              <w:keepNext/>
              <w:spacing w:line="440" w:lineRule="exact"/>
              <w:ind w:left="63" w:right="63"/>
              <w:rPr>
                <w:rFonts w:hint="eastAsia" w:ascii="宋体" w:hAnsi="宋体" w:eastAsia="宋体" w:cs="宋体"/>
                <w:sz w:val="24"/>
                <w:szCs w:val="24"/>
              </w:rPr>
            </w:pPr>
          </w:p>
        </w:tc>
        <w:tc>
          <w:tcPr>
            <w:tcW w:w="291" w:type="pct"/>
            <w:tcBorders>
              <w:top w:val="single" w:color="auto" w:sz="6" w:space="0"/>
              <w:left w:val="single" w:color="auto" w:sz="6" w:space="0"/>
              <w:bottom w:val="single" w:color="auto" w:sz="6" w:space="0"/>
              <w:right w:val="single" w:color="auto" w:sz="12" w:space="0"/>
            </w:tcBorders>
            <w:noWrap w:val="0"/>
            <w:vAlign w:val="center"/>
          </w:tcPr>
          <w:p w14:paraId="24271222">
            <w:pPr>
              <w:pStyle w:val="13"/>
              <w:keepNext/>
              <w:spacing w:line="440" w:lineRule="exact"/>
              <w:ind w:left="63" w:right="63"/>
              <w:rPr>
                <w:rFonts w:hint="eastAsia" w:ascii="宋体" w:hAnsi="宋体" w:eastAsia="宋体" w:cs="宋体"/>
                <w:sz w:val="24"/>
                <w:szCs w:val="24"/>
              </w:rPr>
            </w:pPr>
          </w:p>
        </w:tc>
      </w:tr>
      <w:tr w14:paraId="637473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nil"/>
              <w:left w:val="single" w:color="auto" w:sz="12" w:space="0"/>
              <w:bottom w:val="single" w:color="auto" w:sz="6" w:space="0"/>
              <w:right w:val="single" w:color="auto" w:sz="6" w:space="0"/>
            </w:tcBorders>
            <w:noWrap w:val="0"/>
            <w:vAlign w:val="center"/>
          </w:tcPr>
          <w:p w14:paraId="00C671FC">
            <w:pPr>
              <w:pStyle w:val="13"/>
              <w:keepNext/>
              <w:spacing w:line="440" w:lineRule="exact"/>
              <w:ind w:left="63" w:right="63"/>
              <w:rPr>
                <w:rFonts w:hint="eastAsia" w:ascii="宋体" w:hAnsi="宋体" w:eastAsia="宋体" w:cs="宋体"/>
                <w:sz w:val="24"/>
                <w:szCs w:val="24"/>
              </w:rPr>
            </w:pPr>
          </w:p>
        </w:tc>
        <w:tc>
          <w:tcPr>
            <w:tcW w:w="631" w:type="pct"/>
            <w:tcBorders>
              <w:top w:val="nil"/>
              <w:left w:val="single" w:color="auto" w:sz="6" w:space="0"/>
              <w:bottom w:val="single" w:color="auto" w:sz="6" w:space="0"/>
              <w:right w:val="single" w:color="auto" w:sz="6" w:space="0"/>
            </w:tcBorders>
            <w:noWrap w:val="0"/>
            <w:vAlign w:val="center"/>
          </w:tcPr>
          <w:p w14:paraId="3107022D">
            <w:pPr>
              <w:pStyle w:val="13"/>
              <w:keepNext/>
              <w:spacing w:line="440" w:lineRule="exact"/>
              <w:ind w:left="63" w:right="63"/>
              <w:rPr>
                <w:rFonts w:hint="eastAsia" w:ascii="宋体" w:hAnsi="宋体" w:eastAsia="宋体" w:cs="宋体"/>
                <w:sz w:val="24"/>
                <w:szCs w:val="24"/>
              </w:rPr>
            </w:pPr>
          </w:p>
        </w:tc>
        <w:tc>
          <w:tcPr>
            <w:tcW w:w="485" w:type="pct"/>
            <w:tcBorders>
              <w:top w:val="nil"/>
              <w:left w:val="single" w:color="auto" w:sz="6" w:space="0"/>
              <w:bottom w:val="single" w:color="auto" w:sz="6" w:space="0"/>
              <w:right w:val="single" w:color="auto" w:sz="6" w:space="0"/>
            </w:tcBorders>
            <w:noWrap w:val="0"/>
            <w:vAlign w:val="center"/>
          </w:tcPr>
          <w:p w14:paraId="5E2DD986">
            <w:pPr>
              <w:pStyle w:val="13"/>
              <w:keepNext/>
              <w:spacing w:line="440" w:lineRule="exact"/>
              <w:ind w:left="63" w:right="63"/>
              <w:rPr>
                <w:rFonts w:hint="eastAsia" w:ascii="宋体" w:hAnsi="宋体" w:eastAsia="宋体" w:cs="宋体"/>
                <w:sz w:val="24"/>
                <w:szCs w:val="24"/>
              </w:rPr>
            </w:pPr>
          </w:p>
        </w:tc>
        <w:tc>
          <w:tcPr>
            <w:tcW w:w="825" w:type="pct"/>
            <w:tcBorders>
              <w:top w:val="nil"/>
              <w:left w:val="single" w:color="auto" w:sz="6" w:space="0"/>
              <w:bottom w:val="single" w:color="auto" w:sz="6" w:space="0"/>
              <w:right w:val="single" w:color="auto" w:sz="6" w:space="0"/>
            </w:tcBorders>
            <w:noWrap w:val="0"/>
            <w:vAlign w:val="center"/>
          </w:tcPr>
          <w:p w14:paraId="5501E91D">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6" w:space="0"/>
            </w:tcBorders>
            <w:noWrap w:val="0"/>
            <w:vAlign w:val="center"/>
          </w:tcPr>
          <w:p w14:paraId="3308DE6E">
            <w:pPr>
              <w:pStyle w:val="13"/>
              <w:keepNext/>
              <w:spacing w:line="440" w:lineRule="exact"/>
              <w:ind w:left="63" w:right="63"/>
              <w:rPr>
                <w:rFonts w:hint="eastAsia" w:ascii="宋体" w:hAnsi="宋体" w:eastAsia="宋体" w:cs="宋体"/>
                <w:sz w:val="24"/>
                <w:szCs w:val="24"/>
              </w:rPr>
            </w:pPr>
          </w:p>
        </w:tc>
        <w:tc>
          <w:tcPr>
            <w:tcW w:w="534" w:type="pct"/>
            <w:tcBorders>
              <w:top w:val="nil"/>
              <w:left w:val="single" w:color="auto" w:sz="6" w:space="0"/>
              <w:bottom w:val="single" w:color="auto" w:sz="6" w:space="0"/>
              <w:right w:val="single" w:color="auto" w:sz="6" w:space="0"/>
            </w:tcBorders>
            <w:noWrap w:val="0"/>
            <w:vAlign w:val="center"/>
          </w:tcPr>
          <w:p w14:paraId="70F63285">
            <w:pPr>
              <w:pStyle w:val="13"/>
              <w:keepNext/>
              <w:spacing w:line="440" w:lineRule="exact"/>
              <w:ind w:left="63" w:right="63"/>
              <w:rPr>
                <w:rFonts w:hint="eastAsia" w:ascii="宋体" w:hAnsi="宋体" w:eastAsia="宋体" w:cs="宋体"/>
                <w:sz w:val="24"/>
                <w:szCs w:val="24"/>
              </w:rPr>
            </w:pPr>
          </w:p>
        </w:tc>
        <w:tc>
          <w:tcPr>
            <w:tcW w:w="727" w:type="pct"/>
            <w:tcBorders>
              <w:top w:val="nil"/>
              <w:left w:val="single" w:color="auto" w:sz="6" w:space="0"/>
              <w:bottom w:val="single" w:color="auto" w:sz="6" w:space="0"/>
              <w:right w:val="single" w:color="auto" w:sz="6" w:space="0"/>
            </w:tcBorders>
            <w:noWrap w:val="0"/>
            <w:vAlign w:val="center"/>
          </w:tcPr>
          <w:p w14:paraId="76CC76EC">
            <w:pPr>
              <w:pStyle w:val="13"/>
              <w:keepNext/>
              <w:spacing w:line="440" w:lineRule="exact"/>
              <w:ind w:left="63" w:right="63"/>
              <w:rPr>
                <w:rFonts w:hint="eastAsia" w:ascii="宋体" w:hAnsi="宋体" w:eastAsia="宋体" w:cs="宋体"/>
                <w:sz w:val="24"/>
                <w:szCs w:val="24"/>
              </w:rPr>
            </w:pPr>
          </w:p>
        </w:tc>
        <w:tc>
          <w:tcPr>
            <w:tcW w:w="485" w:type="pct"/>
            <w:tcBorders>
              <w:top w:val="nil"/>
              <w:left w:val="single" w:color="auto" w:sz="6" w:space="0"/>
              <w:bottom w:val="single" w:color="auto" w:sz="6" w:space="0"/>
              <w:right w:val="single" w:color="auto" w:sz="6" w:space="0"/>
            </w:tcBorders>
            <w:noWrap w:val="0"/>
            <w:vAlign w:val="center"/>
          </w:tcPr>
          <w:p w14:paraId="312D7B86">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6" w:space="0"/>
            </w:tcBorders>
            <w:noWrap w:val="0"/>
            <w:vAlign w:val="center"/>
          </w:tcPr>
          <w:p w14:paraId="19686155">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12" w:space="0"/>
            </w:tcBorders>
            <w:noWrap w:val="0"/>
            <w:vAlign w:val="center"/>
          </w:tcPr>
          <w:p w14:paraId="0DC372F9">
            <w:pPr>
              <w:pStyle w:val="13"/>
              <w:keepNext/>
              <w:spacing w:line="440" w:lineRule="exact"/>
              <w:ind w:left="63" w:right="63"/>
              <w:rPr>
                <w:rFonts w:hint="eastAsia" w:ascii="宋体" w:hAnsi="宋体" w:eastAsia="宋体" w:cs="宋体"/>
                <w:sz w:val="24"/>
                <w:szCs w:val="24"/>
              </w:rPr>
            </w:pPr>
          </w:p>
        </w:tc>
      </w:tr>
      <w:tr w14:paraId="3D1E78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single" w:color="auto" w:sz="6" w:space="0"/>
              <w:left w:val="single" w:color="auto" w:sz="12" w:space="0"/>
              <w:bottom w:val="single" w:color="auto" w:sz="6" w:space="0"/>
              <w:right w:val="single" w:color="auto" w:sz="6" w:space="0"/>
            </w:tcBorders>
            <w:noWrap w:val="0"/>
            <w:vAlign w:val="center"/>
          </w:tcPr>
          <w:p w14:paraId="3F541315">
            <w:pPr>
              <w:pStyle w:val="13"/>
              <w:keepNext/>
              <w:spacing w:line="440" w:lineRule="exact"/>
              <w:ind w:left="63" w:right="63"/>
              <w:rPr>
                <w:rFonts w:hint="eastAsia" w:ascii="宋体" w:hAnsi="宋体" w:eastAsia="宋体" w:cs="宋体"/>
                <w:sz w:val="24"/>
                <w:szCs w:val="24"/>
              </w:rPr>
            </w:pPr>
          </w:p>
        </w:tc>
        <w:tc>
          <w:tcPr>
            <w:tcW w:w="631" w:type="pct"/>
            <w:tcBorders>
              <w:top w:val="single" w:color="auto" w:sz="6" w:space="0"/>
              <w:left w:val="single" w:color="auto" w:sz="6" w:space="0"/>
              <w:bottom w:val="single" w:color="auto" w:sz="6" w:space="0"/>
              <w:right w:val="single" w:color="auto" w:sz="6" w:space="0"/>
            </w:tcBorders>
            <w:noWrap w:val="0"/>
            <w:vAlign w:val="center"/>
          </w:tcPr>
          <w:p w14:paraId="490D8318">
            <w:pPr>
              <w:pStyle w:val="13"/>
              <w:keepNext/>
              <w:spacing w:line="440" w:lineRule="exact"/>
              <w:ind w:left="63" w:right="63"/>
              <w:rPr>
                <w:rFonts w:hint="eastAsia" w:ascii="宋体" w:hAnsi="宋体" w:eastAsia="宋体" w:cs="宋体"/>
                <w:sz w:val="24"/>
                <w:szCs w:val="24"/>
              </w:rPr>
            </w:pPr>
          </w:p>
        </w:tc>
        <w:tc>
          <w:tcPr>
            <w:tcW w:w="485" w:type="pct"/>
            <w:tcBorders>
              <w:top w:val="single" w:color="auto" w:sz="6" w:space="0"/>
              <w:left w:val="single" w:color="auto" w:sz="6" w:space="0"/>
              <w:bottom w:val="single" w:color="auto" w:sz="6" w:space="0"/>
              <w:right w:val="single" w:color="auto" w:sz="6" w:space="0"/>
            </w:tcBorders>
            <w:noWrap w:val="0"/>
            <w:vAlign w:val="center"/>
          </w:tcPr>
          <w:p w14:paraId="7484B46D">
            <w:pPr>
              <w:pStyle w:val="13"/>
              <w:keepNext/>
              <w:spacing w:line="440" w:lineRule="exact"/>
              <w:ind w:left="63" w:right="63"/>
              <w:rPr>
                <w:rFonts w:hint="eastAsia" w:ascii="宋体" w:hAnsi="宋体" w:eastAsia="宋体" w:cs="宋体"/>
                <w:sz w:val="24"/>
                <w:szCs w:val="24"/>
              </w:rPr>
            </w:pPr>
          </w:p>
        </w:tc>
        <w:tc>
          <w:tcPr>
            <w:tcW w:w="825" w:type="pct"/>
            <w:tcBorders>
              <w:top w:val="single" w:color="auto" w:sz="6" w:space="0"/>
              <w:left w:val="single" w:color="auto" w:sz="6" w:space="0"/>
              <w:bottom w:val="single" w:color="auto" w:sz="6" w:space="0"/>
              <w:right w:val="single" w:color="auto" w:sz="6" w:space="0"/>
            </w:tcBorders>
            <w:noWrap w:val="0"/>
            <w:vAlign w:val="center"/>
          </w:tcPr>
          <w:p w14:paraId="7B83C137">
            <w:pPr>
              <w:pStyle w:val="13"/>
              <w:keepNext/>
              <w:spacing w:line="440" w:lineRule="exact"/>
              <w:ind w:left="63" w:right="63"/>
              <w:rPr>
                <w:rFonts w:hint="eastAsia" w:ascii="宋体" w:hAnsi="宋体" w:eastAsia="宋体" w:cs="宋体"/>
                <w:sz w:val="24"/>
                <w:szCs w:val="24"/>
              </w:rPr>
            </w:pPr>
          </w:p>
        </w:tc>
        <w:tc>
          <w:tcPr>
            <w:tcW w:w="291" w:type="pct"/>
            <w:tcBorders>
              <w:top w:val="single" w:color="auto" w:sz="6" w:space="0"/>
              <w:left w:val="single" w:color="auto" w:sz="6" w:space="0"/>
              <w:bottom w:val="single" w:color="auto" w:sz="6" w:space="0"/>
              <w:right w:val="single" w:color="auto" w:sz="6" w:space="0"/>
            </w:tcBorders>
            <w:noWrap w:val="0"/>
            <w:vAlign w:val="center"/>
          </w:tcPr>
          <w:p w14:paraId="6B1EBCF7">
            <w:pPr>
              <w:pStyle w:val="13"/>
              <w:keepNext/>
              <w:spacing w:line="440" w:lineRule="exact"/>
              <w:ind w:left="63" w:right="63"/>
              <w:rPr>
                <w:rFonts w:hint="eastAsia" w:ascii="宋体" w:hAnsi="宋体" w:eastAsia="宋体" w:cs="宋体"/>
                <w:sz w:val="24"/>
                <w:szCs w:val="24"/>
              </w:rPr>
            </w:pPr>
          </w:p>
        </w:tc>
        <w:tc>
          <w:tcPr>
            <w:tcW w:w="534" w:type="pct"/>
            <w:tcBorders>
              <w:top w:val="single" w:color="auto" w:sz="6" w:space="0"/>
              <w:left w:val="single" w:color="auto" w:sz="6" w:space="0"/>
              <w:bottom w:val="single" w:color="auto" w:sz="6" w:space="0"/>
              <w:right w:val="single" w:color="auto" w:sz="6" w:space="0"/>
            </w:tcBorders>
            <w:noWrap w:val="0"/>
            <w:vAlign w:val="center"/>
          </w:tcPr>
          <w:p w14:paraId="7EAF2EF7">
            <w:pPr>
              <w:pStyle w:val="13"/>
              <w:keepNext/>
              <w:spacing w:line="440" w:lineRule="exact"/>
              <w:ind w:left="63" w:right="63"/>
              <w:rPr>
                <w:rFonts w:hint="eastAsia" w:ascii="宋体" w:hAnsi="宋体" w:eastAsia="宋体" w:cs="宋体"/>
                <w:sz w:val="24"/>
                <w:szCs w:val="24"/>
              </w:rPr>
            </w:pPr>
          </w:p>
        </w:tc>
        <w:tc>
          <w:tcPr>
            <w:tcW w:w="727" w:type="pct"/>
            <w:tcBorders>
              <w:top w:val="single" w:color="auto" w:sz="6" w:space="0"/>
              <w:left w:val="single" w:color="auto" w:sz="6" w:space="0"/>
              <w:bottom w:val="single" w:color="auto" w:sz="6" w:space="0"/>
              <w:right w:val="single" w:color="auto" w:sz="6" w:space="0"/>
            </w:tcBorders>
            <w:noWrap w:val="0"/>
            <w:vAlign w:val="center"/>
          </w:tcPr>
          <w:p w14:paraId="1E29EF24">
            <w:pPr>
              <w:pStyle w:val="13"/>
              <w:keepNext/>
              <w:spacing w:line="440" w:lineRule="exact"/>
              <w:ind w:left="63" w:right="63"/>
              <w:rPr>
                <w:rFonts w:hint="eastAsia" w:ascii="宋体" w:hAnsi="宋体" w:eastAsia="宋体" w:cs="宋体"/>
                <w:sz w:val="24"/>
                <w:szCs w:val="24"/>
              </w:rPr>
            </w:pPr>
          </w:p>
        </w:tc>
        <w:tc>
          <w:tcPr>
            <w:tcW w:w="485" w:type="pct"/>
            <w:tcBorders>
              <w:top w:val="single" w:color="auto" w:sz="6" w:space="0"/>
              <w:left w:val="single" w:color="auto" w:sz="6" w:space="0"/>
              <w:bottom w:val="single" w:color="auto" w:sz="6" w:space="0"/>
              <w:right w:val="single" w:color="auto" w:sz="6" w:space="0"/>
            </w:tcBorders>
            <w:noWrap w:val="0"/>
            <w:vAlign w:val="center"/>
          </w:tcPr>
          <w:p w14:paraId="5649048D">
            <w:pPr>
              <w:pStyle w:val="13"/>
              <w:keepNext/>
              <w:spacing w:line="440" w:lineRule="exact"/>
              <w:ind w:left="63" w:right="63"/>
              <w:rPr>
                <w:rFonts w:hint="eastAsia" w:ascii="宋体" w:hAnsi="宋体" w:eastAsia="宋体" w:cs="宋体"/>
                <w:sz w:val="24"/>
                <w:szCs w:val="24"/>
              </w:rPr>
            </w:pPr>
          </w:p>
        </w:tc>
        <w:tc>
          <w:tcPr>
            <w:tcW w:w="291" w:type="pct"/>
            <w:tcBorders>
              <w:top w:val="single" w:color="auto" w:sz="6" w:space="0"/>
              <w:left w:val="single" w:color="auto" w:sz="6" w:space="0"/>
              <w:bottom w:val="single" w:color="auto" w:sz="6" w:space="0"/>
              <w:right w:val="single" w:color="auto" w:sz="6" w:space="0"/>
            </w:tcBorders>
            <w:noWrap w:val="0"/>
            <w:vAlign w:val="center"/>
          </w:tcPr>
          <w:p w14:paraId="5230F9E7">
            <w:pPr>
              <w:pStyle w:val="13"/>
              <w:keepNext/>
              <w:spacing w:line="440" w:lineRule="exact"/>
              <w:ind w:left="63" w:right="63"/>
              <w:rPr>
                <w:rFonts w:hint="eastAsia" w:ascii="宋体" w:hAnsi="宋体" w:eastAsia="宋体" w:cs="宋体"/>
                <w:sz w:val="24"/>
                <w:szCs w:val="24"/>
              </w:rPr>
            </w:pPr>
          </w:p>
        </w:tc>
        <w:tc>
          <w:tcPr>
            <w:tcW w:w="291" w:type="pct"/>
            <w:tcBorders>
              <w:top w:val="single" w:color="auto" w:sz="6" w:space="0"/>
              <w:left w:val="single" w:color="auto" w:sz="6" w:space="0"/>
              <w:bottom w:val="single" w:color="auto" w:sz="6" w:space="0"/>
              <w:right w:val="single" w:color="auto" w:sz="12" w:space="0"/>
            </w:tcBorders>
            <w:noWrap w:val="0"/>
            <w:vAlign w:val="center"/>
          </w:tcPr>
          <w:p w14:paraId="32AA68B0">
            <w:pPr>
              <w:pStyle w:val="13"/>
              <w:keepNext/>
              <w:spacing w:line="440" w:lineRule="exact"/>
              <w:ind w:left="63" w:right="63"/>
              <w:rPr>
                <w:rFonts w:hint="eastAsia" w:ascii="宋体" w:hAnsi="宋体" w:eastAsia="宋体" w:cs="宋体"/>
                <w:sz w:val="24"/>
                <w:szCs w:val="24"/>
              </w:rPr>
            </w:pPr>
          </w:p>
        </w:tc>
      </w:tr>
      <w:tr w14:paraId="03CA9A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nil"/>
              <w:left w:val="single" w:color="auto" w:sz="12" w:space="0"/>
              <w:bottom w:val="single" w:color="auto" w:sz="6" w:space="0"/>
              <w:right w:val="single" w:color="auto" w:sz="6" w:space="0"/>
            </w:tcBorders>
            <w:noWrap w:val="0"/>
            <w:vAlign w:val="center"/>
          </w:tcPr>
          <w:p w14:paraId="5CA8990E">
            <w:pPr>
              <w:pStyle w:val="13"/>
              <w:keepNext/>
              <w:spacing w:line="440" w:lineRule="exact"/>
              <w:ind w:left="63" w:right="63"/>
              <w:rPr>
                <w:rFonts w:hint="eastAsia" w:ascii="宋体" w:hAnsi="宋体" w:eastAsia="宋体" w:cs="宋体"/>
                <w:sz w:val="24"/>
                <w:szCs w:val="24"/>
              </w:rPr>
            </w:pPr>
          </w:p>
        </w:tc>
        <w:tc>
          <w:tcPr>
            <w:tcW w:w="631" w:type="pct"/>
            <w:tcBorders>
              <w:top w:val="nil"/>
              <w:left w:val="single" w:color="auto" w:sz="6" w:space="0"/>
              <w:bottom w:val="single" w:color="auto" w:sz="6" w:space="0"/>
              <w:right w:val="single" w:color="auto" w:sz="6" w:space="0"/>
            </w:tcBorders>
            <w:noWrap w:val="0"/>
            <w:vAlign w:val="center"/>
          </w:tcPr>
          <w:p w14:paraId="03AC9407">
            <w:pPr>
              <w:pStyle w:val="13"/>
              <w:keepNext/>
              <w:spacing w:line="440" w:lineRule="exact"/>
              <w:ind w:left="63" w:right="63"/>
              <w:rPr>
                <w:rFonts w:hint="eastAsia" w:ascii="宋体" w:hAnsi="宋体" w:eastAsia="宋体" w:cs="宋体"/>
                <w:sz w:val="24"/>
                <w:szCs w:val="24"/>
              </w:rPr>
            </w:pPr>
          </w:p>
        </w:tc>
        <w:tc>
          <w:tcPr>
            <w:tcW w:w="485" w:type="pct"/>
            <w:tcBorders>
              <w:top w:val="nil"/>
              <w:left w:val="single" w:color="auto" w:sz="6" w:space="0"/>
              <w:bottom w:val="single" w:color="auto" w:sz="6" w:space="0"/>
              <w:right w:val="single" w:color="auto" w:sz="6" w:space="0"/>
            </w:tcBorders>
            <w:noWrap w:val="0"/>
            <w:vAlign w:val="center"/>
          </w:tcPr>
          <w:p w14:paraId="58E171BE">
            <w:pPr>
              <w:pStyle w:val="13"/>
              <w:keepNext/>
              <w:spacing w:line="440" w:lineRule="exact"/>
              <w:ind w:left="63" w:right="63"/>
              <w:rPr>
                <w:rFonts w:hint="eastAsia" w:ascii="宋体" w:hAnsi="宋体" w:eastAsia="宋体" w:cs="宋体"/>
                <w:sz w:val="24"/>
                <w:szCs w:val="24"/>
              </w:rPr>
            </w:pPr>
          </w:p>
        </w:tc>
        <w:tc>
          <w:tcPr>
            <w:tcW w:w="825" w:type="pct"/>
            <w:tcBorders>
              <w:top w:val="nil"/>
              <w:left w:val="single" w:color="auto" w:sz="6" w:space="0"/>
              <w:bottom w:val="single" w:color="auto" w:sz="6" w:space="0"/>
              <w:right w:val="single" w:color="auto" w:sz="6" w:space="0"/>
            </w:tcBorders>
            <w:noWrap w:val="0"/>
            <w:vAlign w:val="center"/>
          </w:tcPr>
          <w:p w14:paraId="012E719E">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6" w:space="0"/>
            </w:tcBorders>
            <w:noWrap w:val="0"/>
            <w:vAlign w:val="center"/>
          </w:tcPr>
          <w:p w14:paraId="6A553DCC">
            <w:pPr>
              <w:pStyle w:val="13"/>
              <w:keepNext/>
              <w:spacing w:line="440" w:lineRule="exact"/>
              <w:ind w:left="63" w:right="63"/>
              <w:rPr>
                <w:rFonts w:hint="eastAsia" w:ascii="宋体" w:hAnsi="宋体" w:eastAsia="宋体" w:cs="宋体"/>
                <w:sz w:val="24"/>
                <w:szCs w:val="24"/>
              </w:rPr>
            </w:pPr>
          </w:p>
        </w:tc>
        <w:tc>
          <w:tcPr>
            <w:tcW w:w="534" w:type="pct"/>
            <w:tcBorders>
              <w:top w:val="nil"/>
              <w:left w:val="single" w:color="auto" w:sz="6" w:space="0"/>
              <w:bottom w:val="single" w:color="auto" w:sz="6" w:space="0"/>
              <w:right w:val="single" w:color="auto" w:sz="6" w:space="0"/>
            </w:tcBorders>
            <w:noWrap w:val="0"/>
            <w:vAlign w:val="center"/>
          </w:tcPr>
          <w:p w14:paraId="2599F528">
            <w:pPr>
              <w:pStyle w:val="13"/>
              <w:keepNext/>
              <w:spacing w:line="440" w:lineRule="exact"/>
              <w:ind w:left="63" w:right="63"/>
              <w:rPr>
                <w:rFonts w:hint="eastAsia" w:ascii="宋体" w:hAnsi="宋体" w:eastAsia="宋体" w:cs="宋体"/>
                <w:sz w:val="24"/>
                <w:szCs w:val="24"/>
              </w:rPr>
            </w:pPr>
          </w:p>
        </w:tc>
        <w:tc>
          <w:tcPr>
            <w:tcW w:w="727" w:type="pct"/>
            <w:tcBorders>
              <w:top w:val="nil"/>
              <w:left w:val="single" w:color="auto" w:sz="6" w:space="0"/>
              <w:bottom w:val="single" w:color="auto" w:sz="6" w:space="0"/>
              <w:right w:val="single" w:color="auto" w:sz="6" w:space="0"/>
            </w:tcBorders>
            <w:noWrap w:val="0"/>
            <w:vAlign w:val="center"/>
          </w:tcPr>
          <w:p w14:paraId="349C0ACE">
            <w:pPr>
              <w:pStyle w:val="13"/>
              <w:keepNext/>
              <w:spacing w:line="440" w:lineRule="exact"/>
              <w:ind w:left="63" w:right="63"/>
              <w:rPr>
                <w:rFonts w:hint="eastAsia" w:ascii="宋体" w:hAnsi="宋体" w:eastAsia="宋体" w:cs="宋体"/>
                <w:sz w:val="24"/>
                <w:szCs w:val="24"/>
              </w:rPr>
            </w:pPr>
          </w:p>
        </w:tc>
        <w:tc>
          <w:tcPr>
            <w:tcW w:w="485" w:type="pct"/>
            <w:tcBorders>
              <w:top w:val="nil"/>
              <w:left w:val="single" w:color="auto" w:sz="6" w:space="0"/>
              <w:bottom w:val="single" w:color="auto" w:sz="6" w:space="0"/>
              <w:right w:val="single" w:color="auto" w:sz="6" w:space="0"/>
            </w:tcBorders>
            <w:noWrap w:val="0"/>
            <w:vAlign w:val="center"/>
          </w:tcPr>
          <w:p w14:paraId="2E978820">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6" w:space="0"/>
            </w:tcBorders>
            <w:noWrap w:val="0"/>
            <w:vAlign w:val="center"/>
          </w:tcPr>
          <w:p w14:paraId="7AF79518">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12" w:space="0"/>
            </w:tcBorders>
            <w:noWrap w:val="0"/>
            <w:vAlign w:val="center"/>
          </w:tcPr>
          <w:p w14:paraId="0BF7901D">
            <w:pPr>
              <w:pStyle w:val="13"/>
              <w:keepNext/>
              <w:spacing w:line="440" w:lineRule="exact"/>
              <w:ind w:left="63" w:right="63"/>
              <w:rPr>
                <w:rFonts w:hint="eastAsia" w:ascii="宋体" w:hAnsi="宋体" w:eastAsia="宋体" w:cs="宋体"/>
                <w:sz w:val="24"/>
                <w:szCs w:val="24"/>
              </w:rPr>
            </w:pPr>
          </w:p>
        </w:tc>
      </w:tr>
      <w:tr w14:paraId="44A0EB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nil"/>
              <w:left w:val="single" w:color="auto" w:sz="12" w:space="0"/>
              <w:bottom w:val="single" w:color="auto" w:sz="6" w:space="0"/>
              <w:right w:val="single" w:color="auto" w:sz="6" w:space="0"/>
            </w:tcBorders>
            <w:noWrap w:val="0"/>
            <w:vAlign w:val="center"/>
          </w:tcPr>
          <w:p w14:paraId="07D34BE1">
            <w:pPr>
              <w:pStyle w:val="13"/>
              <w:keepNext/>
              <w:spacing w:line="440" w:lineRule="exact"/>
              <w:ind w:left="63" w:right="63"/>
              <w:rPr>
                <w:rFonts w:hint="eastAsia" w:ascii="宋体" w:hAnsi="宋体" w:eastAsia="宋体" w:cs="宋体"/>
                <w:sz w:val="24"/>
                <w:szCs w:val="24"/>
              </w:rPr>
            </w:pPr>
          </w:p>
        </w:tc>
        <w:tc>
          <w:tcPr>
            <w:tcW w:w="631" w:type="pct"/>
            <w:tcBorders>
              <w:top w:val="nil"/>
              <w:left w:val="single" w:color="auto" w:sz="6" w:space="0"/>
              <w:bottom w:val="single" w:color="auto" w:sz="6" w:space="0"/>
              <w:right w:val="single" w:color="auto" w:sz="6" w:space="0"/>
            </w:tcBorders>
            <w:noWrap w:val="0"/>
            <w:vAlign w:val="center"/>
          </w:tcPr>
          <w:p w14:paraId="7386A564">
            <w:pPr>
              <w:pStyle w:val="13"/>
              <w:keepNext/>
              <w:spacing w:line="440" w:lineRule="exact"/>
              <w:ind w:left="63" w:right="63"/>
              <w:rPr>
                <w:rFonts w:hint="eastAsia" w:ascii="宋体" w:hAnsi="宋体" w:eastAsia="宋体" w:cs="宋体"/>
                <w:sz w:val="24"/>
                <w:szCs w:val="24"/>
              </w:rPr>
            </w:pPr>
          </w:p>
        </w:tc>
        <w:tc>
          <w:tcPr>
            <w:tcW w:w="485" w:type="pct"/>
            <w:tcBorders>
              <w:top w:val="nil"/>
              <w:left w:val="single" w:color="auto" w:sz="6" w:space="0"/>
              <w:bottom w:val="single" w:color="auto" w:sz="6" w:space="0"/>
              <w:right w:val="single" w:color="auto" w:sz="6" w:space="0"/>
            </w:tcBorders>
            <w:noWrap w:val="0"/>
            <w:vAlign w:val="center"/>
          </w:tcPr>
          <w:p w14:paraId="6668903A">
            <w:pPr>
              <w:pStyle w:val="13"/>
              <w:keepNext/>
              <w:spacing w:line="440" w:lineRule="exact"/>
              <w:ind w:left="63" w:right="63"/>
              <w:rPr>
                <w:rFonts w:hint="eastAsia" w:ascii="宋体" w:hAnsi="宋体" w:eastAsia="宋体" w:cs="宋体"/>
                <w:sz w:val="24"/>
                <w:szCs w:val="24"/>
              </w:rPr>
            </w:pPr>
          </w:p>
        </w:tc>
        <w:tc>
          <w:tcPr>
            <w:tcW w:w="825" w:type="pct"/>
            <w:tcBorders>
              <w:top w:val="nil"/>
              <w:left w:val="single" w:color="auto" w:sz="6" w:space="0"/>
              <w:bottom w:val="single" w:color="auto" w:sz="6" w:space="0"/>
              <w:right w:val="single" w:color="auto" w:sz="6" w:space="0"/>
            </w:tcBorders>
            <w:noWrap w:val="0"/>
            <w:vAlign w:val="center"/>
          </w:tcPr>
          <w:p w14:paraId="0B73F57F">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6" w:space="0"/>
            </w:tcBorders>
            <w:noWrap w:val="0"/>
            <w:vAlign w:val="center"/>
          </w:tcPr>
          <w:p w14:paraId="106238F0">
            <w:pPr>
              <w:pStyle w:val="13"/>
              <w:keepNext/>
              <w:spacing w:line="440" w:lineRule="exact"/>
              <w:ind w:left="63" w:right="63"/>
              <w:rPr>
                <w:rFonts w:hint="eastAsia" w:ascii="宋体" w:hAnsi="宋体" w:eastAsia="宋体" w:cs="宋体"/>
                <w:sz w:val="24"/>
                <w:szCs w:val="24"/>
              </w:rPr>
            </w:pPr>
          </w:p>
        </w:tc>
        <w:tc>
          <w:tcPr>
            <w:tcW w:w="534" w:type="pct"/>
            <w:tcBorders>
              <w:top w:val="nil"/>
              <w:left w:val="single" w:color="auto" w:sz="6" w:space="0"/>
              <w:bottom w:val="single" w:color="auto" w:sz="6" w:space="0"/>
              <w:right w:val="single" w:color="auto" w:sz="6" w:space="0"/>
            </w:tcBorders>
            <w:noWrap w:val="0"/>
            <w:vAlign w:val="center"/>
          </w:tcPr>
          <w:p w14:paraId="10425043">
            <w:pPr>
              <w:pStyle w:val="13"/>
              <w:keepNext/>
              <w:spacing w:line="440" w:lineRule="exact"/>
              <w:ind w:left="63" w:right="63"/>
              <w:rPr>
                <w:rFonts w:hint="eastAsia" w:ascii="宋体" w:hAnsi="宋体" w:eastAsia="宋体" w:cs="宋体"/>
                <w:sz w:val="24"/>
                <w:szCs w:val="24"/>
              </w:rPr>
            </w:pPr>
          </w:p>
        </w:tc>
        <w:tc>
          <w:tcPr>
            <w:tcW w:w="727" w:type="pct"/>
            <w:tcBorders>
              <w:top w:val="nil"/>
              <w:left w:val="single" w:color="auto" w:sz="6" w:space="0"/>
              <w:bottom w:val="single" w:color="auto" w:sz="6" w:space="0"/>
              <w:right w:val="single" w:color="auto" w:sz="6" w:space="0"/>
            </w:tcBorders>
            <w:noWrap w:val="0"/>
            <w:vAlign w:val="center"/>
          </w:tcPr>
          <w:p w14:paraId="0C8BD9FE">
            <w:pPr>
              <w:pStyle w:val="13"/>
              <w:keepNext/>
              <w:spacing w:line="440" w:lineRule="exact"/>
              <w:ind w:left="63" w:right="63"/>
              <w:rPr>
                <w:rFonts w:hint="eastAsia" w:ascii="宋体" w:hAnsi="宋体" w:eastAsia="宋体" w:cs="宋体"/>
                <w:sz w:val="24"/>
                <w:szCs w:val="24"/>
              </w:rPr>
            </w:pPr>
          </w:p>
        </w:tc>
        <w:tc>
          <w:tcPr>
            <w:tcW w:w="485" w:type="pct"/>
            <w:tcBorders>
              <w:top w:val="nil"/>
              <w:left w:val="single" w:color="auto" w:sz="6" w:space="0"/>
              <w:bottom w:val="single" w:color="auto" w:sz="6" w:space="0"/>
              <w:right w:val="single" w:color="auto" w:sz="6" w:space="0"/>
            </w:tcBorders>
            <w:noWrap w:val="0"/>
            <w:vAlign w:val="center"/>
          </w:tcPr>
          <w:p w14:paraId="1F2750FB">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6" w:space="0"/>
            </w:tcBorders>
            <w:noWrap w:val="0"/>
            <w:vAlign w:val="center"/>
          </w:tcPr>
          <w:p w14:paraId="5225250B">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12" w:space="0"/>
            </w:tcBorders>
            <w:noWrap w:val="0"/>
            <w:vAlign w:val="center"/>
          </w:tcPr>
          <w:p w14:paraId="29261F4B">
            <w:pPr>
              <w:pStyle w:val="13"/>
              <w:keepNext/>
              <w:spacing w:line="440" w:lineRule="exact"/>
              <w:ind w:left="63" w:right="63"/>
              <w:rPr>
                <w:rFonts w:hint="eastAsia" w:ascii="宋体" w:hAnsi="宋体" w:eastAsia="宋体" w:cs="宋体"/>
                <w:sz w:val="24"/>
                <w:szCs w:val="24"/>
              </w:rPr>
            </w:pPr>
          </w:p>
        </w:tc>
      </w:tr>
      <w:tr w14:paraId="78B81C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single" w:color="auto" w:sz="6" w:space="0"/>
              <w:left w:val="single" w:color="auto" w:sz="12" w:space="0"/>
              <w:bottom w:val="single" w:color="auto" w:sz="6" w:space="0"/>
              <w:right w:val="single" w:color="auto" w:sz="6" w:space="0"/>
            </w:tcBorders>
            <w:noWrap w:val="0"/>
            <w:vAlign w:val="center"/>
          </w:tcPr>
          <w:p w14:paraId="58EF6C22">
            <w:pPr>
              <w:pStyle w:val="13"/>
              <w:keepNext/>
              <w:spacing w:line="440" w:lineRule="exact"/>
              <w:ind w:left="63" w:right="63"/>
              <w:rPr>
                <w:rFonts w:hint="eastAsia" w:ascii="宋体" w:hAnsi="宋体" w:eastAsia="宋体" w:cs="宋体"/>
                <w:sz w:val="24"/>
                <w:szCs w:val="24"/>
              </w:rPr>
            </w:pPr>
          </w:p>
        </w:tc>
        <w:tc>
          <w:tcPr>
            <w:tcW w:w="631" w:type="pct"/>
            <w:tcBorders>
              <w:top w:val="single" w:color="auto" w:sz="6" w:space="0"/>
              <w:left w:val="single" w:color="auto" w:sz="6" w:space="0"/>
              <w:bottom w:val="single" w:color="auto" w:sz="6" w:space="0"/>
              <w:right w:val="single" w:color="auto" w:sz="6" w:space="0"/>
            </w:tcBorders>
            <w:noWrap w:val="0"/>
            <w:vAlign w:val="center"/>
          </w:tcPr>
          <w:p w14:paraId="03228838">
            <w:pPr>
              <w:pStyle w:val="13"/>
              <w:keepNext/>
              <w:spacing w:line="440" w:lineRule="exact"/>
              <w:ind w:left="63" w:right="63"/>
              <w:rPr>
                <w:rFonts w:hint="eastAsia" w:ascii="宋体" w:hAnsi="宋体" w:eastAsia="宋体" w:cs="宋体"/>
                <w:sz w:val="24"/>
                <w:szCs w:val="24"/>
              </w:rPr>
            </w:pPr>
          </w:p>
        </w:tc>
        <w:tc>
          <w:tcPr>
            <w:tcW w:w="485" w:type="pct"/>
            <w:tcBorders>
              <w:top w:val="single" w:color="auto" w:sz="6" w:space="0"/>
              <w:left w:val="single" w:color="auto" w:sz="6" w:space="0"/>
              <w:bottom w:val="single" w:color="auto" w:sz="6" w:space="0"/>
              <w:right w:val="single" w:color="auto" w:sz="6" w:space="0"/>
            </w:tcBorders>
            <w:noWrap w:val="0"/>
            <w:vAlign w:val="center"/>
          </w:tcPr>
          <w:p w14:paraId="5A3C9780">
            <w:pPr>
              <w:pStyle w:val="13"/>
              <w:keepNext/>
              <w:spacing w:line="440" w:lineRule="exact"/>
              <w:ind w:left="63" w:right="63"/>
              <w:rPr>
                <w:rFonts w:hint="eastAsia" w:ascii="宋体" w:hAnsi="宋体" w:eastAsia="宋体" w:cs="宋体"/>
                <w:sz w:val="24"/>
                <w:szCs w:val="24"/>
              </w:rPr>
            </w:pPr>
          </w:p>
        </w:tc>
        <w:tc>
          <w:tcPr>
            <w:tcW w:w="825" w:type="pct"/>
            <w:tcBorders>
              <w:top w:val="single" w:color="auto" w:sz="6" w:space="0"/>
              <w:left w:val="single" w:color="auto" w:sz="6" w:space="0"/>
              <w:bottom w:val="single" w:color="auto" w:sz="6" w:space="0"/>
              <w:right w:val="single" w:color="auto" w:sz="6" w:space="0"/>
            </w:tcBorders>
            <w:noWrap w:val="0"/>
            <w:vAlign w:val="center"/>
          </w:tcPr>
          <w:p w14:paraId="48CE0391">
            <w:pPr>
              <w:pStyle w:val="13"/>
              <w:keepNext/>
              <w:spacing w:line="440" w:lineRule="exact"/>
              <w:ind w:left="63" w:right="63"/>
              <w:rPr>
                <w:rFonts w:hint="eastAsia" w:ascii="宋体" w:hAnsi="宋体" w:eastAsia="宋体" w:cs="宋体"/>
                <w:sz w:val="24"/>
                <w:szCs w:val="24"/>
              </w:rPr>
            </w:pPr>
          </w:p>
        </w:tc>
        <w:tc>
          <w:tcPr>
            <w:tcW w:w="291" w:type="pct"/>
            <w:tcBorders>
              <w:top w:val="single" w:color="auto" w:sz="6" w:space="0"/>
              <w:left w:val="single" w:color="auto" w:sz="6" w:space="0"/>
              <w:bottom w:val="single" w:color="auto" w:sz="6" w:space="0"/>
              <w:right w:val="single" w:color="auto" w:sz="6" w:space="0"/>
            </w:tcBorders>
            <w:noWrap w:val="0"/>
            <w:vAlign w:val="center"/>
          </w:tcPr>
          <w:p w14:paraId="5BBD5E0D">
            <w:pPr>
              <w:pStyle w:val="13"/>
              <w:keepNext/>
              <w:spacing w:line="440" w:lineRule="exact"/>
              <w:ind w:left="63" w:right="63"/>
              <w:rPr>
                <w:rFonts w:hint="eastAsia" w:ascii="宋体" w:hAnsi="宋体" w:eastAsia="宋体" w:cs="宋体"/>
                <w:sz w:val="24"/>
                <w:szCs w:val="24"/>
              </w:rPr>
            </w:pPr>
          </w:p>
        </w:tc>
        <w:tc>
          <w:tcPr>
            <w:tcW w:w="534" w:type="pct"/>
            <w:tcBorders>
              <w:top w:val="single" w:color="auto" w:sz="6" w:space="0"/>
              <w:left w:val="single" w:color="auto" w:sz="6" w:space="0"/>
              <w:bottom w:val="single" w:color="auto" w:sz="6" w:space="0"/>
              <w:right w:val="single" w:color="auto" w:sz="6" w:space="0"/>
            </w:tcBorders>
            <w:noWrap w:val="0"/>
            <w:vAlign w:val="center"/>
          </w:tcPr>
          <w:p w14:paraId="306B3C71">
            <w:pPr>
              <w:pStyle w:val="13"/>
              <w:keepNext/>
              <w:spacing w:line="440" w:lineRule="exact"/>
              <w:ind w:left="63" w:right="63"/>
              <w:rPr>
                <w:rFonts w:hint="eastAsia" w:ascii="宋体" w:hAnsi="宋体" w:eastAsia="宋体" w:cs="宋体"/>
                <w:sz w:val="24"/>
                <w:szCs w:val="24"/>
              </w:rPr>
            </w:pPr>
          </w:p>
        </w:tc>
        <w:tc>
          <w:tcPr>
            <w:tcW w:w="727" w:type="pct"/>
            <w:tcBorders>
              <w:top w:val="single" w:color="auto" w:sz="6" w:space="0"/>
              <w:left w:val="single" w:color="auto" w:sz="6" w:space="0"/>
              <w:bottom w:val="single" w:color="auto" w:sz="6" w:space="0"/>
              <w:right w:val="single" w:color="auto" w:sz="6" w:space="0"/>
            </w:tcBorders>
            <w:noWrap w:val="0"/>
            <w:vAlign w:val="center"/>
          </w:tcPr>
          <w:p w14:paraId="76A66B5E">
            <w:pPr>
              <w:pStyle w:val="13"/>
              <w:keepNext/>
              <w:spacing w:line="440" w:lineRule="exact"/>
              <w:ind w:left="63" w:right="63"/>
              <w:rPr>
                <w:rFonts w:hint="eastAsia" w:ascii="宋体" w:hAnsi="宋体" w:eastAsia="宋体" w:cs="宋体"/>
                <w:sz w:val="24"/>
                <w:szCs w:val="24"/>
              </w:rPr>
            </w:pPr>
          </w:p>
        </w:tc>
        <w:tc>
          <w:tcPr>
            <w:tcW w:w="485" w:type="pct"/>
            <w:tcBorders>
              <w:top w:val="single" w:color="auto" w:sz="6" w:space="0"/>
              <w:left w:val="single" w:color="auto" w:sz="6" w:space="0"/>
              <w:bottom w:val="single" w:color="auto" w:sz="6" w:space="0"/>
              <w:right w:val="single" w:color="auto" w:sz="6" w:space="0"/>
            </w:tcBorders>
            <w:noWrap w:val="0"/>
            <w:vAlign w:val="center"/>
          </w:tcPr>
          <w:p w14:paraId="512262C2">
            <w:pPr>
              <w:pStyle w:val="13"/>
              <w:keepNext/>
              <w:spacing w:line="440" w:lineRule="exact"/>
              <w:ind w:left="63" w:right="63"/>
              <w:rPr>
                <w:rFonts w:hint="eastAsia" w:ascii="宋体" w:hAnsi="宋体" w:eastAsia="宋体" w:cs="宋体"/>
                <w:sz w:val="24"/>
                <w:szCs w:val="24"/>
              </w:rPr>
            </w:pPr>
          </w:p>
        </w:tc>
        <w:tc>
          <w:tcPr>
            <w:tcW w:w="291" w:type="pct"/>
            <w:tcBorders>
              <w:top w:val="single" w:color="auto" w:sz="6" w:space="0"/>
              <w:left w:val="single" w:color="auto" w:sz="6" w:space="0"/>
              <w:bottom w:val="single" w:color="auto" w:sz="6" w:space="0"/>
              <w:right w:val="single" w:color="auto" w:sz="6" w:space="0"/>
            </w:tcBorders>
            <w:noWrap w:val="0"/>
            <w:vAlign w:val="center"/>
          </w:tcPr>
          <w:p w14:paraId="5344C36E">
            <w:pPr>
              <w:pStyle w:val="13"/>
              <w:keepNext/>
              <w:spacing w:line="440" w:lineRule="exact"/>
              <w:ind w:left="63" w:right="63"/>
              <w:rPr>
                <w:rFonts w:hint="eastAsia" w:ascii="宋体" w:hAnsi="宋体" w:eastAsia="宋体" w:cs="宋体"/>
                <w:sz w:val="24"/>
                <w:szCs w:val="24"/>
              </w:rPr>
            </w:pPr>
          </w:p>
        </w:tc>
        <w:tc>
          <w:tcPr>
            <w:tcW w:w="291" w:type="pct"/>
            <w:tcBorders>
              <w:top w:val="single" w:color="auto" w:sz="6" w:space="0"/>
              <w:left w:val="single" w:color="auto" w:sz="6" w:space="0"/>
              <w:bottom w:val="single" w:color="auto" w:sz="6" w:space="0"/>
              <w:right w:val="single" w:color="auto" w:sz="12" w:space="0"/>
            </w:tcBorders>
            <w:noWrap w:val="0"/>
            <w:vAlign w:val="center"/>
          </w:tcPr>
          <w:p w14:paraId="693802CD">
            <w:pPr>
              <w:pStyle w:val="13"/>
              <w:keepNext/>
              <w:spacing w:line="440" w:lineRule="exact"/>
              <w:ind w:left="63" w:right="63"/>
              <w:rPr>
                <w:rFonts w:hint="eastAsia" w:ascii="宋体" w:hAnsi="宋体" w:eastAsia="宋体" w:cs="宋体"/>
                <w:sz w:val="24"/>
                <w:szCs w:val="24"/>
              </w:rPr>
            </w:pPr>
          </w:p>
        </w:tc>
      </w:tr>
      <w:tr w14:paraId="32C24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nil"/>
              <w:left w:val="single" w:color="auto" w:sz="12" w:space="0"/>
              <w:bottom w:val="single" w:color="auto" w:sz="6" w:space="0"/>
              <w:right w:val="single" w:color="auto" w:sz="6" w:space="0"/>
            </w:tcBorders>
            <w:noWrap w:val="0"/>
            <w:vAlign w:val="center"/>
          </w:tcPr>
          <w:p w14:paraId="23ADFD19">
            <w:pPr>
              <w:pStyle w:val="13"/>
              <w:keepNext/>
              <w:spacing w:line="440" w:lineRule="exact"/>
              <w:ind w:left="63" w:right="63"/>
              <w:rPr>
                <w:rFonts w:hint="eastAsia" w:ascii="宋体" w:hAnsi="宋体" w:eastAsia="宋体" w:cs="宋体"/>
                <w:sz w:val="24"/>
                <w:szCs w:val="24"/>
              </w:rPr>
            </w:pPr>
          </w:p>
        </w:tc>
        <w:tc>
          <w:tcPr>
            <w:tcW w:w="631" w:type="pct"/>
            <w:tcBorders>
              <w:top w:val="nil"/>
              <w:left w:val="single" w:color="auto" w:sz="6" w:space="0"/>
              <w:bottom w:val="single" w:color="auto" w:sz="6" w:space="0"/>
              <w:right w:val="single" w:color="auto" w:sz="6" w:space="0"/>
            </w:tcBorders>
            <w:noWrap w:val="0"/>
            <w:vAlign w:val="center"/>
          </w:tcPr>
          <w:p w14:paraId="74FBCF79">
            <w:pPr>
              <w:pStyle w:val="13"/>
              <w:keepNext/>
              <w:spacing w:line="440" w:lineRule="exact"/>
              <w:ind w:left="63" w:right="63"/>
              <w:rPr>
                <w:rFonts w:hint="eastAsia" w:ascii="宋体" w:hAnsi="宋体" w:eastAsia="宋体" w:cs="宋体"/>
                <w:sz w:val="24"/>
                <w:szCs w:val="24"/>
              </w:rPr>
            </w:pPr>
          </w:p>
        </w:tc>
        <w:tc>
          <w:tcPr>
            <w:tcW w:w="485" w:type="pct"/>
            <w:tcBorders>
              <w:top w:val="nil"/>
              <w:left w:val="single" w:color="auto" w:sz="6" w:space="0"/>
              <w:bottom w:val="single" w:color="auto" w:sz="6" w:space="0"/>
              <w:right w:val="single" w:color="auto" w:sz="6" w:space="0"/>
            </w:tcBorders>
            <w:noWrap w:val="0"/>
            <w:vAlign w:val="center"/>
          </w:tcPr>
          <w:p w14:paraId="19D6EB0F">
            <w:pPr>
              <w:pStyle w:val="13"/>
              <w:keepNext/>
              <w:spacing w:line="440" w:lineRule="exact"/>
              <w:ind w:left="63" w:right="63"/>
              <w:rPr>
                <w:rFonts w:hint="eastAsia" w:ascii="宋体" w:hAnsi="宋体" w:eastAsia="宋体" w:cs="宋体"/>
                <w:sz w:val="24"/>
                <w:szCs w:val="24"/>
              </w:rPr>
            </w:pPr>
          </w:p>
        </w:tc>
        <w:tc>
          <w:tcPr>
            <w:tcW w:w="825" w:type="pct"/>
            <w:tcBorders>
              <w:top w:val="nil"/>
              <w:left w:val="single" w:color="auto" w:sz="6" w:space="0"/>
              <w:bottom w:val="single" w:color="auto" w:sz="6" w:space="0"/>
              <w:right w:val="single" w:color="auto" w:sz="6" w:space="0"/>
            </w:tcBorders>
            <w:noWrap w:val="0"/>
            <w:vAlign w:val="center"/>
          </w:tcPr>
          <w:p w14:paraId="3398D5FA">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6" w:space="0"/>
            </w:tcBorders>
            <w:noWrap w:val="0"/>
            <w:vAlign w:val="center"/>
          </w:tcPr>
          <w:p w14:paraId="355B53DF">
            <w:pPr>
              <w:pStyle w:val="13"/>
              <w:keepNext/>
              <w:spacing w:line="440" w:lineRule="exact"/>
              <w:ind w:left="63" w:right="63"/>
              <w:rPr>
                <w:rFonts w:hint="eastAsia" w:ascii="宋体" w:hAnsi="宋体" w:eastAsia="宋体" w:cs="宋体"/>
                <w:sz w:val="24"/>
                <w:szCs w:val="24"/>
              </w:rPr>
            </w:pPr>
          </w:p>
        </w:tc>
        <w:tc>
          <w:tcPr>
            <w:tcW w:w="534" w:type="pct"/>
            <w:tcBorders>
              <w:top w:val="nil"/>
              <w:left w:val="single" w:color="auto" w:sz="6" w:space="0"/>
              <w:bottom w:val="single" w:color="auto" w:sz="6" w:space="0"/>
              <w:right w:val="single" w:color="auto" w:sz="6" w:space="0"/>
            </w:tcBorders>
            <w:noWrap w:val="0"/>
            <w:vAlign w:val="center"/>
          </w:tcPr>
          <w:p w14:paraId="2D0E0E7C">
            <w:pPr>
              <w:pStyle w:val="13"/>
              <w:keepNext/>
              <w:spacing w:line="440" w:lineRule="exact"/>
              <w:ind w:left="63" w:right="63"/>
              <w:rPr>
                <w:rFonts w:hint="eastAsia" w:ascii="宋体" w:hAnsi="宋体" w:eastAsia="宋体" w:cs="宋体"/>
                <w:sz w:val="24"/>
                <w:szCs w:val="24"/>
              </w:rPr>
            </w:pPr>
          </w:p>
        </w:tc>
        <w:tc>
          <w:tcPr>
            <w:tcW w:w="727" w:type="pct"/>
            <w:tcBorders>
              <w:top w:val="nil"/>
              <w:left w:val="single" w:color="auto" w:sz="6" w:space="0"/>
              <w:bottom w:val="single" w:color="auto" w:sz="6" w:space="0"/>
              <w:right w:val="single" w:color="auto" w:sz="6" w:space="0"/>
            </w:tcBorders>
            <w:noWrap w:val="0"/>
            <w:vAlign w:val="center"/>
          </w:tcPr>
          <w:p w14:paraId="0699B58E">
            <w:pPr>
              <w:pStyle w:val="13"/>
              <w:keepNext/>
              <w:spacing w:line="440" w:lineRule="exact"/>
              <w:ind w:left="63" w:right="63"/>
              <w:rPr>
                <w:rFonts w:hint="eastAsia" w:ascii="宋体" w:hAnsi="宋体" w:eastAsia="宋体" w:cs="宋体"/>
                <w:sz w:val="24"/>
                <w:szCs w:val="24"/>
              </w:rPr>
            </w:pPr>
          </w:p>
        </w:tc>
        <w:tc>
          <w:tcPr>
            <w:tcW w:w="485" w:type="pct"/>
            <w:tcBorders>
              <w:top w:val="nil"/>
              <w:left w:val="single" w:color="auto" w:sz="6" w:space="0"/>
              <w:bottom w:val="single" w:color="auto" w:sz="6" w:space="0"/>
              <w:right w:val="single" w:color="auto" w:sz="6" w:space="0"/>
            </w:tcBorders>
            <w:noWrap w:val="0"/>
            <w:vAlign w:val="center"/>
          </w:tcPr>
          <w:p w14:paraId="111891B1">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6" w:space="0"/>
            </w:tcBorders>
            <w:noWrap w:val="0"/>
            <w:vAlign w:val="center"/>
          </w:tcPr>
          <w:p w14:paraId="58040256">
            <w:pPr>
              <w:pStyle w:val="13"/>
              <w:keepNext/>
              <w:spacing w:line="440" w:lineRule="exact"/>
              <w:ind w:left="63" w:right="63"/>
              <w:rPr>
                <w:rFonts w:hint="eastAsia" w:ascii="宋体" w:hAnsi="宋体" w:eastAsia="宋体" w:cs="宋体"/>
                <w:sz w:val="24"/>
                <w:szCs w:val="24"/>
              </w:rPr>
            </w:pPr>
          </w:p>
        </w:tc>
        <w:tc>
          <w:tcPr>
            <w:tcW w:w="291" w:type="pct"/>
            <w:tcBorders>
              <w:top w:val="nil"/>
              <w:left w:val="single" w:color="auto" w:sz="6" w:space="0"/>
              <w:bottom w:val="single" w:color="auto" w:sz="6" w:space="0"/>
              <w:right w:val="single" w:color="auto" w:sz="12" w:space="0"/>
            </w:tcBorders>
            <w:noWrap w:val="0"/>
            <w:vAlign w:val="center"/>
          </w:tcPr>
          <w:p w14:paraId="241A6575">
            <w:pPr>
              <w:pStyle w:val="13"/>
              <w:keepNext/>
              <w:spacing w:line="440" w:lineRule="exact"/>
              <w:ind w:left="63" w:right="63"/>
              <w:rPr>
                <w:rFonts w:hint="eastAsia" w:ascii="宋体" w:hAnsi="宋体" w:eastAsia="宋体" w:cs="宋体"/>
                <w:sz w:val="24"/>
                <w:szCs w:val="24"/>
              </w:rPr>
            </w:pPr>
          </w:p>
        </w:tc>
      </w:tr>
      <w:tr w14:paraId="07CF79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single" w:color="auto" w:sz="6" w:space="0"/>
              <w:left w:val="single" w:color="auto" w:sz="12" w:space="0"/>
              <w:bottom w:val="single" w:color="auto" w:sz="12" w:space="0"/>
              <w:right w:val="single" w:color="auto" w:sz="6" w:space="0"/>
            </w:tcBorders>
            <w:noWrap w:val="0"/>
            <w:vAlign w:val="center"/>
          </w:tcPr>
          <w:p w14:paraId="4818F710">
            <w:pPr>
              <w:pStyle w:val="13"/>
              <w:keepNext/>
              <w:spacing w:line="440" w:lineRule="exact"/>
              <w:ind w:left="63" w:right="63"/>
              <w:rPr>
                <w:rFonts w:hint="eastAsia" w:ascii="宋体" w:hAnsi="宋体" w:eastAsia="宋体" w:cs="宋体"/>
                <w:sz w:val="24"/>
                <w:szCs w:val="24"/>
              </w:rPr>
            </w:pPr>
          </w:p>
        </w:tc>
        <w:tc>
          <w:tcPr>
            <w:tcW w:w="631" w:type="pct"/>
            <w:tcBorders>
              <w:top w:val="single" w:color="auto" w:sz="6" w:space="0"/>
              <w:left w:val="single" w:color="auto" w:sz="6" w:space="0"/>
              <w:bottom w:val="single" w:color="auto" w:sz="12" w:space="0"/>
              <w:right w:val="single" w:color="auto" w:sz="6" w:space="0"/>
            </w:tcBorders>
            <w:noWrap w:val="0"/>
            <w:vAlign w:val="center"/>
          </w:tcPr>
          <w:p w14:paraId="6FD33851">
            <w:pPr>
              <w:pStyle w:val="13"/>
              <w:keepNext/>
              <w:spacing w:line="440" w:lineRule="exact"/>
              <w:ind w:left="63" w:right="63"/>
              <w:rPr>
                <w:rFonts w:hint="eastAsia" w:ascii="宋体" w:hAnsi="宋体" w:eastAsia="宋体" w:cs="宋体"/>
                <w:sz w:val="24"/>
                <w:szCs w:val="24"/>
              </w:rPr>
            </w:pPr>
          </w:p>
        </w:tc>
        <w:tc>
          <w:tcPr>
            <w:tcW w:w="485" w:type="pct"/>
            <w:tcBorders>
              <w:top w:val="single" w:color="auto" w:sz="6" w:space="0"/>
              <w:left w:val="single" w:color="auto" w:sz="6" w:space="0"/>
              <w:bottom w:val="single" w:color="auto" w:sz="12" w:space="0"/>
              <w:right w:val="single" w:color="auto" w:sz="6" w:space="0"/>
            </w:tcBorders>
            <w:noWrap w:val="0"/>
            <w:vAlign w:val="center"/>
          </w:tcPr>
          <w:p w14:paraId="22AED4D7">
            <w:pPr>
              <w:pStyle w:val="13"/>
              <w:keepNext/>
              <w:spacing w:line="440" w:lineRule="exact"/>
              <w:ind w:left="63" w:right="63"/>
              <w:rPr>
                <w:rFonts w:hint="eastAsia" w:ascii="宋体" w:hAnsi="宋体" w:eastAsia="宋体" w:cs="宋体"/>
                <w:sz w:val="24"/>
                <w:szCs w:val="24"/>
              </w:rPr>
            </w:pPr>
          </w:p>
        </w:tc>
        <w:tc>
          <w:tcPr>
            <w:tcW w:w="825" w:type="pct"/>
            <w:tcBorders>
              <w:top w:val="single" w:color="auto" w:sz="6" w:space="0"/>
              <w:left w:val="single" w:color="auto" w:sz="6" w:space="0"/>
              <w:bottom w:val="single" w:color="auto" w:sz="12" w:space="0"/>
              <w:right w:val="single" w:color="auto" w:sz="6" w:space="0"/>
            </w:tcBorders>
            <w:noWrap w:val="0"/>
            <w:vAlign w:val="center"/>
          </w:tcPr>
          <w:p w14:paraId="1F974472">
            <w:pPr>
              <w:pStyle w:val="13"/>
              <w:keepNext/>
              <w:spacing w:line="440" w:lineRule="exact"/>
              <w:ind w:left="63" w:right="63"/>
              <w:rPr>
                <w:rFonts w:hint="eastAsia" w:ascii="宋体" w:hAnsi="宋体" w:eastAsia="宋体" w:cs="宋体"/>
                <w:sz w:val="24"/>
                <w:szCs w:val="24"/>
              </w:rPr>
            </w:pPr>
          </w:p>
        </w:tc>
        <w:tc>
          <w:tcPr>
            <w:tcW w:w="291" w:type="pct"/>
            <w:tcBorders>
              <w:top w:val="single" w:color="auto" w:sz="6" w:space="0"/>
              <w:left w:val="single" w:color="auto" w:sz="6" w:space="0"/>
              <w:bottom w:val="single" w:color="auto" w:sz="12" w:space="0"/>
              <w:right w:val="single" w:color="auto" w:sz="6" w:space="0"/>
            </w:tcBorders>
            <w:noWrap w:val="0"/>
            <w:vAlign w:val="center"/>
          </w:tcPr>
          <w:p w14:paraId="0DE45FFE">
            <w:pPr>
              <w:pStyle w:val="13"/>
              <w:keepNext/>
              <w:spacing w:line="440" w:lineRule="exact"/>
              <w:ind w:left="63" w:right="63"/>
              <w:rPr>
                <w:rFonts w:hint="eastAsia" w:ascii="宋体" w:hAnsi="宋体" w:eastAsia="宋体" w:cs="宋体"/>
                <w:sz w:val="24"/>
                <w:szCs w:val="24"/>
              </w:rPr>
            </w:pPr>
          </w:p>
        </w:tc>
        <w:tc>
          <w:tcPr>
            <w:tcW w:w="534" w:type="pct"/>
            <w:tcBorders>
              <w:top w:val="single" w:color="auto" w:sz="6" w:space="0"/>
              <w:left w:val="single" w:color="auto" w:sz="6" w:space="0"/>
              <w:bottom w:val="single" w:color="auto" w:sz="12" w:space="0"/>
              <w:right w:val="single" w:color="auto" w:sz="6" w:space="0"/>
            </w:tcBorders>
            <w:noWrap w:val="0"/>
            <w:vAlign w:val="center"/>
          </w:tcPr>
          <w:p w14:paraId="16545DD5">
            <w:pPr>
              <w:pStyle w:val="13"/>
              <w:keepNext/>
              <w:spacing w:line="440" w:lineRule="exact"/>
              <w:ind w:left="63" w:right="63"/>
              <w:rPr>
                <w:rFonts w:hint="eastAsia" w:ascii="宋体" w:hAnsi="宋体" w:eastAsia="宋体" w:cs="宋体"/>
                <w:sz w:val="24"/>
                <w:szCs w:val="24"/>
              </w:rPr>
            </w:pPr>
          </w:p>
        </w:tc>
        <w:tc>
          <w:tcPr>
            <w:tcW w:w="727" w:type="pct"/>
            <w:tcBorders>
              <w:top w:val="single" w:color="auto" w:sz="6" w:space="0"/>
              <w:left w:val="single" w:color="auto" w:sz="6" w:space="0"/>
              <w:bottom w:val="single" w:color="auto" w:sz="12" w:space="0"/>
              <w:right w:val="single" w:color="auto" w:sz="6" w:space="0"/>
            </w:tcBorders>
            <w:noWrap w:val="0"/>
            <w:vAlign w:val="center"/>
          </w:tcPr>
          <w:p w14:paraId="671F4B48">
            <w:pPr>
              <w:pStyle w:val="13"/>
              <w:keepNext/>
              <w:spacing w:line="440" w:lineRule="exact"/>
              <w:ind w:left="63" w:right="63"/>
              <w:rPr>
                <w:rFonts w:hint="eastAsia" w:ascii="宋体" w:hAnsi="宋体" w:eastAsia="宋体" w:cs="宋体"/>
                <w:sz w:val="24"/>
                <w:szCs w:val="24"/>
              </w:rPr>
            </w:pPr>
          </w:p>
        </w:tc>
        <w:tc>
          <w:tcPr>
            <w:tcW w:w="485" w:type="pct"/>
            <w:tcBorders>
              <w:top w:val="single" w:color="auto" w:sz="6" w:space="0"/>
              <w:left w:val="single" w:color="auto" w:sz="6" w:space="0"/>
              <w:bottom w:val="single" w:color="auto" w:sz="12" w:space="0"/>
              <w:right w:val="single" w:color="auto" w:sz="6" w:space="0"/>
            </w:tcBorders>
            <w:noWrap w:val="0"/>
            <w:vAlign w:val="center"/>
          </w:tcPr>
          <w:p w14:paraId="47A409D9">
            <w:pPr>
              <w:pStyle w:val="13"/>
              <w:keepNext/>
              <w:spacing w:line="440" w:lineRule="exact"/>
              <w:ind w:left="63" w:right="63"/>
              <w:rPr>
                <w:rFonts w:hint="eastAsia" w:ascii="宋体" w:hAnsi="宋体" w:eastAsia="宋体" w:cs="宋体"/>
                <w:sz w:val="24"/>
                <w:szCs w:val="24"/>
              </w:rPr>
            </w:pPr>
          </w:p>
        </w:tc>
        <w:tc>
          <w:tcPr>
            <w:tcW w:w="291" w:type="pct"/>
            <w:tcBorders>
              <w:top w:val="single" w:color="auto" w:sz="6" w:space="0"/>
              <w:left w:val="single" w:color="auto" w:sz="6" w:space="0"/>
              <w:bottom w:val="single" w:color="auto" w:sz="12" w:space="0"/>
              <w:right w:val="single" w:color="auto" w:sz="6" w:space="0"/>
            </w:tcBorders>
            <w:noWrap w:val="0"/>
            <w:vAlign w:val="center"/>
          </w:tcPr>
          <w:p w14:paraId="7479D915">
            <w:pPr>
              <w:pStyle w:val="13"/>
              <w:keepNext/>
              <w:spacing w:line="440" w:lineRule="exact"/>
              <w:ind w:left="63" w:right="63"/>
              <w:rPr>
                <w:rFonts w:hint="eastAsia" w:ascii="宋体" w:hAnsi="宋体" w:eastAsia="宋体" w:cs="宋体"/>
                <w:sz w:val="24"/>
                <w:szCs w:val="24"/>
              </w:rPr>
            </w:pPr>
          </w:p>
        </w:tc>
        <w:tc>
          <w:tcPr>
            <w:tcW w:w="291" w:type="pct"/>
            <w:tcBorders>
              <w:top w:val="single" w:color="auto" w:sz="6" w:space="0"/>
              <w:left w:val="single" w:color="auto" w:sz="6" w:space="0"/>
              <w:bottom w:val="single" w:color="auto" w:sz="12" w:space="0"/>
              <w:right w:val="single" w:color="auto" w:sz="12" w:space="0"/>
            </w:tcBorders>
            <w:noWrap w:val="0"/>
            <w:vAlign w:val="center"/>
          </w:tcPr>
          <w:p w14:paraId="2734488A">
            <w:pPr>
              <w:pStyle w:val="13"/>
              <w:keepNext/>
              <w:spacing w:line="440" w:lineRule="exact"/>
              <w:ind w:left="63" w:right="63"/>
              <w:rPr>
                <w:rFonts w:hint="eastAsia" w:ascii="宋体" w:hAnsi="宋体" w:eastAsia="宋体" w:cs="宋体"/>
                <w:sz w:val="24"/>
                <w:szCs w:val="24"/>
              </w:rPr>
            </w:pPr>
          </w:p>
        </w:tc>
      </w:tr>
    </w:tbl>
    <w:p w14:paraId="76F7639F">
      <w:pPr>
        <w:widowControl/>
        <w:rPr>
          <w:rFonts w:ascii="仿宋" w:hAnsi="仿宋" w:eastAsia="仿宋"/>
          <w:b/>
          <w:sz w:val="30"/>
          <w:szCs w:val="30"/>
        </w:rPr>
        <w:sectPr>
          <w:pgSz w:w="16838" w:h="11906" w:orient="landscape"/>
          <w:pgMar w:top="1554" w:right="1418" w:bottom="1531" w:left="1418" w:header="851" w:footer="992" w:gutter="0"/>
          <w:pgNumType w:fmt="decimal"/>
          <w:cols w:space="720" w:num="1"/>
          <w:docGrid w:type="linesAndChars" w:linePitch="312" w:charSpace="0"/>
        </w:sectPr>
      </w:pPr>
    </w:p>
    <w:p w14:paraId="7CA9147E">
      <w:pPr>
        <w:spacing w:line="440" w:lineRule="exact"/>
        <w:rPr>
          <w:rFonts w:hint="eastAsia" w:ascii="宋体" w:hAnsi="宋体" w:eastAsia="宋体" w:cs="宋体"/>
          <w:sz w:val="24"/>
          <w:szCs w:val="24"/>
        </w:rPr>
      </w:pPr>
      <w:r>
        <w:rPr>
          <w:rFonts w:hint="eastAsia" w:ascii="宋体" w:hAnsi="宋体" w:eastAsia="宋体" w:cs="宋体"/>
          <w:sz w:val="24"/>
          <w:szCs w:val="24"/>
          <w:highlight w:val="white"/>
        </w:rPr>
        <w:t>附件2：</w:t>
      </w:r>
    </w:p>
    <w:p w14:paraId="4DC0752D">
      <w:pPr>
        <w:spacing w:before="156" w:beforeLines="50" w:after="156" w:afterLines="50" w:line="440" w:lineRule="exact"/>
        <w:rPr>
          <w:rFonts w:hint="eastAsia" w:ascii="宋体" w:hAnsi="宋体" w:eastAsia="宋体" w:cs="宋体"/>
          <w:sz w:val="24"/>
          <w:szCs w:val="24"/>
        </w:rPr>
      </w:pPr>
      <w:r>
        <w:rPr>
          <w:rFonts w:hint="eastAsia" w:ascii="宋体" w:hAnsi="宋体" w:eastAsia="宋体" w:cs="宋体"/>
          <w:sz w:val="24"/>
          <w:szCs w:val="24"/>
          <w:highlight w:val="white"/>
        </w:rPr>
        <w:t>发包人供应材料设备一览表</w:t>
      </w:r>
    </w:p>
    <w:tbl>
      <w:tblPr>
        <w:tblStyle w:val="29"/>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748"/>
        <w:gridCol w:w="1124"/>
        <w:gridCol w:w="1248"/>
        <w:gridCol w:w="828"/>
        <w:gridCol w:w="749"/>
        <w:gridCol w:w="918"/>
        <w:gridCol w:w="873"/>
        <w:gridCol w:w="749"/>
        <w:gridCol w:w="1308"/>
        <w:gridCol w:w="873"/>
      </w:tblGrid>
      <w:tr w14:paraId="2CF123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397" w:type="pct"/>
            <w:tcBorders>
              <w:top w:val="single" w:color="auto" w:sz="12" w:space="0"/>
              <w:left w:val="single" w:color="auto" w:sz="12" w:space="0"/>
              <w:bottom w:val="double" w:color="auto" w:sz="6" w:space="0"/>
              <w:right w:val="single" w:color="auto" w:sz="6" w:space="0"/>
            </w:tcBorders>
            <w:noWrap w:val="0"/>
            <w:vAlign w:val="center"/>
          </w:tcPr>
          <w:p w14:paraId="5B75FC7D">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序号</w:t>
            </w:r>
          </w:p>
        </w:tc>
        <w:tc>
          <w:tcPr>
            <w:tcW w:w="596" w:type="pct"/>
            <w:tcBorders>
              <w:top w:val="single" w:color="auto" w:sz="12" w:space="0"/>
              <w:left w:val="single" w:color="auto" w:sz="6" w:space="0"/>
              <w:bottom w:val="double" w:color="auto" w:sz="6" w:space="0"/>
              <w:right w:val="single" w:color="auto" w:sz="6" w:space="0"/>
            </w:tcBorders>
            <w:noWrap w:val="0"/>
            <w:vAlign w:val="center"/>
          </w:tcPr>
          <w:p w14:paraId="2C1180CC">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材料、</w:t>
            </w:r>
          </w:p>
          <w:p w14:paraId="31793897">
            <w:pPr>
              <w:pStyle w:val="13"/>
              <w:keepNext/>
              <w:spacing w:line="440" w:lineRule="exact"/>
              <w:ind w:right="63"/>
              <w:jc w:val="center"/>
              <w:rPr>
                <w:rFonts w:hint="eastAsia" w:ascii="宋体" w:hAnsi="宋体" w:eastAsia="宋体" w:cs="宋体"/>
                <w:sz w:val="24"/>
                <w:szCs w:val="24"/>
              </w:rPr>
            </w:pPr>
            <w:r>
              <w:rPr>
                <w:rFonts w:hint="eastAsia" w:ascii="宋体" w:hAnsi="宋体" w:eastAsia="宋体" w:cs="宋体"/>
                <w:sz w:val="24"/>
                <w:szCs w:val="24"/>
                <w:highlight w:val="white"/>
              </w:rPr>
              <w:t>设备品种</w:t>
            </w:r>
          </w:p>
        </w:tc>
        <w:tc>
          <w:tcPr>
            <w:tcW w:w="662" w:type="pct"/>
            <w:tcBorders>
              <w:top w:val="single" w:color="auto" w:sz="12" w:space="0"/>
              <w:left w:val="single" w:color="auto" w:sz="6" w:space="0"/>
              <w:bottom w:val="double" w:color="auto" w:sz="6" w:space="0"/>
              <w:right w:val="single" w:color="auto" w:sz="6" w:space="0"/>
            </w:tcBorders>
            <w:noWrap w:val="0"/>
            <w:vAlign w:val="center"/>
          </w:tcPr>
          <w:p w14:paraId="230E2BD1">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规格型号</w:t>
            </w:r>
          </w:p>
        </w:tc>
        <w:tc>
          <w:tcPr>
            <w:tcW w:w="439" w:type="pct"/>
            <w:tcBorders>
              <w:top w:val="single" w:color="auto" w:sz="12" w:space="0"/>
              <w:left w:val="single" w:color="auto" w:sz="6" w:space="0"/>
              <w:bottom w:val="double" w:color="auto" w:sz="6" w:space="0"/>
              <w:right w:val="single" w:color="auto" w:sz="6" w:space="0"/>
            </w:tcBorders>
            <w:noWrap w:val="0"/>
            <w:vAlign w:val="center"/>
          </w:tcPr>
          <w:p w14:paraId="13693251">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单位</w:t>
            </w:r>
          </w:p>
        </w:tc>
        <w:tc>
          <w:tcPr>
            <w:tcW w:w="397" w:type="pct"/>
            <w:tcBorders>
              <w:top w:val="single" w:color="auto" w:sz="12" w:space="0"/>
              <w:left w:val="single" w:color="auto" w:sz="6" w:space="0"/>
              <w:bottom w:val="double" w:color="auto" w:sz="6" w:space="0"/>
              <w:right w:val="single" w:color="auto" w:sz="6" w:space="0"/>
            </w:tcBorders>
            <w:noWrap w:val="0"/>
            <w:vAlign w:val="center"/>
          </w:tcPr>
          <w:p w14:paraId="13B441A2">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数量</w:t>
            </w:r>
          </w:p>
        </w:tc>
        <w:tc>
          <w:tcPr>
            <w:tcW w:w="487" w:type="pct"/>
            <w:tcBorders>
              <w:top w:val="single" w:color="auto" w:sz="12" w:space="0"/>
              <w:left w:val="single" w:color="auto" w:sz="6" w:space="0"/>
              <w:bottom w:val="double" w:color="auto" w:sz="6" w:space="0"/>
              <w:right w:val="single" w:color="auto" w:sz="6" w:space="0"/>
            </w:tcBorders>
            <w:noWrap w:val="0"/>
            <w:vAlign w:val="center"/>
          </w:tcPr>
          <w:p w14:paraId="21D266D7">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单价（元）</w:t>
            </w:r>
          </w:p>
        </w:tc>
        <w:tc>
          <w:tcPr>
            <w:tcW w:w="463" w:type="pct"/>
            <w:tcBorders>
              <w:top w:val="single" w:color="auto" w:sz="12" w:space="0"/>
              <w:left w:val="single" w:color="auto" w:sz="6" w:space="0"/>
              <w:bottom w:val="double" w:color="auto" w:sz="6" w:space="0"/>
              <w:right w:val="single" w:color="auto" w:sz="6" w:space="0"/>
            </w:tcBorders>
            <w:noWrap w:val="0"/>
            <w:vAlign w:val="center"/>
          </w:tcPr>
          <w:p w14:paraId="3E1E9DE3">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质量等级</w:t>
            </w:r>
          </w:p>
        </w:tc>
        <w:tc>
          <w:tcPr>
            <w:tcW w:w="397" w:type="pct"/>
            <w:tcBorders>
              <w:top w:val="single" w:color="auto" w:sz="12" w:space="0"/>
              <w:left w:val="single" w:color="auto" w:sz="6" w:space="0"/>
              <w:bottom w:val="double" w:color="auto" w:sz="6" w:space="0"/>
              <w:right w:val="single" w:color="auto" w:sz="6" w:space="0"/>
            </w:tcBorders>
            <w:noWrap w:val="0"/>
            <w:vAlign w:val="center"/>
          </w:tcPr>
          <w:p w14:paraId="2CF69202">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供应时间</w:t>
            </w:r>
          </w:p>
        </w:tc>
        <w:tc>
          <w:tcPr>
            <w:tcW w:w="694" w:type="pct"/>
            <w:tcBorders>
              <w:top w:val="single" w:color="auto" w:sz="12" w:space="0"/>
              <w:left w:val="single" w:color="auto" w:sz="6" w:space="0"/>
              <w:bottom w:val="double" w:color="auto" w:sz="6" w:space="0"/>
              <w:right w:val="single" w:color="auto" w:sz="6" w:space="0"/>
            </w:tcBorders>
            <w:noWrap w:val="0"/>
            <w:vAlign w:val="center"/>
          </w:tcPr>
          <w:p w14:paraId="36934F3A">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送达地点</w:t>
            </w:r>
          </w:p>
        </w:tc>
        <w:tc>
          <w:tcPr>
            <w:tcW w:w="463" w:type="pct"/>
            <w:tcBorders>
              <w:top w:val="single" w:color="auto" w:sz="12" w:space="0"/>
              <w:left w:val="single" w:color="auto" w:sz="6" w:space="0"/>
              <w:bottom w:val="double" w:color="auto" w:sz="6" w:space="0"/>
              <w:right w:val="single" w:color="auto" w:sz="12" w:space="0"/>
            </w:tcBorders>
            <w:noWrap w:val="0"/>
            <w:vAlign w:val="center"/>
          </w:tcPr>
          <w:p w14:paraId="7008BEF8">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备注</w:t>
            </w:r>
          </w:p>
        </w:tc>
      </w:tr>
      <w:tr w14:paraId="60D01C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double" w:color="auto" w:sz="6" w:space="0"/>
              <w:left w:val="single" w:color="auto" w:sz="12" w:space="0"/>
              <w:bottom w:val="single" w:color="auto" w:sz="6" w:space="0"/>
              <w:right w:val="single" w:color="auto" w:sz="6" w:space="0"/>
            </w:tcBorders>
            <w:noWrap w:val="0"/>
            <w:vAlign w:val="center"/>
          </w:tcPr>
          <w:p w14:paraId="6D6471AE">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w:t>
            </w:r>
          </w:p>
        </w:tc>
        <w:tc>
          <w:tcPr>
            <w:tcW w:w="596" w:type="pct"/>
            <w:tcBorders>
              <w:top w:val="double" w:color="auto" w:sz="6" w:space="0"/>
              <w:left w:val="single" w:color="auto" w:sz="6" w:space="0"/>
              <w:bottom w:val="single" w:color="auto" w:sz="6" w:space="0"/>
              <w:right w:val="single" w:color="auto" w:sz="6" w:space="0"/>
            </w:tcBorders>
            <w:noWrap w:val="0"/>
            <w:vAlign w:val="center"/>
          </w:tcPr>
          <w:p w14:paraId="36063F2C">
            <w:pPr>
              <w:pStyle w:val="13"/>
              <w:keepNext/>
              <w:spacing w:line="440" w:lineRule="exact"/>
              <w:ind w:left="63" w:right="63"/>
              <w:rPr>
                <w:rFonts w:hint="eastAsia" w:ascii="宋体" w:hAnsi="宋体" w:eastAsia="宋体" w:cs="宋体"/>
                <w:sz w:val="24"/>
                <w:szCs w:val="24"/>
              </w:rPr>
            </w:pPr>
          </w:p>
        </w:tc>
        <w:tc>
          <w:tcPr>
            <w:tcW w:w="662" w:type="pct"/>
            <w:tcBorders>
              <w:top w:val="double" w:color="auto" w:sz="6" w:space="0"/>
              <w:left w:val="single" w:color="auto" w:sz="6" w:space="0"/>
              <w:bottom w:val="single" w:color="auto" w:sz="6" w:space="0"/>
              <w:right w:val="single" w:color="auto" w:sz="6" w:space="0"/>
            </w:tcBorders>
            <w:noWrap w:val="0"/>
            <w:vAlign w:val="center"/>
          </w:tcPr>
          <w:p w14:paraId="00BE0D26">
            <w:pPr>
              <w:pStyle w:val="13"/>
              <w:keepNext/>
              <w:spacing w:line="440" w:lineRule="exact"/>
              <w:ind w:left="63" w:right="63"/>
              <w:rPr>
                <w:rFonts w:hint="eastAsia" w:ascii="宋体" w:hAnsi="宋体" w:eastAsia="宋体" w:cs="宋体"/>
                <w:sz w:val="24"/>
                <w:szCs w:val="24"/>
              </w:rPr>
            </w:pPr>
          </w:p>
        </w:tc>
        <w:tc>
          <w:tcPr>
            <w:tcW w:w="439" w:type="pct"/>
            <w:tcBorders>
              <w:top w:val="double" w:color="auto" w:sz="6" w:space="0"/>
              <w:left w:val="single" w:color="auto" w:sz="6" w:space="0"/>
              <w:bottom w:val="single" w:color="auto" w:sz="6" w:space="0"/>
              <w:right w:val="single" w:color="auto" w:sz="6" w:space="0"/>
            </w:tcBorders>
            <w:noWrap w:val="0"/>
            <w:vAlign w:val="center"/>
          </w:tcPr>
          <w:p w14:paraId="17DD8265">
            <w:pPr>
              <w:pStyle w:val="13"/>
              <w:keepNext/>
              <w:spacing w:line="440" w:lineRule="exact"/>
              <w:ind w:left="63" w:right="63"/>
              <w:rPr>
                <w:rFonts w:hint="eastAsia" w:ascii="宋体" w:hAnsi="宋体" w:eastAsia="宋体" w:cs="宋体"/>
                <w:sz w:val="24"/>
                <w:szCs w:val="24"/>
              </w:rPr>
            </w:pPr>
          </w:p>
        </w:tc>
        <w:tc>
          <w:tcPr>
            <w:tcW w:w="397" w:type="pct"/>
            <w:tcBorders>
              <w:top w:val="double" w:color="auto" w:sz="6" w:space="0"/>
              <w:left w:val="single" w:color="auto" w:sz="6" w:space="0"/>
              <w:bottom w:val="single" w:color="auto" w:sz="6" w:space="0"/>
              <w:right w:val="single" w:color="auto" w:sz="6" w:space="0"/>
            </w:tcBorders>
            <w:noWrap w:val="0"/>
            <w:vAlign w:val="center"/>
          </w:tcPr>
          <w:p w14:paraId="04AA1538">
            <w:pPr>
              <w:pStyle w:val="13"/>
              <w:keepNext/>
              <w:spacing w:line="440" w:lineRule="exact"/>
              <w:ind w:left="63" w:right="63"/>
              <w:rPr>
                <w:rFonts w:hint="eastAsia" w:ascii="宋体" w:hAnsi="宋体" w:eastAsia="宋体" w:cs="宋体"/>
                <w:sz w:val="24"/>
                <w:szCs w:val="24"/>
              </w:rPr>
            </w:pPr>
          </w:p>
        </w:tc>
        <w:tc>
          <w:tcPr>
            <w:tcW w:w="487" w:type="pct"/>
            <w:tcBorders>
              <w:top w:val="double" w:color="auto" w:sz="6" w:space="0"/>
              <w:left w:val="single" w:color="auto" w:sz="6" w:space="0"/>
              <w:bottom w:val="single" w:color="auto" w:sz="6" w:space="0"/>
              <w:right w:val="single" w:color="auto" w:sz="6" w:space="0"/>
            </w:tcBorders>
            <w:noWrap w:val="0"/>
            <w:vAlign w:val="center"/>
          </w:tcPr>
          <w:p w14:paraId="10480B79">
            <w:pPr>
              <w:pStyle w:val="13"/>
              <w:keepNext/>
              <w:spacing w:line="440" w:lineRule="exact"/>
              <w:ind w:left="63" w:right="63"/>
              <w:rPr>
                <w:rFonts w:hint="eastAsia" w:ascii="宋体" w:hAnsi="宋体" w:eastAsia="宋体" w:cs="宋体"/>
                <w:sz w:val="24"/>
                <w:szCs w:val="24"/>
              </w:rPr>
            </w:pPr>
          </w:p>
        </w:tc>
        <w:tc>
          <w:tcPr>
            <w:tcW w:w="463" w:type="pct"/>
            <w:tcBorders>
              <w:top w:val="double" w:color="auto" w:sz="6" w:space="0"/>
              <w:left w:val="single" w:color="auto" w:sz="6" w:space="0"/>
              <w:bottom w:val="single" w:color="auto" w:sz="6" w:space="0"/>
              <w:right w:val="single" w:color="auto" w:sz="6" w:space="0"/>
            </w:tcBorders>
            <w:noWrap w:val="0"/>
            <w:vAlign w:val="center"/>
          </w:tcPr>
          <w:p w14:paraId="1909878D">
            <w:pPr>
              <w:pStyle w:val="13"/>
              <w:keepNext/>
              <w:spacing w:line="440" w:lineRule="exact"/>
              <w:ind w:left="63" w:right="63"/>
              <w:rPr>
                <w:rFonts w:hint="eastAsia" w:ascii="宋体" w:hAnsi="宋体" w:eastAsia="宋体" w:cs="宋体"/>
                <w:sz w:val="24"/>
                <w:szCs w:val="24"/>
              </w:rPr>
            </w:pPr>
          </w:p>
        </w:tc>
        <w:tc>
          <w:tcPr>
            <w:tcW w:w="397" w:type="pct"/>
            <w:tcBorders>
              <w:top w:val="double" w:color="auto" w:sz="6" w:space="0"/>
              <w:left w:val="single" w:color="auto" w:sz="6" w:space="0"/>
              <w:bottom w:val="single" w:color="auto" w:sz="6" w:space="0"/>
              <w:right w:val="single" w:color="auto" w:sz="6" w:space="0"/>
            </w:tcBorders>
            <w:noWrap w:val="0"/>
            <w:vAlign w:val="center"/>
          </w:tcPr>
          <w:p w14:paraId="28FBC716">
            <w:pPr>
              <w:pStyle w:val="13"/>
              <w:keepNext/>
              <w:spacing w:line="440" w:lineRule="exact"/>
              <w:ind w:left="63" w:right="63"/>
              <w:rPr>
                <w:rFonts w:hint="eastAsia" w:ascii="宋体" w:hAnsi="宋体" w:eastAsia="宋体" w:cs="宋体"/>
                <w:sz w:val="24"/>
                <w:szCs w:val="24"/>
              </w:rPr>
            </w:pPr>
          </w:p>
        </w:tc>
        <w:tc>
          <w:tcPr>
            <w:tcW w:w="694" w:type="pct"/>
            <w:tcBorders>
              <w:top w:val="double" w:color="auto" w:sz="6" w:space="0"/>
              <w:left w:val="single" w:color="auto" w:sz="6" w:space="0"/>
              <w:bottom w:val="single" w:color="auto" w:sz="6" w:space="0"/>
              <w:right w:val="single" w:color="auto" w:sz="6" w:space="0"/>
            </w:tcBorders>
            <w:noWrap w:val="0"/>
            <w:vAlign w:val="center"/>
          </w:tcPr>
          <w:p w14:paraId="1232A76D">
            <w:pPr>
              <w:pStyle w:val="13"/>
              <w:keepNext/>
              <w:spacing w:line="440" w:lineRule="exact"/>
              <w:ind w:left="63" w:right="63"/>
              <w:rPr>
                <w:rFonts w:hint="eastAsia" w:ascii="宋体" w:hAnsi="宋体" w:eastAsia="宋体" w:cs="宋体"/>
                <w:sz w:val="24"/>
                <w:szCs w:val="24"/>
              </w:rPr>
            </w:pPr>
          </w:p>
        </w:tc>
        <w:tc>
          <w:tcPr>
            <w:tcW w:w="463" w:type="pct"/>
            <w:tcBorders>
              <w:top w:val="double" w:color="auto" w:sz="6" w:space="0"/>
              <w:left w:val="single" w:color="auto" w:sz="6" w:space="0"/>
              <w:bottom w:val="single" w:color="auto" w:sz="6" w:space="0"/>
              <w:right w:val="single" w:color="auto" w:sz="12" w:space="0"/>
            </w:tcBorders>
            <w:noWrap w:val="0"/>
            <w:vAlign w:val="center"/>
          </w:tcPr>
          <w:p w14:paraId="4C7BA37E">
            <w:pPr>
              <w:pStyle w:val="13"/>
              <w:keepNext/>
              <w:spacing w:line="440" w:lineRule="exact"/>
              <w:ind w:left="63" w:right="63"/>
              <w:rPr>
                <w:rFonts w:hint="eastAsia" w:ascii="宋体" w:hAnsi="宋体" w:eastAsia="宋体" w:cs="宋体"/>
                <w:sz w:val="24"/>
                <w:szCs w:val="24"/>
              </w:rPr>
            </w:pPr>
          </w:p>
        </w:tc>
      </w:tr>
      <w:tr w14:paraId="419A7F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nil"/>
              <w:left w:val="single" w:color="auto" w:sz="12" w:space="0"/>
              <w:bottom w:val="single" w:color="auto" w:sz="6" w:space="0"/>
              <w:right w:val="single" w:color="auto" w:sz="6" w:space="0"/>
            </w:tcBorders>
            <w:noWrap w:val="0"/>
            <w:vAlign w:val="center"/>
          </w:tcPr>
          <w:p w14:paraId="79C0F8BD">
            <w:pPr>
              <w:pStyle w:val="13"/>
              <w:keepNext/>
              <w:spacing w:line="440" w:lineRule="exact"/>
              <w:ind w:left="63" w:right="63"/>
              <w:rPr>
                <w:rFonts w:hint="eastAsia" w:ascii="宋体" w:hAnsi="宋体" w:eastAsia="宋体" w:cs="宋体"/>
                <w:sz w:val="24"/>
                <w:szCs w:val="24"/>
              </w:rPr>
            </w:pPr>
          </w:p>
        </w:tc>
        <w:tc>
          <w:tcPr>
            <w:tcW w:w="596" w:type="pct"/>
            <w:tcBorders>
              <w:top w:val="nil"/>
              <w:left w:val="single" w:color="auto" w:sz="6" w:space="0"/>
              <w:bottom w:val="single" w:color="auto" w:sz="6" w:space="0"/>
              <w:right w:val="single" w:color="auto" w:sz="6" w:space="0"/>
            </w:tcBorders>
            <w:noWrap w:val="0"/>
            <w:vAlign w:val="center"/>
          </w:tcPr>
          <w:p w14:paraId="283134A5">
            <w:pPr>
              <w:pStyle w:val="13"/>
              <w:keepNext/>
              <w:spacing w:line="440" w:lineRule="exact"/>
              <w:ind w:left="63" w:right="63"/>
              <w:rPr>
                <w:rFonts w:hint="eastAsia" w:ascii="宋体" w:hAnsi="宋体" w:eastAsia="宋体" w:cs="宋体"/>
                <w:sz w:val="24"/>
                <w:szCs w:val="24"/>
              </w:rPr>
            </w:pPr>
          </w:p>
        </w:tc>
        <w:tc>
          <w:tcPr>
            <w:tcW w:w="662" w:type="pct"/>
            <w:tcBorders>
              <w:top w:val="nil"/>
              <w:left w:val="single" w:color="auto" w:sz="6" w:space="0"/>
              <w:bottom w:val="single" w:color="auto" w:sz="6" w:space="0"/>
              <w:right w:val="single" w:color="auto" w:sz="6" w:space="0"/>
            </w:tcBorders>
            <w:noWrap w:val="0"/>
            <w:vAlign w:val="center"/>
          </w:tcPr>
          <w:p w14:paraId="46D2E61F">
            <w:pPr>
              <w:pStyle w:val="13"/>
              <w:keepNext/>
              <w:spacing w:line="440" w:lineRule="exact"/>
              <w:ind w:left="63" w:right="63"/>
              <w:rPr>
                <w:rFonts w:hint="eastAsia" w:ascii="宋体" w:hAnsi="宋体" w:eastAsia="宋体" w:cs="宋体"/>
                <w:sz w:val="24"/>
                <w:szCs w:val="24"/>
              </w:rPr>
            </w:pPr>
          </w:p>
        </w:tc>
        <w:tc>
          <w:tcPr>
            <w:tcW w:w="439" w:type="pct"/>
            <w:tcBorders>
              <w:top w:val="nil"/>
              <w:left w:val="single" w:color="auto" w:sz="6" w:space="0"/>
              <w:bottom w:val="single" w:color="auto" w:sz="6" w:space="0"/>
              <w:right w:val="single" w:color="auto" w:sz="6" w:space="0"/>
            </w:tcBorders>
            <w:noWrap w:val="0"/>
            <w:vAlign w:val="center"/>
          </w:tcPr>
          <w:p w14:paraId="40CE96E7">
            <w:pPr>
              <w:pStyle w:val="13"/>
              <w:keepNext/>
              <w:spacing w:line="440" w:lineRule="exact"/>
              <w:ind w:left="63" w:right="63"/>
              <w:rPr>
                <w:rFonts w:hint="eastAsia" w:ascii="宋体" w:hAnsi="宋体" w:eastAsia="宋体" w:cs="宋体"/>
                <w:sz w:val="24"/>
                <w:szCs w:val="24"/>
              </w:rPr>
            </w:pPr>
          </w:p>
        </w:tc>
        <w:tc>
          <w:tcPr>
            <w:tcW w:w="397" w:type="pct"/>
            <w:tcBorders>
              <w:top w:val="nil"/>
              <w:left w:val="single" w:color="auto" w:sz="6" w:space="0"/>
              <w:bottom w:val="single" w:color="auto" w:sz="6" w:space="0"/>
              <w:right w:val="single" w:color="auto" w:sz="6" w:space="0"/>
            </w:tcBorders>
            <w:noWrap w:val="0"/>
            <w:vAlign w:val="center"/>
          </w:tcPr>
          <w:p w14:paraId="6FA73E40">
            <w:pPr>
              <w:pStyle w:val="13"/>
              <w:keepNext/>
              <w:spacing w:line="440" w:lineRule="exact"/>
              <w:ind w:left="63" w:right="63"/>
              <w:rPr>
                <w:rFonts w:hint="eastAsia" w:ascii="宋体" w:hAnsi="宋体" w:eastAsia="宋体" w:cs="宋体"/>
                <w:sz w:val="24"/>
                <w:szCs w:val="24"/>
              </w:rPr>
            </w:pPr>
          </w:p>
        </w:tc>
        <w:tc>
          <w:tcPr>
            <w:tcW w:w="487" w:type="pct"/>
            <w:tcBorders>
              <w:top w:val="nil"/>
              <w:left w:val="single" w:color="auto" w:sz="6" w:space="0"/>
              <w:bottom w:val="single" w:color="auto" w:sz="6" w:space="0"/>
              <w:right w:val="single" w:color="auto" w:sz="6" w:space="0"/>
            </w:tcBorders>
            <w:noWrap w:val="0"/>
            <w:vAlign w:val="center"/>
          </w:tcPr>
          <w:p w14:paraId="1444C8A7">
            <w:pPr>
              <w:pStyle w:val="13"/>
              <w:keepNext/>
              <w:spacing w:line="440" w:lineRule="exact"/>
              <w:ind w:left="63" w:right="63"/>
              <w:rPr>
                <w:rFonts w:hint="eastAsia" w:ascii="宋体" w:hAnsi="宋体" w:eastAsia="宋体" w:cs="宋体"/>
                <w:sz w:val="24"/>
                <w:szCs w:val="24"/>
              </w:rPr>
            </w:pPr>
          </w:p>
        </w:tc>
        <w:tc>
          <w:tcPr>
            <w:tcW w:w="463" w:type="pct"/>
            <w:tcBorders>
              <w:top w:val="nil"/>
              <w:left w:val="single" w:color="auto" w:sz="6" w:space="0"/>
              <w:bottom w:val="single" w:color="auto" w:sz="6" w:space="0"/>
              <w:right w:val="single" w:color="auto" w:sz="6" w:space="0"/>
            </w:tcBorders>
            <w:noWrap w:val="0"/>
            <w:vAlign w:val="center"/>
          </w:tcPr>
          <w:p w14:paraId="468CEA83">
            <w:pPr>
              <w:pStyle w:val="13"/>
              <w:keepNext/>
              <w:spacing w:line="440" w:lineRule="exact"/>
              <w:ind w:left="63" w:right="63"/>
              <w:rPr>
                <w:rFonts w:hint="eastAsia" w:ascii="宋体" w:hAnsi="宋体" w:eastAsia="宋体" w:cs="宋体"/>
                <w:sz w:val="24"/>
                <w:szCs w:val="24"/>
              </w:rPr>
            </w:pPr>
          </w:p>
        </w:tc>
        <w:tc>
          <w:tcPr>
            <w:tcW w:w="397" w:type="pct"/>
            <w:tcBorders>
              <w:top w:val="nil"/>
              <w:left w:val="single" w:color="auto" w:sz="6" w:space="0"/>
              <w:bottom w:val="single" w:color="auto" w:sz="6" w:space="0"/>
              <w:right w:val="single" w:color="auto" w:sz="6" w:space="0"/>
            </w:tcBorders>
            <w:noWrap w:val="0"/>
            <w:vAlign w:val="center"/>
          </w:tcPr>
          <w:p w14:paraId="4DD4D46C">
            <w:pPr>
              <w:pStyle w:val="13"/>
              <w:keepNext/>
              <w:spacing w:line="440" w:lineRule="exact"/>
              <w:ind w:left="63" w:right="63"/>
              <w:rPr>
                <w:rFonts w:hint="eastAsia" w:ascii="宋体" w:hAnsi="宋体" w:eastAsia="宋体" w:cs="宋体"/>
                <w:sz w:val="24"/>
                <w:szCs w:val="24"/>
              </w:rPr>
            </w:pPr>
          </w:p>
        </w:tc>
        <w:tc>
          <w:tcPr>
            <w:tcW w:w="694" w:type="pct"/>
            <w:tcBorders>
              <w:top w:val="nil"/>
              <w:left w:val="single" w:color="auto" w:sz="6" w:space="0"/>
              <w:bottom w:val="single" w:color="auto" w:sz="6" w:space="0"/>
              <w:right w:val="single" w:color="auto" w:sz="6" w:space="0"/>
            </w:tcBorders>
            <w:noWrap w:val="0"/>
            <w:vAlign w:val="center"/>
          </w:tcPr>
          <w:p w14:paraId="7A5E70DE">
            <w:pPr>
              <w:pStyle w:val="13"/>
              <w:keepNext/>
              <w:spacing w:line="440" w:lineRule="exact"/>
              <w:ind w:left="63" w:right="63"/>
              <w:rPr>
                <w:rFonts w:hint="eastAsia" w:ascii="宋体" w:hAnsi="宋体" w:eastAsia="宋体" w:cs="宋体"/>
                <w:sz w:val="24"/>
                <w:szCs w:val="24"/>
              </w:rPr>
            </w:pPr>
          </w:p>
        </w:tc>
        <w:tc>
          <w:tcPr>
            <w:tcW w:w="463" w:type="pct"/>
            <w:tcBorders>
              <w:top w:val="nil"/>
              <w:left w:val="single" w:color="auto" w:sz="6" w:space="0"/>
              <w:bottom w:val="single" w:color="auto" w:sz="6" w:space="0"/>
              <w:right w:val="single" w:color="auto" w:sz="12" w:space="0"/>
            </w:tcBorders>
            <w:noWrap w:val="0"/>
            <w:vAlign w:val="center"/>
          </w:tcPr>
          <w:p w14:paraId="05C796BA">
            <w:pPr>
              <w:pStyle w:val="13"/>
              <w:keepNext/>
              <w:spacing w:line="440" w:lineRule="exact"/>
              <w:ind w:left="63" w:right="63"/>
              <w:rPr>
                <w:rFonts w:hint="eastAsia" w:ascii="宋体" w:hAnsi="宋体" w:eastAsia="宋体" w:cs="宋体"/>
                <w:sz w:val="24"/>
                <w:szCs w:val="24"/>
              </w:rPr>
            </w:pPr>
          </w:p>
        </w:tc>
      </w:tr>
      <w:tr w14:paraId="05E2E7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5DCA768E">
            <w:pPr>
              <w:pStyle w:val="13"/>
              <w:keepNext/>
              <w:spacing w:line="440" w:lineRule="exact"/>
              <w:ind w:left="63" w:right="63"/>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4E11BCD2">
            <w:pPr>
              <w:pStyle w:val="13"/>
              <w:keepNext/>
              <w:spacing w:line="440" w:lineRule="exact"/>
              <w:ind w:left="63" w:right="63"/>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1D891A3C">
            <w:pPr>
              <w:pStyle w:val="13"/>
              <w:keepNext/>
              <w:spacing w:line="440" w:lineRule="exact"/>
              <w:ind w:left="63" w:right="63"/>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7A7C5499">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01D8F627">
            <w:pPr>
              <w:pStyle w:val="13"/>
              <w:keepNext/>
              <w:spacing w:line="440" w:lineRule="exact"/>
              <w:ind w:left="63" w:right="63"/>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31B37155">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0BF6CAAD">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226EAA71">
            <w:pPr>
              <w:pStyle w:val="13"/>
              <w:keepNext/>
              <w:spacing w:line="440" w:lineRule="exact"/>
              <w:ind w:left="63" w:right="63"/>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42B5211F">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4E25A437">
            <w:pPr>
              <w:pStyle w:val="13"/>
              <w:keepNext/>
              <w:spacing w:line="440" w:lineRule="exact"/>
              <w:ind w:left="63" w:right="63"/>
              <w:rPr>
                <w:rFonts w:hint="eastAsia" w:ascii="宋体" w:hAnsi="宋体" w:eastAsia="宋体" w:cs="宋体"/>
                <w:sz w:val="24"/>
                <w:szCs w:val="24"/>
              </w:rPr>
            </w:pPr>
          </w:p>
        </w:tc>
      </w:tr>
      <w:tr w14:paraId="06DEC9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0143B158">
            <w:pPr>
              <w:pStyle w:val="13"/>
              <w:keepNext/>
              <w:spacing w:line="440" w:lineRule="exact"/>
              <w:ind w:left="63" w:right="63"/>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2499FDBE">
            <w:pPr>
              <w:pStyle w:val="13"/>
              <w:keepNext/>
              <w:spacing w:line="440" w:lineRule="exact"/>
              <w:ind w:left="63" w:right="63"/>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1ABC1613">
            <w:pPr>
              <w:pStyle w:val="13"/>
              <w:keepNext/>
              <w:spacing w:line="440" w:lineRule="exact"/>
              <w:ind w:left="63" w:right="63"/>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2F0B4DDC">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78777D4A">
            <w:pPr>
              <w:pStyle w:val="13"/>
              <w:keepNext/>
              <w:spacing w:line="440" w:lineRule="exact"/>
              <w:ind w:left="63" w:right="63"/>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642356AD">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10121AB7">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13E3D0FC">
            <w:pPr>
              <w:pStyle w:val="13"/>
              <w:keepNext/>
              <w:spacing w:line="440" w:lineRule="exact"/>
              <w:ind w:left="63" w:right="63"/>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125D6C04">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031BE2E3">
            <w:pPr>
              <w:pStyle w:val="13"/>
              <w:keepNext/>
              <w:spacing w:line="440" w:lineRule="exact"/>
              <w:ind w:left="63" w:right="63"/>
              <w:rPr>
                <w:rFonts w:hint="eastAsia" w:ascii="宋体" w:hAnsi="宋体" w:eastAsia="宋体" w:cs="宋体"/>
                <w:sz w:val="24"/>
                <w:szCs w:val="24"/>
              </w:rPr>
            </w:pPr>
          </w:p>
        </w:tc>
      </w:tr>
      <w:tr w14:paraId="557A22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4E461B77">
            <w:pPr>
              <w:pStyle w:val="13"/>
              <w:keepNext/>
              <w:spacing w:line="440" w:lineRule="exact"/>
              <w:ind w:left="63" w:right="63"/>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5235739B">
            <w:pPr>
              <w:pStyle w:val="13"/>
              <w:keepNext/>
              <w:spacing w:line="440" w:lineRule="exact"/>
              <w:ind w:left="63" w:right="63"/>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6A9449EA">
            <w:pPr>
              <w:pStyle w:val="13"/>
              <w:keepNext/>
              <w:spacing w:line="440" w:lineRule="exact"/>
              <w:ind w:left="63" w:right="63"/>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6D157A60">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71AD0D69">
            <w:pPr>
              <w:pStyle w:val="13"/>
              <w:keepNext/>
              <w:spacing w:line="440" w:lineRule="exact"/>
              <w:ind w:left="63" w:right="63"/>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4F03EA02">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23B981E8">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4C9FA731">
            <w:pPr>
              <w:pStyle w:val="13"/>
              <w:keepNext/>
              <w:spacing w:line="440" w:lineRule="exact"/>
              <w:ind w:left="63" w:right="63"/>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6CB63D8C">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24CD0BFE">
            <w:pPr>
              <w:pStyle w:val="13"/>
              <w:keepNext/>
              <w:spacing w:line="440" w:lineRule="exact"/>
              <w:ind w:left="63" w:right="63"/>
              <w:rPr>
                <w:rFonts w:hint="eastAsia" w:ascii="宋体" w:hAnsi="宋体" w:eastAsia="宋体" w:cs="宋体"/>
                <w:sz w:val="24"/>
                <w:szCs w:val="24"/>
              </w:rPr>
            </w:pPr>
          </w:p>
        </w:tc>
      </w:tr>
      <w:tr w14:paraId="03F3C3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2903ABF6">
            <w:pPr>
              <w:pStyle w:val="13"/>
              <w:keepNext/>
              <w:spacing w:line="440" w:lineRule="exact"/>
              <w:ind w:left="63" w:right="63"/>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72665DA0">
            <w:pPr>
              <w:pStyle w:val="13"/>
              <w:keepNext/>
              <w:spacing w:line="440" w:lineRule="exact"/>
              <w:ind w:left="63" w:right="63"/>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6EF50086">
            <w:pPr>
              <w:pStyle w:val="13"/>
              <w:keepNext/>
              <w:spacing w:line="440" w:lineRule="exact"/>
              <w:ind w:left="63" w:right="63"/>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209FD486">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1E80C4D1">
            <w:pPr>
              <w:pStyle w:val="13"/>
              <w:keepNext/>
              <w:spacing w:line="440" w:lineRule="exact"/>
              <w:ind w:left="63" w:right="63"/>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517952A3">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7EDA333B">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50803807">
            <w:pPr>
              <w:pStyle w:val="13"/>
              <w:keepNext/>
              <w:spacing w:line="440" w:lineRule="exact"/>
              <w:ind w:left="63" w:right="63"/>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7A67E337">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49BFF9A0">
            <w:pPr>
              <w:pStyle w:val="13"/>
              <w:keepNext/>
              <w:spacing w:line="440" w:lineRule="exact"/>
              <w:ind w:left="63" w:right="63"/>
              <w:rPr>
                <w:rFonts w:hint="eastAsia" w:ascii="宋体" w:hAnsi="宋体" w:eastAsia="宋体" w:cs="宋体"/>
                <w:sz w:val="24"/>
                <w:szCs w:val="24"/>
              </w:rPr>
            </w:pPr>
          </w:p>
        </w:tc>
      </w:tr>
      <w:tr w14:paraId="7C7605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229AAB9E">
            <w:pPr>
              <w:pStyle w:val="13"/>
              <w:keepNext/>
              <w:spacing w:line="440" w:lineRule="exact"/>
              <w:ind w:left="63" w:right="63"/>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1D3AF5A7">
            <w:pPr>
              <w:pStyle w:val="13"/>
              <w:keepNext/>
              <w:spacing w:line="440" w:lineRule="exact"/>
              <w:ind w:left="63" w:right="63"/>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1A73ADAE">
            <w:pPr>
              <w:pStyle w:val="13"/>
              <w:keepNext/>
              <w:spacing w:line="440" w:lineRule="exact"/>
              <w:ind w:left="63" w:right="63"/>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7BBFB04C">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211D0C29">
            <w:pPr>
              <w:pStyle w:val="13"/>
              <w:keepNext/>
              <w:spacing w:line="440" w:lineRule="exact"/>
              <w:ind w:left="63" w:right="63"/>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5EC92D7D">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3D128C2E">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518F8F04">
            <w:pPr>
              <w:pStyle w:val="13"/>
              <w:keepNext/>
              <w:spacing w:line="440" w:lineRule="exact"/>
              <w:ind w:left="63" w:right="63"/>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4A5F0A3D">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739BD758">
            <w:pPr>
              <w:pStyle w:val="13"/>
              <w:keepNext/>
              <w:spacing w:line="440" w:lineRule="exact"/>
              <w:ind w:left="63" w:right="63"/>
              <w:rPr>
                <w:rFonts w:hint="eastAsia" w:ascii="宋体" w:hAnsi="宋体" w:eastAsia="宋体" w:cs="宋体"/>
                <w:sz w:val="24"/>
                <w:szCs w:val="24"/>
              </w:rPr>
            </w:pPr>
          </w:p>
        </w:tc>
      </w:tr>
      <w:tr w14:paraId="54C473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4E6CE56D">
            <w:pPr>
              <w:pStyle w:val="13"/>
              <w:keepNext/>
              <w:spacing w:line="440" w:lineRule="exact"/>
              <w:ind w:left="63" w:right="63"/>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3A3D22F5">
            <w:pPr>
              <w:pStyle w:val="13"/>
              <w:keepNext/>
              <w:spacing w:line="440" w:lineRule="exact"/>
              <w:ind w:left="63" w:right="63"/>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36E7DCF3">
            <w:pPr>
              <w:pStyle w:val="13"/>
              <w:keepNext/>
              <w:spacing w:line="440" w:lineRule="exact"/>
              <w:ind w:left="63" w:right="63"/>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5F1EE5AF">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3861E58D">
            <w:pPr>
              <w:pStyle w:val="13"/>
              <w:keepNext/>
              <w:spacing w:line="440" w:lineRule="exact"/>
              <w:ind w:left="63" w:right="63"/>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3B58182E">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755F4235">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16066063">
            <w:pPr>
              <w:pStyle w:val="13"/>
              <w:keepNext/>
              <w:spacing w:line="440" w:lineRule="exact"/>
              <w:ind w:left="63" w:right="63"/>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20F753AC">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53018ED5">
            <w:pPr>
              <w:pStyle w:val="13"/>
              <w:keepNext/>
              <w:spacing w:line="440" w:lineRule="exact"/>
              <w:ind w:left="63" w:right="63"/>
              <w:rPr>
                <w:rFonts w:hint="eastAsia" w:ascii="宋体" w:hAnsi="宋体" w:eastAsia="宋体" w:cs="宋体"/>
                <w:sz w:val="24"/>
                <w:szCs w:val="24"/>
              </w:rPr>
            </w:pPr>
          </w:p>
        </w:tc>
      </w:tr>
      <w:tr w14:paraId="69B8FB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0EAF2964">
            <w:pPr>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6BA375B6">
            <w:pPr>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24F0F19D">
            <w:pPr>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74D630A2">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72831109">
            <w:pPr>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5C2B180F">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1DEC904B">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108A94B1">
            <w:pPr>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0BD81740">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5BE2E16E">
            <w:pPr>
              <w:rPr>
                <w:rFonts w:hint="eastAsia" w:ascii="宋体" w:hAnsi="宋体" w:eastAsia="宋体" w:cs="宋体"/>
                <w:sz w:val="24"/>
                <w:szCs w:val="24"/>
              </w:rPr>
            </w:pPr>
          </w:p>
        </w:tc>
      </w:tr>
      <w:tr w14:paraId="5067DA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24DED4D7">
            <w:pPr>
              <w:pStyle w:val="13"/>
              <w:keepNext/>
              <w:spacing w:line="440" w:lineRule="exact"/>
              <w:ind w:left="63" w:right="63"/>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09C5673C">
            <w:pPr>
              <w:pStyle w:val="13"/>
              <w:keepNext/>
              <w:spacing w:line="440" w:lineRule="exact"/>
              <w:ind w:left="63" w:right="63"/>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2ED6C7DB">
            <w:pPr>
              <w:pStyle w:val="13"/>
              <w:keepNext/>
              <w:spacing w:line="440" w:lineRule="exact"/>
              <w:ind w:left="63" w:right="63"/>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0D9DF158">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4C63B0D0">
            <w:pPr>
              <w:pStyle w:val="13"/>
              <w:keepNext/>
              <w:spacing w:line="440" w:lineRule="exact"/>
              <w:ind w:left="63" w:right="63"/>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5ECBC101">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4A8812D8">
            <w:pPr>
              <w:pStyle w:val="13"/>
              <w:keepNext/>
              <w:spacing w:line="440" w:lineRule="exact"/>
              <w:ind w:left="63" w:right="63"/>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0C3FEF1F">
            <w:pPr>
              <w:pStyle w:val="13"/>
              <w:keepNext/>
              <w:spacing w:line="440" w:lineRule="exact"/>
              <w:ind w:left="63" w:right="63"/>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49B162A1">
            <w:pPr>
              <w:pStyle w:val="13"/>
              <w:keepNext/>
              <w:spacing w:line="440" w:lineRule="exact"/>
              <w:ind w:left="63" w:right="63"/>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43198E87">
            <w:pPr>
              <w:pStyle w:val="13"/>
              <w:keepNext/>
              <w:spacing w:line="440" w:lineRule="exact"/>
              <w:ind w:left="63" w:right="63"/>
              <w:rPr>
                <w:rFonts w:hint="eastAsia" w:ascii="宋体" w:hAnsi="宋体" w:eastAsia="宋体" w:cs="宋体"/>
                <w:sz w:val="24"/>
                <w:szCs w:val="24"/>
              </w:rPr>
            </w:pPr>
          </w:p>
        </w:tc>
      </w:tr>
      <w:tr w14:paraId="1FA135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6FC8121E">
            <w:pPr>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6ACCE3EC">
            <w:pPr>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0AE81F14">
            <w:pPr>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1A2D4F3D">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49599A78">
            <w:pPr>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1FA7E053">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5C57CEA9">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314CE2D9">
            <w:pPr>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495C950B">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298BC779">
            <w:pPr>
              <w:rPr>
                <w:rFonts w:hint="eastAsia" w:ascii="宋体" w:hAnsi="宋体" w:eastAsia="宋体" w:cs="宋体"/>
                <w:sz w:val="24"/>
                <w:szCs w:val="24"/>
              </w:rPr>
            </w:pPr>
          </w:p>
        </w:tc>
      </w:tr>
      <w:tr w14:paraId="27DD65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75F873EB">
            <w:pPr>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41594758">
            <w:pPr>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48A12F2E">
            <w:pPr>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200C65DA">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53D543BF">
            <w:pPr>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2F7FE094">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3B5F9008">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365E6985">
            <w:pPr>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24B39642">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034E4499">
            <w:pPr>
              <w:rPr>
                <w:rFonts w:hint="eastAsia" w:ascii="宋体" w:hAnsi="宋体" w:eastAsia="宋体" w:cs="宋体"/>
                <w:sz w:val="24"/>
                <w:szCs w:val="24"/>
              </w:rPr>
            </w:pPr>
          </w:p>
        </w:tc>
      </w:tr>
      <w:tr w14:paraId="421A11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2983FC51">
            <w:pPr>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7053D41A">
            <w:pPr>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4276A79C">
            <w:pPr>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7A8A2E30">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126DF0A4">
            <w:pPr>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3D5C644A">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2056F090">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2B019D2B">
            <w:pPr>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303CEDA7">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60B401A7">
            <w:pPr>
              <w:rPr>
                <w:rFonts w:hint="eastAsia" w:ascii="宋体" w:hAnsi="宋体" w:eastAsia="宋体" w:cs="宋体"/>
                <w:sz w:val="24"/>
                <w:szCs w:val="24"/>
              </w:rPr>
            </w:pPr>
          </w:p>
        </w:tc>
      </w:tr>
      <w:tr w14:paraId="7FCD54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100326A0">
            <w:pPr>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7D5D1D09">
            <w:pPr>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47C19CEA">
            <w:pPr>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24CB37C0">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665D5EE3">
            <w:pPr>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5862C9D2">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50BB4F74">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54443A34">
            <w:pPr>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72616CE6">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23C3CBEC">
            <w:pPr>
              <w:rPr>
                <w:rFonts w:hint="eastAsia" w:ascii="宋体" w:hAnsi="宋体" w:eastAsia="宋体" w:cs="宋体"/>
                <w:sz w:val="24"/>
                <w:szCs w:val="24"/>
              </w:rPr>
            </w:pPr>
          </w:p>
        </w:tc>
      </w:tr>
      <w:tr w14:paraId="74FE4C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1C1206C5">
            <w:pPr>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3805FFDD">
            <w:pPr>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51B63E78">
            <w:pPr>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24E66A12">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0D89A37D">
            <w:pPr>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562F60E4">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19FE80B6">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343D1968">
            <w:pPr>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67C16C8B">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33977692">
            <w:pPr>
              <w:rPr>
                <w:rFonts w:hint="eastAsia" w:ascii="宋体" w:hAnsi="宋体" w:eastAsia="宋体" w:cs="宋体"/>
                <w:sz w:val="24"/>
                <w:szCs w:val="24"/>
              </w:rPr>
            </w:pPr>
          </w:p>
        </w:tc>
      </w:tr>
      <w:tr w14:paraId="28A4AB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3218A39E">
            <w:pPr>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02A0CD8A">
            <w:pPr>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1A379234">
            <w:pPr>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0BC5D70D">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4BA94D68">
            <w:pPr>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6502A820">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7D7380F3">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189C39E3">
            <w:pPr>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2F2A7949">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4600FEBA">
            <w:pPr>
              <w:rPr>
                <w:rFonts w:hint="eastAsia" w:ascii="宋体" w:hAnsi="宋体" w:eastAsia="宋体" w:cs="宋体"/>
                <w:sz w:val="24"/>
                <w:szCs w:val="24"/>
              </w:rPr>
            </w:pPr>
          </w:p>
        </w:tc>
      </w:tr>
      <w:tr w14:paraId="37EDE5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6" w:space="0"/>
              <w:right w:val="single" w:color="auto" w:sz="6" w:space="0"/>
            </w:tcBorders>
            <w:noWrap w:val="0"/>
            <w:vAlign w:val="center"/>
          </w:tcPr>
          <w:p w14:paraId="20D8E1AF">
            <w:pPr>
              <w:rPr>
                <w:rFonts w:hint="eastAsia" w:ascii="宋体" w:hAnsi="宋体" w:eastAsia="宋体" w:cs="宋体"/>
                <w:sz w:val="24"/>
                <w:szCs w:val="24"/>
              </w:rPr>
            </w:pPr>
          </w:p>
        </w:tc>
        <w:tc>
          <w:tcPr>
            <w:tcW w:w="596" w:type="pct"/>
            <w:tcBorders>
              <w:top w:val="single" w:color="auto" w:sz="6" w:space="0"/>
              <w:left w:val="single" w:color="auto" w:sz="6" w:space="0"/>
              <w:bottom w:val="single" w:color="auto" w:sz="6" w:space="0"/>
              <w:right w:val="single" w:color="auto" w:sz="6" w:space="0"/>
            </w:tcBorders>
            <w:noWrap w:val="0"/>
            <w:vAlign w:val="center"/>
          </w:tcPr>
          <w:p w14:paraId="008E32F5">
            <w:pPr>
              <w:rPr>
                <w:rFonts w:hint="eastAsia" w:ascii="宋体" w:hAnsi="宋体" w:eastAsia="宋体" w:cs="宋体"/>
                <w:sz w:val="24"/>
                <w:szCs w:val="24"/>
              </w:rPr>
            </w:pPr>
          </w:p>
        </w:tc>
        <w:tc>
          <w:tcPr>
            <w:tcW w:w="662" w:type="pct"/>
            <w:tcBorders>
              <w:top w:val="single" w:color="auto" w:sz="6" w:space="0"/>
              <w:left w:val="single" w:color="auto" w:sz="6" w:space="0"/>
              <w:bottom w:val="single" w:color="auto" w:sz="6" w:space="0"/>
              <w:right w:val="single" w:color="auto" w:sz="6" w:space="0"/>
            </w:tcBorders>
            <w:noWrap w:val="0"/>
            <w:vAlign w:val="center"/>
          </w:tcPr>
          <w:p w14:paraId="53EDF518">
            <w:pPr>
              <w:rPr>
                <w:rFonts w:hint="eastAsia" w:ascii="宋体" w:hAnsi="宋体" w:eastAsia="宋体" w:cs="宋体"/>
                <w:sz w:val="24"/>
                <w:szCs w:val="24"/>
              </w:rPr>
            </w:pPr>
          </w:p>
        </w:tc>
        <w:tc>
          <w:tcPr>
            <w:tcW w:w="439" w:type="pct"/>
            <w:tcBorders>
              <w:top w:val="single" w:color="auto" w:sz="6" w:space="0"/>
              <w:left w:val="single" w:color="auto" w:sz="6" w:space="0"/>
              <w:bottom w:val="single" w:color="auto" w:sz="6" w:space="0"/>
              <w:right w:val="single" w:color="auto" w:sz="6" w:space="0"/>
            </w:tcBorders>
            <w:noWrap w:val="0"/>
            <w:vAlign w:val="center"/>
          </w:tcPr>
          <w:p w14:paraId="1507301D">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40A6C70B">
            <w:pPr>
              <w:rPr>
                <w:rFonts w:hint="eastAsia" w:ascii="宋体" w:hAnsi="宋体" w:eastAsia="宋体" w:cs="宋体"/>
                <w:sz w:val="24"/>
                <w:szCs w:val="24"/>
              </w:rPr>
            </w:pPr>
          </w:p>
        </w:tc>
        <w:tc>
          <w:tcPr>
            <w:tcW w:w="487" w:type="pct"/>
            <w:tcBorders>
              <w:top w:val="single" w:color="auto" w:sz="6" w:space="0"/>
              <w:left w:val="single" w:color="auto" w:sz="6" w:space="0"/>
              <w:bottom w:val="single" w:color="auto" w:sz="6" w:space="0"/>
              <w:right w:val="single" w:color="auto" w:sz="6" w:space="0"/>
            </w:tcBorders>
            <w:noWrap w:val="0"/>
            <w:vAlign w:val="center"/>
          </w:tcPr>
          <w:p w14:paraId="57A57886">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6" w:space="0"/>
            </w:tcBorders>
            <w:noWrap w:val="0"/>
            <w:vAlign w:val="center"/>
          </w:tcPr>
          <w:p w14:paraId="5D2C8384">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6" w:space="0"/>
              <w:right w:val="single" w:color="auto" w:sz="6" w:space="0"/>
            </w:tcBorders>
            <w:noWrap w:val="0"/>
            <w:vAlign w:val="center"/>
          </w:tcPr>
          <w:p w14:paraId="1A66E514">
            <w:pPr>
              <w:rPr>
                <w:rFonts w:hint="eastAsia" w:ascii="宋体" w:hAnsi="宋体" w:eastAsia="宋体" w:cs="宋体"/>
                <w:sz w:val="24"/>
                <w:szCs w:val="24"/>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440BBC76">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6" w:space="0"/>
              <w:right w:val="single" w:color="auto" w:sz="12" w:space="0"/>
            </w:tcBorders>
            <w:noWrap w:val="0"/>
            <w:vAlign w:val="center"/>
          </w:tcPr>
          <w:p w14:paraId="634FCB0C">
            <w:pPr>
              <w:rPr>
                <w:rFonts w:hint="eastAsia" w:ascii="宋体" w:hAnsi="宋体" w:eastAsia="宋体" w:cs="宋体"/>
                <w:sz w:val="24"/>
                <w:szCs w:val="24"/>
              </w:rPr>
            </w:pPr>
          </w:p>
        </w:tc>
      </w:tr>
      <w:tr w14:paraId="1F8986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97" w:type="pct"/>
            <w:tcBorders>
              <w:top w:val="single" w:color="auto" w:sz="6" w:space="0"/>
              <w:left w:val="single" w:color="auto" w:sz="12" w:space="0"/>
              <w:bottom w:val="single" w:color="auto" w:sz="12" w:space="0"/>
              <w:right w:val="single" w:color="auto" w:sz="6" w:space="0"/>
            </w:tcBorders>
            <w:noWrap w:val="0"/>
            <w:vAlign w:val="center"/>
          </w:tcPr>
          <w:p w14:paraId="79E62C1D">
            <w:pPr>
              <w:rPr>
                <w:rFonts w:hint="eastAsia" w:ascii="宋体" w:hAnsi="宋体" w:eastAsia="宋体" w:cs="宋体"/>
                <w:sz w:val="24"/>
                <w:szCs w:val="24"/>
              </w:rPr>
            </w:pPr>
          </w:p>
        </w:tc>
        <w:tc>
          <w:tcPr>
            <w:tcW w:w="596" w:type="pct"/>
            <w:tcBorders>
              <w:top w:val="single" w:color="auto" w:sz="6" w:space="0"/>
              <w:left w:val="single" w:color="auto" w:sz="6" w:space="0"/>
              <w:bottom w:val="single" w:color="auto" w:sz="12" w:space="0"/>
              <w:right w:val="single" w:color="auto" w:sz="6" w:space="0"/>
            </w:tcBorders>
            <w:noWrap w:val="0"/>
            <w:vAlign w:val="center"/>
          </w:tcPr>
          <w:p w14:paraId="1954B942">
            <w:pPr>
              <w:rPr>
                <w:rFonts w:hint="eastAsia" w:ascii="宋体" w:hAnsi="宋体" w:eastAsia="宋体" w:cs="宋体"/>
                <w:sz w:val="24"/>
                <w:szCs w:val="24"/>
              </w:rPr>
            </w:pPr>
          </w:p>
        </w:tc>
        <w:tc>
          <w:tcPr>
            <w:tcW w:w="662" w:type="pct"/>
            <w:tcBorders>
              <w:top w:val="single" w:color="auto" w:sz="6" w:space="0"/>
              <w:left w:val="single" w:color="auto" w:sz="6" w:space="0"/>
              <w:bottom w:val="single" w:color="auto" w:sz="12" w:space="0"/>
              <w:right w:val="single" w:color="auto" w:sz="6" w:space="0"/>
            </w:tcBorders>
            <w:noWrap w:val="0"/>
            <w:vAlign w:val="center"/>
          </w:tcPr>
          <w:p w14:paraId="6388922D">
            <w:pPr>
              <w:rPr>
                <w:rFonts w:hint="eastAsia" w:ascii="宋体" w:hAnsi="宋体" w:eastAsia="宋体" w:cs="宋体"/>
                <w:sz w:val="24"/>
                <w:szCs w:val="24"/>
              </w:rPr>
            </w:pPr>
          </w:p>
        </w:tc>
        <w:tc>
          <w:tcPr>
            <w:tcW w:w="439" w:type="pct"/>
            <w:tcBorders>
              <w:top w:val="single" w:color="auto" w:sz="6" w:space="0"/>
              <w:left w:val="single" w:color="auto" w:sz="6" w:space="0"/>
              <w:bottom w:val="single" w:color="auto" w:sz="12" w:space="0"/>
              <w:right w:val="single" w:color="auto" w:sz="6" w:space="0"/>
            </w:tcBorders>
            <w:noWrap w:val="0"/>
            <w:vAlign w:val="center"/>
          </w:tcPr>
          <w:p w14:paraId="54D975DC">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12" w:space="0"/>
              <w:right w:val="single" w:color="auto" w:sz="6" w:space="0"/>
            </w:tcBorders>
            <w:noWrap w:val="0"/>
            <w:vAlign w:val="center"/>
          </w:tcPr>
          <w:p w14:paraId="7A44CC5A">
            <w:pPr>
              <w:rPr>
                <w:rFonts w:hint="eastAsia" w:ascii="宋体" w:hAnsi="宋体" w:eastAsia="宋体" w:cs="宋体"/>
                <w:sz w:val="24"/>
                <w:szCs w:val="24"/>
              </w:rPr>
            </w:pPr>
          </w:p>
        </w:tc>
        <w:tc>
          <w:tcPr>
            <w:tcW w:w="487" w:type="pct"/>
            <w:tcBorders>
              <w:top w:val="single" w:color="auto" w:sz="6" w:space="0"/>
              <w:left w:val="single" w:color="auto" w:sz="6" w:space="0"/>
              <w:bottom w:val="single" w:color="auto" w:sz="12" w:space="0"/>
              <w:right w:val="single" w:color="auto" w:sz="6" w:space="0"/>
            </w:tcBorders>
            <w:noWrap w:val="0"/>
            <w:vAlign w:val="center"/>
          </w:tcPr>
          <w:p w14:paraId="7D92C667">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12" w:space="0"/>
              <w:right w:val="single" w:color="auto" w:sz="6" w:space="0"/>
            </w:tcBorders>
            <w:noWrap w:val="0"/>
            <w:vAlign w:val="center"/>
          </w:tcPr>
          <w:p w14:paraId="38A6745A">
            <w:pPr>
              <w:rPr>
                <w:rFonts w:hint="eastAsia" w:ascii="宋体" w:hAnsi="宋体" w:eastAsia="宋体" w:cs="宋体"/>
                <w:sz w:val="24"/>
                <w:szCs w:val="24"/>
              </w:rPr>
            </w:pPr>
          </w:p>
        </w:tc>
        <w:tc>
          <w:tcPr>
            <w:tcW w:w="397" w:type="pct"/>
            <w:tcBorders>
              <w:top w:val="single" w:color="auto" w:sz="6" w:space="0"/>
              <w:left w:val="single" w:color="auto" w:sz="6" w:space="0"/>
              <w:bottom w:val="single" w:color="auto" w:sz="12" w:space="0"/>
              <w:right w:val="single" w:color="auto" w:sz="6" w:space="0"/>
            </w:tcBorders>
            <w:noWrap w:val="0"/>
            <w:vAlign w:val="center"/>
          </w:tcPr>
          <w:p w14:paraId="6EA49E52">
            <w:pPr>
              <w:rPr>
                <w:rFonts w:hint="eastAsia" w:ascii="宋体" w:hAnsi="宋体" w:eastAsia="宋体" w:cs="宋体"/>
                <w:sz w:val="24"/>
                <w:szCs w:val="24"/>
              </w:rPr>
            </w:pPr>
          </w:p>
        </w:tc>
        <w:tc>
          <w:tcPr>
            <w:tcW w:w="694" w:type="pct"/>
            <w:tcBorders>
              <w:top w:val="single" w:color="auto" w:sz="6" w:space="0"/>
              <w:left w:val="single" w:color="auto" w:sz="6" w:space="0"/>
              <w:bottom w:val="single" w:color="auto" w:sz="12" w:space="0"/>
              <w:right w:val="single" w:color="auto" w:sz="6" w:space="0"/>
            </w:tcBorders>
            <w:noWrap w:val="0"/>
            <w:vAlign w:val="center"/>
          </w:tcPr>
          <w:p w14:paraId="1D747A97">
            <w:pPr>
              <w:rPr>
                <w:rFonts w:hint="eastAsia" w:ascii="宋体" w:hAnsi="宋体" w:eastAsia="宋体" w:cs="宋体"/>
                <w:sz w:val="24"/>
                <w:szCs w:val="24"/>
              </w:rPr>
            </w:pPr>
          </w:p>
        </w:tc>
        <w:tc>
          <w:tcPr>
            <w:tcW w:w="463" w:type="pct"/>
            <w:tcBorders>
              <w:top w:val="single" w:color="auto" w:sz="6" w:space="0"/>
              <w:left w:val="single" w:color="auto" w:sz="6" w:space="0"/>
              <w:bottom w:val="single" w:color="auto" w:sz="12" w:space="0"/>
              <w:right w:val="single" w:color="auto" w:sz="12" w:space="0"/>
            </w:tcBorders>
            <w:noWrap w:val="0"/>
            <w:vAlign w:val="center"/>
          </w:tcPr>
          <w:p w14:paraId="6EA35D08">
            <w:pPr>
              <w:rPr>
                <w:rFonts w:hint="eastAsia" w:ascii="宋体" w:hAnsi="宋体" w:eastAsia="宋体" w:cs="宋体"/>
                <w:sz w:val="24"/>
                <w:szCs w:val="24"/>
              </w:rPr>
            </w:pPr>
          </w:p>
        </w:tc>
      </w:tr>
    </w:tbl>
    <w:p w14:paraId="30D97C75">
      <w:pPr>
        <w:spacing w:line="440" w:lineRule="exact"/>
        <w:rPr>
          <w:rFonts w:hint="eastAsia" w:ascii="仿宋" w:hAnsi="仿宋" w:eastAsia="仿宋"/>
          <w:sz w:val="30"/>
          <w:szCs w:val="30"/>
        </w:rPr>
      </w:pPr>
    </w:p>
    <w:p w14:paraId="4282B154">
      <w:pPr>
        <w:spacing w:line="440" w:lineRule="exact"/>
        <w:rPr>
          <w:rFonts w:hint="eastAsia" w:ascii="仿宋" w:hAnsi="仿宋" w:eastAsia="仿宋"/>
          <w:sz w:val="30"/>
          <w:szCs w:val="30"/>
        </w:rPr>
      </w:pPr>
    </w:p>
    <w:p w14:paraId="2B622AC2">
      <w:pPr>
        <w:spacing w:line="440" w:lineRule="exact"/>
        <w:rPr>
          <w:rFonts w:ascii="仿宋" w:hAnsi="仿宋" w:eastAsia="仿宋"/>
          <w:sz w:val="30"/>
          <w:szCs w:val="30"/>
        </w:rPr>
      </w:pPr>
    </w:p>
    <w:p w14:paraId="505E77BA">
      <w:pPr>
        <w:spacing w:line="440" w:lineRule="exact"/>
        <w:rPr>
          <w:rFonts w:hint="eastAsia" w:ascii="宋体" w:hAnsi="宋体" w:eastAsia="宋体" w:cs="宋体"/>
          <w:sz w:val="24"/>
          <w:szCs w:val="24"/>
        </w:rPr>
      </w:pPr>
      <w:r>
        <w:rPr>
          <w:rFonts w:hint="eastAsia" w:ascii="宋体" w:hAnsi="宋体" w:eastAsia="宋体" w:cs="宋体"/>
          <w:sz w:val="24"/>
          <w:szCs w:val="24"/>
          <w:highlight w:val="white"/>
        </w:rPr>
        <w:t xml:space="preserve">附件3：    </w:t>
      </w:r>
    </w:p>
    <w:p w14:paraId="13B88D11">
      <w:pPr>
        <w:spacing w:before="156" w:beforeLines="50" w:after="156" w:afterLines="50" w:line="440" w:lineRule="exact"/>
        <w:ind w:firstLine="0" w:firstLineChars="0"/>
        <w:jc w:val="center"/>
        <w:rPr>
          <w:rFonts w:hint="eastAsia" w:ascii="宋体" w:hAnsi="宋体" w:eastAsia="宋体" w:cs="宋体"/>
          <w:b/>
          <w:sz w:val="24"/>
          <w:szCs w:val="24"/>
        </w:rPr>
      </w:pPr>
      <w:r>
        <w:rPr>
          <w:rFonts w:hint="eastAsia" w:ascii="宋体" w:hAnsi="宋体" w:eastAsia="宋体" w:cs="宋体"/>
          <w:b/>
          <w:sz w:val="24"/>
          <w:szCs w:val="24"/>
          <w:highlight w:val="white"/>
        </w:rPr>
        <w:t>工程质量保修书</w:t>
      </w:r>
    </w:p>
    <w:p w14:paraId="7CB02951">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发包人（全称）：</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 xml:space="preserve"> </w:t>
      </w:r>
    </w:p>
    <w:p w14:paraId="49748569">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代建人（全称）：</w:t>
      </w:r>
    </w:p>
    <w:p w14:paraId="78943CEB">
      <w:pPr>
        <w:spacing w:line="440" w:lineRule="exact"/>
        <w:ind w:firstLine="552"/>
        <w:rPr>
          <w:rFonts w:hint="eastAsia" w:ascii="宋体" w:hAnsi="宋体" w:eastAsia="宋体" w:cs="宋体"/>
          <w:sz w:val="24"/>
          <w:szCs w:val="24"/>
        </w:rPr>
      </w:pPr>
      <w:r>
        <w:rPr>
          <w:rFonts w:hint="eastAsia" w:ascii="宋体" w:hAnsi="宋体" w:eastAsia="宋体" w:cs="宋体"/>
          <w:sz w:val="24"/>
          <w:szCs w:val="24"/>
          <w:highlight w:val="white"/>
        </w:rPr>
        <w:t>承包人（全称）：</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 xml:space="preserve"> </w:t>
      </w:r>
    </w:p>
    <w:p w14:paraId="04FA0B1F">
      <w:pPr>
        <w:spacing w:line="440" w:lineRule="exact"/>
        <w:ind w:firstLine="552"/>
        <w:rPr>
          <w:rFonts w:hint="eastAsia" w:ascii="宋体" w:hAnsi="宋体" w:eastAsia="宋体" w:cs="宋体"/>
          <w:sz w:val="24"/>
          <w:szCs w:val="24"/>
        </w:rPr>
      </w:pPr>
    </w:p>
    <w:p w14:paraId="64E53C25">
      <w:pPr>
        <w:spacing w:line="440" w:lineRule="exact"/>
        <w:rPr>
          <w:rFonts w:hint="eastAsia" w:ascii="宋体" w:hAnsi="宋体" w:eastAsia="宋体" w:cs="宋体"/>
          <w:sz w:val="24"/>
          <w:szCs w:val="24"/>
        </w:rPr>
      </w:pPr>
    </w:p>
    <w:p w14:paraId="4AF1C82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发包人和承包人根据《中华人民共和国建筑法》和《建设工程质量管理条例》，经协商一致就</w:t>
      </w:r>
      <w:r>
        <w:rPr>
          <w:rFonts w:hint="eastAsia" w:ascii="宋体" w:hAnsi="宋体" w:eastAsia="宋体" w:cs="宋体"/>
          <w:sz w:val="24"/>
          <w:szCs w:val="24"/>
          <w:highlight w:val="white"/>
          <w:u w:val="single"/>
        </w:rPr>
        <w:t>现代农业产业园—半坡农创园工程</w:t>
      </w:r>
      <w:r>
        <w:rPr>
          <w:rFonts w:hint="eastAsia" w:ascii="宋体" w:hAnsi="宋体" w:eastAsia="宋体" w:cs="宋体"/>
          <w:sz w:val="24"/>
          <w:szCs w:val="24"/>
          <w:highlight w:val="white"/>
        </w:rPr>
        <w:t>（工程全称）签订工程质量保修书。</w:t>
      </w:r>
    </w:p>
    <w:p w14:paraId="6945CE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一、工程质量保修范围和内容</w:t>
      </w:r>
    </w:p>
    <w:p w14:paraId="7F23974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承包人在质量保修期内，按照有关法律规定和合同约定，承担工程质量保修责任。</w:t>
      </w:r>
    </w:p>
    <w:p w14:paraId="40B44BA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6622364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w:t>
      </w:r>
    </w:p>
    <w:p w14:paraId="07E511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二、质量保修期</w:t>
      </w:r>
    </w:p>
    <w:p w14:paraId="7462401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根据《建设工程质量管理条例》及有关规定，工程的质量保修期如下：</w:t>
      </w:r>
    </w:p>
    <w:p w14:paraId="36E6C2B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1．地基基础工程和主体结构工程为设计文件规定的工程合理使用年限；</w:t>
      </w:r>
    </w:p>
    <w:p w14:paraId="609DA26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2．屋面防水工程、有防水要求的卫生间、房间和外墙面的防渗为</w:t>
      </w:r>
      <w:r>
        <w:rPr>
          <w:rFonts w:hint="eastAsia" w:ascii="宋体" w:hAnsi="宋体" w:eastAsia="宋体" w:cs="宋体"/>
          <w:sz w:val="24"/>
          <w:szCs w:val="24"/>
          <w:highlight w:val="white"/>
          <w:u w:val="single"/>
        </w:rPr>
        <w:t xml:space="preserve">  5   </w:t>
      </w:r>
      <w:r>
        <w:rPr>
          <w:rFonts w:hint="eastAsia" w:ascii="宋体" w:hAnsi="宋体" w:eastAsia="宋体" w:cs="宋体"/>
          <w:sz w:val="24"/>
          <w:szCs w:val="24"/>
          <w:highlight w:val="white"/>
        </w:rPr>
        <w:t>年；</w:t>
      </w:r>
    </w:p>
    <w:p w14:paraId="3A3B711F">
      <w:pPr>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3．装修工程为</w:t>
      </w:r>
      <w:r>
        <w:rPr>
          <w:rFonts w:hint="eastAsia" w:ascii="宋体" w:hAnsi="宋体" w:eastAsia="宋体" w:cs="宋体"/>
          <w:sz w:val="24"/>
          <w:szCs w:val="24"/>
          <w:highlight w:val="white"/>
          <w:u w:val="single"/>
        </w:rPr>
        <w:t xml:space="preserve">     2   </w:t>
      </w:r>
      <w:r>
        <w:rPr>
          <w:rFonts w:hint="eastAsia" w:ascii="宋体" w:hAnsi="宋体" w:eastAsia="宋体" w:cs="宋体"/>
          <w:sz w:val="24"/>
          <w:szCs w:val="24"/>
          <w:highlight w:val="white"/>
        </w:rPr>
        <w:t>年；</w:t>
      </w:r>
    </w:p>
    <w:p w14:paraId="79BE4B8A">
      <w:pPr>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4．电气管线、给排水管道、设备安装工程为</w:t>
      </w:r>
      <w:r>
        <w:rPr>
          <w:rFonts w:hint="eastAsia" w:ascii="宋体" w:hAnsi="宋体" w:eastAsia="宋体" w:cs="宋体"/>
          <w:sz w:val="24"/>
          <w:szCs w:val="24"/>
          <w:highlight w:val="white"/>
          <w:u w:val="single"/>
        </w:rPr>
        <w:t xml:space="preserve">     2   </w:t>
      </w:r>
      <w:r>
        <w:rPr>
          <w:rFonts w:hint="eastAsia" w:ascii="宋体" w:hAnsi="宋体" w:eastAsia="宋体" w:cs="宋体"/>
          <w:sz w:val="24"/>
          <w:szCs w:val="24"/>
          <w:highlight w:val="white"/>
        </w:rPr>
        <w:t>年；</w:t>
      </w:r>
    </w:p>
    <w:p w14:paraId="3BF8B0F6">
      <w:pPr>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5．供热与供冷系统为</w:t>
      </w:r>
      <w:r>
        <w:rPr>
          <w:rFonts w:hint="eastAsia" w:ascii="宋体" w:hAnsi="宋体" w:eastAsia="宋体" w:cs="宋体"/>
          <w:sz w:val="24"/>
          <w:szCs w:val="24"/>
          <w:highlight w:val="white"/>
          <w:u w:val="single"/>
        </w:rPr>
        <w:t xml:space="preserve">     2   </w:t>
      </w:r>
      <w:r>
        <w:rPr>
          <w:rFonts w:hint="eastAsia" w:ascii="宋体" w:hAnsi="宋体" w:eastAsia="宋体" w:cs="宋体"/>
          <w:sz w:val="24"/>
          <w:szCs w:val="24"/>
          <w:highlight w:val="white"/>
        </w:rPr>
        <w:t>个采暖期、供冷期；</w:t>
      </w:r>
    </w:p>
    <w:p w14:paraId="7E164351">
      <w:pPr>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6．住宅小区内的给排水设施、道路等配套工程为</w:t>
      </w:r>
      <w:r>
        <w:rPr>
          <w:rFonts w:hint="eastAsia" w:ascii="宋体" w:hAnsi="宋体" w:eastAsia="宋体" w:cs="宋体"/>
          <w:sz w:val="24"/>
          <w:szCs w:val="24"/>
          <w:highlight w:val="white"/>
          <w:u w:val="single"/>
        </w:rPr>
        <w:t xml:space="preserve">    2    </w:t>
      </w:r>
      <w:r>
        <w:rPr>
          <w:rFonts w:hint="eastAsia" w:ascii="宋体" w:hAnsi="宋体" w:eastAsia="宋体" w:cs="宋体"/>
          <w:sz w:val="24"/>
          <w:szCs w:val="24"/>
          <w:highlight w:val="white"/>
        </w:rPr>
        <w:t>年；</w:t>
      </w:r>
    </w:p>
    <w:p w14:paraId="0BDE739C">
      <w:pPr>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7．其他项目保修期限约定如下：</w:t>
      </w:r>
    </w:p>
    <w:p w14:paraId="5A8D131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w:t>
      </w:r>
    </w:p>
    <w:p w14:paraId="1A70ADE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质量保修期自工程竣工验收合格之日起计算。</w:t>
      </w:r>
    </w:p>
    <w:p w14:paraId="63D9D69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三、缺陷责任期</w:t>
      </w:r>
    </w:p>
    <w:p w14:paraId="0D8C42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工程缺陷责任期为</w:t>
      </w:r>
      <w:r>
        <w:rPr>
          <w:rFonts w:hint="eastAsia" w:ascii="宋体" w:hAnsi="宋体" w:eastAsia="宋体" w:cs="宋体"/>
          <w:sz w:val="24"/>
          <w:szCs w:val="24"/>
          <w:highlight w:val="white"/>
          <w:u w:val="single"/>
        </w:rPr>
        <w:t xml:space="preserve"> 24  </w:t>
      </w:r>
      <w:r>
        <w:rPr>
          <w:rFonts w:hint="eastAsia" w:ascii="宋体" w:hAnsi="宋体" w:eastAsia="宋体" w:cs="宋体"/>
          <w:sz w:val="24"/>
          <w:szCs w:val="24"/>
          <w:highlight w:val="white"/>
        </w:rPr>
        <w:t>个月，缺陷责任期自工程通过竣工验收之日起计算。单位工程先于全部工程进行验收，单位工程缺陷责任期自单位工程验收合格之日起算。</w:t>
      </w:r>
    </w:p>
    <w:p w14:paraId="71957D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缺陷责任期终止后，发包人应退还剩余的质量保证金。</w:t>
      </w:r>
    </w:p>
    <w:p w14:paraId="36D60F4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四、质量保修责任</w:t>
      </w:r>
    </w:p>
    <w:p w14:paraId="4D0A01CF">
      <w:pPr>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1．属于保修范围、内容的项目，承包人应当在接到保修通知之日起7天内派人保修。承包人不在约定期限内派人保修的，发包人可以委托他人修理。</w:t>
      </w:r>
    </w:p>
    <w:p w14:paraId="57F646E0">
      <w:pPr>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2．发生紧急事故需抢修的，承包人在接到事故通知后，应当立即到达事故现场抢修。</w:t>
      </w:r>
    </w:p>
    <w:p w14:paraId="067E6B8B">
      <w:pPr>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5BEC130E">
      <w:pPr>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4．质量保修完成后，由发包人组织验收。</w:t>
      </w:r>
    </w:p>
    <w:p w14:paraId="77F5E90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五、保修费用</w:t>
      </w:r>
    </w:p>
    <w:p w14:paraId="5AC4D66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保修费用由造成质量缺陷的责任方承担。</w:t>
      </w:r>
    </w:p>
    <w:p w14:paraId="6352CF01">
      <w:pPr>
        <w:spacing w:line="360" w:lineRule="auto"/>
        <w:ind w:firstLine="480" w:firstLineChars="200"/>
        <w:rPr>
          <w:rFonts w:hint="eastAsia" w:ascii="宋体" w:hAnsi="宋体" w:eastAsia="宋体" w:cs="宋体"/>
          <w:sz w:val="24"/>
          <w:szCs w:val="24"/>
          <w:highlight w:val="white"/>
          <w:u w:val="single"/>
        </w:rPr>
      </w:pPr>
      <w:r>
        <w:rPr>
          <w:rFonts w:hint="eastAsia" w:ascii="宋体" w:hAnsi="宋体" w:eastAsia="宋体" w:cs="宋体"/>
          <w:sz w:val="24"/>
          <w:szCs w:val="24"/>
          <w:highlight w:val="white"/>
        </w:rPr>
        <w:t>六、双方约定的其他工程质量保修事项：</w:t>
      </w:r>
      <w:r>
        <w:rPr>
          <w:rFonts w:hint="eastAsia" w:ascii="宋体" w:hAnsi="宋体" w:eastAsia="宋体" w:cs="宋体"/>
          <w:sz w:val="24"/>
          <w:szCs w:val="24"/>
          <w:highlight w:val="white"/>
          <w:u w:val="single"/>
        </w:rPr>
        <w:t>/。</w:t>
      </w:r>
    </w:p>
    <w:p w14:paraId="7214A10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工程质量保修书由发包人、承包人在工程竣工验收前共同签署，作为施工合同附件，其有效期限至保修期满。</w:t>
      </w:r>
    </w:p>
    <w:p w14:paraId="29BF106B">
      <w:pPr>
        <w:spacing w:line="360" w:lineRule="auto"/>
        <w:ind w:firstLine="420"/>
        <w:rPr>
          <w:rFonts w:ascii="仿宋" w:hAnsi="仿宋" w:eastAsia="仿宋"/>
          <w:sz w:val="28"/>
          <w:szCs w:val="28"/>
        </w:rPr>
      </w:pPr>
    </w:p>
    <w:tbl>
      <w:tblPr>
        <w:tblStyle w:val="29"/>
        <w:tblW w:w="0" w:type="auto"/>
        <w:jc w:val="center"/>
        <w:tblLayout w:type="autofit"/>
        <w:tblCellMar>
          <w:top w:w="0" w:type="dxa"/>
          <w:left w:w="108" w:type="dxa"/>
          <w:bottom w:w="0" w:type="dxa"/>
          <w:right w:w="108" w:type="dxa"/>
        </w:tblCellMar>
      </w:tblPr>
      <w:tblGrid>
        <w:gridCol w:w="3012"/>
        <w:gridCol w:w="3012"/>
        <w:gridCol w:w="3012"/>
      </w:tblGrid>
      <w:tr w14:paraId="4D25BDEB">
        <w:trPr>
          <w:jc w:val="center"/>
        </w:trPr>
        <w:tc>
          <w:tcPr>
            <w:tcW w:w="3012" w:type="dxa"/>
            <w:noWrap w:val="0"/>
            <w:vAlign w:val="top"/>
          </w:tcPr>
          <w:p w14:paraId="69FFBE95">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发包人：（盖章）</w:t>
            </w:r>
          </w:p>
        </w:tc>
        <w:tc>
          <w:tcPr>
            <w:tcW w:w="3012" w:type="dxa"/>
            <w:noWrap w:val="0"/>
            <w:vAlign w:val="top"/>
          </w:tcPr>
          <w:p w14:paraId="18FD6984">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rPr>
              <w:t>代建人：（盖章）</w:t>
            </w:r>
          </w:p>
        </w:tc>
        <w:tc>
          <w:tcPr>
            <w:tcW w:w="3012" w:type="dxa"/>
            <w:noWrap w:val="0"/>
            <w:vAlign w:val="top"/>
          </w:tcPr>
          <w:p w14:paraId="3749B7D0">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承包人：（盖章）</w:t>
            </w:r>
          </w:p>
        </w:tc>
      </w:tr>
      <w:tr w14:paraId="42E0448C">
        <w:tblPrEx>
          <w:tblCellMar>
            <w:top w:w="0" w:type="dxa"/>
            <w:left w:w="108" w:type="dxa"/>
            <w:bottom w:w="0" w:type="dxa"/>
            <w:right w:w="108" w:type="dxa"/>
          </w:tblCellMar>
        </w:tblPrEx>
        <w:trPr>
          <w:jc w:val="center"/>
        </w:trPr>
        <w:tc>
          <w:tcPr>
            <w:tcW w:w="3012" w:type="dxa"/>
            <w:noWrap w:val="0"/>
            <w:vAlign w:val="top"/>
          </w:tcPr>
          <w:p w14:paraId="0B0C990F">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法定代表人</w:t>
            </w:r>
          </w:p>
          <w:p w14:paraId="46EFD652">
            <w:pPr>
              <w:spacing w:line="360" w:lineRule="auto"/>
              <w:rPr>
                <w:rFonts w:hint="eastAsia" w:ascii="宋体" w:hAnsi="宋体" w:eastAsia="宋体" w:cs="宋体"/>
                <w:sz w:val="24"/>
                <w:szCs w:val="24"/>
              </w:rPr>
            </w:pPr>
            <w:r>
              <w:rPr>
                <w:rFonts w:hint="eastAsia" w:ascii="宋体" w:hAnsi="宋体" w:eastAsia="宋体" w:cs="宋体"/>
                <w:sz w:val="24"/>
                <w:szCs w:val="24"/>
                <w:highlight w:val="white"/>
              </w:rPr>
              <w:t>或其委托代理人：(签字）</w:t>
            </w:r>
          </w:p>
        </w:tc>
        <w:tc>
          <w:tcPr>
            <w:tcW w:w="3012" w:type="dxa"/>
            <w:noWrap w:val="0"/>
            <w:vAlign w:val="top"/>
          </w:tcPr>
          <w:p w14:paraId="4E42889B">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法定代表人</w:t>
            </w:r>
          </w:p>
          <w:p w14:paraId="5A53C6CD">
            <w:pPr>
              <w:spacing w:line="360" w:lineRule="auto"/>
              <w:rPr>
                <w:rFonts w:hint="eastAsia" w:ascii="宋体" w:hAnsi="宋体" w:eastAsia="宋体" w:cs="宋体"/>
                <w:sz w:val="24"/>
                <w:szCs w:val="24"/>
              </w:rPr>
            </w:pPr>
            <w:r>
              <w:rPr>
                <w:rFonts w:hint="eastAsia" w:ascii="宋体" w:hAnsi="宋体" w:eastAsia="宋体" w:cs="宋体"/>
                <w:sz w:val="24"/>
                <w:szCs w:val="24"/>
                <w:highlight w:val="white"/>
              </w:rPr>
              <w:t>或其委托代理人：(签字）</w:t>
            </w:r>
          </w:p>
        </w:tc>
        <w:tc>
          <w:tcPr>
            <w:tcW w:w="3012" w:type="dxa"/>
            <w:noWrap w:val="0"/>
            <w:vAlign w:val="top"/>
          </w:tcPr>
          <w:p w14:paraId="17E831DD">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法定代表人</w:t>
            </w:r>
          </w:p>
          <w:p w14:paraId="4D4A09D3">
            <w:pPr>
              <w:spacing w:line="360" w:lineRule="auto"/>
              <w:rPr>
                <w:rFonts w:hint="eastAsia" w:ascii="宋体" w:hAnsi="宋体" w:eastAsia="宋体" w:cs="宋体"/>
                <w:sz w:val="24"/>
                <w:szCs w:val="24"/>
              </w:rPr>
            </w:pPr>
            <w:r>
              <w:rPr>
                <w:rFonts w:hint="eastAsia" w:ascii="宋体" w:hAnsi="宋体" w:eastAsia="宋体" w:cs="宋体"/>
                <w:sz w:val="24"/>
                <w:szCs w:val="24"/>
                <w:highlight w:val="white"/>
              </w:rPr>
              <w:t>或其委托代理人：(签字）</w:t>
            </w:r>
          </w:p>
        </w:tc>
      </w:tr>
      <w:tr w14:paraId="5B00E030">
        <w:tblPrEx>
          <w:tblCellMar>
            <w:top w:w="0" w:type="dxa"/>
            <w:left w:w="108" w:type="dxa"/>
            <w:bottom w:w="0" w:type="dxa"/>
            <w:right w:w="108" w:type="dxa"/>
          </w:tblCellMar>
        </w:tblPrEx>
        <w:trPr>
          <w:jc w:val="center"/>
        </w:trPr>
        <w:tc>
          <w:tcPr>
            <w:tcW w:w="3012" w:type="dxa"/>
            <w:noWrap w:val="0"/>
            <w:vAlign w:val="top"/>
          </w:tcPr>
          <w:p w14:paraId="1BB694BB">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组织机构代码：</w:t>
            </w:r>
          </w:p>
        </w:tc>
        <w:tc>
          <w:tcPr>
            <w:tcW w:w="3012" w:type="dxa"/>
            <w:noWrap w:val="0"/>
            <w:vAlign w:val="top"/>
          </w:tcPr>
          <w:p w14:paraId="2667F7F8">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组织机构代码：</w:t>
            </w:r>
          </w:p>
        </w:tc>
        <w:tc>
          <w:tcPr>
            <w:tcW w:w="3012" w:type="dxa"/>
            <w:noWrap w:val="0"/>
            <w:vAlign w:val="top"/>
          </w:tcPr>
          <w:p w14:paraId="639C250B">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组织机构代码：</w:t>
            </w:r>
          </w:p>
        </w:tc>
      </w:tr>
      <w:tr w14:paraId="1AAD8723">
        <w:tblPrEx>
          <w:tblCellMar>
            <w:top w:w="0" w:type="dxa"/>
            <w:left w:w="108" w:type="dxa"/>
            <w:bottom w:w="0" w:type="dxa"/>
            <w:right w:w="108" w:type="dxa"/>
          </w:tblCellMar>
        </w:tblPrEx>
        <w:trPr>
          <w:jc w:val="center"/>
        </w:trPr>
        <w:tc>
          <w:tcPr>
            <w:tcW w:w="3012" w:type="dxa"/>
            <w:noWrap w:val="0"/>
            <w:vAlign w:val="top"/>
          </w:tcPr>
          <w:p w14:paraId="56070B9F">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地  址：</w:t>
            </w:r>
          </w:p>
        </w:tc>
        <w:tc>
          <w:tcPr>
            <w:tcW w:w="3012" w:type="dxa"/>
            <w:noWrap w:val="0"/>
            <w:vAlign w:val="top"/>
          </w:tcPr>
          <w:p w14:paraId="13EB6CB4">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地  址：</w:t>
            </w:r>
          </w:p>
        </w:tc>
        <w:tc>
          <w:tcPr>
            <w:tcW w:w="3012" w:type="dxa"/>
            <w:noWrap w:val="0"/>
            <w:vAlign w:val="top"/>
          </w:tcPr>
          <w:p w14:paraId="6255C0E6">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地  址：</w:t>
            </w:r>
          </w:p>
        </w:tc>
      </w:tr>
      <w:tr w14:paraId="2CDE34AF">
        <w:tblPrEx>
          <w:tblCellMar>
            <w:top w:w="0" w:type="dxa"/>
            <w:left w:w="108" w:type="dxa"/>
            <w:bottom w:w="0" w:type="dxa"/>
            <w:right w:w="108" w:type="dxa"/>
          </w:tblCellMar>
        </w:tblPrEx>
        <w:trPr>
          <w:jc w:val="center"/>
        </w:trPr>
        <w:tc>
          <w:tcPr>
            <w:tcW w:w="3012" w:type="dxa"/>
            <w:noWrap w:val="0"/>
            <w:vAlign w:val="top"/>
          </w:tcPr>
          <w:p w14:paraId="4567CE26">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邮政编码：</w:t>
            </w:r>
          </w:p>
        </w:tc>
        <w:tc>
          <w:tcPr>
            <w:tcW w:w="3012" w:type="dxa"/>
            <w:noWrap w:val="0"/>
            <w:vAlign w:val="top"/>
          </w:tcPr>
          <w:p w14:paraId="634D5DC8">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邮政编码：</w:t>
            </w:r>
          </w:p>
        </w:tc>
        <w:tc>
          <w:tcPr>
            <w:tcW w:w="3012" w:type="dxa"/>
            <w:noWrap w:val="0"/>
            <w:vAlign w:val="top"/>
          </w:tcPr>
          <w:p w14:paraId="1FECE400">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邮政编码：</w:t>
            </w:r>
          </w:p>
        </w:tc>
      </w:tr>
      <w:tr w14:paraId="00EF7082">
        <w:tblPrEx>
          <w:tblCellMar>
            <w:top w:w="0" w:type="dxa"/>
            <w:left w:w="108" w:type="dxa"/>
            <w:bottom w:w="0" w:type="dxa"/>
            <w:right w:w="108" w:type="dxa"/>
          </w:tblCellMar>
        </w:tblPrEx>
        <w:trPr>
          <w:jc w:val="center"/>
        </w:trPr>
        <w:tc>
          <w:tcPr>
            <w:tcW w:w="3012" w:type="dxa"/>
            <w:noWrap w:val="0"/>
            <w:vAlign w:val="top"/>
          </w:tcPr>
          <w:p w14:paraId="10BC3557">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法定代表人：</w:t>
            </w:r>
          </w:p>
        </w:tc>
        <w:tc>
          <w:tcPr>
            <w:tcW w:w="3012" w:type="dxa"/>
            <w:noWrap w:val="0"/>
            <w:vAlign w:val="top"/>
          </w:tcPr>
          <w:p w14:paraId="2CFA727B">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法定代表人：</w:t>
            </w:r>
          </w:p>
        </w:tc>
        <w:tc>
          <w:tcPr>
            <w:tcW w:w="3012" w:type="dxa"/>
            <w:noWrap w:val="0"/>
            <w:vAlign w:val="top"/>
          </w:tcPr>
          <w:p w14:paraId="6EE9CCEE">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法定代表人：</w:t>
            </w:r>
          </w:p>
        </w:tc>
      </w:tr>
      <w:tr w14:paraId="666D0CF9">
        <w:tblPrEx>
          <w:tblCellMar>
            <w:top w:w="0" w:type="dxa"/>
            <w:left w:w="108" w:type="dxa"/>
            <w:bottom w:w="0" w:type="dxa"/>
            <w:right w:w="108" w:type="dxa"/>
          </w:tblCellMar>
        </w:tblPrEx>
        <w:trPr>
          <w:jc w:val="center"/>
        </w:trPr>
        <w:tc>
          <w:tcPr>
            <w:tcW w:w="3012" w:type="dxa"/>
            <w:noWrap w:val="0"/>
            <w:vAlign w:val="top"/>
          </w:tcPr>
          <w:p w14:paraId="46420ED0">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委托代理人：</w:t>
            </w:r>
          </w:p>
        </w:tc>
        <w:tc>
          <w:tcPr>
            <w:tcW w:w="3012" w:type="dxa"/>
            <w:noWrap w:val="0"/>
            <w:vAlign w:val="top"/>
          </w:tcPr>
          <w:p w14:paraId="6F27C839">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委托代理人：</w:t>
            </w:r>
          </w:p>
        </w:tc>
        <w:tc>
          <w:tcPr>
            <w:tcW w:w="3012" w:type="dxa"/>
            <w:noWrap w:val="0"/>
            <w:vAlign w:val="top"/>
          </w:tcPr>
          <w:p w14:paraId="1A0CA8F3">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委托代理人：</w:t>
            </w:r>
          </w:p>
        </w:tc>
      </w:tr>
      <w:tr w14:paraId="01C82DE6">
        <w:tblPrEx>
          <w:tblCellMar>
            <w:top w:w="0" w:type="dxa"/>
            <w:left w:w="108" w:type="dxa"/>
            <w:bottom w:w="0" w:type="dxa"/>
            <w:right w:w="108" w:type="dxa"/>
          </w:tblCellMar>
        </w:tblPrEx>
        <w:trPr>
          <w:jc w:val="center"/>
        </w:trPr>
        <w:tc>
          <w:tcPr>
            <w:tcW w:w="3012" w:type="dxa"/>
            <w:noWrap w:val="0"/>
            <w:vAlign w:val="top"/>
          </w:tcPr>
          <w:p w14:paraId="0C51DCAA">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电  话：</w:t>
            </w:r>
          </w:p>
        </w:tc>
        <w:tc>
          <w:tcPr>
            <w:tcW w:w="3012" w:type="dxa"/>
            <w:noWrap w:val="0"/>
            <w:vAlign w:val="top"/>
          </w:tcPr>
          <w:p w14:paraId="4C09969E">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电  话：</w:t>
            </w:r>
          </w:p>
        </w:tc>
        <w:tc>
          <w:tcPr>
            <w:tcW w:w="3012" w:type="dxa"/>
            <w:noWrap w:val="0"/>
            <w:vAlign w:val="top"/>
          </w:tcPr>
          <w:p w14:paraId="4970ECE8">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电  话：</w:t>
            </w:r>
          </w:p>
        </w:tc>
      </w:tr>
      <w:tr w14:paraId="6060BC22">
        <w:tblPrEx>
          <w:tblCellMar>
            <w:top w:w="0" w:type="dxa"/>
            <w:left w:w="108" w:type="dxa"/>
            <w:bottom w:w="0" w:type="dxa"/>
            <w:right w:w="108" w:type="dxa"/>
          </w:tblCellMar>
        </w:tblPrEx>
        <w:trPr>
          <w:jc w:val="center"/>
        </w:trPr>
        <w:tc>
          <w:tcPr>
            <w:tcW w:w="3012" w:type="dxa"/>
            <w:noWrap w:val="0"/>
            <w:vAlign w:val="top"/>
          </w:tcPr>
          <w:p w14:paraId="5AEBD350">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传  真：</w:t>
            </w:r>
          </w:p>
        </w:tc>
        <w:tc>
          <w:tcPr>
            <w:tcW w:w="3012" w:type="dxa"/>
            <w:noWrap w:val="0"/>
            <w:vAlign w:val="top"/>
          </w:tcPr>
          <w:p w14:paraId="5F38619B">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传  真：</w:t>
            </w:r>
          </w:p>
        </w:tc>
        <w:tc>
          <w:tcPr>
            <w:tcW w:w="3012" w:type="dxa"/>
            <w:noWrap w:val="0"/>
            <w:vAlign w:val="top"/>
          </w:tcPr>
          <w:p w14:paraId="0749F428">
            <w:pPr>
              <w:spacing w:line="360" w:lineRule="auto"/>
              <w:rPr>
                <w:rFonts w:hint="eastAsia" w:ascii="宋体" w:hAnsi="宋体" w:eastAsia="宋体" w:cs="宋体"/>
                <w:b/>
                <w:sz w:val="24"/>
                <w:szCs w:val="24"/>
                <w:highlight w:val="white"/>
              </w:rPr>
            </w:pPr>
            <w:r>
              <w:rPr>
                <w:rFonts w:hint="eastAsia" w:ascii="宋体" w:hAnsi="宋体" w:eastAsia="宋体" w:cs="宋体"/>
                <w:sz w:val="24"/>
                <w:szCs w:val="24"/>
                <w:highlight w:val="white"/>
              </w:rPr>
              <w:t>传  真：</w:t>
            </w:r>
          </w:p>
        </w:tc>
      </w:tr>
      <w:tr w14:paraId="59BF7A10">
        <w:tblPrEx>
          <w:tblCellMar>
            <w:top w:w="0" w:type="dxa"/>
            <w:left w:w="108" w:type="dxa"/>
            <w:bottom w:w="0" w:type="dxa"/>
            <w:right w:w="108" w:type="dxa"/>
          </w:tblCellMar>
        </w:tblPrEx>
        <w:trPr>
          <w:jc w:val="center"/>
        </w:trPr>
        <w:tc>
          <w:tcPr>
            <w:tcW w:w="3012" w:type="dxa"/>
            <w:noWrap w:val="0"/>
            <w:vAlign w:val="top"/>
          </w:tcPr>
          <w:p w14:paraId="4BF453E5">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电子信箱：</w:t>
            </w:r>
          </w:p>
        </w:tc>
        <w:tc>
          <w:tcPr>
            <w:tcW w:w="3012" w:type="dxa"/>
            <w:noWrap w:val="0"/>
            <w:vAlign w:val="top"/>
          </w:tcPr>
          <w:p w14:paraId="7400B9BC">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电子信箱：</w:t>
            </w:r>
          </w:p>
        </w:tc>
        <w:tc>
          <w:tcPr>
            <w:tcW w:w="3012" w:type="dxa"/>
            <w:noWrap w:val="0"/>
            <w:vAlign w:val="top"/>
          </w:tcPr>
          <w:p w14:paraId="368229A1">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电子信箱：</w:t>
            </w:r>
          </w:p>
        </w:tc>
      </w:tr>
      <w:tr w14:paraId="3D869F20">
        <w:tblPrEx>
          <w:tblCellMar>
            <w:top w:w="0" w:type="dxa"/>
            <w:left w:w="108" w:type="dxa"/>
            <w:bottom w:w="0" w:type="dxa"/>
            <w:right w:w="108" w:type="dxa"/>
          </w:tblCellMar>
        </w:tblPrEx>
        <w:trPr>
          <w:jc w:val="center"/>
        </w:trPr>
        <w:tc>
          <w:tcPr>
            <w:tcW w:w="3012" w:type="dxa"/>
            <w:noWrap w:val="0"/>
            <w:vAlign w:val="top"/>
          </w:tcPr>
          <w:p w14:paraId="273E54FF">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开户银行：</w:t>
            </w:r>
          </w:p>
        </w:tc>
        <w:tc>
          <w:tcPr>
            <w:tcW w:w="3012" w:type="dxa"/>
            <w:noWrap w:val="0"/>
            <w:vAlign w:val="top"/>
          </w:tcPr>
          <w:p w14:paraId="071C7394">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开户银行：</w:t>
            </w:r>
          </w:p>
        </w:tc>
        <w:tc>
          <w:tcPr>
            <w:tcW w:w="3012" w:type="dxa"/>
            <w:noWrap w:val="0"/>
            <w:vAlign w:val="top"/>
          </w:tcPr>
          <w:p w14:paraId="1F0C088B">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开户银行：</w:t>
            </w:r>
          </w:p>
        </w:tc>
      </w:tr>
      <w:tr w14:paraId="44C17500">
        <w:tblPrEx>
          <w:tblCellMar>
            <w:top w:w="0" w:type="dxa"/>
            <w:left w:w="108" w:type="dxa"/>
            <w:bottom w:w="0" w:type="dxa"/>
            <w:right w:w="108" w:type="dxa"/>
          </w:tblCellMar>
        </w:tblPrEx>
        <w:trPr>
          <w:jc w:val="center"/>
        </w:trPr>
        <w:tc>
          <w:tcPr>
            <w:tcW w:w="3012" w:type="dxa"/>
            <w:noWrap w:val="0"/>
            <w:vAlign w:val="top"/>
          </w:tcPr>
          <w:p w14:paraId="7E983348">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账  号：</w:t>
            </w:r>
          </w:p>
        </w:tc>
        <w:tc>
          <w:tcPr>
            <w:tcW w:w="3012" w:type="dxa"/>
            <w:noWrap w:val="0"/>
            <w:vAlign w:val="top"/>
          </w:tcPr>
          <w:p w14:paraId="170EC527">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账  号：</w:t>
            </w:r>
          </w:p>
        </w:tc>
        <w:tc>
          <w:tcPr>
            <w:tcW w:w="3012" w:type="dxa"/>
            <w:noWrap w:val="0"/>
            <w:vAlign w:val="top"/>
          </w:tcPr>
          <w:p w14:paraId="3734077E">
            <w:pPr>
              <w:spacing w:line="360" w:lineRule="auto"/>
              <w:rPr>
                <w:rFonts w:hint="eastAsia" w:ascii="宋体" w:hAnsi="宋体" w:eastAsia="宋体" w:cs="宋体"/>
                <w:sz w:val="24"/>
                <w:szCs w:val="24"/>
                <w:highlight w:val="white"/>
              </w:rPr>
            </w:pPr>
            <w:r>
              <w:rPr>
                <w:rFonts w:hint="eastAsia" w:ascii="宋体" w:hAnsi="宋体" w:eastAsia="宋体" w:cs="宋体"/>
                <w:sz w:val="24"/>
                <w:szCs w:val="24"/>
                <w:highlight w:val="white"/>
              </w:rPr>
              <w:t>账  号：</w:t>
            </w:r>
          </w:p>
        </w:tc>
      </w:tr>
    </w:tbl>
    <w:p w14:paraId="2CB8A099">
      <w:pPr>
        <w:spacing w:line="560" w:lineRule="exact"/>
        <w:rPr>
          <w:rFonts w:hint="eastAsia" w:ascii="仿宋" w:hAnsi="仿宋" w:eastAsia="仿宋"/>
          <w:sz w:val="28"/>
          <w:szCs w:val="28"/>
          <w:u w:val="single"/>
        </w:rPr>
      </w:pPr>
    </w:p>
    <w:p w14:paraId="60F43CC9">
      <w:pPr>
        <w:spacing w:line="360" w:lineRule="auto"/>
        <w:rPr>
          <w:rFonts w:ascii="仿宋" w:hAnsi="仿宋" w:eastAsia="仿宋"/>
          <w:sz w:val="28"/>
          <w:szCs w:val="28"/>
        </w:rPr>
      </w:pPr>
    </w:p>
    <w:p w14:paraId="779CDFBD">
      <w:pPr>
        <w:spacing w:line="440" w:lineRule="exact"/>
        <w:rPr>
          <w:rFonts w:hint="eastAsia" w:ascii="宋体" w:hAnsi="宋体" w:eastAsia="宋体" w:cs="宋体"/>
          <w:sz w:val="24"/>
          <w:szCs w:val="24"/>
        </w:rPr>
      </w:pPr>
      <w:r>
        <w:rPr>
          <w:rFonts w:ascii="仿宋" w:hAnsi="仿宋" w:eastAsia="仿宋"/>
          <w:b/>
          <w:sz w:val="28"/>
          <w:szCs w:val="28"/>
          <w:highlight w:val="white"/>
        </w:rPr>
        <w:br w:type="page"/>
      </w:r>
      <w:r>
        <w:rPr>
          <w:rFonts w:hint="eastAsia" w:ascii="宋体" w:hAnsi="宋体" w:eastAsia="宋体" w:cs="宋体"/>
          <w:sz w:val="24"/>
          <w:szCs w:val="24"/>
          <w:highlight w:val="white"/>
        </w:rPr>
        <w:t>附件4：</w:t>
      </w:r>
    </w:p>
    <w:p w14:paraId="0D64214A">
      <w:pPr>
        <w:spacing w:before="156" w:beforeLines="50" w:after="156" w:afterLines="50" w:line="440" w:lineRule="exact"/>
        <w:jc w:val="center"/>
        <w:rPr>
          <w:rFonts w:hint="eastAsia" w:ascii="宋体" w:hAnsi="宋体" w:eastAsia="宋体" w:cs="宋体"/>
          <w:sz w:val="24"/>
          <w:szCs w:val="24"/>
        </w:rPr>
      </w:pPr>
      <w:r>
        <w:rPr>
          <w:rFonts w:hint="eastAsia" w:ascii="宋体" w:hAnsi="宋体" w:eastAsia="宋体" w:cs="宋体"/>
          <w:sz w:val="24"/>
          <w:szCs w:val="24"/>
          <w:highlight w:val="white"/>
        </w:rPr>
        <w:t>主要建设工程文件目录</w:t>
      </w:r>
    </w:p>
    <w:tbl>
      <w:tblPr>
        <w:tblStyle w:val="2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2000"/>
        <w:gridCol w:w="1229"/>
        <w:gridCol w:w="1450"/>
        <w:gridCol w:w="1243"/>
        <w:gridCol w:w="1450"/>
        <w:gridCol w:w="1667"/>
      </w:tblGrid>
      <w:tr w14:paraId="68EFDA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2000" w:type="dxa"/>
            <w:tcBorders>
              <w:top w:val="single" w:color="auto" w:sz="12" w:space="0"/>
              <w:left w:val="single" w:color="auto" w:sz="12" w:space="0"/>
              <w:bottom w:val="double" w:color="auto" w:sz="6" w:space="0"/>
              <w:right w:val="single" w:color="auto" w:sz="6" w:space="0"/>
            </w:tcBorders>
            <w:noWrap w:val="0"/>
            <w:vAlign w:val="center"/>
          </w:tcPr>
          <w:p w14:paraId="7B67B3DC">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文件名称</w:t>
            </w:r>
          </w:p>
        </w:tc>
        <w:tc>
          <w:tcPr>
            <w:tcW w:w="1229" w:type="dxa"/>
            <w:tcBorders>
              <w:top w:val="single" w:color="auto" w:sz="12" w:space="0"/>
              <w:left w:val="single" w:color="auto" w:sz="6" w:space="0"/>
              <w:bottom w:val="double" w:color="auto" w:sz="6" w:space="0"/>
              <w:right w:val="single" w:color="auto" w:sz="6" w:space="0"/>
            </w:tcBorders>
            <w:noWrap w:val="0"/>
            <w:vAlign w:val="center"/>
          </w:tcPr>
          <w:p w14:paraId="462D59FF">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套数</w:t>
            </w:r>
          </w:p>
        </w:tc>
        <w:tc>
          <w:tcPr>
            <w:tcW w:w="1450" w:type="dxa"/>
            <w:tcBorders>
              <w:top w:val="single" w:color="auto" w:sz="12" w:space="0"/>
              <w:left w:val="single" w:color="auto" w:sz="6" w:space="0"/>
              <w:bottom w:val="double" w:color="auto" w:sz="6" w:space="0"/>
              <w:right w:val="single" w:color="auto" w:sz="6" w:space="0"/>
            </w:tcBorders>
            <w:noWrap w:val="0"/>
            <w:vAlign w:val="center"/>
          </w:tcPr>
          <w:p w14:paraId="1B2FFCAC">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费用（元）</w:t>
            </w:r>
          </w:p>
        </w:tc>
        <w:tc>
          <w:tcPr>
            <w:tcW w:w="1243" w:type="dxa"/>
            <w:tcBorders>
              <w:top w:val="single" w:color="auto" w:sz="12" w:space="0"/>
              <w:left w:val="single" w:color="auto" w:sz="6" w:space="0"/>
              <w:bottom w:val="double" w:color="auto" w:sz="6" w:space="0"/>
              <w:right w:val="single" w:color="auto" w:sz="6" w:space="0"/>
            </w:tcBorders>
            <w:noWrap w:val="0"/>
            <w:vAlign w:val="center"/>
          </w:tcPr>
          <w:p w14:paraId="1DE97489">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质量</w:t>
            </w:r>
          </w:p>
        </w:tc>
        <w:tc>
          <w:tcPr>
            <w:tcW w:w="1450" w:type="dxa"/>
            <w:tcBorders>
              <w:top w:val="single" w:color="auto" w:sz="12" w:space="0"/>
              <w:left w:val="single" w:color="auto" w:sz="6" w:space="0"/>
              <w:bottom w:val="double" w:color="auto" w:sz="6" w:space="0"/>
              <w:right w:val="single" w:color="auto" w:sz="6" w:space="0"/>
            </w:tcBorders>
            <w:noWrap w:val="0"/>
            <w:vAlign w:val="top"/>
          </w:tcPr>
          <w:p w14:paraId="044687DA">
            <w:pPr>
              <w:spacing w:line="440" w:lineRule="exact"/>
              <w:rPr>
                <w:rFonts w:hint="eastAsia" w:ascii="宋体" w:hAnsi="宋体" w:eastAsia="宋体" w:cs="宋体"/>
                <w:sz w:val="24"/>
                <w:szCs w:val="24"/>
              </w:rPr>
            </w:pPr>
            <w:r>
              <w:rPr>
                <w:rFonts w:hint="eastAsia" w:ascii="宋体" w:hAnsi="宋体" w:eastAsia="宋体" w:cs="宋体"/>
                <w:sz w:val="24"/>
                <w:szCs w:val="24"/>
                <w:highlight w:val="white"/>
              </w:rPr>
              <w:t>移交时间</w:t>
            </w:r>
          </w:p>
        </w:tc>
        <w:tc>
          <w:tcPr>
            <w:tcW w:w="1667" w:type="dxa"/>
            <w:tcBorders>
              <w:top w:val="single" w:color="auto" w:sz="12" w:space="0"/>
              <w:left w:val="single" w:color="auto" w:sz="6" w:space="0"/>
              <w:bottom w:val="double" w:color="auto" w:sz="6" w:space="0"/>
              <w:right w:val="single" w:color="auto" w:sz="12" w:space="0"/>
            </w:tcBorders>
            <w:noWrap w:val="0"/>
            <w:vAlign w:val="top"/>
          </w:tcPr>
          <w:p w14:paraId="22268945">
            <w:pPr>
              <w:spacing w:line="440" w:lineRule="exact"/>
              <w:rPr>
                <w:rFonts w:hint="eastAsia" w:ascii="宋体" w:hAnsi="宋体" w:eastAsia="宋体" w:cs="宋体"/>
                <w:sz w:val="24"/>
                <w:szCs w:val="24"/>
              </w:rPr>
            </w:pPr>
            <w:r>
              <w:rPr>
                <w:rFonts w:hint="eastAsia" w:ascii="宋体" w:hAnsi="宋体" w:eastAsia="宋体" w:cs="宋体"/>
                <w:sz w:val="24"/>
                <w:szCs w:val="24"/>
                <w:highlight w:val="white"/>
              </w:rPr>
              <w:t>责任人</w:t>
            </w:r>
          </w:p>
        </w:tc>
      </w:tr>
      <w:tr w14:paraId="590471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double" w:color="auto" w:sz="6" w:space="0"/>
              <w:left w:val="single" w:color="auto" w:sz="12" w:space="0"/>
              <w:bottom w:val="single" w:color="auto" w:sz="6" w:space="0"/>
              <w:right w:val="single" w:color="auto" w:sz="6" w:space="0"/>
            </w:tcBorders>
            <w:noWrap w:val="0"/>
            <w:vAlign w:val="center"/>
          </w:tcPr>
          <w:p w14:paraId="7943613B">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工程地勘报告（纸质件）</w:t>
            </w:r>
          </w:p>
        </w:tc>
        <w:tc>
          <w:tcPr>
            <w:tcW w:w="1229" w:type="dxa"/>
            <w:tcBorders>
              <w:top w:val="double" w:color="auto" w:sz="6" w:space="0"/>
              <w:left w:val="single" w:color="auto" w:sz="6" w:space="0"/>
              <w:bottom w:val="single" w:color="auto" w:sz="6" w:space="0"/>
              <w:right w:val="single" w:color="auto" w:sz="6" w:space="0"/>
            </w:tcBorders>
            <w:noWrap w:val="0"/>
            <w:vAlign w:val="center"/>
          </w:tcPr>
          <w:p w14:paraId="6ABD8214">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1</w:t>
            </w:r>
          </w:p>
        </w:tc>
        <w:tc>
          <w:tcPr>
            <w:tcW w:w="1450" w:type="dxa"/>
            <w:tcBorders>
              <w:top w:val="double" w:color="auto" w:sz="6" w:space="0"/>
              <w:left w:val="single" w:color="auto" w:sz="6" w:space="0"/>
              <w:bottom w:val="single" w:color="auto" w:sz="6" w:space="0"/>
              <w:right w:val="single" w:color="auto" w:sz="6" w:space="0"/>
            </w:tcBorders>
            <w:noWrap w:val="0"/>
            <w:vAlign w:val="center"/>
          </w:tcPr>
          <w:p w14:paraId="5A599998">
            <w:pPr>
              <w:pStyle w:val="13"/>
              <w:keepNext/>
              <w:spacing w:line="440" w:lineRule="exact"/>
              <w:ind w:left="63" w:right="63"/>
              <w:rPr>
                <w:rFonts w:hint="eastAsia" w:ascii="宋体" w:hAnsi="宋体" w:eastAsia="宋体" w:cs="宋体"/>
                <w:sz w:val="24"/>
                <w:szCs w:val="24"/>
              </w:rPr>
            </w:pPr>
          </w:p>
        </w:tc>
        <w:tc>
          <w:tcPr>
            <w:tcW w:w="1243" w:type="dxa"/>
            <w:tcBorders>
              <w:top w:val="double" w:color="auto" w:sz="6" w:space="0"/>
              <w:left w:val="single" w:color="auto" w:sz="6" w:space="0"/>
              <w:bottom w:val="single" w:color="auto" w:sz="6" w:space="0"/>
              <w:right w:val="single" w:color="auto" w:sz="6" w:space="0"/>
            </w:tcBorders>
            <w:noWrap w:val="0"/>
            <w:vAlign w:val="center"/>
          </w:tcPr>
          <w:p w14:paraId="619E493D">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完好</w:t>
            </w:r>
          </w:p>
        </w:tc>
        <w:tc>
          <w:tcPr>
            <w:tcW w:w="1450" w:type="dxa"/>
            <w:tcBorders>
              <w:top w:val="double" w:color="auto" w:sz="6" w:space="0"/>
              <w:left w:val="single" w:color="auto" w:sz="6" w:space="0"/>
              <w:bottom w:val="single" w:color="auto" w:sz="6" w:space="0"/>
              <w:right w:val="single" w:color="auto" w:sz="6" w:space="0"/>
            </w:tcBorders>
            <w:noWrap w:val="0"/>
            <w:vAlign w:val="center"/>
          </w:tcPr>
          <w:p w14:paraId="292E9D87">
            <w:pPr>
              <w:pStyle w:val="13"/>
              <w:keepNext/>
              <w:spacing w:line="440" w:lineRule="exact"/>
              <w:ind w:left="63" w:right="63"/>
              <w:rPr>
                <w:rFonts w:hint="eastAsia" w:ascii="宋体" w:hAnsi="宋体" w:eastAsia="宋体" w:cs="宋体"/>
                <w:sz w:val="24"/>
                <w:szCs w:val="24"/>
              </w:rPr>
            </w:pPr>
          </w:p>
        </w:tc>
        <w:tc>
          <w:tcPr>
            <w:tcW w:w="1667" w:type="dxa"/>
            <w:tcBorders>
              <w:top w:val="double" w:color="auto" w:sz="6" w:space="0"/>
              <w:left w:val="single" w:color="auto" w:sz="6" w:space="0"/>
              <w:bottom w:val="single" w:color="auto" w:sz="6" w:space="0"/>
              <w:right w:val="single" w:color="auto" w:sz="12" w:space="0"/>
            </w:tcBorders>
            <w:noWrap w:val="0"/>
            <w:vAlign w:val="center"/>
          </w:tcPr>
          <w:p w14:paraId="4C6C7037">
            <w:pPr>
              <w:pStyle w:val="13"/>
              <w:keepNext/>
              <w:spacing w:line="440" w:lineRule="exact"/>
              <w:ind w:left="63" w:right="63"/>
              <w:rPr>
                <w:rFonts w:hint="eastAsia" w:ascii="宋体" w:hAnsi="宋体" w:eastAsia="宋体" w:cs="宋体"/>
                <w:sz w:val="24"/>
                <w:szCs w:val="24"/>
              </w:rPr>
            </w:pPr>
          </w:p>
        </w:tc>
      </w:tr>
      <w:tr w14:paraId="0C2E66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nil"/>
              <w:left w:val="single" w:color="auto" w:sz="12" w:space="0"/>
              <w:bottom w:val="single" w:color="auto" w:sz="6" w:space="0"/>
              <w:right w:val="single" w:color="auto" w:sz="6" w:space="0"/>
            </w:tcBorders>
            <w:noWrap w:val="0"/>
            <w:vAlign w:val="center"/>
          </w:tcPr>
          <w:p w14:paraId="37559D06">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施工图纸（纸质件）</w:t>
            </w:r>
          </w:p>
        </w:tc>
        <w:tc>
          <w:tcPr>
            <w:tcW w:w="1229" w:type="dxa"/>
            <w:tcBorders>
              <w:top w:val="nil"/>
              <w:left w:val="single" w:color="auto" w:sz="6" w:space="0"/>
              <w:bottom w:val="single" w:color="auto" w:sz="6" w:space="0"/>
              <w:right w:val="single" w:color="auto" w:sz="6" w:space="0"/>
            </w:tcBorders>
            <w:noWrap w:val="0"/>
            <w:vAlign w:val="center"/>
          </w:tcPr>
          <w:p w14:paraId="1E3D4361">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4</w:t>
            </w:r>
          </w:p>
        </w:tc>
        <w:tc>
          <w:tcPr>
            <w:tcW w:w="1450" w:type="dxa"/>
            <w:tcBorders>
              <w:top w:val="nil"/>
              <w:left w:val="single" w:color="auto" w:sz="6" w:space="0"/>
              <w:bottom w:val="single" w:color="auto" w:sz="6" w:space="0"/>
              <w:right w:val="single" w:color="auto" w:sz="6" w:space="0"/>
            </w:tcBorders>
            <w:noWrap w:val="0"/>
            <w:vAlign w:val="center"/>
          </w:tcPr>
          <w:p w14:paraId="65EC8BEF">
            <w:pPr>
              <w:pStyle w:val="13"/>
              <w:keepNext/>
              <w:spacing w:line="440" w:lineRule="exact"/>
              <w:ind w:left="63" w:right="63"/>
              <w:rPr>
                <w:rFonts w:hint="eastAsia" w:ascii="宋体" w:hAnsi="宋体" w:eastAsia="宋体" w:cs="宋体"/>
                <w:sz w:val="24"/>
                <w:szCs w:val="24"/>
              </w:rPr>
            </w:pPr>
          </w:p>
        </w:tc>
        <w:tc>
          <w:tcPr>
            <w:tcW w:w="1243" w:type="dxa"/>
            <w:tcBorders>
              <w:top w:val="nil"/>
              <w:left w:val="single" w:color="auto" w:sz="6" w:space="0"/>
              <w:bottom w:val="single" w:color="auto" w:sz="6" w:space="0"/>
              <w:right w:val="single" w:color="auto" w:sz="6" w:space="0"/>
            </w:tcBorders>
            <w:noWrap w:val="0"/>
            <w:vAlign w:val="center"/>
          </w:tcPr>
          <w:p w14:paraId="50A1CE71">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完好</w:t>
            </w:r>
          </w:p>
        </w:tc>
        <w:tc>
          <w:tcPr>
            <w:tcW w:w="1450" w:type="dxa"/>
            <w:tcBorders>
              <w:top w:val="nil"/>
              <w:left w:val="single" w:color="auto" w:sz="6" w:space="0"/>
              <w:bottom w:val="single" w:color="auto" w:sz="6" w:space="0"/>
              <w:right w:val="single" w:color="auto" w:sz="6" w:space="0"/>
            </w:tcBorders>
            <w:noWrap w:val="0"/>
            <w:vAlign w:val="center"/>
          </w:tcPr>
          <w:p w14:paraId="5F411402">
            <w:pPr>
              <w:pStyle w:val="13"/>
              <w:keepNext/>
              <w:spacing w:line="440" w:lineRule="exact"/>
              <w:ind w:left="63" w:right="63"/>
              <w:rPr>
                <w:rFonts w:hint="eastAsia" w:ascii="宋体" w:hAnsi="宋体" w:eastAsia="宋体" w:cs="宋体"/>
                <w:sz w:val="24"/>
                <w:szCs w:val="24"/>
              </w:rPr>
            </w:pPr>
          </w:p>
        </w:tc>
        <w:tc>
          <w:tcPr>
            <w:tcW w:w="1667" w:type="dxa"/>
            <w:tcBorders>
              <w:top w:val="nil"/>
              <w:left w:val="single" w:color="auto" w:sz="6" w:space="0"/>
              <w:bottom w:val="single" w:color="auto" w:sz="6" w:space="0"/>
              <w:right w:val="single" w:color="auto" w:sz="12" w:space="0"/>
            </w:tcBorders>
            <w:noWrap w:val="0"/>
            <w:vAlign w:val="center"/>
          </w:tcPr>
          <w:p w14:paraId="3F3153C7">
            <w:pPr>
              <w:pStyle w:val="13"/>
              <w:keepNext/>
              <w:spacing w:line="440" w:lineRule="exact"/>
              <w:ind w:left="63" w:right="63"/>
              <w:rPr>
                <w:rFonts w:hint="eastAsia" w:ascii="宋体" w:hAnsi="宋体" w:eastAsia="宋体" w:cs="宋体"/>
                <w:sz w:val="24"/>
                <w:szCs w:val="24"/>
              </w:rPr>
            </w:pPr>
          </w:p>
        </w:tc>
      </w:tr>
      <w:tr w14:paraId="6FFEFE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center"/>
          </w:tcPr>
          <w:p w14:paraId="66748D86">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工程用地规划许可证（复印件）</w:t>
            </w:r>
          </w:p>
        </w:tc>
        <w:tc>
          <w:tcPr>
            <w:tcW w:w="1229" w:type="dxa"/>
            <w:tcBorders>
              <w:top w:val="single" w:color="auto" w:sz="6" w:space="0"/>
              <w:left w:val="single" w:color="auto" w:sz="6" w:space="0"/>
              <w:bottom w:val="single" w:color="auto" w:sz="6" w:space="0"/>
              <w:right w:val="single" w:color="auto" w:sz="6" w:space="0"/>
            </w:tcBorders>
            <w:noWrap w:val="0"/>
            <w:vAlign w:val="center"/>
          </w:tcPr>
          <w:p w14:paraId="66BA0419">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1</w:t>
            </w:r>
          </w:p>
        </w:tc>
        <w:tc>
          <w:tcPr>
            <w:tcW w:w="1450" w:type="dxa"/>
            <w:tcBorders>
              <w:top w:val="single" w:color="auto" w:sz="6" w:space="0"/>
              <w:left w:val="single" w:color="auto" w:sz="6" w:space="0"/>
              <w:bottom w:val="single" w:color="auto" w:sz="6" w:space="0"/>
              <w:right w:val="single" w:color="auto" w:sz="6" w:space="0"/>
            </w:tcBorders>
            <w:noWrap w:val="0"/>
            <w:vAlign w:val="center"/>
          </w:tcPr>
          <w:p w14:paraId="6D318E75">
            <w:pPr>
              <w:pStyle w:val="13"/>
              <w:keepNext/>
              <w:spacing w:line="440" w:lineRule="exact"/>
              <w:ind w:left="63" w:right="63"/>
              <w:rPr>
                <w:rFonts w:hint="eastAsia" w:ascii="宋体" w:hAnsi="宋体" w:eastAsia="宋体" w:cs="宋体"/>
                <w:sz w:val="24"/>
                <w:szCs w:val="24"/>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14:paraId="40F80E25">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完好</w:t>
            </w:r>
          </w:p>
        </w:tc>
        <w:tc>
          <w:tcPr>
            <w:tcW w:w="1450" w:type="dxa"/>
            <w:tcBorders>
              <w:top w:val="single" w:color="auto" w:sz="6" w:space="0"/>
              <w:left w:val="single" w:color="auto" w:sz="6" w:space="0"/>
              <w:bottom w:val="single" w:color="auto" w:sz="6" w:space="0"/>
              <w:right w:val="single" w:color="auto" w:sz="6" w:space="0"/>
            </w:tcBorders>
            <w:noWrap w:val="0"/>
            <w:vAlign w:val="center"/>
          </w:tcPr>
          <w:p w14:paraId="2A5C4B26">
            <w:pPr>
              <w:pStyle w:val="13"/>
              <w:keepNext/>
              <w:spacing w:line="440" w:lineRule="exact"/>
              <w:ind w:left="63" w:right="63"/>
              <w:rPr>
                <w:rFonts w:hint="eastAsia" w:ascii="宋体" w:hAnsi="宋体" w:eastAsia="宋体" w:cs="宋体"/>
                <w:sz w:val="24"/>
                <w:szCs w:val="24"/>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14:paraId="13C7E1E1">
            <w:pPr>
              <w:pStyle w:val="13"/>
              <w:keepNext/>
              <w:spacing w:line="440" w:lineRule="exact"/>
              <w:ind w:left="63" w:right="63"/>
              <w:rPr>
                <w:rFonts w:hint="eastAsia" w:ascii="宋体" w:hAnsi="宋体" w:eastAsia="宋体" w:cs="宋体"/>
                <w:sz w:val="24"/>
                <w:szCs w:val="24"/>
              </w:rPr>
            </w:pPr>
          </w:p>
        </w:tc>
      </w:tr>
      <w:tr w14:paraId="3629FF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center"/>
          </w:tcPr>
          <w:p w14:paraId="2E383858">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工程建设规划许可证（复印件）</w:t>
            </w:r>
          </w:p>
        </w:tc>
        <w:tc>
          <w:tcPr>
            <w:tcW w:w="1229" w:type="dxa"/>
            <w:tcBorders>
              <w:top w:val="single" w:color="auto" w:sz="6" w:space="0"/>
              <w:left w:val="single" w:color="auto" w:sz="6" w:space="0"/>
              <w:bottom w:val="single" w:color="auto" w:sz="6" w:space="0"/>
              <w:right w:val="single" w:color="auto" w:sz="6" w:space="0"/>
            </w:tcBorders>
            <w:noWrap w:val="0"/>
            <w:vAlign w:val="center"/>
          </w:tcPr>
          <w:p w14:paraId="1D567F85">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1</w:t>
            </w:r>
          </w:p>
        </w:tc>
        <w:tc>
          <w:tcPr>
            <w:tcW w:w="1450" w:type="dxa"/>
            <w:tcBorders>
              <w:top w:val="single" w:color="auto" w:sz="6" w:space="0"/>
              <w:left w:val="single" w:color="auto" w:sz="6" w:space="0"/>
              <w:bottom w:val="single" w:color="auto" w:sz="6" w:space="0"/>
              <w:right w:val="single" w:color="auto" w:sz="6" w:space="0"/>
            </w:tcBorders>
            <w:noWrap w:val="0"/>
            <w:vAlign w:val="center"/>
          </w:tcPr>
          <w:p w14:paraId="04B2B4AD">
            <w:pPr>
              <w:pStyle w:val="13"/>
              <w:keepNext/>
              <w:spacing w:line="440" w:lineRule="exact"/>
              <w:ind w:left="63" w:right="63"/>
              <w:rPr>
                <w:rFonts w:hint="eastAsia" w:ascii="宋体" w:hAnsi="宋体" w:eastAsia="宋体" w:cs="宋体"/>
                <w:sz w:val="24"/>
                <w:szCs w:val="24"/>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14:paraId="5B3C839C">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完好</w:t>
            </w:r>
          </w:p>
        </w:tc>
        <w:tc>
          <w:tcPr>
            <w:tcW w:w="1450" w:type="dxa"/>
            <w:tcBorders>
              <w:top w:val="single" w:color="auto" w:sz="6" w:space="0"/>
              <w:left w:val="single" w:color="auto" w:sz="6" w:space="0"/>
              <w:bottom w:val="single" w:color="auto" w:sz="6" w:space="0"/>
              <w:right w:val="single" w:color="auto" w:sz="6" w:space="0"/>
            </w:tcBorders>
            <w:noWrap w:val="0"/>
            <w:vAlign w:val="center"/>
          </w:tcPr>
          <w:p w14:paraId="7EB3FCD5">
            <w:pPr>
              <w:pStyle w:val="13"/>
              <w:keepNext/>
              <w:spacing w:line="440" w:lineRule="exact"/>
              <w:ind w:left="63" w:right="63"/>
              <w:rPr>
                <w:rFonts w:hint="eastAsia" w:ascii="宋体" w:hAnsi="宋体" w:eastAsia="宋体" w:cs="宋体"/>
                <w:sz w:val="24"/>
                <w:szCs w:val="24"/>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14:paraId="7D69FB1A">
            <w:pPr>
              <w:pStyle w:val="13"/>
              <w:keepNext/>
              <w:spacing w:line="440" w:lineRule="exact"/>
              <w:ind w:left="63" w:right="63"/>
              <w:rPr>
                <w:rFonts w:hint="eastAsia" w:ascii="宋体" w:hAnsi="宋体" w:eastAsia="宋体" w:cs="宋体"/>
                <w:sz w:val="24"/>
                <w:szCs w:val="24"/>
              </w:rPr>
            </w:pPr>
          </w:p>
        </w:tc>
      </w:tr>
      <w:tr w14:paraId="02FF2F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center"/>
          </w:tcPr>
          <w:p w14:paraId="4A22CDBB">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质量监督报告通知书（复印件）</w:t>
            </w:r>
          </w:p>
        </w:tc>
        <w:tc>
          <w:tcPr>
            <w:tcW w:w="1229" w:type="dxa"/>
            <w:tcBorders>
              <w:top w:val="single" w:color="auto" w:sz="6" w:space="0"/>
              <w:left w:val="single" w:color="auto" w:sz="6" w:space="0"/>
              <w:bottom w:val="single" w:color="auto" w:sz="6" w:space="0"/>
              <w:right w:val="single" w:color="auto" w:sz="6" w:space="0"/>
            </w:tcBorders>
            <w:noWrap w:val="0"/>
            <w:vAlign w:val="center"/>
          </w:tcPr>
          <w:p w14:paraId="2D277CB8">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1</w:t>
            </w:r>
          </w:p>
        </w:tc>
        <w:tc>
          <w:tcPr>
            <w:tcW w:w="1450" w:type="dxa"/>
            <w:tcBorders>
              <w:top w:val="single" w:color="auto" w:sz="6" w:space="0"/>
              <w:left w:val="single" w:color="auto" w:sz="6" w:space="0"/>
              <w:bottom w:val="single" w:color="auto" w:sz="6" w:space="0"/>
              <w:right w:val="single" w:color="auto" w:sz="6" w:space="0"/>
            </w:tcBorders>
            <w:noWrap w:val="0"/>
            <w:vAlign w:val="center"/>
          </w:tcPr>
          <w:p w14:paraId="47A24727">
            <w:pPr>
              <w:pStyle w:val="13"/>
              <w:keepNext/>
              <w:spacing w:line="440" w:lineRule="exact"/>
              <w:ind w:left="63" w:right="63"/>
              <w:rPr>
                <w:rFonts w:hint="eastAsia" w:ascii="宋体" w:hAnsi="宋体" w:eastAsia="宋体" w:cs="宋体"/>
                <w:sz w:val="24"/>
                <w:szCs w:val="24"/>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14:paraId="04B486EE">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完好</w:t>
            </w:r>
          </w:p>
        </w:tc>
        <w:tc>
          <w:tcPr>
            <w:tcW w:w="1450" w:type="dxa"/>
            <w:tcBorders>
              <w:top w:val="single" w:color="auto" w:sz="6" w:space="0"/>
              <w:left w:val="single" w:color="auto" w:sz="6" w:space="0"/>
              <w:bottom w:val="single" w:color="auto" w:sz="6" w:space="0"/>
              <w:right w:val="single" w:color="auto" w:sz="6" w:space="0"/>
            </w:tcBorders>
            <w:noWrap w:val="0"/>
            <w:vAlign w:val="center"/>
          </w:tcPr>
          <w:p w14:paraId="47431C6F">
            <w:pPr>
              <w:pStyle w:val="13"/>
              <w:keepNext/>
              <w:spacing w:line="440" w:lineRule="exact"/>
              <w:ind w:left="63" w:right="63"/>
              <w:rPr>
                <w:rFonts w:hint="eastAsia" w:ascii="宋体" w:hAnsi="宋体" w:eastAsia="宋体" w:cs="宋体"/>
                <w:sz w:val="24"/>
                <w:szCs w:val="24"/>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14:paraId="7F180AD1">
            <w:pPr>
              <w:pStyle w:val="13"/>
              <w:keepNext/>
              <w:spacing w:line="440" w:lineRule="exact"/>
              <w:ind w:left="63" w:right="63"/>
              <w:rPr>
                <w:rFonts w:hint="eastAsia" w:ascii="宋体" w:hAnsi="宋体" w:eastAsia="宋体" w:cs="宋体"/>
                <w:sz w:val="24"/>
                <w:szCs w:val="24"/>
              </w:rPr>
            </w:pPr>
          </w:p>
        </w:tc>
      </w:tr>
      <w:tr w14:paraId="4B0593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center"/>
          </w:tcPr>
          <w:p w14:paraId="134710A0">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安全监督备案告知书（复印件）</w:t>
            </w:r>
          </w:p>
        </w:tc>
        <w:tc>
          <w:tcPr>
            <w:tcW w:w="1229" w:type="dxa"/>
            <w:tcBorders>
              <w:top w:val="single" w:color="auto" w:sz="6" w:space="0"/>
              <w:left w:val="single" w:color="auto" w:sz="6" w:space="0"/>
              <w:bottom w:val="single" w:color="auto" w:sz="6" w:space="0"/>
              <w:right w:val="single" w:color="auto" w:sz="6" w:space="0"/>
            </w:tcBorders>
            <w:noWrap w:val="0"/>
            <w:vAlign w:val="center"/>
          </w:tcPr>
          <w:p w14:paraId="02BB054C">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1</w:t>
            </w:r>
          </w:p>
        </w:tc>
        <w:tc>
          <w:tcPr>
            <w:tcW w:w="1450" w:type="dxa"/>
            <w:tcBorders>
              <w:top w:val="single" w:color="auto" w:sz="6" w:space="0"/>
              <w:left w:val="single" w:color="auto" w:sz="6" w:space="0"/>
              <w:bottom w:val="single" w:color="auto" w:sz="6" w:space="0"/>
              <w:right w:val="single" w:color="auto" w:sz="6" w:space="0"/>
            </w:tcBorders>
            <w:noWrap w:val="0"/>
            <w:vAlign w:val="center"/>
          </w:tcPr>
          <w:p w14:paraId="42D23B8A">
            <w:pPr>
              <w:pStyle w:val="13"/>
              <w:keepNext/>
              <w:spacing w:line="440" w:lineRule="exact"/>
              <w:ind w:left="63" w:right="63"/>
              <w:rPr>
                <w:rFonts w:hint="eastAsia" w:ascii="宋体" w:hAnsi="宋体" w:eastAsia="宋体" w:cs="宋体"/>
                <w:sz w:val="24"/>
                <w:szCs w:val="24"/>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14:paraId="52524B3F">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完好</w:t>
            </w:r>
          </w:p>
        </w:tc>
        <w:tc>
          <w:tcPr>
            <w:tcW w:w="1450" w:type="dxa"/>
            <w:tcBorders>
              <w:top w:val="single" w:color="auto" w:sz="6" w:space="0"/>
              <w:left w:val="single" w:color="auto" w:sz="6" w:space="0"/>
              <w:bottom w:val="single" w:color="auto" w:sz="6" w:space="0"/>
              <w:right w:val="single" w:color="auto" w:sz="6" w:space="0"/>
            </w:tcBorders>
            <w:noWrap w:val="0"/>
            <w:vAlign w:val="center"/>
          </w:tcPr>
          <w:p w14:paraId="628EE488">
            <w:pPr>
              <w:pStyle w:val="13"/>
              <w:keepNext/>
              <w:spacing w:line="440" w:lineRule="exact"/>
              <w:ind w:left="63" w:right="63"/>
              <w:rPr>
                <w:rFonts w:hint="eastAsia" w:ascii="宋体" w:hAnsi="宋体" w:eastAsia="宋体" w:cs="宋体"/>
                <w:sz w:val="24"/>
                <w:szCs w:val="24"/>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14:paraId="3F5D0E9C">
            <w:pPr>
              <w:pStyle w:val="13"/>
              <w:keepNext/>
              <w:spacing w:line="440" w:lineRule="exact"/>
              <w:ind w:left="63" w:right="63"/>
              <w:rPr>
                <w:rFonts w:hint="eastAsia" w:ascii="宋体" w:hAnsi="宋体" w:eastAsia="宋体" w:cs="宋体"/>
                <w:sz w:val="24"/>
                <w:szCs w:val="24"/>
              </w:rPr>
            </w:pPr>
          </w:p>
        </w:tc>
      </w:tr>
      <w:tr w14:paraId="756DFE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center"/>
          </w:tcPr>
          <w:p w14:paraId="59B2E798">
            <w:pPr>
              <w:pStyle w:val="13"/>
              <w:keepNext/>
              <w:spacing w:line="440" w:lineRule="exact"/>
              <w:ind w:left="63" w:right="63"/>
              <w:rPr>
                <w:rFonts w:hint="eastAsia" w:ascii="宋体" w:hAnsi="宋体" w:eastAsia="宋体" w:cs="宋体"/>
                <w:sz w:val="24"/>
                <w:szCs w:val="24"/>
              </w:rPr>
            </w:pPr>
          </w:p>
        </w:tc>
        <w:tc>
          <w:tcPr>
            <w:tcW w:w="1229" w:type="dxa"/>
            <w:tcBorders>
              <w:top w:val="single" w:color="auto" w:sz="6" w:space="0"/>
              <w:left w:val="single" w:color="auto" w:sz="6" w:space="0"/>
              <w:bottom w:val="single" w:color="auto" w:sz="6" w:space="0"/>
              <w:right w:val="single" w:color="auto" w:sz="6" w:space="0"/>
            </w:tcBorders>
            <w:noWrap w:val="0"/>
            <w:vAlign w:val="center"/>
          </w:tcPr>
          <w:p w14:paraId="354953C6">
            <w:pPr>
              <w:pStyle w:val="13"/>
              <w:keepNext/>
              <w:spacing w:line="440" w:lineRule="exact"/>
              <w:ind w:left="63" w:right="63"/>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14:paraId="577E51CF">
            <w:pPr>
              <w:pStyle w:val="13"/>
              <w:keepNext/>
              <w:spacing w:line="440" w:lineRule="exact"/>
              <w:ind w:left="63" w:right="63"/>
              <w:rPr>
                <w:rFonts w:hint="eastAsia" w:ascii="宋体" w:hAnsi="宋体" w:eastAsia="宋体" w:cs="宋体"/>
                <w:sz w:val="24"/>
                <w:szCs w:val="24"/>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14:paraId="22CFC209">
            <w:pPr>
              <w:pStyle w:val="13"/>
              <w:keepNext/>
              <w:spacing w:line="440" w:lineRule="exact"/>
              <w:ind w:left="63" w:right="63"/>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14:paraId="2784E91C">
            <w:pPr>
              <w:pStyle w:val="13"/>
              <w:keepNext/>
              <w:spacing w:line="440" w:lineRule="exact"/>
              <w:ind w:left="63" w:right="63"/>
              <w:rPr>
                <w:rFonts w:hint="eastAsia" w:ascii="宋体" w:hAnsi="宋体" w:eastAsia="宋体" w:cs="宋体"/>
                <w:sz w:val="24"/>
                <w:szCs w:val="24"/>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14:paraId="563F4C03">
            <w:pPr>
              <w:pStyle w:val="13"/>
              <w:keepNext/>
              <w:spacing w:line="440" w:lineRule="exact"/>
              <w:ind w:left="63" w:right="63"/>
              <w:rPr>
                <w:rFonts w:hint="eastAsia" w:ascii="宋体" w:hAnsi="宋体" w:eastAsia="宋体" w:cs="宋体"/>
                <w:sz w:val="24"/>
                <w:szCs w:val="24"/>
              </w:rPr>
            </w:pPr>
          </w:p>
        </w:tc>
      </w:tr>
      <w:tr w14:paraId="36F1BE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center"/>
          </w:tcPr>
          <w:p w14:paraId="4CB874EE">
            <w:pPr>
              <w:pStyle w:val="13"/>
              <w:keepNext/>
              <w:spacing w:line="440" w:lineRule="exact"/>
              <w:ind w:left="63" w:right="63"/>
              <w:rPr>
                <w:rFonts w:hint="eastAsia" w:ascii="宋体" w:hAnsi="宋体" w:eastAsia="宋体" w:cs="宋体"/>
                <w:sz w:val="24"/>
                <w:szCs w:val="24"/>
              </w:rPr>
            </w:pPr>
          </w:p>
        </w:tc>
        <w:tc>
          <w:tcPr>
            <w:tcW w:w="1229" w:type="dxa"/>
            <w:tcBorders>
              <w:top w:val="single" w:color="auto" w:sz="6" w:space="0"/>
              <w:left w:val="single" w:color="auto" w:sz="6" w:space="0"/>
              <w:bottom w:val="single" w:color="auto" w:sz="6" w:space="0"/>
              <w:right w:val="single" w:color="auto" w:sz="6" w:space="0"/>
            </w:tcBorders>
            <w:noWrap w:val="0"/>
            <w:vAlign w:val="center"/>
          </w:tcPr>
          <w:p w14:paraId="3BEBEF41">
            <w:pPr>
              <w:pStyle w:val="13"/>
              <w:keepNext/>
              <w:spacing w:line="440" w:lineRule="exact"/>
              <w:ind w:left="63" w:right="63"/>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14:paraId="35159DED">
            <w:pPr>
              <w:pStyle w:val="13"/>
              <w:keepNext/>
              <w:spacing w:line="440" w:lineRule="exact"/>
              <w:ind w:left="63" w:right="63"/>
              <w:rPr>
                <w:rFonts w:hint="eastAsia" w:ascii="宋体" w:hAnsi="宋体" w:eastAsia="宋体" w:cs="宋体"/>
                <w:sz w:val="24"/>
                <w:szCs w:val="24"/>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14:paraId="0B391CB7">
            <w:pPr>
              <w:pStyle w:val="13"/>
              <w:keepNext/>
              <w:spacing w:line="440" w:lineRule="exact"/>
              <w:ind w:left="63" w:right="63"/>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14:paraId="7856E405">
            <w:pPr>
              <w:pStyle w:val="13"/>
              <w:keepNext/>
              <w:spacing w:line="440" w:lineRule="exact"/>
              <w:ind w:left="63" w:right="63"/>
              <w:rPr>
                <w:rFonts w:hint="eastAsia" w:ascii="宋体" w:hAnsi="宋体" w:eastAsia="宋体" w:cs="宋体"/>
                <w:sz w:val="24"/>
                <w:szCs w:val="24"/>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14:paraId="122973D9">
            <w:pPr>
              <w:pStyle w:val="13"/>
              <w:keepNext/>
              <w:spacing w:line="440" w:lineRule="exact"/>
              <w:ind w:left="63" w:right="63"/>
              <w:rPr>
                <w:rFonts w:hint="eastAsia" w:ascii="宋体" w:hAnsi="宋体" w:eastAsia="宋体" w:cs="宋体"/>
                <w:sz w:val="24"/>
                <w:szCs w:val="24"/>
              </w:rPr>
            </w:pPr>
          </w:p>
        </w:tc>
      </w:tr>
      <w:tr w14:paraId="77A4E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top"/>
          </w:tcPr>
          <w:p w14:paraId="767C3FAB">
            <w:pPr>
              <w:rPr>
                <w:rFonts w:hint="eastAsia" w:ascii="宋体" w:hAnsi="宋体" w:eastAsia="宋体" w:cs="宋体"/>
                <w:sz w:val="24"/>
                <w:szCs w:val="24"/>
              </w:rPr>
            </w:pPr>
          </w:p>
        </w:tc>
        <w:tc>
          <w:tcPr>
            <w:tcW w:w="1229" w:type="dxa"/>
            <w:tcBorders>
              <w:top w:val="single" w:color="auto" w:sz="6" w:space="0"/>
              <w:left w:val="single" w:color="auto" w:sz="6" w:space="0"/>
              <w:bottom w:val="single" w:color="auto" w:sz="6" w:space="0"/>
              <w:right w:val="single" w:color="auto" w:sz="6" w:space="0"/>
            </w:tcBorders>
            <w:noWrap w:val="0"/>
            <w:vAlign w:val="top"/>
          </w:tcPr>
          <w:p w14:paraId="3CEF65E4">
            <w:pPr>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top"/>
          </w:tcPr>
          <w:p w14:paraId="13771935">
            <w:pPr>
              <w:rPr>
                <w:rFonts w:hint="eastAsia" w:ascii="宋体" w:hAnsi="宋体" w:eastAsia="宋体" w:cs="宋体"/>
                <w:sz w:val="24"/>
                <w:szCs w:val="24"/>
              </w:rPr>
            </w:pPr>
          </w:p>
        </w:tc>
        <w:tc>
          <w:tcPr>
            <w:tcW w:w="1243" w:type="dxa"/>
            <w:tcBorders>
              <w:top w:val="single" w:color="auto" w:sz="6" w:space="0"/>
              <w:left w:val="single" w:color="auto" w:sz="6" w:space="0"/>
              <w:bottom w:val="single" w:color="auto" w:sz="6" w:space="0"/>
              <w:right w:val="single" w:color="auto" w:sz="6" w:space="0"/>
            </w:tcBorders>
            <w:noWrap w:val="0"/>
            <w:vAlign w:val="top"/>
          </w:tcPr>
          <w:p w14:paraId="08ADC410">
            <w:pPr>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top"/>
          </w:tcPr>
          <w:p w14:paraId="2686CD0C">
            <w:pPr>
              <w:rPr>
                <w:rFonts w:hint="eastAsia" w:ascii="宋体" w:hAnsi="宋体" w:eastAsia="宋体" w:cs="宋体"/>
                <w:sz w:val="24"/>
                <w:szCs w:val="24"/>
              </w:rPr>
            </w:pPr>
          </w:p>
        </w:tc>
        <w:tc>
          <w:tcPr>
            <w:tcW w:w="1667" w:type="dxa"/>
            <w:tcBorders>
              <w:top w:val="single" w:color="auto" w:sz="6" w:space="0"/>
              <w:left w:val="single" w:color="auto" w:sz="6" w:space="0"/>
              <w:bottom w:val="single" w:color="auto" w:sz="6" w:space="0"/>
              <w:right w:val="single" w:color="auto" w:sz="12" w:space="0"/>
            </w:tcBorders>
            <w:noWrap w:val="0"/>
            <w:vAlign w:val="top"/>
          </w:tcPr>
          <w:p w14:paraId="6E70B36F">
            <w:pPr>
              <w:rPr>
                <w:rFonts w:hint="eastAsia" w:ascii="宋体" w:hAnsi="宋体" w:eastAsia="宋体" w:cs="宋体"/>
                <w:sz w:val="24"/>
                <w:szCs w:val="24"/>
              </w:rPr>
            </w:pPr>
          </w:p>
        </w:tc>
      </w:tr>
      <w:tr w14:paraId="49B710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center"/>
          </w:tcPr>
          <w:p w14:paraId="4F779C93">
            <w:pPr>
              <w:pStyle w:val="13"/>
              <w:keepNext/>
              <w:spacing w:line="440" w:lineRule="exact"/>
              <w:ind w:left="63" w:right="63"/>
              <w:rPr>
                <w:rFonts w:hint="eastAsia" w:ascii="宋体" w:hAnsi="宋体" w:eastAsia="宋体" w:cs="宋体"/>
                <w:sz w:val="24"/>
                <w:szCs w:val="24"/>
              </w:rPr>
            </w:pPr>
          </w:p>
        </w:tc>
        <w:tc>
          <w:tcPr>
            <w:tcW w:w="1229" w:type="dxa"/>
            <w:tcBorders>
              <w:top w:val="single" w:color="auto" w:sz="6" w:space="0"/>
              <w:left w:val="single" w:color="auto" w:sz="6" w:space="0"/>
              <w:bottom w:val="single" w:color="auto" w:sz="6" w:space="0"/>
              <w:right w:val="single" w:color="auto" w:sz="6" w:space="0"/>
            </w:tcBorders>
            <w:noWrap w:val="0"/>
            <w:vAlign w:val="center"/>
          </w:tcPr>
          <w:p w14:paraId="65EA3485">
            <w:pPr>
              <w:pStyle w:val="13"/>
              <w:keepNext/>
              <w:spacing w:line="440" w:lineRule="exact"/>
              <w:ind w:left="63" w:right="63"/>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14:paraId="584791EB">
            <w:pPr>
              <w:pStyle w:val="13"/>
              <w:keepNext/>
              <w:spacing w:line="440" w:lineRule="exact"/>
              <w:ind w:left="63" w:right="63"/>
              <w:rPr>
                <w:rFonts w:hint="eastAsia" w:ascii="宋体" w:hAnsi="宋体" w:eastAsia="宋体" w:cs="宋体"/>
                <w:sz w:val="24"/>
                <w:szCs w:val="24"/>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14:paraId="7C8D72C5">
            <w:pPr>
              <w:pStyle w:val="13"/>
              <w:keepNext/>
              <w:spacing w:line="440" w:lineRule="exact"/>
              <w:ind w:left="63" w:right="63"/>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14:paraId="28DE51D4">
            <w:pPr>
              <w:pStyle w:val="13"/>
              <w:keepNext/>
              <w:spacing w:line="440" w:lineRule="exact"/>
              <w:ind w:left="63" w:right="63"/>
              <w:rPr>
                <w:rFonts w:hint="eastAsia" w:ascii="宋体" w:hAnsi="宋体" w:eastAsia="宋体" w:cs="宋体"/>
                <w:sz w:val="24"/>
                <w:szCs w:val="24"/>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14:paraId="13625AFE">
            <w:pPr>
              <w:pStyle w:val="13"/>
              <w:keepNext/>
              <w:spacing w:line="440" w:lineRule="exact"/>
              <w:ind w:left="63" w:right="63"/>
              <w:rPr>
                <w:rFonts w:hint="eastAsia" w:ascii="宋体" w:hAnsi="宋体" w:eastAsia="宋体" w:cs="宋体"/>
                <w:sz w:val="24"/>
                <w:szCs w:val="24"/>
              </w:rPr>
            </w:pPr>
          </w:p>
        </w:tc>
      </w:tr>
      <w:tr w14:paraId="12F2F3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top"/>
          </w:tcPr>
          <w:p w14:paraId="64E598C2">
            <w:pPr>
              <w:rPr>
                <w:rFonts w:hint="eastAsia" w:ascii="宋体" w:hAnsi="宋体" w:eastAsia="宋体" w:cs="宋体"/>
                <w:sz w:val="24"/>
                <w:szCs w:val="24"/>
              </w:rPr>
            </w:pPr>
          </w:p>
        </w:tc>
        <w:tc>
          <w:tcPr>
            <w:tcW w:w="1229" w:type="dxa"/>
            <w:tcBorders>
              <w:top w:val="single" w:color="auto" w:sz="6" w:space="0"/>
              <w:left w:val="single" w:color="auto" w:sz="6" w:space="0"/>
              <w:bottom w:val="single" w:color="auto" w:sz="6" w:space="0"/>
              <w:right w:val="single" w:color="auto" w:sz="6" w:space="0"/>
            </w:tcBorders>
            <w:noWrap w:val="0"/>
            <w:vAlign w:val="top"/>
          </w:tcPr>
          <w:p w14:paraId="6761A9F2">
            <w:pPr>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top"/>
          </w:tcPr>
          <w:p w14:paraId="018AD075">
            <w:pPr>
              <w:rPr>
                <w:rFonts w:hint="eastAsia" w:ascii="宋体" w:hAnsi="宋体" w:eastAsia="宋体" w:cs="宋体"/>
                <w:sz w:val="24"/>
                <w:szCs w:val="24"/>
              </w:rPr>
            </w:pPr>
          </w:p>
        </w:tc>
        <w:tc>
          <w:tcPr>
            <w:tcW w:w="1243" w:type="dxa"/>
            <w:tcBorders>
              <w:top w:val="single" w:color="auto" w:sz="6" w:space="0"/>
              <w:left w:val="single" w:color="auto" w:sz="6" w:space="0"/>
              <w:bottom w:val="single" w:color="auto" w:sz="6" w:space="0"/>
              <w:right w:val="single" w:color="auto" w:sz="6" w:space="0"/>
            </w:tcBorders>
            <w:noWrap w:val="0"/>
            <w:vAlign w:val="top"/>
          </w:tcPr>
          <w:p w14:paraId="65E09968">
            <w:pPr>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top"/>
          </w:tcPr>
          <w:p w14:paraId="53BF0BD0">
            <w:pPr>
              <w:rPr>
                <w:rFonts w:hint="eastAsia" w:ascii="宋体" w:hAnsi="宋体" w:eastAsia="宋体" w:cs="宋体"/>
                <w:sz w:val="24"/>
                <w:szCs w:val="24"/>
              </w:rPr>
            </w:pPr>
          </w:p>
        </w:tc>
        <w:tc>
          <w:tcPr>
            <w:tcW w:w="1667" w:type="dxa"/>
            <w:tcBorders>
              <w:top w:val="single" w:color="auto" w:sz="6" w:space="0"/>
              <w:left w:val="single" w:color="auto" w:sz="6" w:space="0"/>
              <w:bottom w:val="single" w:color="auto" w:sz="6" w:space="0"/>
              <w:right w:val="single" w:color="auto" w:sz="12" w:space="0"/>
            </w:tcBorders>
            <w:noWrap w:val="0"/>
            <w:vAlign w:val="top"/>
          </w:tcPr>
          <w:p w14:paraId="41DA8B57">
            <w:pPr>
              <w:rPr>
                <w:rFonts w:hint="eastAsia" w:ascii="宋体" w:hAnsi="宋体" w:eastAsia="宋体" w:cs="宋体"/>
                <w:sz w:val="24"/>
                <w:szCs w:val="24"/>
              </w:rPr>
            </w:pPr>
          </w:p>
        </w:tc>
      </w:tr>
      <w:tr w14:paraId="7C5AED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top"/>
          </w:tcPr>
          <w:p w14:paraId="558AAD2F">
            <w:pPr>
              <w:rPr>
                <w:rFonts w:hint="eastAsia" w:ascii="宋体" w:hAnsi="宋体" w:eastAsia="宋体" w:cs="宋体"/>
                <w:sz w:val="24"/>
                <w:szCs w:val="24"/>
              </w:rPr>
            </w:pPr>
          </w:p>
        </w:tc>
        <w:tc>
          <w:tcPr>
            <w:tcW w:w="1229" w:type="dxa"/>
            <w:tcBorders>
              <w:top w:val="single" w:color="auto" w:sz="6" w:space="0"/>
              <w:left w:val="single" w:color="auto" w:sz="6" w:space="0"/>
              <w:bottom w:val="single" w:color="auto" w:sz="6" w:space="0"/>
              <w:right w:val="single" w:color="auto" w:sz="6" w:space="0"/>
            </w:tcBorders>
            <w:noWrap w:val="0"/>
            <w:vAlign w:val="top"/>
          </w:tcPr>
          <w:p w14:paraId="3F64288A">
            <w:pPr>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top"/>
          </w:tcPr>
          <w:p w14:paraId="0CEE33A0">
            <w:pPr>
              <w:rPr>
                <w:rFonts w:hint="eastAsia" w:ascii="宋体" w:hAnsi="宋体" w:eastAsia="宋体" w:cs="宋体"/>
                <w:sz w:val="24"/>
                <w:szCs w:val="24"/>
              </w:rPr>
            </w:pPr>
          </w:p>
        </w:tc>
        <w:tc>
          <w:tcPr>
            <w:tcW w:w="1243" w:type="dxa"/>
            <w:tcBorders>
              <w:top w:val="single" w:color="auto" w:sz="6" w:space="0"/>
              <w:left w:val="single" w:color="auto" w:sz="6" w:space="0"/>
              <w:bottom w:val="single" w:color="auto" w:sz="6" w:space="0"/>
              <w:right w:val="single" w:color="auto" w:sz="6" w:space="0"/>
            </w:tcBorders>
            <w:noWrap w:val="0"/>
            <w:vAlign w:val="top"/>
          </w:tcPr>
          <w:p w14:paraId="48E5BA8B">
            <w:pPr>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top"/>
          </w:tcPr>
          <w:p w14:paraId="57009AB3">
            <w:pPr>
              <w:rPr>
                <w:rFonts w:hint="eastAsia" w:ascii="宋体" w:hAnsi="宋体" w:eastAsia="宋体" w:cs="宋体"/>
                <w:sz w:val="24"/>
                <w:szCs w:val="24"/>
              </w:rPr>
            </w:pPr>
          </w:p>
        </w:tc>
        <w:tc>
          <w:tcPr>
            <w:tcW w:w="1667" w:type="dxa"/>
            <w:tcBorders>
              <w:top w:val="single" w:color="auto" w:sz="6" w:space="0"/>
              <w:left w:val="single" w:color="auto" w:sz="6" w:space="0"/>
              <w:bottom w:val="single" w:color="auto" w:sz="6" w:space="0"/>
              <w:right w:val="single" w:color="auto" w:sz="12" w:space="0"/>
            </w:tcBorders>
            <w:noWrap w:val="0"/>
            <w:vAlign w:val="top"/>
          </w:tcPr>
          <w:p w14:paraId="7AEBFA0B">
            <w:pPr>
              <w:rPr>
                <w:rFonts w:hint="eastAsia" w:ascii="宋体" w:hAnsi="宋体" w:eastAsia="宋体" w:cs="宋体"/>
                <w:sz w:val="24"/>
                <w:szCs w:val="24"/>
              </w:rPr>
            </w:pPr>
          </w:p>
        </w:tc>
      </w:tr>
      <w:tr w14:paraId="68568E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top"/>
          </w:tcPr>
          <w:p w14:paraId="019A4FB9">
            <w:pPr>
              <w:rPr>
                <w:rFonts w:hint="eastAsia" w:ascii="宋体" w:hAnsi="宋体" w:eastAsia="宋体" w:cs="宋体"/>
                <w:sz w:val="24"/>
                <w:szCs w:val="24"/>
              </w:rPr>
            </w:pPr>
          </w:p>
        </w:tc>
        <w:tc>
          <w:tcPr>
            <w:tcW w:w="1229" w:type="dxa"/>
            <w:tcBorders>
              <w:top w:val="single" w:color="auto" w:sz="6" w:space="0"/>
              <w:left w:val="single" w:color="auto" w:sz="6" w:space="0"/>
              <w:bottom w:val="single" w:color="auto" w:sz="6" w:space="0"/>
              <w:right w:val="single" w:color="auto" w:sz="6" w:space="0"/>
            </w:tcBorders>
            <w:noWrap w:val="0"/>
            <w:vAlign w:val="top"/>
          </w:tcPr>
          <w:p w14:paraId="02D03441">
            <w:pPr>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top"/>
          </w:tcPr>
          <w:p w14:paraId="17D60E1D">
            <w:pPr>
              <w:rPr>
                <w:rFonts w:hint="eastAsia" w:ascii="宋体" w:hAnsi="宋体" w:eastAsia="宋体" w:cs="宋体"/>
                <w:sz w:val="24"/>
                <w:szCs w:val="24"/>
              </w:rPr>
            </w:pPr>
          </w:p>
        </w:tc>
        <w:tc>
          <w:tcPr>
            <w:tcW w:w="1243" w:type="dxa"/>
            <w:tcBorders>
              <w:top w:val="single" w:color="auto" w:sz="6" w:space="0"/>
              <w:left w:val="single" w:color="auto" w:sz="6" w:space="0"/>
              <w:bottom w:val="single" w:color="auto" w:sz="6" w:space="0"/>
              <w:right w:val="single" w:color="auto" w:sz="6" w:space="0"/>
            </w:tcBorders>
            <w:noWrap w:val="0"/>
            <w:vAlign w:val="top"/>
          </w:tcPr>
          <w:p w14:paraId="28A0F69A">
            <w:pPr>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top"/>
          </w:tcPr>
          <w:p w14:paraId="03745BA3">
            <w:pPr>
              <w:rPr>
                <w:rFonts w:hint="eastAsia" w:ascii="宋体" w:hAnsi="宋体" w:eastAsia="宋体" w:cs="宋体"/>
                <w:sz w:val="24"/>
                <w:szCs w:val="24"/>
              </w:rPr>
            </w:pPr>
          </w:p>
        </w:tc>
        <w:tc>
          <w:tcPr>
            <w:tcW w:w="1667" w:type="dxa"/>
            <w:tcBorders>
              <w:top w:val="single" w:color="auto" w:sz="6" w:space="0"/>
              <w:left w:val="single" w:color="auto" w:sz="6" w:space="0"/>
              <w:bottom w:val="single" w:color="auto" w:sz="6" w:space="0"/>
              <w:right w:val="single" w:color="auto" w:sz="12" w:space="0"/>
            </w:tcBorders>
            <w:noWrap w:val="0"/>
            <w:vAlign w:val="top"/>
          </w:tcPr>
          <w:p w14:paraId="76E9BF83">
            <w:pPr>
              <w:rPr>
                <w:rFonts w:hint="eastAsia" w:ascii="宋体" w:hAnsi="宋体" w:eastAsia="宋体" w:cs="宋体"/>
                <w:sz w:val="24"/>
                <w:szCs w:val="24"/>
              </w:rPr>
            </w:pPr>
          </w:p>
        </w:tc>
      </w:tr>
      <w:tr w14:paraId="2B4AEF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top"/>
          </w:tcPr>
          <w:p w14:paraId="48F05D38">
            <w:pPr>
              <w:rPr>
                <w:rFonts w:hint="eastAsia" w:ascii="宋体" w:hAnsi="宋体" w:eastAsia="宋体" w:cs="宋体"/>
                <w:sz w:val="24"/>
                <w:szCs w:val="24"/>
              </w:rPr>
            </w:pPr>
          </w:p>
        </w:tc>
        <w:tc>
          <w:tcPr>
            <w:tcW w:w="1229" w:type="dxa"/>
            <w:tcBorders>
              <w:top w:val="single" w:color="auto" w:sz="6" w:space="0"/>
              <w:left w:val="single" w:color="auto" w:sz="6" w:space="0"/>
              <w:bottom w:val="single" w:color="auto" w:sz="6" w:space="0"/>
              <w:right w:val="single" w:color="auto" w:sz="6" w:space="0"/>
            </w:tcBorders>
            <w:noWrap w:val="0"/>
            <w:vAlign w:val="top"/>
          </w:tcPr>
          <w:p w14:paraId="58550AB5">
            <w:pPr>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top"/>
          </w:tcPr>
          <w:p w14:paraId="6074B3BA">
            <w:pPr>
              <w:rPr>
                <w:rFonts w:hint="eastAsia" w:ascii="宋体" w:hAnsi="宋体" w:eastAsia="宋体" w:cs="宋体"/>
                <w:sz w:val="24"/>
                <w:szCs w:val="24"/>
              </w:rPr>
            </w:pPr>
          </w:p>
        </w:tc>
        <w:tc>
          <w:tcPr>
            <w:tcW w:w="1243" w:type="dxa"/>
            <w:tcBorders>
              <w:top w:val="single" w:color="auto" w:sz="6" w:space="0"/>
              <w:left w:val="single" w:color="auto" w:sz="6" w:space="0"/>
              <w:bottom w:val="single" w:color="auto" w:sz="6" w:space="0"/>
              <w:right w:val="single" w:color="auto" w:sz="6" w:space="0"/>
            </w:tcBorders>
            <w:noWrap w:val="0"/>
            <w:vAlign w:val="top"/>
          </w:tcPr>
          <w:p w14:paraId="223CC9B5">
            <w:pPr>
              <w:rPr>
                <w:rFonts w:hint="eastAsia" w:ascii="宋体" w:hAnsi="宋体" w:eastAsia="宋体" w:cs="宋体"/>
                <w:sz w:val="24"/>
                <w:szCs w:val="24"/>
              </w:rPr>
            </w:pPr>
          </w:p>
        </w:tc>
        <w:tc>
          <w:tcPr>
            <w:tcW w:w="1450" w:type="dxa"/>
            <w:tcBorders>
              <w:top w:val="single" w:color="auto" w:sz="6" w:space="0"/>
              <w:left w:val="single" w:color="auto" w:sz="6" w:space="0"/>
              <w:bottom w:val="single" w:color="auto" w:sz="6" w:space="0"/>
              <w:right w:val="single" w:color="auto" w:sz="6" w:space="0"/>
            </w:tcBorders>
            <w:noWrap w:val="0"/>
            <w:vAlign w:val="top"/>
          </w:tcPr>
          <w:p w14:paraId="6F414576">
            <w:pPr>
              <w:rPr>
                <w:rFonts w:hint="eastAsia" w:ascii="宋体" w:hAnsi="宋体" w:eastAsia="宋体" w:cs="宋体"/>
                <w:sz w:val="24"/>
                <w:szCs w:val="24"/>
              </w:rPr>
            </w:pPr>
          </w:p>
        </w:tc>
        <w:tc>
          <w:tcPr>
            <w:tcW w:w="1667" w:type="dxa"/>
            <w:tcBorders>
              <w:top w:val="single" w:color="auto" w:sz="6" w:space="0"/>
              <w:left w:val="single" w:color="auto" w:sz="6" w:space="0"/>
              <w:bottom w:val="single" w:color="auto" w:sz="6" w:space="0"/>
              <w:right w:val="single" w:color="auto" w:sz="12" w:space="0"/>
            </w:tcBorders>
            <w:noWrap w:val="0"/>
            <w:vAlign w:val="top"/>
          </w:tcPr>
          <w:p w14:paraId="2A65C966">
            <w:pPr>
              <w:rPr>
                <w:rFonts w:hint="eastAsia" w:ascii="宋体" w:hAnsi="宋体" w:eastAsia="宋体" w:cs="宋体"/>
                <w:sz w:val="24"/>
                <w:szCs w:val="24"/>
              </w:rPr>
            </w:pPr>
          </w:p>
        </w:tc>
      </w:tr>
      <w:tr w14:paraId="20A6F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000" w:type="dxa"/>
            <w:tcBorders>
              <w:top w:val="single" w:color="auto" w:sz="6" w:space="0"/>
              <w:left w:val="single" w:color="auto" w:sz="12" w:space="0"/>
              <w:bottom w:val="single" w:color="auto" w:sz="6" w:space="0"/>
              <w:right w:val="single" w:color="auto" w:sz="6" w:space="0"/>
            </w:tcBorders>
            <w:noWrap w:val="0"/>
            <w:vAlign w:val="top"/>
          </w:tcPr>
          <w:p w14:paraId="60C29966">
            <w:pPr>
              <w:rPr>
                <w:rFonts w:ascii="仿宋" w:hAnsi="仿宋" w:eastAsia="仿宋"/>
                <w:sz w:val="30"/>
                <w:szCs w:val="30"/>
              </w:rPr>
            </w:pPr>
          </w:p>
        </w:tc>
        <w:tc>
          <w:tcPr>
            <w:tcW w:w="1229" w:type="dxa"/>
            <w:tcBorders>
              <w:top w:val="single" w:color="auto" w:sz="6" w:space="0"/>
              <w:left w:val="single" w:color="auto" w:sz="6" w:space="0"/>
              <w:bottom w:val="single" w:color="auto" w:sz="6" w:space="0"/>
              <w:right w:val="single" w:color="auto" w:sz="6" w:space="0"/>
            </w:tcBorders>
            <w:noWrap w:val="0"/>
            <w:vAlign w:val="top"/>
          </w:tcPr>
          <w:p w14:paraId="2D36D04A">
            <w:pPr>
              <w:rPr>
                <w:rFonts w:ascii="仿宋" w:hAnsi="仿宋" w:eastAsia="仿宋"/>
                <w:sz w:val="30"/>
                <w:szCs w:val="30"/>
              </w:rPr>
            </w:pPr>
          </w:p>
        </w:tc>
        <w:tc>
          <w:tcPr>
            <w:tcW w:w="1450" w:type="dxa"/>
            <w:tcBorders>
              <w:top w:val="single" w:color="auto" w:sz="6" w:space="0"/>
              <w:left w:val="single" w:color="auto" w:sz="6" w:space="0"/>
              <w:bottom w:val="single" w:color="auto" w:sz="6" w:space="0"/>
              <w:right w:val="single" w:color="auto" w:sz="6" w:space="0"/>
            </w:tcBorders>
            <w:noWrap w:val="0"/>
            <w:vAlign w:val="top"/>
          </w:tcPr>
          <w:p w14:paraId="3657ADD1">
            <w:pPr>
              <w:rPr>
                <w:rFonts w:ascii="仿宋" w:hAnsi="仿宋" w:eastAsia="仿宋"/>
                <w:sz w:val="30"/>
                <w:szCs w:val="30"/>
              </w:rPr>
            </w:pPr>
          </w:p>
        </w:tc>
        <w:tc>
          <w:tcPr>
            <w:tcW w:w="1243" w:type="dxa"/>
            <w:tcBorders>
              <w:top w:val="single" w:color="auto" w:sz="6" w:space="0"/>
              <w:left w:val="single" w:color="auto" w:sz="6" w:space="0"/>
              <w:bottom w:val="single" w:color="auto" w:sz="6" w:space="0"/>
              <w:right w:val="single" w:color="auto" w:sz="6" w:space="0"/>
            </w:tcBorders>
            <w:noWrap w:val="0"/>
            <w:vAlign w:val="top"/>
          </w:tcPr>
          <w:p w14:paraId="20D154AE">
            <w:pPr>
              <w:rPr>
                <w:rFonts w:ascii="仿宋" w:hAnsi="仿宋" w:eastAsia="仿宋"/>
                <w:sz w:val="30"/>
                <w:szCs w:val="30"/>
              </w:rPr>
            </w:pPr>
          </w:p>
        </w:tc>
        <w:tc>
          <w:tcPr>
            <w:tcW w:w="1450" w:type="dxa"/>
            <w:tcBorders>
              <w:top w:val="single" w:color="auto" w:sz="6" w:space="0"/>
              <w:left w:val="single" w:color="auto" w:sz="6" w:space="0"/>
              <w:bottom w:val="single" w:color="auto" w:sz="6" w:space="0"/>
              <w:right w:val="single" w:color="auto" w:sz="6" w:space="0"/>
            </w:tcBorders>
            <w:noWrap w:val="0"/>
            <w:vAlign w:val="top"/>
          </w:tcPr>
          <w:p w14:paraId="5FF1674C">
            <w:pPr>
              <w:rPr>
                <w:rFonts w:ascii="仿宋" w:hAnsi="仿宋" w:eastAsia="仿宋"/>
                <w:sz w:val="30"/>
                <w:szCs w:val="30"/>
              </w:rPr>
            </w:pPr>
          </w:p>
        </w:tc>
        <w:tc>
          <w:tcPr>
            <w:tcW w:w="1667" w:type="dxa"/>
            <w:tcBorders>
              <w:top w:val="single" w:color="auto" w:sz="6" w:space="0"/>
              <w:left w:val="single" w:color="auto" w:sz="6" w:space="0"/>
              <w:bottom w:val="single" w:color="auto" w:sz="6" w:space="0"/>
              <w:right w:val="single" w:color="auto" w:sz="12" w:space="0"/>
            </w:tcBorders>
            <w:noWrap w:val="0"/>
            <w:vAlign w:val="top"/>
          </w:tcPr>
          <w:p w14:paraId="4F06D646">
            <w:pPr>
              <w:rPr>
                <w:rFonts w:ascii="仿宋" w:hAnsi="仿宋" w:eastAsia="仿宋"/>
                <w:sz w:val="30"/>
                <w:szCs w:val="30"/>
              </w:rPr>
            </w:pPr>
          </w:p>
        </w:tc>
      </w:tr>
    </w:tbl>
    <w:p w14:paraId="10AC1980">
      <w:pPr>
        <w:spacing w:line="240" w:lineRule="auto"/>
        <w:rPr>
          <w:rFonts w:hint="eastAsia" w:ascii="仿宋" w:hAnsi="仿宋" w:eastAsia="仿宋"/>
          <w:sz w:val="30"/>
          <w:szCs w:val="30"/>
          <w:highlight w:val="white"/>
        </w:rPr>
      </w:pPr>
      <w:r>
        <w:rPr>
          <w:rFonts w:hint="eastAsia" w:ascii="仿宋" w:hAnsi="仿宋" w:eastAsia="仿宋"/>
          <w:sz w:val="30"/>
          <w:szCs w:val="30"/>
          <w:highlight w:val="white"/>
        </w:rPr>
        <w:br w:type="page"/>
      </w:r>
    </w:p>
    <w:p w14:paraId="310EC796">
      <w:pPr>
        <w:spacing w:line="440" w:lineRule="exact"/>
        <w:rPr>
          <w:rFonts w:hint="eastAsia" w:ascii="宋体" w:hAnsi="宋体" w:eastAsia="宋体" w:cs="宋体"/>
          <w:sz w:val="24"/>
          <w:szCs w:val="24"/>
        </w:rPr>
      </w:pPr>
      <w:r>
        <w:rPr>
          <w:rFonts w:hint="eastAsia" w:ascii="宋体" w:hAnsi="宋体" w:eastAsia="宋体" w:cs="宋体"/>
          <w:sz w:val="24"/>
          <w:szCs w:val="24"/>
          <w:highlight w:val="white"/>
        </w:rPr>
        <w:t>附件5：</w:t>
      </w:r>
    </w:p>
    <w:p w14:paraId="1C9603DA">
      <w:pPr>
        <w:spacing w:before="156" w:beforeLines="50" w:after="156" w:afterLines="50" w:line="440" w:lineRule="exact"/>
        <w:rPr>
          <w:rFonts w:hint="eastAsia" w:ascii="宋体" w:hAnsi="宋体" w:eastAsia="宋体" w:cs="宋体"/>
          <w:sz w:val="24"/>
          <w:szCs w:val="24"/>
        </w:rPr>
      </w:pPr>
      <w:r>
        <w:rPr>
          <w:rFonts w:hint="eastAsia" w:ascii="宋体" w:hAnsi="宋体" w:eastAsia="宋体" w:cs="宋体"/>
          <w:sz w:val="24"/>
          <w:szCs w:val="24"/>
          <w:highlight w:val="white"/>
        </w:rPr>
        <w:t>承包人用于本工程施工的机械设备表</w:t>
      </w:r>
    </w:p>
    <w:tbl>
      <w:tblPr>
        <w:tblStyle w:val="29"/>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116"/>
        <w:gridCol w:w="1363"/>
        <w:gridCol w:w="816"/>
        <w:gridCol w:w="1016"/>
        <w:gridCol w:w="844"/>
        <w:gridCol w:w="978"/>
        <w:gridCol w:w="1421"/>
        <w:gridCol w:w="978"/>
        <w:gridCol w:w="884"/>
      </w:tblGrid>
      <w:tr w14:paraId="1B7641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92" w:type="pct"/>
            <w:tcBorders>
              <w:top w:val="single" w:color="auto" w:sz="12" w:space="0"/>
              <w:left w:val="single" w:color="auto" w:sz="12" w:space="0"/>
              <w:bottom w:val="double" w:color="auto" w:sz="6" w:space="0"/>
              <w:right w:val="single" w:color="auto" w:sz="6" w:space="0"/>
            </w:tcBorders>
            <w:noWrap w:val="0"/>
            <w:vAlign w:val="center"/>
          </w:tcPr>
          <w:p w14:paraId="63145D16">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序号</w:t>
            </w:r>
          </w:p>
        </w:tc>
        <w:tc>
          <w:tcPr>
            <w:tcW w:w="723" w:type="pct"/>
            <w:tcBorders>
              <w:top w:val="single" w:color="auto" w:sz="12" w:space="0"/>
              <w:left w:val="single" w:color="auto" w:sz="6" w:space="0"/>
              <w:bottom w:val="double" w:color="auto" w:sz="6" w:space="0"/>
              <w:right w:val="single" w:color="auto" w:sz="6" w:space="0"/>
            </w:tcBorders>
            <w:noWrap w:val="0"/>
            <w:vAlign w:val="center"/>
          </w:tcPr>
          <w:p w14:paraId="78FB89D1">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机械或设备名称</w:t>
            </w:r>
          </w:p>
        </w:tc>
        <w:tc>
          <w:tcPr>
            <w:tcW w:w="433" w:type="pct"/>
            <w:tcBorders>
              <w:top w:val="single" w:color="auto" w:sz="12" w:space="0"/>
              <w:left w:val="single" w:color="auto" w:sz="6" w:space="0"/>
              <w:bottom w:val="double" w:color="auto" w:sz="6" w:space="0"/>
              <w:right w:val="single" w:color="auto" w:sz="6" w:space="0"/>
            </w:tcBorders>
            <w:noWrap w:val="0"/>
            <w:vAlign w:val="center"/>
          </w:tcPr>
          <w:p w14:paraId="3A008991">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规格型号</w:t>
            </w:r>
          </w:p>
        </w:tc>
        <w:tc>
          <w:tcPr>
            <w:tcW w:w="539" w:type="pct"/>
            <w:tcBorders>
              <w:top w:val="single" w:color="auto" w:sz="12" w:space="0"/>
              <w:left w:val="single" w:color="auto" w:sz="6" w:space="0"/>
              <w:bottom w:val="double" w:color="auto" w:sz="6" w:space="0"/>
              <w:right w:val="single" w:color="auto" w:sz="6" w:space="0"/>
            </w:tcBorders>
            <w:noWrap w:val="0"/>
            <w:vAlign w:val="center"/>
          </w:tcPr>
          <w:p w14:paraId="07B8FC4C">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数量</w:t>
            </w:r>
          </w:p>
        </w:tc>
        <w:tc>
          <w:tcPr>
            <w:tcW w:w="448" w:type="pct"/>
            <w:tcBorders>
              <w:top w:val="single" w:color="auto" w:sz="12" w:space="0"/>
              <w:left w:val="single" w:color="auto" w:sz="6" w:space="0"/>
              <w:bottom w:val="double" w:color="auto" w:sz="6" w:space="0"/>
              <w:right w:val="single" w:color="auto" w:sz="6" w:space="0"/>
            </w:tcBorders>
            <w:noWrap w:val="0"/>
            <w:vAlign w:val="center"/>
          </w:tcPr>
          <w:p w14:paraId="1F0ACDF5">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产地</w:t>
            </w:r>
          </w:p>
        </w:tc>
        <w:tc>
          <w:tcPr>
            <w:tcW w:w="519" w:type="pct"/>
            <w:tcBorders>
              <w:top w:val="single" w:color="auto" w:sz="12" w:space="0"/>
              <w:left w:val="single" w:color="auto" w:sz="6" w:space="0"/>
              <w:bottom w:val="double" w:color="auto" w:sz="6" w:space="0"/>
              <w:right w:val="single" w:color="auto" w:sz="6" w:space="0"/>
            </w:tcBorders>
            <w:noWrap w:val="0"/>
            <w:vAlign w:val="center"/>
          </w:tcPr>
          <w:p w14:paraId="35D72F43">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制造年份</w:t>
            </w:r>
          </w:p>
        </w:tc>
        <w:tc>
          <w:tcPr>
            <w:tcW w:w="754" w:type="pct"/>
            <w:tcBorders>
              <w:top w:val="single" w:color="auto" w:sz="12" w:space="0"/>
              <w:left w:val="single" w:color="auto" w:sz="6" w:space="0"/>
              <w:bottom w:val="double" w:color="auto" w:sz="6" w:space="0"/>
              <w:right w:val="single" w:color="auto" w:sz="6" w:space="0"/>
            </w:tcBorders>
            <w:noWrap w:val="0"/>
            <w:vAlign w:val="center"/>
          </w:tcPr>
          <w:p w14:paraId="2FDAE8D3">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额定功率(kW)</w:t>
            </w:r>
          </w:p>
        </w:tc>
        <w:tc>
          <w:tcPr>
            <w:tcW w:w="519" w:type="pct"/>
            <w:tcBorders>
              <w:top w:val="single" w:color="auto" w:sz="12" w:space="0"/>
              <w:left w:val="single" w:color="auto" w:sz="6" w:space="0"/>
              <w:bottom w:val="double" w:color="auto" w:sz="6" w:space="0"/>
              <w:right w:val="single" w:color="auto" w:sz="6" w:space="0"/>
            </w:tcBorders>
            <w:noWrap w:val="0"/>
            <w:vAlign w:val="center"/>
          </w:tcPr>
          <w:p w14:paraId="3E0A095D">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生产能力</w:t>
            </w:r>
          </w:p>
        </w:tc>
        <w:tc>
          <w:tcPr>
            <w:tcW w:w="469" w:type="pct"/>
            <w:tcBorders>
              <w:top w:val="single" w:color="auto" w:sz="12" w:space="0"/>
              <w:left w:val="single" w:color="auto" w:sz="6" w:space="0"/>
              <w:bottom w:val="double" w:color="auto" w:sz="6" w:space="0"/>
              <w:right w:val="single" w:color="auto" w:sz="12" w:space="0"/>
            </w:tcBorders>
            <w:noWrap w:val="0"/>
            <w:vAlign w:val="center"/>
          </w:tcPr>
          <w:p w14:paraId="77EF65D6">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备注</w:t>
            </w:r>
          </w:p>
        </w:tc>
      </w:tr>
      <w:tr w14:paraId="0AA3C5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double" w:color="auto" w:sz="6" w:space="0"/>
              <w:left w:val="single" w:color="auto" w:sz="12" w:space="0"/>
              <w:bottom w:val="single" w:color="auto" w:sz="6" w:space="0"/>
              <w:right w:val="single" w:color="auto" w:sz="6" w:space="0"/>
            </w:tcBorders>
            <w:noWrap w:val="0"/>
            <w:vAlign w:val="center"/>
          </w:tcPr>
          <w:p w14:paraId="0D6E7B47">
            <w:pPr>
              <w:pStyle w:val="13"/>
              <w:keepNext/>
              <w:spacing w:line="440" w:lineRule="exact"/>
              <w:ind w:left="63" w:right="63"/>
              <w:rPr>
                <w:rFonts w:hint="eastAsia" w:ascii="宋体" w:hAnsi="宋体" w:eastAsia="宋体" w:cs="宋体"/>
                <w:sz w:val="24"/>
                <w:szCs w:val="24"/>
              </w:rPr>
            </w:pPr>
          </w:p>
        </w:tc>
        <w:tc>
          <w:tcPr>
            <w:tcW w:w="723" w:type="pct"/>
            <w:tcBorders>
              <w:top w:val="double" w:color="auto" w:sz="6" w:space="0"/>
              <w:left w:val="single" w:color="auto" w:sz="6" w:space="0"/>
              <w:bottom w:val="single" w:color="auto" w:sz="6" w:space="0"/>
              <w:right w:val="single" w:color="auto" w:sz="6" w:space="0"/>
            </w:tcBorders>
            <w:noWrap w:val="0"/>
            <w:vAlign w:val="center"/>
          </w:tcPr>
          <w:p w14:paraId="006C9947">
            <w:pPr>
              <w:pStyle w:val="13"/>
              <w:keepNext/>
              <w:spacing w:line="440" w:lineRule="exact"/>
              <w:ind w:left="63" w:right="63"/>
              <w:rPr>
                <w:rFonts w:hint="eastAsia" w:ascii="宋体" w:hAnsi="宋体" w:eastAsia="宋体" w:cs="宋体"/>
                <w:sz w:val="24"/>
                <w:szCs w:val="24"/>
              </w:rPr>
            </w:pPr>
          </w:p>
        </w:tc>
        <w:tc>
          <w:tcPr>
            <w:tcW w:w="433" w:type="pct"/>
            <w:tcBorders>
              <w:top w:val="double" w:color="auto" w:sz="6" w:space="0"/>
              <w:left w:val="single" w:color="auto" w:sz="6" w:space="0"/>
              <w:bottom w:val="single" w:color="auto" w:sz="6" w:space="0"/>
              <w:right w:val="single" w:color="auto" w:sz="6" w:space="0"/>
            </w:tcBorders>
            <w:noWrap w:val="0"/>
            <w:vAlign w:val="center"/>
          </w:tcPr>
          <w:p w14:paraId="4C109C7C">
            <w:pPr>
              <w:pStyle w:val="13"/>
              <w:keepNext/>
              <w:spacing w:line="440" w:lineRule="exact"/>
              <w:ind w:left="63" w:right="63"/>
              <w:rPr>
                <w:rFonts w:hint="eastAsia" w:ascii="宋体" w:hAnsi="宋体" w:eastAsia="宋体" w:cs="宋体"/>
                <w:sz w:val="24"/>
                <w:szCs w:val="24"/>
              </w:rPr>
            </w:pPr>
          </w:p>
        </w:tc>
        <w:tc>
          <w:tcPr>
            <w:tcW w:w="539" w:type="pct"/>
            <w:tcBorders>
              <w:top w:val="double" w:color="auto" w:sz="6" w:space="0"/>
              <w:left w:val="single" w:color="auto" w:sz="6" w:space="0"/>
              <w:bottom w:val="single" w:color="auto" w:sz="6" w:space="0"/>
              <w:right w:val="single" w:color="auto" w:sz="6" w:space="0"/>
            </w:tcBorders>
            <w:noWrap w:val="0"/>
            <w:vAlign w:val="center"/>
          </w:tcPr>
          <w:p w14:paraId="32D56547">
            <w:pPr>
              <w:pStyle w:val="13"/>
              <w:keepNext/>
              <w:spacing w:line="440" w:lineRule="exact"/>
              <w:ind w:left="63" w:right="63"/>
              <w:rPr>
                <w:rFonts w:hint="eastAsia" w:ascii="宋体" w:hAnsi="宋体" w:eastAsia="宋体" w:cs="宋体"/>
                <w:sz w:val="24"/>
                <w:szCs w:val="24"/>
              </w:rPr>
            </w:pPr>
          </w:p>
        </w:tc>
        <w:tc>
          <w:tcPr>
            <w:tcW w:w="448" w:type="pct"/>
            <w:tcBorders>
              <w:top w:val="double" w:color="auto" w:sz="6" w:space="0"/>
              <w:left w:val="single" w:color="auto" w:sz="6" w:space="0"/>
              <w:bottom w:val="single" w:color="auto" w:sz="6" w:space="0"/>
              <w:right w:val="single" w:color="auto" w:sz="6" w:space="0"/>
            </w:tcBorders>
            <w:noWrap w:val="0"/>
            <w:vAlign w:val="center"/>
          </w:tcPr>
          <w:p w14:paraId="449520A2">
            <w:pPr>
              <w:pStyle w:val="13"/>
              <w:keepNext/>
              <w:spacing w:line="440" w:lineRule="exact"/>
              <w:ind w:left="63" w:right="63"/>
              <w:rPr>
                <w:rFonts w:hint="eastAsia" w:ascii="宋体" w:hAnsi="宋体" w:eastAsia="宋体" w:cs="宋体"/>
                <w:sz w:val="24"/>
                <w:szCs w:val="24"/>
              </w:rPr>
            </w:pPr>
          </w:p>
        </w:tc>
        <w:tc>
          <w:tcPr>
            <w:tcW w:w="519" w:type="pct"/>
            <w:tcBorders>
              <w:top w:val="double" w:color="auto" w:sz="6" w:space="0"/>
              <w:left w:val="single" w:color="auto" w:sz="6" w:space="0"/>
              <w:bottom w:val="single" w:color="auto" w:sz="6" w:space="0"/>
              <w:right w:val="single" w:color="auto" w:sz="6" w:space="0"/>
            </w:tcBorders>
            <w:noWrap w:val="0"/>
            <w:vAlign w:val="center"/>
          </w:tcPr>
          <w:p w14:paraId="036A6ECF">
            <w:pPr>
              <w:pStyle w:val="13"/>
              <w:keepNext/>
              <w:spacing w:line="440" w:lineRule="exact"/>
              <w:ind w:left="63" w:right="63"/>
              <w:rPr>
                <w:rFonts w:hint="eastAsia" w:ascii="宋体" w:hAnsi="宋体" w:eastAsia="宋体" w:cs="宋体"/>
                <w:sz w:val="24"/>
                <w:szCs w:val="24"/>
              </w:rPr>
            </w:pPr>
          </w:p>
        </w:tc>
        <w:tc>
          <w:tcPr>
            <w:tcW w:w="754" w:type="pct"/>
            <w:tcBorders>
              <w:top w:val="double" w:color="auto" w:sz="6" w:space="0"/>
              <w:left w:val="single" w:color="auto" w:sz="6" w:space="0"/>
              <w:bottom w:val="single" w:color="auto" w:sz="6" w:space="0"/>
              <w:right w:val="single" w:color="auto" w:sz="6" w:space="0"/>
            </w:tcBorders>
            <w:noWrap w:val="0"/>
            <w:vAlign w:val="center"/>
          </w:tcPr>
          <w:p w14:paraId="452BADB5">
            <w:pPr>
              <w:pStyle w:val="13"/>
              <w:keepNext/>
              <w:spacing w:line="440" w:lineRule="exact"/>
              <w:ind w:left="63" w:right="63"/>
              <w:rPr>
                <w:rFonts w:hint="eastAsia" w:ascii="宋体" w:hAnsi="宋体" w:eastAsia="宋体" w:cs="宋体"/>
                <w:sz w:val="24"/>
                <w:szCs w:val="24"/>
              </w:rPr>
            </w:pPr>
          </w:p>
        </w:tc>
        <w:tc>
          <w:tcPr>
            <w:tcW w:w="519" w:type="pct"/>
            <w:tcBorders>
              <w:top w:val="double" w:color="auto" w:sz="6" w:space="0"/>
              <w:left w:val="single" w:color="auto" w:sz="6" w:space="0"/>
              <w:bottom w:val="single" w:color="auto" w:sz="6" w:space="0"/>
              <w:right w:val="single" w:color="auto" w:sz="6" w:space="0"/>
            </w:tcBorders>
            <w:noWrap w:val="0"/>
            <w:vAlign w:val="center"/>
          </w:tcPr>
          <w:p w14:paraId="227CE9BB">
            <w:pPr>
              <w:pStyle w:val="13"/>
              <w:keepNext/>
              <w:spacing w:line="440" w:lineRule="exact"/>
              <w:ind w:left="63" w:right="63"/>
              <w:rPr>
                <w:rFonts w:hint="eastAsia" w:ascii="宋体" w:hAnsi="宋体" w:eastAsia="宋体" w:cs="宋体"/>
                <w:sz w:val="24"/>
                <w:szCs w:val="24"/>
              </w:rPr>
            </w:pPr>
          </w:p>
        </w:tc>
        <w:tc>
          <w:tcPr>
            <w:tcW w:w="469" w:type="pct"/>
            <w:tcBorders>
              <w:top w:val="double" w:color="auto" w:sz="6" w:space="0"/>
              <w:left w:val="single" w:color="auto" w:sz="6" w:space="0"/>
              <w:bottom w:val="single" w:color="auto" w:sz="6" w:space="0"/>
              <w:right w:val="single" w:color="auto" w:sz="12" w:space="0"/>
            </w:tcBorders>
            <w:noWrap w:val="0"/>
            <w:vAlign w:val="center"/>
          </w:tcPr>
          <w:p w14:paraId="0CC83741">
            <w:pPr>
              <w:pStyle w:val="13"/>
              <w:keepNext/>
              <w:spacing w:line="440" w:lineRule="exact"/>
              <w:ind w:left="63" w:right="63"/>
              <w:rPr>
                <w:rFonts w:hint="eastAsia" w:ascii="宋体" w:hAnsi="宋体" w:eastAsia="宋体" w:cs="宋体"/>
                <w:sz w:val="24"/>
                <w:szCs w:val="24"/>
              </w:rPr>
            </w:pPr>
          </w:p>
        </w:tc>
      </w:tr>
      <w:tr w14:paraId="26AFE6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nil"/>
              <w:left w:val="single" w:color="auto" w:sz="12" w:space="0"/>
              <w:bottom w:val="single" w:color="auto" w:sz="6" w:space="0"/>
              <w:right w:val="single" w:color="auto" w:sz="6" w:space="0"/>
            </w:tcBorders>
            <w:noWrap w:val="0"/>
            <w:vAlign w:val="center"/>
          </w:tcPr>
          <w:p w14:paraId="30A2D2C6">
            <w:pPr>
              <w:pStyle w:val="13"/>
              <w:keepNext/>
              <w:spacing w:line="440" w:lineRule="exact"/>
              <w:ind w:left="63" w:right="63"/>
              <w:rPr>
                <w:rFonts w:hint="eastAsia" w:ascii="宋体" w:hAnsi="宋体" w:eastAsia="宋体" w:cs="宋体"/>
                <w:sz w:val="24"/>
                <w:szCs w:val="24"/>
              </w:rPr>
            </w:pPr>
          </w:p>
        </w:tc>
        <w:tc>
          <w:tcPr>
            <w:tcW w:w="723" w:type="pct"/>
            <w:tcBorders>
              <w:top w:val="nil"/>
              <w:left w:val="single" w:color="auto" w:sz="6" w:space="0"/>
              <w:bottom w:val="single" w:color="auto" w:sz="6" w:space="0"/>
              <w:right w:val="single" w:color="auto" w:sz="6" w:space="0"/>
            </w:tcBorders>
            <w:noWrap w:val="0"/>
            <w:vAlign w:val="center"/>
          </w:tcPr>
          <w:p w14:paraId="39F66F10">
            <w:pPr>
              <w:pStyle w:val="13"/>
              <w:keepNext/>
              <w:spacing w:line="440" w:lineRule="exact"/>
              <w:ind w:left="63" w:right="63"/>
              <w:rPr>
                <w:rFonts w:hint="eastAsia" w:ascii="宋体" w:hAnsi="宋体" w:eastAsia="宋体" w:cs="宋体"/>
                <w:sz w:val="24"/>
                <w:szCs w:val="24"/>
              </w:rPr>
            </w:pPr>
          </w:p>
        </w:tc>
        <w:tc>
          <w:tcPr>
            <w:tcW w:w="433" w:type="pct"/>
            <w:tcBorders>
              <w:top w:val="nil"/>
              <w:left w:val="single" w:color="auto" w:sz="6" w:space="0"/>
              <w:bottom w:val="single" w:color="auto" w:sz="6" w:space="0"/>
              <w:right w:val="single" w:color="auto" w:sz="6" w:space="0"/>
            </w:tcBorders>
            <w:noWrap w:val="0"/>
            <w:vAlign w:val="center"/>
          </w:tcPr>
          <w:p w14:paraId="2EDADDE1">
            <w:pPr>
              <w:pStyle w:val="13"/>
              <w:keepNext/>
              <w:spacing w:line="440" w:lineRule="exact"/>
              <w:ind w:left="63" w:right="63"/>
              <w:rPr>
                <w:rFonts w:hint="eastAsia" w:ascii="宋体" w:hAnsi="宋体" w:eastAsia="宋体" w:cs="宋体"/>
                <w:sz w:val="24"/>
                <w:szCs w:val="24"/>
              </w:rPr>
            </w:pPr>
          </w:p>
        </w:tc>
        <w:tc>
          <w:tcPr>
            <w:tcW w:w="539" w:type="pct"/>
            <w:tcBorders>
              <w:top w:val="nil"/>
              <w:left w:val="single" w:color="auto" w:sz="6" w:space="0"/>
              <w:bottom w:val="single" w:color="auto" w:sz="6" w:space="0"/>
              <w:right w:val="single" w:color="auto" w:sz="6" w:space="0"/>
            </w:tcBorders>
            <w:noWrap w:val="0"/>
            <w:vAlign w:val="center"/>
          </w:tcPr>
          <w:p w14:paraId="31911FD6">
            <w:pPr>
              <w:pStyle w:val="13"/>
              <w:keepNext/>
              <w:spacing w:line="440" w:lineRule="exact"/>
              <w:ind w:left="63" w:right="63"/>
              <w:rPr>
                <w:rFonts w:hint="eastAsia" w:ascii="宋体" w:hAnsi="宋体" w:eastAsia="宋体" w:cs="宋体"/>
                <w:sz w:val="24"/>
                <w:szCs w:val="24"/>
              </w:rPr>
            </w:pPr>
          </w:p>
        </w:tc>
        <w:tc>
          <w:tcPr>
            <w:tcW w:w="448" w:type="pct"/>
            <w:tcBorders>
              <w:top w:val="nil"/>
              <w:left w:val="single" w:color="auto" w:sz="6" w:space="0"/>
              <w:bottom w:val="single" w:color="auto" w:sz="6" w:space="0"/>
              <w:right w:val="single" w:color="auto" w:sz="6" w:space="0"/>
            </w:tcBorders>
            <w:noWrap w:val="0"/>
            <w:vAlign w:val="center"/>
          </w:tcPr>
          <w:p w14:paraId="36CE8249">
            <w:pPr>
              <w:pStyle w:val="13"/>
              <w:keepNext/>
              <w:spacing w:line="440" w:lineRule="exact"/>
              <w:ind w:left="63" w:right="63"/>
              <w:rPr>
                <w:rFonts w:hint="eastAsia" w:ascii="宋体" w:hAnsi="宋体" w:eastAsia="宋体" w:cs="宋体"/>
                <w:sz w:val="24"/>
                <w:szCs w:val="24"/>
              </w:rPr>
            </w:pPr>
          </w:p>
        </w:tc>
        <w:tc>
          <w:tcPr>
            <w:tcW w:w="519" w:type="pct"/>
            <w:tcBorders>
              <w:top w:val="nil"/>
              <w:left w:val="single" w:color="auto" w:sz="6" w:space="0"/>
              <w:bottom w:val="single" w:color="auto" w:sz="6" w:space="0"/>
              <w:right w:val="single" w:color="auto" w:sz="6" w:space="0"/>
            </w:tcBorders>
            <w:noWrap w:val="0"/>
            <w:vAlign w:val="center"/>
          </w:tcPr>
          <w:p w14:paraId="1DF3A290">
            <w:pPr>
              <w:pStyle w:val="13"/>
              <w:keepNext/>
              <w:spacing w:line="440" w:lineRule="exact"/>
              <w:ind w:left="63" w:right="63"/>
              <w:rPr>
                <w:rFonts w:hint="eastAsia" w:ascii="宋体" w:hAnsi="宋体" w:eastAsia="宋体" w:cs="宋体"/>
                <w:sz w:val="24"/>
                <w:szCs w:val="24"/>
              </w:rPr>
            </w:pPr>
          </w:p>
        </w:tc>
        <w:tc>
          <w:tcPr>
            <w:tcW w:w="754" w:type="pct"/>
            <w:tcBorders>
              <w:top w:val="nil"/>
              <w:left w:val="single" w:color="auto" w:sz="6" w:space="0"/>
              <w:bottom w:val="single" w:color="auto" w:sz="6" w:space="0"/>
              <w:right w:val="single" w:color="auto" w:sz="6" w:space="0"/>
            </w:tcBorders>
            <w:noWrap w:val="0"/>
            <w:vAlign w:val="center"/>
          </w:tcPr>
          <w:p w14:paraId="3C380A2E">
            <w:pPr>
              <w:pStyle w:val="13"/>
              <w:keepNext/>
              <w:spacing w:line="440" w:lineRule="exact"/>
              <w:ind w:left="63" w:right="63"/>
              <w:rPr>
                <w:rFonts w:hint="eastAsia" w:ascii="宋体" w:hAnsi="宋体" w:eastAsia="宋体" w:cs="宋体"/>
                <w:sz w:val="24"/>
                <w:szCs w:val="24"/>
              </w:rPr>
            </w:pPr>
          </w:p>
        </w:tc>
        <w:tc>
          <w:tcPr>
            <w:tcW w:w="519" w:type="pct"/>
            <w:tcBorders>
              <w:top w:val="nil"/>
              <w:left w:val="single" w:color="auto" w:sz="6" w:space="0"/>
              <w:bottom w:val="single" w:color="auto" w:sz="6" w:space="0"/>
              <w:right w:val="single" w:color="auto" w:sz="6" w:space="0"/>
            </w:tcBorders>
            <w:noWrap w:val="0"/>
            <w:vAlign w:val="center"/>
          </w:tcPr>
          <w:p w14:paraId="224C608E">
            <w:pPr>
              <w:pStyle w:val="13"/>
              <w:keepNext/>
              <w:spacing w:line="440" w:lineRule="exact"/>
              <w:ind w:left="63" w:right="63"/>
              <w:rPr>
                <w:rFonts w:hint="eastAsia" w:ascii="宋体" w:hAnsi="宋体" w:eastAsia="宋体" w:cs="宋体"/>
                <w:sz w:val="24"/>
                <w:szCs w:val="24"/>
              </w:rPr>
            </w:pPr>
          </w:p>
        </w:tc>
        <w:tc>
          <w:tcPr>
            <w:tcW w:w="469" w:type="pct"/>
            <w:tcBorders>
              <w:top w:val="nil"/>
              <w:left w:val="single" w:color="auto" w:sz="6" w:space="0"/>
              <w:bottom w:val="single" w:color="auto" w:sz="6" w:space="0"/>
              <w:right w:val="single" w:color="auto" w:sz="12" w:space="0"/>
            </w:tcBorders>
            <w:noWrap w:val="0"/>
            <w:vAlign w:val="center"/>
          </w:tcPr>
          <w:p w14:paraId="79C76784">
            <w:pPr>
              <w:pStyle w:val="13"/>
              <w:keepNext/>
              <w:spacing w:line="440" w:lineRule="exact"/>
              <w:ind w:left="63" w:right="63"/>
              <w:rPr>
                <w:rFonts w:hint="eastAsia" w:ascii="宋体" w:hAnsi="宋体" w:eastAsia="宋体" w:cs="宋体"/>
                <w:sz w:val="24"/>
                <w:szCs w:val="24"/>
              </w:rPr>
            </w:pPr>
          </w:p>
        </w:tc>
      </w:tr>
      <w:tr w14:paraId="3ECAD3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center"/>
          </w:tcPr>
          <w:p w14:paraId="7AC67E0B">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center"/>
          </w:tcPr>
          <w:p w14:paraId="2DC9B997">
            <w:pPr>
              <w:pStyle w:val="13"/>
              <w:keepNext/>
              <w:spacing w:line="440" w:lineRule="exact"/>
              <w:ind w:left="63" w:right="63"/>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center"/>
          </w:tcPr>
          <w:p w14:paraId="2045D673">
            <w:pPr>
              <w:pStyle w:val="13"/>
              <w:keepNext/>
              <w:spacing w:line="440" w:lineRule="exact"/>
              <w:ind w:left="63" w:right="63"/>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center"/>
          </w:tcPr>
          <w:p w14:paraId="3CA50DF0">
            <w:pPr>
              <w:pStyle w:val="13"/>
              <w:keepNext/>
              <w:spacing w:line="440" w:lineRule="exact"/>
              <w:ind w:left="63" w:right="63"/>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center"/>
          </w:tcPr>
          <w:p w14:paraId="036036A1">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6E45D6FB">
            <w:pPr>
              <w:pStyle w:val="13"/>
              <w:keepNext/>
              <w:spacing w:line="440" w:lineRule="exact"/>
              <w:ind w:left="63" w:right="63"/>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center"/>
          </w:tcPr>
          <w:p w14:paraId="0DA0F475">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79F098E8">
            <w:pPr>
              <w:pStyle w:val="13"/>
              <w:keepNext/>
              <w:spacing w:line="440" w:lineRule="exact"/>
              <w:ind w:left="63" w:right="63"/>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center"/>
          </w:tcPr>
          <w:p w14:paraId="6C34A4EA">
            <w:pPr>
              <w:pStyle w:val="13"/>
              <w:keepNext/>
              <w:spacing w:line="440" w:lineRule="exact"/>
              <w:ind w:left="63" w:right="63"/>
              <w:rPr>
                <w:rFonts w:hint="eastAsia" w:ascii="宋体" w:hAnsi="宋体" w:eastAsia="宋体" w:cs="宋体"/>
                <w:sz w:val="24"/>
                <w:szCs w:val="24"/>
              </w:rPr>
            </w:pPr>
          </w:p>
        </w:tc>
      </w:tr>
      <w:tr w14:paraId="46453C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center"/>
          </w:tcPr>
          <w:p w14:paraId="20871B4A">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center"/>
          </w:tcPr>
          <w:p w14:paraId="2A2A1ED8">
            <w:pPr>
              <w:pStyle w:val="13"/>
              <w:keepNext/>
              <w:spacing w:line="440" w:lineRule="exact"/>
              <w:ind w:left="63" w:right="63"/>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center"/>
          </w:tcPr>
          <w:p w14:paraId="50E36863">
            <w:pPr>
              <w:pStyle w:val="13"/>
              <w:keepNext/>
              <w:spacing w:line="440" w:lineRule="exact"/>
              <w:ind w:left="63" w:right="63"/>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center"/>
          </w:tcPr>
          <w:p w14:paraId="4A563FE7">
            <w:pPr>
              <w:pStyle w:val="13"/>
              <w:keepNext/>
              <w:spacing w:line="440" w:lineRule="exact"/>
              <w:ind w:left="63" w:right="63"/>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center"/>
          </w:tcPr>
          <w:p w14:paraId="0B8711B9">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2C52AEEE">
            <w:pPr>
              <w:pStyle w:val="13"/>
              <w:keepNext/>
              <w:spacing w:line="440" w:lineRule="exact"/>
              <w:ind w:left="63" w:right="63"/>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center"/>
          </w:tcPr>
          <w:p w14:paraId="4E61BA8E">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29AB3342">
            <w:pPr>
              <w:pStyle w:val="13"/>
              <w:keepNext/>
              <w:spacing w:line="440" w:lineRule="exact"/>
              <w:ind w:left="63" w:right="63"/>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center"/>
          </w:tcPr>
          <w:p w14:paraId="724A548D">
            <w:pPr>
              <w:pStyle w:val="13"/>
              <w:keepNext/>
              <w:spacing w:line="440" w:lineRule="exact"/>
              <w:ind w:left="63" w:right="63"/>
              <w:rPr>
                <w:rFonts w:hint="eastAsia" w:ascii="宋体" w:hAnsi="宋体" w:eastAsia="宋体" w:cs="宋体"/>
                <w:sz w:val="24"/>
                <w:szCs w:val="24"/>
              </w:rPr>
            </w:pPr>
          </w:p>
        </w:tc>
      </w:tr>
      <w:tr w14:paraId="0C120C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center"/>
          </w:tcPr>
          <w:p w14:paraId="7CA0893D">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center"/>
          </w:tcPr>
          <w:p w14:paraId="16154392">
            <w:pPr>
              <w:pStyle w:val="13"/>
              <w:keepNext/>
              <w:spacing w:line="440" w:lineRule="exact"/>
              <w:ind w:left="63" w:right="63"/>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center"/>
          </w:tcPr>
          <w:p w14:paraId="4EBB0636">
            <w:pPr>
              <w:pStyle w:val="13"/>
              <w:keepNext/>
              <w:spacing w:line="440" w:lineRule="exact"/>
              <w:ind w:left="63" w:right="63"/>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center"/>
          </w:tcPr>
          <w:p w14:paraId="36BE2161">
            <w:pPr>
              <w:pStyle w:val="13"/>
              <w:keepNext/>
              <w:spacing w:line="440" w:lineRule="exact"/>
              <w:ind w:left="63" w:right="63"/>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center"/>
          </w:tcPr>
          <w:p w14:paraId="4034D3FC">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732F5F42">
            <w:pPr>
              <w:pStyle w:val="13"/>
              <w:keepNext/>
              <w:spacing w:line="440" w:lineRule="exact"/>
              <w:ind w:left="63" w:right="63"/>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center"/>
          </w:tcPr>
          <w:p w14:paraId="3FAA5458">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1E8A4A72">
            <w:pPr>
              <w:pStyle w:val="13"/>
              <w:keepNext/>
              <w:spacing w:line="440" w:lineRule="exact"/>
              <w:ind w:left="63" w:right="63"/>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center"/>
          </w:tcPr>
          <w:p w14:paraId="71C69D24">
            <w:pPr>
              <w:pStyle w:val="13"/>
              <w:keepNext/>
              <w:spacing w:line="440" w:lineRule="exact"/>
              <w:ind w:left="63" w:right="63"/>
              <w:rPr>
                <w:rFonts w:hint="eastAsia" w:ascii="宋体" w:hAnsi="宋体" w:eastAsia="宋体" w:cs="宋体"/>
                <w:sz w:val="24"/>
                <w:szCs w:val="24"/>
              </w:rPr>
            </w:pPr>
          </w:p>
        </w:tc>
      </w:tr>
      <w:tr w14:paraId="726198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center"/>
          </w:tcPr>
          <w:p w14:paraId="7D96C10B">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center"/>
          </w:tcPr>
          <w:p w14:paraId="30E17A40">
            <w:pPr>
              <w:pStyle w:val="13"/>
              <w:keepNext/>
              <w:spacing w:line="440" w:lineRule="exact"/>
              <w:ind w:left="63" w:right="63"/>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center"/>
          </w:tcPr>
          <w:p w14:paraId="7D42942F">
            <w:pPr>
              <w:pStyle w:val="13"/>
              <w:keepNext/>
              <w:spacing w:line="440" w:lineRule="exact"/>
              <w:ind w:left="63" w:right="63"/>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center"/>
          </w:tcPr>
          <w:p w14:paraId="499212E6">
            <w:pPr>
              <w:pStyle w:val="13"/>
              <w:keepNext/>
              <w:spacing w:line="440" w:lineRule="exact"/>
              <w:ind w:left="63" w:right="63"/>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center"/>
          </w:tcPr>
          <w:p w14:paraId="550CF8EA">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6649BA34">
            <w:pPr>
              <w:pStyle w:val="13"/>
              <w:keepNext/>
              <w:spacing w:line="440" w:lineRule="exact"/>
              <w:ind w:left="63" w:right="63"/>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center"/>
          </w:tcPr>
          <w:p w14:paraId="246D628C">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3B55BB63">
            <w:pPr>
              <w:pStyle w:val="13"/>
              <w:keepNext/>
              <w:spacing w:line="440" w:lineRule="exact"/>
              <w:ind w:left="63" w:right="63"/>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center"/>
          </w:tcPr>
          <w:p w14:paraId="1744050A">
            <w:pPr>
              <w:pStyle w:val="13"/>
              <w:keepNext/>
              <w:spacing w:line="440" w:lineRule="exact"/>
              <w:ind w:left="63" w:right="63"/>
              <w:rPr>
                <w:rFonts w:hint="eastAsia" w:ascii="宋体" w:hAnsi="宋体" w:eastAsia="宋体" w:cs="宋体"/>
                <w:sz w:val="24"/>
                <w:szCs w:val="24"/>
              </w:rPr>
            </w:pPr>
          </w:p>
        </w:tc>
      </w:tr>
      <w:tr w14:paraId="06F383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center"/>
          </w:tcPr>
          <w:p w14:paraId="6B4ABA77">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center"/>
          </w:tcPr>
          <w:p w14:paraId="29027D02">
            <w:pPr>
              <w:pStyle w:val="13"/>
              <w:keepNext/>
              <w:spacing w:line="440" w:lineRule="exact"/>
              <w:ind w:left="63" w:right="63"/>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center"/>
          </w:tcPr>
          <w:p w14:paraId="789C3DCA">
            <w:pPr>
              <w:pStyle w:val="13"/>
              <w:keepNext/>
              <w:spacing w:line="440" w:lineRule="exact"/>
              <w:ind w:left="63" w:right="63"/>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center"/>
          </w:tcPr>
          <w:p w14:paraId="65B4C449">
            <w:pPr>
              <w:pStyle w:val="13"/>
              <w:keepNext/>
              <w:spacing w:line="440" w:lineRule="exact"/>
              <w:ind w:left="63" w:right="63"/>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center"/>
          </w:tcPr>
          <w:p w14:paraId="66C72D37">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2FEDBAFE">
            <w:pPr>
              <w:pStyle w:val="13"/>
              <w:keepNext/>
              <w:spacing w:line="440" w:lineRule="exact"/>
              <w:ind w:left="63" w:right="63"/>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center"/>
          </w:tcPr>
          <w:p w14:paraId="257E3808">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3BDD26B8">
            <w:pPr>
              <w:pStyle w:val="13"/>
              <w:keepNext/>
              <w:spacing w:line="440" w:lineRule="exact"/>
              <w:ind w:left="63" w:right="63"/>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center"/>
          </w:tcPr>
          <w:p w14:paraId="3DAB3748">
            <w:pPr>
              <w:pStyle w:val="13"/>
              <w:keepNext/>
              <w:spacing w:line="440" w:lineRule="exact"/>
              <w:ind w:left="63" w:right="63"/>
              <w:rPr>
                <w:rFonts w:hint="eastAsia" w:ascii="宋体" w:hAnsi="宋体" w:eastAsia="宋体" w:cs="宋体"/>
                <w:sz w:val="24"/>
                <w:szCs w:val="24"/>
              </w:rPr>
            </w:pPr>
          </w:p>
        </w:tc>
      </w:tr>
      <w:tr w14:paraId="32981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center"/>
          </w:tcPr>
          <w:p w14:paraId="72C40185">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center"/>
          </w:tcPr>
          <w:p w14:paraId="7BD5BE12">
            <w:pPr>
              <w:pStyle w:val="13"/>
              <w:keepNext/>
              <w:spacing w:line="440" w:lineRule="exact"/>
              <w:ind w:left="63" w:right="63"/>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center"/>
          </w:tcPr>
          <w:p w14:paraId="03E2B869">
            <w:pPr>
              <w:pStyle w:val="13"/>
              <w:keepNext/>
              <w:spacing w:line="440" w:lineRule="exact"/>
              <w:ind w:left="63" w:right="63"/>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center"/>
          </w:tcPr>
          <w:p w14:paraId="71BF916B">
            <w:pPr>
              <w:pStyle w:val="13"/>
              <w:keepNext/>
              <w:spacing w:line="440" w:lineRule="exact"/>
              <w:ind w:left="63" w:right="63"/>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center"/>
          </w:tcPr>
          <w:p w14:paraId="1083CAC1">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27715C43">
            <w:pPr>
              <w:pStyle w:val="13"/>
              <w:keepNext/>
              <w:spacing w:line="440" w:lineRule="exact"/>
              <w:ind w:left="63" w:right="63"/>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center"/>
          </w:tcPr>
          <w:p w14:paraId="661FBECC">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49210AD0">
            <w:pPr>
              <w:pStyle w:val="13"/>
              <w:keepNext/>
              <w:spacing w:line="440" w:lineRule="exact"/>
              <w:ind w:left="63" w:right="63"/>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center"/>
          </w:tcPr>
          <w:p w14:paraId="02166C6A">
            <w:pPr>
              <w:pStyle w:val="13"/>
              <w:keepNext/>
              <w:spacing w:line="440" w:lineRule="exact"/>
              <w:ind w:left="63" w:right="63"/>
              <w:rPr>
                <w:rFonts w:hint="eastAsia" w:ascii="宋体" w:hAnsi="宋体" w:eastAsia="宋体" w:cs="宋体"/>
                <w:sz w:val="24"/>
                <w:szCs w:val="24"/>
              </w:rPr>
            </w:pPr>
          </w:p>
        </w:tc>
      </w:tr>
      <w:tr w14:paraId="29011C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top"/>
          </w:tcPr>
          <w:p w14:paraId="3FCEFF61">
            <w:pPr>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top"/>
          </w:tcPr>
          <w:p w14:paraId="278EDF1B">
            <w:pPr>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top"/>
          </w:tcPr>
          <w:p w14:paraId="51FFB6CA">
            <w:pPr>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top"/>
          </w:tcPr>
          <w:p w14:paraId="0C97D4E3">
            <w:pPr>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top"/>
          </w:tcPr>
          <w:p w14:paraId="4DB17BD5">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26D202F5">
            <w:pPr>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top"/>
          </w:tcPr>
          <w:p w14:paraId="1A142D93">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0C323B8E">
            <w:pPr>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top"/>
          </w:tcPr>
          <w:p w14:paraId="34E9D68D">
            <w:pPr>
              <w:rPr>
                <w:rFonts w:hint="eastAsia" w:ascii="宋体" w:hAnsi="宋体" w:eastAsia="宋体" w:cs="宋体"/>
                <w:sz w:val="24"/>
                <w:szCs w:val="24"/>
              </w:rPr>
            </w:pPr>
          </w:p>
        </w:tc>
      </w:tr>
      <w:tr w14:paraId="286959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center"/>
          </w:tcPr>
          <w:p w14:paraId="4A3BBE2D">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center"/>
          </w:tcPr>
          <w:p w14:paraId="348D0B49">
            <w:pPr>
              <w:pStyle w:val="13"/>
              <w:keepNext/>
              <w:spacing w:line="440" w:lineRule="exact"/>
              <w:ind w:left="63" w:right="63"/>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center"/>
          </w:tcPr>
          <w:p w14:paraId="79916F85">
            <w:pPr>
              <w:pStyle w:val="13"/>
              <w:keepNext/>
              <w:spacing w:line="440" w:lineRule="exact"/>
              <w:ind w:left="63" w:right="63"/>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center"/>
          </w:tcPr>
          <w:p w14:paraId="1F0A906F">
            <w:pPr>
              <w:pStyle w:val="13"/>
              <w:keepNext/>
              <w:spacing w:line="440" w:lineRule="exact"/>
              <w:ind w:left="63" w:right="63"/>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center"/>
          </w:tcPr>
          <w:p w14:paraId="3201CFF5">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6E2B809A">
            <w:pPr>
              <w:pStyle w:val="13"/>
              <w:keepNext/>
              <w:spacing w:line="440" w:lineRule="exact"/>
              <w:ind w:left="63" w:right="63"/>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center"/>
          </w:tcPr>
          <w:p w14:paraId="7F5EB8F7">
            <w:pPr>
              <w:pStyle w:val="13"/>
              <w:keepNext/>
              <w:spacing w:line="440" w:lineRule="exact"/>
              <w:ind w:left="63" w:right="63"/>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center"/>
          </w:tcPr>
          <w:p w14:paraId="730369DD">
            <w:pPr>
              <w:pStyle w:val="13"/>
              <w:keepNext/>
              <w:spacing w:line="440" w:lineRule="exact"/>
              <w:ind w:left="63" w:right="63"/>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center"/>
          </w:tcPr>
          <w:p w14:paraId="019A6910">
            <w:pPr>
              <w:pStyle w:val="13"/>
              <w:keepNext/>
              <w:spacing w:line="440" w:lineRule="exact"/>
              <w:ind w:left="63" w:right="63"/>
              <w:rPr>
                <w:rFonts w:hint="eastAsia" w:ascii="宋体" w:hAnsi="宋体" w:eastAsia="宋体" w:cs="宋体"/>
                <w:sz w:val="24"/>
                <w:szCs w:val="24"/>
              </w:rPr>
            </w:pPr>
          </w:p>
        </w:tc>
      </w:tr>
      <w:tr w14:paraId="566E03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top"/>
          </w:tcPr>
          <w:p w14:paraId="27DF2BBF">
            <w:pPr>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top"/>
          </w:tcPr>
          <w:p w14:paraId="1199555A">
            <w:pPr>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top"/>
          </w:tcPr>
          <w:p w14:paraId="419C6126">
            <w:pPr>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top"/>
          </w:tcPr>
          <w:p w14:paraId="5F772796">
            <w:pPr>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top"/>
          </w:tcPr>
          <w:p w14:paraId="1A6CB95D">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62C5FCB3">
            <w:pPr>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top"/>
          </w:tcPr>
          <w:p w14:paraId="5C16BB02">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0B78BF4B">
            <w:pPr>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top"/>
          </w:tcPr>
          <w:p w14:paraId="31B3C469">
            <w:pPr>
              <w:rPr>
                <w:rFonts w:hint="eastAsia" w:ascii="宋体" w:hAnsi="宋体" w:eastAsia="宋体" w:cs="宋体"/>
                <w:sz w:val="24"/>
                <w:szCs w:val="24"/>
              </w:rPr>
            </w:pPr>
          </w:p>
        </w:tc>
      </w:tr>
      <w:tr w14:paraId="50D54B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top"/>
          </w:tcPr>
          <w:p w14:paraId="109B4440">
            <w:pPr>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top"/>
          </w:tcPr>
          <w:p w14:paraId="6FBE45C2">
            <w:pPr>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top"/>
          </w:tcPr>
          <w:p w14:paraId="1D2EB198">
            <w:pPr>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top"/>
          </w:tcPr>
          <w:p w14:paraId="1FAF3BE0">
            <w:pPr>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top"/>
          </w:tcPr>
          <w:p w14:paraId="4303C8C1">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671AD266">
            <w:pPr>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top"/>
          </w:tcPr>
          <w:p w14:paraId="5837393B">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55D69AF2">
            <w:pPr>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top"/>
          </w:tcPr>
          <w:p w14:paraId="36242EC4">
            <w:pPr>
              <w:rPr>
                <w:rFonts w:hint="eastAsia" w:ascii="宋体" w:hAnsi="宋体" w:eastAsia="宋体" w:cs="宋体"/>
                <w:sz w:val="24"/>
                <w:szCs w:val="24"/>
              </w:rPr>
            </w:pPr>
          </w:p>
        </w:tc>
      </w:tr>
      <w:tr w14:paraId="6F9377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top"/>
          </w:tcPr>
          <w:p w14:paraId="167D9326">
            <w:pPr>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top"/>
          </w:tcPr>
          <w:p w14:paraId="23E850DF">
            <w:pPr>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top"/>
          </w:tcPr>
          <w:p w14:paraId="1C4A694C">
            <w:pPr>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top"/>
          </w:tcPr>
          <w:p w14:paraId="38B8BFF6">
            <w:pPr>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top"/>
          </w:tcPr>
          <w:p w14:paraId="6F1D1A69">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3CE7323C">
            <w:pPr>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top"/>
          </w:tcPr>
          <w:p w14:paraId="45DB93CD">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4D42F4DD">
            <w:pPr>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top"/>
          </w:tcPr>
          <w:p w14:paraId="62DFCDFD">
            <w:pPr>
              <w:rPr>
                <w:rFonts w:hint="eastAsia" w:ascii="宋体" w:hAnsi="宋体" w:eastAsia="宋体" w:cs="宋体"/>
                <w:sz w:val="24"/>
                <w:szCs w:val="24"/>
              </w:rPr>
            </w:pPr>
          </w:p>
        </w:tc>
      </w:tr>
      <w:tr w14:paraId="4565E9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top"/>
          </w:tcPr>
          <w:p w14:paraId="6A726EDA">
            <w:pPr>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top"/>
          </w:tcPr>
          <w:p w14:paraId="717300FA">
            <w:pPr>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top"/>
          </w:tcPr>
          <w:p w14:paraId="5CE523A2">
            <w:pPr>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top"/>
          </w:tcPr>
          <w:p w14:paraId="72526964">
            <w:pPr>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top"/>
          </w:tcPr>
          <w:p w14:paraId="38D7B1B9">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0BBBEC63">
            <w:pPr>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top"/>
          </w:tcPr>
          <w:p w14:paraId="6DEE226F">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7D4A4CF4">
            <w:pPr>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top"/>
          </w:tcPr>
          <w:p w14:paraId="52F1EE17">
            <w:pPr>
              <w:rPr>
                <w:rFonts w:hint="eastAsia" w:ascii="宋体" w:hAnsi="宋体" w:eastAsia="宋体" w:cs="宋体"/>
                <w:sz w:val="24"/>
                <w:szCs w:val="24"/>
              </w:rPr>
            </w:pPr>
          </w:p>
        </w:tc>
      </w:tr>
      <w:tr w14:paraId="0BC199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top"/>
          </w:tcPr>
          <w:p w14:paraId="7F2B1765">
            <w:pPr>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top"/>
          </w:tcPr>
          <w:p w14:paraId="35230CFF">
            <w:pPr>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top"/>
          </w:tcPr>
          <w:p w14:paraId="17CC51AC">
            <w:pPr>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top"/>
          </w:tcPr>
          <w:p w14:paraId="45C37362">
            <w:pPr>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top"/>
          </w:tcPr>
          <w:p w14:paraId="1704BB04">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39E2B163">
            <w:pPr>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top"/>
          </w:tcPr>
          <w:p w14:paraId="232A02A5">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48248989">
            <w:pPr>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top"/>
          </w:tcPr>
          <w:p w14:paraId="6A72F501">
            <w:pPr>
              <w:rPr>
                <w:rFonts w:hint="eastAsia" w:ascii="宋体" w:hAnsi="宋体" w:eastAsia="宋体" w:cs="宋体"/>
                <w:sz w:val="24"/>
                <w:szCs w:val="24"/>
              </w:rPr>
            </w:pPr>
          </w:p>
        </w:tc>
      </w:tr>
      <w:tr w14:paraId="6B67E5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top"/>
          </w:tcPr>
          <w:p w14:paraId="02E618F9">
            <w:pPr>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top"/>
          </w:tcPr>
          <w:p w14:paraId="4B9D2698">
            <w:pPr>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top"/>
          </w:tcPr>
          <w:p w14:paraId="2E323BF9">
            <w:pPr>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top"/>
          </w:tcPr>
          <w:p w14:paraId="5A9F7BB9">
            <w:pPr>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top"/>
          </w:tcPr>
          <w:p w14:paraId="283FA45A">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228A84DF">
            <w:pPr>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top"/>
          </w:tcPr>
          <w:p w14:paraId="2E52C449">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50D20827">
            <w:pPr>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top"/>
          </w:tcPr>
          <w:p w14:paraId="12DE53BE">
            <w:pPr>
              <w:rPr>
                <w:rFonts w:hint="eastAsia" w:ascii="宋体" w:hAnsi="宋体" w:eastAsia="宋体" w:cs="宋体"/>
                <w:sz w:val="24"/>
                <w:szCs w:val="24"/>
              </w:rPr>
            </w:pPr>
          </w:p>
        </w:tc>
      </w:tr>
      <w:tr w14:paraId="708117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top"/>
          </w:tcPr>
          <w:p w14:paraId="18C1A6EC">
            <w:pPr>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top"/>
          </w:tcPr>
          <w:p w14:paraId="39302D33">
            <w:pPr>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top"/>
          </w:tcPr>
          <w:p w14:paraId="481CBB36">
            <w:pPr>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top"/>
          </w:tcPr>
          <w:p w14:paraId="14B1866A">
            <w:pPr>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top"/>
          </w:tcPr>
          <w:p w14:paraId="32CFA01D">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16DE0E9C">
            <w:pPr>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top"/>
          </w:tcPr>
          <w:p w14:paraId="21E6A966">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2F4E490E">
            <w:pPr>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top"/>
          </w:tcPr>
          <w:p w14:paraId="38C49448">
            <w:pPr>
              <w:rPr>
                <w:rFonts w:hint="eastAsia" w:ascii="宋体" w:hAnsi="宋体" w:eastAsia="宋体" w:cs="宋体"/>
                <w:sz w:val="24"/>
                <w:szCs w:val="24"/>
              </w:rPr>
            </w:pPr>
          </w:p>
        </w:tc>
      </w:tr>
      <w:tr w14:paraId="4EADF0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6" w:space="0"/>
              <w:right w:val="single" w:color="auto" w:sz="6" w:space="0"/>
            </w:tcBorders>
            <w:noWrap w:val="0"/>
            <w:vAlign w:val="top"/>
          </w:tcPr>
          <w:p w14:paraId="3052E518">
            <w:pPr>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6" w:space="0"/>
            </w:tcBorders>
            <w:noWrap w:val="0"/>
            <w:vAlign w:val="top"/>
          </w:tcPr>
          <w:p w14:paraId="2FA15382">
            <w:pPr>
              <w:rPr>
                <w:rFonts w:hint="eastAsia" w:ascii="宋体" w:hAnsi="宋体" w:eastAsia="宋体" w:cs="宋体"/>
                <w:sz w:val="24"/>
                <w:szCs w:val="24"/>
              </w:rPr>
            </w:pPr>
          </w:p>
        </w:tc>
        <w:tc>
          <w:tcPr>
            <w:tcW w:w="433" w:type="pct"/>
            <w:tcBorders>
              <w:top w:val="single" w:color="auto" w:sz="6" w:space="0"/>
              <w:left w:val="single" w:color="auto" w:sz="6" w:space="0"/>
              <w:bottom w:val="single" w:color="auto" w:sz="6" w:space="0"/>
              <w:right w:val="single" w:color="auto" w:sz="6" w:space="0"/>
            </w:tcBorders>
            <w:noWrap w:val="0"/>
            <w:vAlign w:val="top"/>
          </w:tcPr>
          <w:p w14:paraId="381324CB">
            <w:pPr>
              <w:rPr>
                <w:rFonts w:hint="eastAsia" w:ascii="宋体" w:hAnsi="宋体" w:eastAsia="宋体" w:cs="宋体"/>
                <w:sz w:val="24"/>
                <w:szCs w:val="24"/>
              </w:rPr>
            </w:pPr>
          </w:p>
        </w:tc>
        <w:tc>
          <w:tcPr>
            <w:tcW w:w="539" w:type="pct"/>
            <w:tcBorders>
              <w:top w:val="single" w:color="auto" w:sz="6" w:space="0"/>
              <w:left w:val="single" w:color="auto" w:sz="6" w:space="0"/>
              <w:bottom w:val="single" w:color="auto" w:sz="6" w:space="0"/>
              <w:right w:val="single" w:color="auto" w:sz="6" w:space="0"/>
            </w:tcBorders>
            <w:noWrap w:val="0"/>
            <w:vAlign w:val="top"/>
          </w:tcPr>
          <w:p w14:paraId="18171148">
            <w:pPr>
              <w:rPr>
                <w:rFonts w:hint="eastAsia" w:ascii="宋体" w:hAnsi="宋体" w:eastAsia="宋体" w:cs="宋体"/>
                <w:sz w:val="24"/>
                <w:szCs w:val="24"/>
              </w:rPr>
            </w:pPr>
          </w:p>
        </w:tc>
        <w:tc>
          <w:tcPr>
            <w:tcW w:w="448" w:type="pct"/>
            <w:tcBorders>
              <w:top w:val="single" w:color="auto" w:sz="6" w:space="0"/>
              <w:left w:val="single" w:color="auto" w:sz="6" w:space="0"/>
              <w:bottom w:val="single" w:color="auto" w:sz="6" w:space="0"/>
              <w:right w:val="single" w:color="auto" w:sz="6" w:space="0"/>
            </w:tcBorders>
            <w:noWrap w:val="0"/>
            <w:vAlign w:val="top"/>
          </w:tcPr>
          <w:p w14:paraId="2BA51D1A">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21C20670">
            <w:pPr>
              <w:rPr>
                <w:rFonts w:hint="eastAsia" w:ascii="宋体" w:hAnsi="宋体" w:eastAsia="宋体" w:cs="宋体"/>
                <w:sz w:val="24"/>
                <w:szCs w:val="24"/>
              </w:rPr>
            </w:pPr>
          </w:p>
        </w:tc>
        <w:tc>
          <w:tcPr>
            <w:tcW w:w="754" w:type="pct"/>
            <w:tcBorders>
              <w:top w:val="single" w:color="auto" w:sz="6" w:space="0"/>
              <w:left w:val="single" w:color="auto" w:sz="6" w:space="0"/>
              <w:bottom w:val="single" w:color="auto" w:sz="6" w:space="0"/>
              <w:right w:val="single" w:color="auto" w:sz="6" w:space="0"/>
            </w:tcBorders>
            <w:noWrap w:val="0"/>
            <w:vAlign w:val="top"/>
          </w:tcPr>
          <w:p w14:paraId="10798939">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6" w:space="0"/>
              <w:right w:val="single" w:color="auto" w:sz="6" w:space="0"/>
            </w:tcBorders>
            <w:noWrap w:val="0"/>
            <w:vAlign w:val="top"/>
          </w:tcPr>
          <w:p w14:paraId="021DC230">
            <w:pPr>
              <w:rPr>
                <w:rFonts w:hint="eastAsia" w:ascii="宋体" w:hAnsi="宋体" w:eastAsia="宋体" w:cs="宋体"/>
                <w:sz w:val="24"/>
                <w:szCs w:val="24"/>
              </w:rPr>
            </w:pPr>
          </w:p>
        </w:tc>
        <w:tc>
          <w:tcPr>
            <w:tcW w:w="469" w:type="pct"/>
            <w:tcBorders>
              <w:top w:val="single" w:color="auto" w:sz="6" w:space="0"/>
              <w:left w:val="single" w:color="auto" w:sz="6" w:space="0"/>
              <w:bottom w:val="single" w:color="auto" w:sz="6" w:space="0"/>
              <w:right w:val="single" w:color="auto" w:sz="12" w:space="0"/>
            </w:tcBorders>
            <w:noWrap w:val="0"/>
            <w:vAlign w:val="top"/>
          </w:tcPr>
          <w:p w14:paraId="68BBB9AE">
            <w:pPr>
              <w:rPr>
                <w:rFonts w:hint="eastAsia" w:ascii="宋体" w:hAnsi="宋体" w:eastAsia="宋体" w:cs="宋体"/>
                <w:sz w:val="24"/>
                <w:szCs w:val="24"/>
              </w:rPr>
            </w:pPr>
          </w:p>
        </w:tc>
      </w:tr>
      <w:tr w14:paraId="320704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92" w:type="pct"/>
            <w:tcBorders>
              <w:top w:val="single" w:color="auto" w:sz="6" w:space="0"/>
              <w:left w:val="single" w:color="auto" w:sz="12" w:space="0"/>
              <w:bottom w:val="single" w:color="auto" w:sz="12" w:space="0"/>
              <w:right w:val="single" w:color="auto" w:sz="6" w:space="0"/>
            </w:tcBorders>
            <w:noWrap w:val="0"/>
            <w:vAlign w:val="top"/>
          </w:tcPr>
          <w:p w14:paraId="427CF40F">
            <w:pPr>
              <w:rPr>
                <w:rFonts w:hint="eastAsia" w:ascii="宋体" w:hAnsi="宋体" w:eastAsia="宋体" w:cs="宋体"/>
                <w:sz w:val="24"/>
                <w:szCs w:val="24"/>
              </w:rPr>
            </w:pPr>
          </w:p>
        </w:tc>
        <w:tc>
          <w:tcPr>
            <w:tcW w:w="723" w:type="pct"/>
            <w:tcBorders>
              <w:top w:val="single" w:color="auto" w:sz="6" w:space="0"/>
              <w:left w:val="single" w:color="auto" w:sz="6" w:space="0"/>
              <w:bottom w:val="single" w:color="auto" w:sz="12" w:space="0"/>
              <w:right w:val="single" w:color="auto" w:sz="6" w:space="0"/>
            </w:tcBorders>
            <w:noWrap w:val="0"/>
            <w:vAlign w:val="top"/>
          </w:tcPr>
          <w:p w14:paraId="23B67FE0">
            <w:pPr>
              <w:rPr>
                <w:rFonts w:hint="eastAsia" w:ascii="宋体" w:hAnsi="宋体" w:eastAsia="宋体" w:cs="宋体"/>
                <w:sz w:val="24"/>
                <w:szCs w:val="24"/>
              </w:rPr>
            </w:pPr>
          </w:p>
        </w:tc>
        <w:tc>
          <w:tcPr>
            <w:tcW w:w="433" w:type="pct"/>
            <w:tcBorders>
              <w:top w:val="single" w:color="auto" w:sz="6" w:space="0"/>
              <w:left w:val="single" w:color="auto" w:sz="6" w:space="0"/>
              <w:bottom w:val="single" w:color="auto" w:sz="12" w:space="0"/>
              <w:right w:val="single" w:color="auto" w:sz="6" w:space="0"/>
            </w:tcBorders>
            <w:noWrap w:val="0"/>
            <w:vAlign w:val="top"/>
          </w:tcPr>
          <w:p w14:paraId="3ACB606E">
            <w:pPr>
              <w:rPr>
                <w:rFonts w:hint="eastAsia" w:ascii="宋体" w:hAnsi="宋体" w:eastAsia="宋体" w:cs="宋体"/>
                <w:sz w:val="24"/>
                <w:szCs w:val="24"/>
              </w:rPr>
            </w:pPr>
          </w:p>
        </w:tc>
        <w:tc>
          <w:tcPr>
            <w:tcW w:w="539" w:type="pct"/>
            <w:tcBorders>
              <w:top w:val="single" w:color="auto" w:sz="6" w:space="0"/>
              <w:left w:val="single" w:color="auto" w:sz="6" w:space="0"/>
              <w:bottom w:val="single" w:color="auto" w:sz="12" w:space="0"/>
              <w:right w:val="single" w:color="auto" w:sz="6" w:space="0"/>
            </w:tcBorders>
            <w:noWrap w:val="0"/>
            <w:vAlign w:val="top"/>
          </w:tcPr>
          <w:p w14:paraId="71D7DAE1">
            <w:pPr>
              <w:rPr>
                <w:rFonts w:hint="eastAsia" w:ascii="宋体" w:hAnsi="宋体" w:eastAsia="宋体" w:cs="宋体"/>
                <w:sz w:val="24"/>
                <w:szCs w:val="24"/>
              </w:rPr>
            </w:pPr>
          </w:p>
        </w:tc>
        <w:tc>
          <w:tcPr>
            <w:tcW w:w="448" w:type="pct"/>
            <w:tcBorders>
              <w:top w:val="single" w:color="auto" w:sz="6" w:space="0"/>
              <w:left w:val="single" w:color="auto" w:sz="6" w:space="0"/>
              <w:bottom w:val="single" w:color="auto" w:sz="12" w:space="0"/>
              <w:right w:val="single" w:color="auto" w:sz="6" w:space="0"/>
            </w:tcBorders>
            <w:noWrap w:val="0"/>
            <w:vAlign w:val="top"/>
          </w:tcPr>
          <w:p w14:paraId="4290DC0F">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12" w:space="0"/>
              <w:right w:val="single" w:color="auto" w:sz="6" w:space="0"/>
            </w:tcBorders>
            <w:noWrap w:val="0"/>
            <w:vAlign w:val="top"/>
          </w:tcPr>
          <w:p w14:paraId="714FDBBB">
            <w:pPr>
              <w:rPr>
                <w:rFonts w:hint="eastAsia" w:ascii="宋体" w:hAnsi="宋体" w:eastAsia="宋体" w:cs="宋体"/>
                <w:sz w:val="24"/>
                <w:szCs w:val="24"/>
              </w:rPr>
            </w:pPr>
          </w:p>
        </w:tc>
        <w:tc>
          <w:tcPr>
            <w:tcW w:w="754" w:type="pct"/>
            <w:tcBorders>
              <w:top w:val="single" w:color="auto" w:sz="6" w:space="0"/>
              <w:left w:val="single" w:color="auto" w:sz="6" w:space="0"/>
              <w:bottom w:val="single" w:color="auto" w:sz="12" w:space="0"/>
              <w:right w:val="single" w:color="auto" w:sz="6" w:space="0"/>
            </w:tcBorders>
            <w:noWrap w:val="0"/>
            <w:vAlign w:val="top"/>
          </w:tcPr>
          <w:p w14:paraId="0D286CA6">
            <w:pPr>
              <w:rPr>
                <w:rFonts w:hint="eastAsia" w:ascii="宋体" w:hAnsi="宋体" w:eastAsia="宋体" w:cs="宋体"/>
                <w:sz w:val="24"/>
                <w:szCs w:val="24"/>
              </w:rPr>
            </w:pPr>
          </w:p>
        </w:tc>
        <w:tc>
          <w:tcPr>
            <w:tcW w:w="519" w:type="pct"/>
            <w:tcBorders>
              <w:top w:val="single" w:color="auto" w:sz="6" w:space="0"/>
              <w:left w:val="single" w:color="auto" w:sz="6" w:space="0"/>
              <w:bottom w:val="single" w:color="auto" w:sz="12" w:space="0"/>
              <w:right w:val="single" w:color="auto" w:sz="6" w:space="0"/>
            </w:tcBorders>
            <w:noWrap w:val="0"/>
            <w:vAlign w:val="top"/>
          </w:tcPr>
          <w:p w14:paraId="726C0EF9">
            <w:pPr>
              <w:rPr>
                <w:rFonts w:hint="eastAsia" w:ascii="宋体" w:hAnsi="宋体" w:eastAsia="宋体" w:cs="宋体"/>
                <w:sz w:val="24"/>
                <w:szCs w:val="24"/>
              </w:rPr>
            </w:pPr>
          </w:p>
        </w:tc>
        <w:tc>
          <w:tcPr>
            <w:tcW w:w="469" w:type="pct"/>
            <w:tcBorders>
              <w:top w:val="single" w:color="auto" w:sz="6" w:space="0"/>
              <w:left w:val="single" w:color="auto" w:sz="6" w:space="0"/>
              <w:bottom w:val="single" w:color="auto" w:sz="12" w:space="0"/>
              <w:right w:val="single" w:color="auto" w:sz="12" w:space="0"/>
            </w:tcBorders>
            <w:noWrap w:val="0"/>
            <w:vAlign w:val="top"/>
          </w:tcPr>
          <w:p w14:paraId="77B84302">
            <w:pPr>
              <w:rPr>
                <w:rFonts w:hint="eastAsia" w:ascii="宋体" w:hAnsi="宋体" w:eastAsia="宋体" w:cs="宋体"/>
                <w:sz w:val="24"/>
                <w:szCs w:val="24"/>
              </w:rPr>
            </w:pPr>
          </w:p>
        </w:tc>
      </w:tr>
    </w:tbl>
    <w:p w14:paraId="6112D5FD">
      <w:pPr>
        <w:spacing w:line="440" w:lineRule="exact"/>
        <w:rPr>
          <w:rFonts w:hint="eastAsia" w:ascii="宋体" w:hAnsi="宋体" w:eastAsia="宋体" w:cs="宋体"/>
          <w:sz w:val="24"/>
          <w:szCs w:val="24"/>
          <w:highlight w:val="white"/>
        </w:rPr>
      </w:pPr>
    </w:p>
    <w:p w14:paraId="095F5AB1">
      <w:pPr>
        <w:spacing w:line="440" w:lineRule="exact"/>
        <w:rPr>
          <w:rFonts w:hint="eastAsia" w:ascii="宋体" w:hAnsi="宋体" w:eastAsia="宋体" w:cs="宋体"/>
          <w:sz w:val="24"/>
          <w:szCs w:val="24"/>
        </w:rPr>
      </w:pPr>
      <w:r>
        <w:rPr>
          <w:rFonts w:hint="eastAsia" w:ascii="宋体" w:hAnsi="宋体" w:eastAsia="宋体" w:cs="宋体"/>
          <w:sz w:val="24"/>
          <w:szCs w:val="24"/>
          <w:highlight w:val="white"/>
        </w:rPr>
        <w:t>附件6：</w:t>
      </w:r>
    </w:p>
    <w:p w14:paraId="700F4AEA">
      <w:pPr>
        <w:spacing w:before="156" w:beforeLines="50" w:after="156" w:afterLines="50" w:line="440" w:lineRule="exact"/>
        <w:rPr>
          <w:rFonts w:ascii="仿宋" w:hAnsi="仿宋" w:eastAsia="仿宋"/>
          <w:sz w:val="30"/>
          <w:szCs w:val="30"/>
        </w:rPr>
      </w:pPr>
      <w:r>
        <w:rPr>
          <w:rFonts w:hint="eastAsia" w:ascii="宋体" w:hAnsi="宋体" w:eastAsia="宋体" w:cs="宋体"/>
          <w:sz w:val="24"/>
          <w:szCs w:val="24"/>
          <w:highlight w:val="white"/>
        </w:rPr>
        <w:t>承包人主要施工管理人员表</w:t>
      </w:r>
    </w:p>
    <w:tbl>
      <w:tblPr>
        <w:tblStyle w:val="29"/>
        <w:tblW w:w="4999"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795"/>
        <w:gridCol w:w="1360"/>
        <w:gridCol w:w="1087"/>
        <w:gridCol w:w="1087"/>
        <w:gridCol w:w="4091"/>
      </w:tblGrid>
      <w:tr w14:paraId="0181FE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12" w:space="0"/>
              <w:left w:val="single" w:color="auto" w:sz="12" w:space="0"/>
              <w:bottom w:val="double" w:color="auto" w:sz="6" w:space="0"/>
              <w:right w:val="single" w:color="auto" w:sz="6" w:space="0"/>
            </w:tcBorders>
            <w:noWrap w:val="0"/>
            <w:vAlign w:val="center"/>
          </w:tcPr>
          <w:p w14:paraId="72E9482A">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名    称</w:t>
            </w:r>
          </w:p>
        </w:tc>
        <w:tc>
          <w:tcPr>
            <w:tcW w:w="722" w:type="pct"/>
            <w:tcBorders>
              <w:top w:val="single" w:color="auto" w:sz="12" w:space="0"/>
              <w:left w:val="single" w:color="auto" w:sz="6" w:space="0"/>
              <w:bottom w:val="double" w:color="auto" w:sz="6" w:space="0"/>
              <w:right w:val="single" w:color="auto" w:sz="6" w:space="0"/>
            </w:tcBorders>
            <w:noWrap w:val="0"/>
            <w:vAlign w:val="center"/>
          </w:tcPr>
          <w:p w14:paraId="3A530E5A">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姓名</w:t>
            </w:r>
          </w:p>
        </w:tc>
        <w:tc>
          <w:tcPr>
            <w:tcW w:w="577" w:type="pct"/>
            <w:tcBorders>
              <w:top w:val="single" w:color="auto" w:sz="12" w:space="0"/>
              <w:left w:val="single" w:color="auto" w:sz="6" w:space="0"/>
              <w:bottom w:val="double" w:color="auto" w:sz="6" w:space="0"/>
              <w:right w:val="single" w:color="auto" w:sz="6" w:space="0"/>
            </w:tcBorders>
            <w:noWrap w:val="0"/>
            <w:vAlign w:val="center"/>
          </w:tcPr>
          <w:p w14:paraId="69F6F607">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职务</w:t>
            </w:r>
          </w:p>
        </w:tc>
        <w:tc>
          <w:tcPr>
            <w:tcW w:w="577" w:type="pct"/>
            <w:tcBorders>
              <w:top w:val="single" w:color="auto" w:sz="12" w:space="0"/>
              <w:left w:val="single" w:color="auto" w:sz="6" w:space="0"/>
              <w:bottom w:val="double" w:color="auto" w:sz="6" w:space="0"/>
              <w:right w:val="single" w:color="auto" w:sz="6" w:space="0"/>
            </w:tcBorders>
            <w:noWrap w:val="0"/>
            <w:vAlign w:val="center"/>
          </w:tcPr>
          <w:p w14:paraId="3CBFC00F">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职称</w:t>
            </w:r>
          </w:p>
        </w:tc>
        <w:tc>
          <w:tcPr>
            <w:tcW w:w="2167" w:type="pct"/>
            <w:tcBorders>
              <w:top w:val="single" w:color="auto" w:sz="12" w:space="0"/>
              <w:left w:val="single" w:color="auto" w:sz="6" w:space="0"/>
              <w:bottom w:val="double" w:color="auto" w:sz="6" w:space="0"/>
              <w:right w:val="single" w:color="auto" w:sz="12" w:space="0"/>
            </w:tcBorders>
            <w:noWrap w:val="0"/>
            <w:vAlign w:val="center"/>
          </w:tcPr>
          <w:p w14:paraId="60E017CC">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主要资历、经验及承担过的项目</w:t>
            </w:r>
          </w:p>
        </w:tc>
      </w:tr>
      <w:tr w14:paraId="6F5B61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000" w:type="pct"/>
            <w:gridSpan w:val="5"/>
            <w:tcBorders>
              <w:top w:val="double" w:color="auto" w:sz="6" w:space="0"/>
              <w:left w:val="single" w:color="auto" w:sz="12" w:space="0"/>
              <w:bottom w:val="single" w:color="auto" w:sz="6" w:space="0"/>
              <w:right w:val="single" w:color="auto" w:sz="12" w:space="0"/>
            </w:tcBorders>
            <w:noWrap w:val="0"/>
            <w:vAlign w:val="center"/>
          </w:tcPr>
          <w:p w14:paraId="0A867A84">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一、公司人员</w:t>
            </w:r>
          </w:p>
        </w:tc>
      </w:tr>
      <w:tr w14:paraId="31C9CE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nil"/>
              <w:left w:val="single" w:color="auto" w:sz="12" w:space="0"/>
              <w:bottom w:val="nil"/>
              <w:right w:val="single" w:color="auto" w:sz="6" w:space="0"/>
            </w:tcBorders>
            <w:noWrap w:val="0"/>
            <w:vAlign w:val="center"/>
          </w:tcPr>
          <w:p w14:paraId="18A239DD">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项目负责人</w:t>
            </w:r>
          </w:p>
        </w:tc>
        <w:tc>
          <w:tcPr>
            <w:tcW w:w="722" w:type="pct"/>
            <w:tcBorders>
              <w:top w:val="nil"/>
              <w:left w:val="single" w:color="auto" w:sz="6" w:space="0"/>
              <w:bottom w:val="single" w:color="auto" w:sz="6" w:space="0"/>
              <w:right w:val="single" w:color="auto" w:sz="6" w:space="0"/>
            </w:tcBorders>
            <w:noWrap w:val="0"/>
            <w:vAlign w:val="center"/>
          </w:tcPr>
          <w:p w14:paraId="71DFF894">
            <w:pPr>
              <w:pStyle w:val="13"/>
              <w:keepNext/>
              <w:spacing w:line="440" w:lineRule="exact"/>
              <w:ind w:left="63" w:right="63"/>
              <w:rPr>
                <w:rFonts w:hint="eastAsia" w:ascii="宋体" w:hAnsi="宋体" w:eastAsia="宋体" w:cs="宋体"/>
                <w:sz w:val="24"/>
                <w:szCs w:val="24"/>
              </w:rPr>
            </w:pPr>
          </w:p>
        </w:tc>
        <w:tc>
          <w:tcPr>
            <w:tcW w:w="577" w:type="pct"/>
            <w:tcBorders>
              <w:top w:val="nil"/>
              <w:left w:val="single" w:color="auto" w:sz="6" w:space="0"/>
              <w:bottom w:val="single" w:color="auto" w:sz="6" w:space="0"/>
              <w:right w:val="single" w:color="auto" w:sz="6" w:space="0"/>
            </w:tcBorders>
            <w:noWrap w:val="0"/>
            <w:vAlign w:val="center"/>
          </w:tcPr>
          <w:p w14:paraId="264E5737">
            <w:pPr>
              <w:pStyle w:val="13"/>
              <w:keepNext/>
              <w:spacing w:line="440" w:lineRule="exact"/>
              <w:ind w:left="63" w:right="63"/>
              <w:rPr>
                <w:rFonts w:hint="eastAsia" w:ascii="宋体" w:hAnsi="宋体" w:eastAsia="宋体" w:cs="宋体"/>
                <w:sz w:val="24"/>
                <w:szCs w:val="24"/>
              </w:rPr>
            </w:pPr>
          </w:p>
        </w:tc>
        <w:tc>
          <w:tcPr>
            <w:tcW w:w="577" w:type="pct"/>
            <w:tcBorders>
              <w:top w:val="nil"/>
              <w:left w:val="single" w:color="auto" w:sz="6" w:space="0"/>
              <w:bottom w:val="single" w:color="auto" w:sz="6" w:space="0"/>
              <w:right w:val="single" w:color="auto" w:sz="6" w:space="0"/>
            </w:tcBorders>
            <w:noWrap w:val="0"/>
            <w:vAlign w:val="center"/>
          </w:tcPr>
          <w:p w14:paraId="0A847D3E">
            <w:pPr>
              <w:pStyle w:val="13"/>
              <w:keepNext/>
              <w:spacing w:line="440" w:lineRule="exact"/>
              <w:ind w:left="63" w:right="63"/>
              <w:rPr>
                <w:rFonts w:hint="eastAsia" w:ascii="宋体" w:hAnsi="宋体" w:eastAsia="宋体" w:cs="宋体"/>
                <w:sz w:val="24"/>
                <w:szCs w:val="24"/>
              </w:rPr>
            </w:pPr>
          </w:p>
        </w:tc>
        <w:tc>
          <w:tcPr>
            <w:tcW w:w="2167" w:type="pct"/>
            <w:tcBorders>
              <w:top w:val="nil"/>
              <w:left w:val="single" w:color="auto" w:sz="6" w:space="0"/>
              <w:bottom w:val="single" w:color="auto" w:sz="6" w:space="0"/>
              <w:right w:val="single" w:color="auto" w:sz="12" w:space="0"/>
            </w:tcBorders>
            <w:noWrap w:val="0"/>
            <w:vAlign w:val="center"/>
          </w:tcPr>
          <w:p w14:paraId="66D1B3F9">
            <w:pPr>
              <w:pStyle w:val="13"/>
              <w:keepNext/>
              <w:spacing w:line="440" w:lineRule="exact"/>
              <w:ind w:left="63" w:right="63"/>
              <w:rPr>
                <w:rFonts w:hint="eastAsia" w:ascii="宋体" w:hAnsi="宋体" w:eastAsia="宋体" w:cs="宋体"/>
                <w:sz w:val="24"/>
                <w:szCs w:val="24"/>
              </w:rPr>
            </w:pPr>
          </w:p>
        </w:tc>
      </w:tr>
      <w:tr w14:paraId="4E8ECB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nil"/>
              <w:right w:val="single" w:color="auto" w:sz="6" w:space="0"/>
            </w:tcBorders>
            <w:noWrap w:val="0"/>
            <w:vAlign w:val="center"/>
          </w:tcPr>
          <w:p w14:paraId="05E22EE0">
            <w:pPr>
              <w:pStyle w:val="13"/>
              <w:keepNext/>
              <w:spacing w:line="440" w:lineRule="exact"/>
              <w:ind w:left="63" w:right="63"/>
              <w:rPr>
                <w:rFonts w:hint="eastAsia" w:ascii="宋体" w:hAnsi="宋体" w:eastAsia="宋体" w:cs="宋体"/>
                <w:sz w:val="24"/>
                <w:szCs w:val="24"/>
              </w:rPr>
            </w:pPr>
          </w:p>
        </w:tc>
        <w:tc>
          <w:tcPr>
            <w:tcW w:w="722" w:type="pct"/>
            <w:tcBorders>
              <w:top w:val="single" w:color="auto" w:sz="6" w:space="0"/>
              <w:left w:val="single" w:color="auto" w:sz="6" w:space="0"/>
              <w:bottom w:val="single" w:color="auto" w:sz="6" w:space="0"/>
              <w:right w:val="single" w:color="auto" w:sz="6" w:space="0"/>
            </w:tcBorders>
            <w:noWrap w:val="0"/>
            <w:vAlign w:val="center"/>
          </w:tcPr>
          <w:p w14:paraId="7C393C9D">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06565B94">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17C85C60">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6F1866F8">
            <w:pPr>
              <w:pStyle w:val="13"/>
              <w:keepNext/>
              <w:spacing w:line="440" w:lineRule="exact"/>
              <w:ind w:left="63" w:right="63"/>
              <w:rPr>
                <w:rFonts w:hint="eastAsia" w:ascii="宋体" w:hAnsi="宋体" w:eastAsia="宋体" w:cs="宋体"/>
                <w:sz w:val="24"/>
                <w:szCs w:val="24"/>
              </w:rPr>
            </w:pPr>
          </w:p>
        </w:tc>
      </w:tr>
      <w:tr w14:paraId="2E4F33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nil"/>
              <w:left w:val="single" w:color="auto" w:sz="12" w:space="0"/>
              <w:bottom w:val="nil"/>
              <w:right w:val="single" w:color="auto" w:sz="6" w:space="0"/>
            </w:tcBorders>
            <w:noWrap w:val="0"/>
            <w:vAlign w:val="center"/>
          </w:tcPr>
          <w:p w14:paraId="4F7DDF68">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技术负责人</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24237B2B">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47B6C64E">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524EC1BB">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67287F33">
            <w:pPr>
              <w:pStyle w:val="13"/>
              <w:keepNext/>
              <w:spacing w:line="440" w:lineRule="exact"/>
              <w:ind w:left="63" w:right="63"/>
              <w:rPr>
                <w:rFonts w:hint="eastAsia" w:ascii="宋体" w:hAnsi="宋体" w:eastAsia="宋体" w:cs="宋体"/>
                <w:sz w:val="24"/>
                <w:szCs w:val="24"/>
              </w:rPr>
            </w:pPr>
          </w:p>
        </w:tc>
      </w:tr>
      <w:tr w14:paraId="56D7B9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nil"/>
              <w:left w:val="single" w:color="auto" w:sz="12" w:space="0"/>
              <w:bottom w:val="nil"/>
              <w:right w:val="single" w:color="auto" w:sz="6" w:space="0"/>
            </w:tcBorders>
            <w:noWrap w:val="0"/>
            <w:vAlign w:val="center"/>
          </w:tcPr>
          <w:p w14:paraId="59708EE4">
            <w:pPr>
              <w:pStyle w:val="13"/>
              <w:keepNext/>
              <w:spacing w:line="440" w:lineRule="exact"/>
              <w:ind w:left="63" w:right="63"/>
              <w:rPr>
                <w:rFonts w:hint="eastAsia" w:ascii="宋体" w:hAnsi="宋体" w:eastAsia="宋体" w:cs="宋体"/>
                <w:sz w:val="24"/>
                <w:szCs w:val="24"/>
              </w:rPr>
            </w:pPr>
          </w:p>
        </w:tc>
        <w:tc>
          <w:tcPr>
            <w:tcW w:w="722" w:type="pct"/>
            <w:tcBorders>
              <w:top w:val="single" w:color="auto" w:sz="6" w:space="0"/>
              <w:left w:val="single" w:color="auto" w:sz="6" w:space="0"/>
              <w:bottom w:val="single" w:color="auto" w:sz="6" w:space="0"/>
              <w:right w:val="single" w:color="auto" w:sz="6" w:space="0"/>
            </w:tcBorders>
            <w:noWrap w:val="0"/>
            <w:vAlign w:val="center"/>
          </w:tcPr>
          <w:p w14:paraId="64A5B829">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4FABB07A">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324779AF">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566A45CD">
            <w:pPr>
              <w:pStyle w:val="13"/>
              <w:keepNext/>
              <w:spacing w:line="440" w:lineRule="exact"/>
              <w:ind w:left="63" w:right="63"/>
              <w:rPr>
                <w:rFonts w:hint="eastAsia" w:ascii="宋体" w:hAnsi="宋体" w:eastAsia="宋体" w:cs="宋体"/>
                <w:sz w:val="24"/>
                <w:szCs w:val="24"/>
              </w:rPr>
            </w:pPr>
          </w:p>
        </w:tc>
      </w:tr>
      <w:tr w14:paraId="18DB5A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000" w:type="pct"/>
            <w:gridSpan w:val="5"/>
            <w:tcBorders>
              <w:top w:val="single" w:color="auto" w:sz="6" w:space="0"/>
              <w:left w:val="single" w:color="auto" w:sz="12" w:space="0"/>
              <w:bottom w:val="single" w:color="auto" w:sz="6" w:space="0"/>
              <w:right w:val="single" w:color="auto" w:sz="12" w:space="0"/>
            </w:tcBorders>
            <w:noWrap w:val="0"/>
            <w:vAlign w:val="center"/>
          </w:tcPr>
          <w:p w14:paraId="29B79D68">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二、现场人员</w:t>
            </w:r>
          </w:p>
        </w:tc>
      </w:tr>
      <w:tr w14:paraId="4DACF9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41952950">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项目经理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4FD5FDF3">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40E079E3">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7E379CF9">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7C6237C0">
            <w:pPr>
              <w:pStyle w:val="13"/>
              <w:keepNext/>
              <w:spacing w:line="440" w:lineRule="exact"/>
              <w:ind w:left="63" w:right="63"/>
              <w:rPr>
                <w:rFonts w:hint="eastAsia" w:ascii="宋体" w:hAnsi="宋体" w:eastAsia="宋体" w:cs="宋体"/>
                <w:sz w:val="24"/>
                <w:szCs w:val="24"/>
              </w:rPr>
            </w:pPr>
          </w:p>
        </w:tc>
      </w:tr>
      <w:tr w14:paraId="53285B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47CED4AC">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项目副经理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048426C4">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67C38008">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1C7C764A">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67B7E829">
            <w:pPr>
              <w:pStyle w:val="13"/>
              <w:keepNext/>
              <w:spacing w:line="440" w:lineRule="exact"/>
              <w:ind w:left="63" w:right="63"/>
              <w:rPr>
                <w:rFonts w:hint="eastAsia" w:ascii="宋体" w:hAnsi="宋体" w:eastAsia="宋体" w:cs="宋体"/>
                <w:sz w:val="24"/>
                <w:szCs w:val="24"/>
              </w:rPr>
            </w:pPr>
          </w:p>
        </w:tc>
      </w:tr>
      <w:tr w14:paraId="561607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627E844A">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技术负责人</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5D8D2018">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3543348D">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5D916219">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67DE47E9">
            <w:pPr>
              <w:pStyle w:val="13"/>
              <w:keepNext/>
              <w:spacing w:line="440" w:lineRule="exact"/>
              <w:ind w:left="63" w:right="63"/>
              <w:rPr>
                <w:rFonts w:hint="eastAsia" w:ascii="宋体" w:hAnsi="宋体" w:eastAsia="宋体" w:cs="宋体"/>
                <w:sz w:val="24"/>
                <w:szCs w:val="24"/>
              </w:rPr>
            </w:pPr>
          </w:p>
        </w:tc>
      </w:tr>
      <w:tr w14:paraId="61C17A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6B8D4A4F">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造价管理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45829FD2">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4883360C">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5C590E44">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4406D73D">
            <w:pPr>
              <w:pStyle w:val="13"/>
              <w:keepNext/>
              <w:spacing w:line="440" w:lineRule="exact"/>
              <w:ind w:left="63" w:right="63"/>
              <w:rPr>
                <w:rFonts w:hint="eastAsia" w:ascii="宋体" w:hAnsi="宋体" w:eastAsia="宋体" w:cs="宋体"/>
                <w:sz w:val="24"/>
                <w:szCs w:val="24"/>
              </w:rPr>
            </w:pPr>
          </w:p>
        </w:tc>
      </w:tr>
      <w:tr w14:paraId="6B15C4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55AB66FD">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质量管理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0D8F74EB">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311CA0EF">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118A99FB">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7441D865">
            <w:pPr>
              <w:pStyle w:val="13"/>
              <w:keepNext/>
              <w:spacing w:line="440" w:lineRule="exact"/>
              <w:ind w:left="63" w:right="63"/>
              <w:rPr>
                <w:rFonts w:hint="eastAsia" w:ascii="宋体" w:hAnsi="宋体" w:eastAsia="宋体" w:cs="宋体"/>
                <w:sz w:val="24"/>
                <w:szCs w:val="24"/>
              </w:rPr>
            </w:pPr>
          </w:p>
        </w:tc>
      </w:tr>
      <w:tr w14:paraId="23D55E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30204008">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材料管理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75C3FC81">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6CDAE8AE">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727776B2">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5BC21D01">
            <w:pPr>
              <w:pStyle w:val="13"/>
              <w:keepNext/>
              <w:spacing w:line="440" w:lineRule="exact"/>
              <w:ind w:left="63" w:right="63"/>
              <w:rPr>
                <w:rFonts w:hint="eastAsia" w:ascii="宋体" w:hAnsi="宋体" w:eastAsia="宋体" w:cs="宋体"/>
                <w:sz w:val="24"/>
                <w:szCs w:val="24"/>
              </w:rPr>
            </w:pPr>
          </w:p>
        </w:tc>
      </w:tr>
      <w:tr w14:paraId="28F35A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06173D76">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计划管理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35166C94">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23128509">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0A5F99BC">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7179A5E4">
            <w:pPr>
              <w:pStyle w:val="13"/>
              <w:keepNext/>
              <w:spacing w:line="440" w:lineRule="exact"/>
              <w:ind w:left="63" w:right="63"/>
              <w:rPr>
                <w:rFonts w:hint="eastAsia" w:ascii="宋体" w:hAnsi="宋体" w:eastAsia="宋体" w:cs="宋体"/>
                <w:sz w:val="24"/>
                <w:szCs w:val="24"/>
              </w:rPr>
            </w:pPr>
          </w:p>
        </w:tc>
      </w:tr>
      <w:tr w14:paraId="6B6CA0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461ED27C">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安全管理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34451881">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013A8B3D">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6420B0C6">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7381D2DD">
            <w:pPr>
              <w:pStyle w:val="13"/>
              <w:keepNext/>
              <w:spacing w:line="440" w:lineRule="exact"/>
              <w:ind w:left="63" w:right="63"/>
              <w:rPr>
                <w:rFonts w:hint="eastAsia" w:ascii="宋体" w:hAnsi="宋体" w:eastAsia="宋体" w:cs="宋体"/>
                <w:sz w:val="24"/>
                <w:szCs w:val="24"/>
              </w:rPr>
            </w:pPr>
          </w:p>
        </w:tc>
      </w:tr>
      <w:tr w14:paraId="00075D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vMerge w:val="restart"/>
            <w:tcBorders>
              <w:top w:val="single" w:color="auto" w:sz="6" w:space="0"/>
              <w:left w:val="single" w:color="auto" w:sz="12" w:space="0"/>
              <w:bottom w:val="single" w:color="auto" w:sz="12" w:space="0"/>
              <w:right w:val="single" w:color="auto" w:sz="6" w:space="0"/>
            </w:tcBorders>
            <w:noWrap w:val="0"/>
            <w:vAlign w:val="center"/>
          </w:tcPr>
          <w:p w14:paraId="3CB695C6">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其他人员</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6AD74DDE">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1DAED4BF">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4B35F2C4">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6D7771EC">
            <w:pPr>
              <w:pStyle w:val="13"/>
              <w:keepNext/>
              <w:spacing w:line="440" w:lineRule="exact"/>
              <w:ind w:left="63" w:right="63"/>
              <w:rPr>
                <w:rFonts w:hint="eastAsia" w:ascii="宋体" w:hAnsi="宋体" w:eastAsia="宋体" w:cs="宋体"/>
                <w:sz w:val="24"/>
                <w:szCs w:val="24"/>
              </w:rPr>
            </w:pPr>
          </w:p>
        </w:tc>
      </w:tr>
      <w:tr w14:paraId="061676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vMerge w:val="continue"/>
            <w:tcBorders>
              <w:top w:val="single" w:color="auto" w:sz="6" w:space="0"/>
              <w:left w:val="single" w:color="auto" w:sz="12" w:space="0"/>
              <w:bottom w:val="single" w:color="auto" w:sz="12" w:space="0"/>
              <w:right w:val="single" w:color="auto" w:sz="6" w:space="0"/>
            </w:tcBorders>
            <w:noWrap w:val="0"/>
            <w:vAlign w:val="center"/>
          </w:tcPr>
          <w:p w14:paraId="390C74D9">
            <w:pPr>
              <w:widowControl/>
              <w:rPr>
                <w:rFonts w:hint="eastAsia" w:ascii="宋体" w:hAnsi="宋体" w:eastAsia="宋体" w:cs="宋体"/>
                <w:sz w:val="24"/>
                <w:szCs w:val="24"/>
              </w:rPr>
            </w:pPr>
          </w:p>
        </w:tc>
        <w:tc>
          <w:tcPr>
            <w:tcW w:w="722" w:type="pct"/>
            <w:tcBorders>
              <w:top w:val="single" w:color="auto" w:sz="6" w:space="0"/>
              <w:left w:val="single" w:color="auto" w:sz="6" w:space="0"/>
              <w:bottom w:val="nil"/>
              <w:right w:val="single" w:color="auto" w:sz="6" w:space="0"/>
            </w:tcBorders>
            <w:noWrap w:val="0"/>
            <w:vAlign w:val="center"/>
          </w:tcPr>
          <w:p w14:paraId="1E9193CF">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nil"/>
              <w:right w:val="single" w:color="auto" w:sz="6" w:space="0"/>
            </w:tcBorders>
            <w:noWrap w:val="0"/>
            <w:vAlign w:val="center"/>
          </w:tcPr>
          <w:p w14:paraId="6B68262F">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nil"/>
              <w:right w:val="single" w:color="auto" w:sz="6" w:space="0"/>
            </w:tcBorders>
            <w:noWrap w:val="0"/>
            <w:vAlign w:val="center"/>
          </w:tcPr>
          <w:p w14:paraId="29188BB0">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nil"/>
              <w:right w:val="single" w:color="auto" w:sz="12" w:space="0"/>
            </w:tcBorders>
            <w:noWrap w:val="0"/>
            <w:vAlign w:val="center"/>
          </w:tcPr>
          <w:p w14:paraId="62BCC92B">
            <w:pPr>
              <w:pStyle w:val="13"/>
              <w:keepNext/>
              <w:spacing w:line="440" w:lineRule="exact"/>
              <w:ind w:left="63" w:right="63"/>
              <w:rPr>
                <w:rFonts w:hint="eastAsia" w:ascii="宋体" w:hAnsi="宋体" w:eastAsia="宋体" w:cs="宋体"/>
                <w:sz w:val="24"/>
                <w:szCs w:val="24"/>
              </w:rPr>
            </w:pPr>
          </w:p>
        </w:tc>
      </w:tr>
      <w:tr w14:paraId="5E4A76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vMerge w:val="continue"/>
            <w:tcBorders>
              <w:top w:val="single" w:color="auto" w:sz="6" w:space="0"/>
              <w:left w:val="single" w:color="auto" w:sz="12" w:space="0"/>
              <w:bottom w:val="single" w:color="auto" w:sz="12" w:space="0"/>
              <w:right w:val="single" w:color="auto" w:sz="6" w:space="0"/>
            </w:tcBorders>
            <w:noWrap w:val="0"/>
            <w:vAlign w:val="center"/>
          </w:tcPr>
          <w:p w14:paraId="7A6B9A77">
            <w:pPr>
              <w:widowControl/>
              <w:rPr>
                <w:rFonts w:hint="eastAsia" w:ascii="宋体" w:hAnsi="宋体" w:eastAsia="宋体" w:cs="宋体"/>
                <w:sz w:val="24"/>
                <w:szCs w:val="24"/>
              </w:rPr>
            </w:pPr>
          </w:p>
        </w:tc>
        <w:tc>
          <w:tcPr>
            <w:tcW w:w="722" w:type="pct"/>
            <w:tcBorders>
              <w:top w:val="single" w:color="auto" w:sz="6" w:space="0"/>
              <w:left w:val="single" w:color="auto" w:sz="6" w:space="0"/>
              <w:bottom w:val="single" w:color="auto" w:sz="6" w:space="0"/>
              <w:right w:val="single" w:color="auto" w:sz="6" w:space="0"/>
            </w:tcBorders>
            <w:noWrap w:val="0"/>
            <w:vAlign w:val="center"/>
          </w:tcPr>
          <w:p w14:paraId="0DF800EF">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30C08C90">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0D8A78FE">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7FF34059">
            <w:pPr>
              <w:pStyle w:val="13"/>
              <w:keepNext/>
              <w:spacing w:line="440" w:lineRule="exact"/>
              <w:ind w:left="63" w:right="63"/>
              <w:rPr>
                <w:rFonts w:hint="eastAsia" w:ascii="宋体" w:hAnsi="宋体" w:eastAsia="宋体" w:cs="宋体"/>
                <w:sz w:val="24"/>
                <w:szCs w:val="24"/>
              </w:rPr>
            </w:pPr>
          </w:p>
        </w:tc>
      </w:tr>
      <w:tr w14:paraId="266A11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vMerge w:val="continue"/>
            <w:tcBorders>
              <w:top w:val="single" w:color="auto" w:sz="6" w:space="0"/>
              <w:left w:val="single" w:color="auto" w:sz="12" w:space="0"/>
              <w:bottom w:val="single" w:color="auto" w:sz="12" w:space="0"/>
              <w:right w:val="single" w:color="auto" w:sz="6" w:space="0"/>
            </w:tcBorders>
            <w:noWrap w:val="0"/>
            <w:vAlign w:val="center"/>
          </w:tcPr>
          <w:p w14:paraId="2B4728AD">
            <w:pPr>
              <w:widowControl/>
              <w:rPr>
                <w:rFonts w:hint="eastAsia" w:ascii="宋体" w:hAnsi="宋体" w:eastAsia="宋体" w:cs="宋体"/>
                <w:sz w:val="24"/>
                <w:szCs w:val="24"/>
              </w:rPr>
            </w:pPr>
          </w:p>
        </w:tc>
        <w:tc>
          <w:tcPr>
            <w:tcW w:w="722" w:type="pct"/>
            <w:tcBorders>
              <w:top w:val="single" w:color="auto" w:sz="6" w:space="0"/>
              <w:left w:val="single" w:color="auto" w:sz="6" w:space="0"/>
              <w:bottom w:val="single" w:color="auto" w:sz="6" w:space="0"/>
              <w:right w:val="single" w:color="auto" w:sz="6" w:space="0"/>
            </w:tcBorders>
            <w:noWrap w:val="0"/>
            <w:vAlign w:val="center"/>
          </w:tcPr>
          <w:p w14:paraId="7503FCED">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2903B909">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49EE8CBF">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2B7DA235">
            <w:pPr>
              <w:pStyle w:val="13"/>
              <w:keepNext/>
              <w:spacing w:line="440" w:lineRule="exact"/>
              <w:ind w:left="63" w:right="63"/>
              <w:rPr>
                <w:rFonts w:hint="eastAsia" w:ascii="宋体" w:hAnsi="宋体" w:eastAsia="宋体" w:cs="宋体"/>
                <w:sz w:val="24"/>
                <w:szCs w:val="24"/>
              </w:rPr>
            </w:pPr>
          </w:p>
        </w:tc>
      </w:tr>
      <w:tr w14:paraId="74C59C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vMerge w:val="continue"/>
            <w:tcBorders>
              <w:top w:val="single" w:color="auto" w:sz="6" w:space="0"/>
              <w:left w:val="single" w:color="auto" w:sz="12" w:space="0"/>
              <w:bottom w:val="single" w:color="auto" w:sz="12" w:space="0"/>
              <w:right w:val="single" w:color="auto" w:sz="6" w:space="0"/>
            </w:tcBorders>
            <w:noWrap w:val="0"/>
            <w:vAlign w:val="center"/>
          </w:tcPr>
          <w:p w14:paraId="71162E6B">
            <w:pPr>
              <w:widowControl/>
              <w:rPr>
                <w:rFonts w:hint="eastAsia" w:ascii="宋体" w:hAnsi="宋体" w:eastAsia="宋体" w:cs="宋体"/>
                <w:sz w:val="24"/>
                <w:szCs w:val="24"/>
              </w:rPr>
            </w:pPr>
          </w:p>
        </w:tc>
        <w:tc>
          <w:tcPr>
            <w:tcW w:w="722" w:type="pct"/>
            <w:tcBorders>
              <w:top w:val="single" w:color="auto" w:sz="6" w:space="0"/>
              <w:left w:val="single" w:color="auto" w:sz="6" w:space="0"/>
              <w:bottom w:val="single" w:color="auto" w:sz="6" w:space="0"/>
              <w:right w:val="single" w:color="auto" w:sz="6" w:space="0"/>
            </w:tcBorders>
            <w:noWrap w:val="0"/>
            <w:vAlign w:val="center"/>
          </w:tcPr>
          <w:p w14:paraId="5BA8AB62">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3B41F74A">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17122E72">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2B64C443">
            <w:pPr>
              <w:pStyle w:val="13"/>
              <w:keepNext/>
              <w:spacing w:line="440" w:lineRule="exact"/>
              <w:ind w:left="63" w:right="63"/>
              <w:rPr>
                <w:rFonts w:hint="eastAsia" w:ascii="宋体" w:hAnsi="宋体" w:eastAsia="宋体" w:cs="宋体"/>
                <w:sz w:val="24"/>
                <w:szCs w:val="24"/>
              </w:rPr>
            </w:pPr>
          </w:p>
        </w:tc>
      </w:tr>
      <w:tr w14:paraId="18C63A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vMerge w:val="continue"/>
            <w:tcBorders>
              <w:top w:val="single" w:color="auto" w:sz="6" w:space="0"/>
              <w:left w:val="single" w:color="auto" w:sz="12" w:space="0"/>
              <w:bottom w:val="single" w:color="auto" w:sz="12" w:space="0"/>
              <w:right w:val="single" w:color="auto" w:sz="6" w:space="0"/>
            </w:tcBorders>
            <w:noWrap w:val="0"/>
            <w:vAlign w:val="center"/>
          </w:tcPr>
          <w:p w14:paraId="60ECC891">
            <w:pPr>
              <w:widowControl/>
              <w:rPr>
                <w:rFonts w:hint="eastAsia" w:ascii="宋体" w:hAnsi="宋体" w:eastAsia="宋体" w:cs="宋体"/>
                <w:sz w:val="24"/>
                <w:szCs w:val="24"/>
              </w:rPr>
            </w:pPr>
          </w:p>
        </w:tc>
        <w:tc>
          <w:tcPr>
            <w:tcW w:w="722" w:type="pct"/>
            <w:tcBorders>
              <w:top w:val="single" w:color="auto" w:sz="6" w:space="0"/>
              <w:left w:val="single" w:color="auto" w:sz="6" w:space="0"/>
              <w:bottom w:val="single" w:color="auto" w:sz="12" w:space="0"/>
              <w:right w:val="single" w:color="auto" w:sz="6" w:space="0"/>
            </w:tcBorders>
            <w:noWrap w:val="0"/>
            <w:vAlign w:val="center"/>
          </w:tcPr>
          <w:p w14:paraId="47366E17">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12" w:space="0"/>
              <w:right w:val="single" w:color="auto" w:sz="6" w:space="0"/>
            </w:tcBorders>
            <w:noWrap w:val="0"/>
            <w:vAlign w:val="center"/>
          </w:tcPr>
          <w:p w14:paraId="6DA7BB07">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12" w:space="0"/>
              <w:right w:val="single" w:color="auto" w:sz="6" w:space="0"/>
            </w:tcBorders>
            <w:noWrap w:val="0"/>
            <w:vAlign w:val="center"/>
          </w:tcPr>
          <w:p w14:paraId="1288217F">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12" w:space="0"/>
              <w:right w:val="single" w:color="auto" w:sz="12" w:space="0"/>
            </w:tcBorders>
            <w:noWrap w:val="0"/>
            <w:vAlign w:val="center"/>
          </w:tcPr>
          <w:p w14:paraId="5756BB3B">
            <w:pPr>
              <w:pStyle w:val="13"/>
              <w:keepNext/>
              <w:spacing w:line="440" w:lineRule="exact"/>
              <w:ind w:left="63" w:right="63"/>
              <w:rPr>
                <w:rFonts w:hint="eastAsia" w:ascii="宋体" w:hAnsi="宋体" w:eastAsia="宋体" w:cs="宋体"/>
                <w:sz w:val="24"/>
                <w:szCs w:val="24"/>
              </w:rPr>
            </w:pPr>
          </w:p>
        </w:tc>
      </w:tr>
    </w:tbl>
    <w:p w14:paraId="1F755E2D">
      <w:pPr>
        <w:spacing w:line="440" w:lineRule="exact"/>
        <w:rPr>
          <w:rFonts w:hint="eastAsia" w:ascii="宋体" w:hAnsi="宋体" w:eastAsia="宋体" w:cs="宋体"/>
          <w:sz w:val="24"/>
          <w:szCs w:val="24"/>
        </w:rPr>
      </w:pPr>
      <w:r>
        <w:rPr>
          <w:rFonts w:ascii="仿宋" w:hAnsi="仿宋" w:eastAsia="仿宋"/>
          <w:sz w:val="30"/>
          <w:szCs w:val="30"/>
          <w:highlight w:val="white"/>
        </w:rPr>
        <w:br w:type="page"/>
      </w:r>
      <w:r>
        <w:rPr>
          <w:rFonts w:hint="eastAsia" w:ascii="宋体" w:hAnsi="宋体" w:eastAsia="宋体" w:cs="宋体"/>
          <w:sz w:val="24"/>
          <w:szCs w:val="24"/>
          <w:highlight w:val="white"/>
        </w:rPr>
        <w:t>附件7：</w:t>
      </w:r>
    </w:p>
    <w:p w14:paraId="04C75B3B">
      <w:pPr>
        <w:spacing w:before="156" w:beforeLines="50" w:after="156" w:afterLines="50" w:line="440" w:lineRule="exact"/>
        <w:rPr>
          <w:rFonts w:hint="eastAsia" w:ascii="宋体" w:hAnsi="宋体" w:eastAsia="宋体" w:cs="宋体"/>
          <w:sz w:val="24"/>
          <w:szCs w:val="24"/>
        </w:rPr>
      </w:pPr>
      <w:r>
        <w:rPr>
          <w:rFonts w:hint="eastAsia" w:ascii="宋体" w:hAnsi="宋体" w:eastAsia="宋体" w:cs="宋体"/>
          <w:sz w:val="24"/>
          <w:szCs w:val="24"/>
          <w:highlight w:val="white"/>
        </w:rPr>
        <w:t>分包人主要施工管理人员表</w:t>
      </w:r>
    </w:p>
    <w:tbl>
      <w:tblPr>
        <w:tblStyle w:val="29"/>
        <w:tblW w:w="4999"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795"/>
        <w:gridCol w:w="1360"/>
        <w:gridCol w:w="1087"/>
        <w:gridCol w:w="1087"/>
        <w:gridCol w:w="4091"/>
      </w:tblGrid>
      <w:tr w14:paraId="26B95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12" w:space="0"/>
              <w:left w:val="single" w:color="auto" w:sz="12" w:space="0"/>
              <w:bottom w:val="double" w:color="auto" w:sz="6" w:space="0"/>
              <w:right w:val="single" w:color="auto" w:sz="6" w:space="0"/>
            </w:tcBorders>
            <w:noWrap w:val="0"/>
            <w:vAlign w:val="center"/>
          </w:tcPr>
          <w:p w14:paraId="1975322A">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名    称</w:t>
            </w:r>
          </w:p>
        </w:tc>
        <w:tc>
          <w:tcPr>
            <w:tcW w:w="722" w:type="pct"/>
            <w:tcBorders>
              <w:top w:val="single" w:color="auto" w:sz="12" w:space="0"/>
              <w:left w:val="single" w:color="auto" w:sz="6" w:space="0"/>
              <w:bottom w:val="double" w:color="auto" w:sz="6" w:space="0"/>
              <w:right w:val="single" w:color="auto" w:sz="6" w:space="0"/>
            </w:tcBorders>
            <w:noWrap w:val="0"/>
            <w:vAlign w:val="center"/>
          </w:tcPr>
          <w:p w14:paraId="3451C491">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姓名</w:t>
            </w:r>
          </w:p>
        </w:tc>
        <w:tc>
          <w:tcPr>
            <w:tcW w:w="577" w:type="pct"/>
            <w:tcBorders>
              <w:top w:val="single" w:color="auto" w:sz="12" w:space="0"/>
              <w:left w:val="single" w:color="auto" w:sz="6" w:space="0"/>
              <w:bottom w:val="double" w:color="auto" w:sz="6" w:space="0"/>
              <w:right w:val="single" w:color="auto" w:sz="6" w:space="0"/>
            </w:tcBorders>
            <w:noWrap w:val="0"/>
            <w:vAlign w:val="center"/>
          </w:tcPr>
          <w:p w14:paraId="6AC0176F">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职务</w:t>
            </w:r>
          </w:p>
        </w:tc>
        <w:tc>
          <w:tcPr>
            <w:tcW w:w="577" w:type="pct"/>
            <w:tcBorders>
              <w:top w:val="single" w:color="auto" w:sz="12" w:space="0"/>
              <w:left w:val="single" w:color="auto" w:sz="6" w:space="0"/>
              <w:bottom w:val="double" w:color="auto" w:sz="6" w:space="0"/>
              <w:right w:val="single" w:color="auto" w:sz="6" w:space="0"/>
            </w:tcBorders>
            <w:noWrap w:val="0"/>
            <w:vAlign w:val="center"/>
          </w:tcPr>
          <w:p w14:paraId="71C5B674">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职称</w:t>
            </w:r>
          </w:p>
        </w:tc>
        <w:tc>
          <w:tcPr>
            <w:tcW w:w="2167" w:type="pct"/>
            <w:tcBorders>
              <w:top w:val="single" w:color="auto" w:sz="12" w:space="0"/>
              <w:left w:val="single" w:color="auto" w:sz="6" w:space="0"/>
              <w:bottom w:val="double" w:color="auto" w:sz="6" w:space="0"/>
              <w:right w:val="single" w:color="auto" w:sz="12" w:space="0"/>
            </w:tcBorders>
            <w:noWrap w:val="0"/>
            <w:vAlign w:val="center"/>
          </w:tcPr>
          <w:p w14:paraId="05F3C04C">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主要资历、经验及承担过的项目</w:t>
            </w:r>
          </w:p>
        </w:tc>
      </w:tr>
      <w:tr w14:paraId="379BEF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000" w:type="pct"/>
            <w:gridSpan w:val="5"/>
            <w:tcBorders>
              <w:top w:val="double" w:color="auto" w:sz="6" w:space="0"/>
              <w:left w:val="single" w:color="auto" w:sz="12" w:space="0"/>
              <w:bottom w:val="single" w:color="auto" w:sz="6" w:space="0"/>
              <w:right w:val="single" w:color="auto" w:sz="12" w:space="0"/>
            </w:tcBorders>
            <w:noWrap w:val="0"/>
            <w:vAlign w:val="center"/>
          </w:tcPr>
          <w:p w14:paraId="7E8A5E8F">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一、总部人员</w:t>
            </w:r>
          </w:p>
        </w:tc>
      </w:tr>
      <w:tr w14:paraId="4D3DF0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nil"/>
              <w:left w:val="single" w:color="auto" w:sz="12" w:space="0"/>
              <w:bottom w:val="nil"/>
              <w:right w:val="single" w:color="auto" w:sz="6" w:space="0"/>
            </w:tcBorders>
            <w:noWrap w:val="0"/>
            <w:vAlign w:val="center"/>
          </w:tcPr>
          <w:p w14:paraId="156AF8A6">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项目主管</w:t>
            </w:r>
          </w:p>
        </w:tc>
        <w:tc>
          <w:tcPr>
            <w:tcW w:w="722" w:type="pct"/>
            <w:tcBorders>
              <w:top w:val="nil"/>
              <w:left w:val="single" w:color="auto" w:sz="6" w:space="0"/>
              <w:bottom w:val="single" w:color="auto" w:sz="6" w:space="0"/>
              <w:right w:val="single" w:color="auto" w:sz="6" w:space="0"/>
            </w:tcBorders>
            <w:noWrap w:val="0"/>
            <w:vAlign w:val="center"/>
          </w:tcPr>
          <w:p w14:paraId="4AB46C10">
            <w:pPr>
              <w:pStyle w:val="13"/>
              <w:keepNext/>
              <w:spacing w:line="440" w:lineRule="exact"/>
              <w:ind w:left="63" w:right="63"/>
              <w:rPr>
                <w:rFonts w:hint="eastAsia" w:ascii="宋体" w:hAnsi="宋体" w:eastAsia="宋体" w:cs="宋体"/>
                <w:sz w:val="24"/>
                <w:szCs w:val="24"/>
              </w:rPr>
            </w:pPr>
          </w:p>
        </w:tc>
        <w:tc>
          <w:tcPr>
            <w:tcW w:w="577" w:type="pct"/>
            <w:tcBorders>
              <w:top w:val="nil"/>
              <w:left w:val="single" w:color="auto" w:sz="6" w:space="0"/>
              <w:bottom w:val="single" w:color="auto" w:sz="6" w:space="0"/>
              <w:right w:val="single" w:color="auto" w:sz="6" w:space="0"/>
            </w:tcBorders>
            <w:noWrap w:val="0"/>
            <w:vAlign w:val="center"/>
          </w:tcPr>
          <w:p w14:paraId="6CE660BC">
            <w:pPr>
              <w:pStyle w:val="13"/>
              <w:keepNext/>
              <w:spacing w:line="440" w:lineRule="exact"/>
              <w:ind w:left="63" w:right="63"/>
              <w:rPr>
                <w:rFonts w:hint="eastAsia" w:ascii="宋体" w:hAnsi="宋体" w:eastAsia="宋体" w:cs="宋体"/>
                <w:sz w:val="24"/>
                <w:szCs w:val="24"/>
              </w:rPr>
            </w:pPr>
          </w:p>
        </w:tc>
        <w:tc>
          <w:tcPr>
            <w:tcW w:w="577" w:type="pct"/>
            <w:tcBorders>
              <w:top w:val="nil"/>
              <w:left w:val="single" w:color="auto" w:sz="6" w:space="0"/>
              <w:bottom w:val="single" w:color="auto" w:sz="6" w:space="0"/>
              <w:right w:val="single" w:color="auto" w:sz="6" w:space="0"/>
            </w:tcBorders>
            <w:noWrap w:val="0"/>
            <w:vAlign w:val="center"/>
          </w:tcPr>
          <w:p w14:paraId="52661AEB">
            <w:pPr>
              <w:pStyle w:val="13"/>
              <w:keepNext/>
              <w:spacing w:line="440" w:lineRule="exact"/>
              <w:ind w:left="63" w:right="63"/>
              <w:rPr>
                <w:rFonts w:hint="eastAsia" w:ascii="宋体" w:hAnsi="宋体" w:eastAsia="宋体" w:cs="宋体"/>
                <w:sz w:val="24"/>
                <w:szCs w:val="24"/>
              </w:rPr>
            </w:pPr>
          </w:p>
        </w:tc>
        <w:tc>
          <w:tcPr>
            <w:tcW w:w="2167" w:type="pct"/>
            <w:tcBorders>
              <w:top w:val="nil"/>
              <w:left w:val="single" w:color="auto" w:sz="6" w:space="0"/>
              <w:bottom w:val="single" w:color="auto" w:sz="6" w:space="0"/>
              <w:right w:val="single" w:color="auto" w:sz="12" w:space="0"/>
            </w:tcBorders>
            <w:noWrap w:val="0"/>
            <w:vAlign w:val="center"/>
          </w:tcPr>
          <w:p w14:paraId="6EBCE10F">
            <w:pPr>
              <w:pStyle w:val="13"/>
              <w:keepNext/>
              <w:spacing w:line="440" w:lineRule="exact"/>
              <w:ind w:left="63" w:right="63"/>
              <w:rPr>
                <w:rFonts w:hint="eastAsia" w:ascii="宋体" w:hAnsi="宋体" w:eastAsia="宋体" w:cs="宋体"/>
                <w:sz w:val="24"/>
                <w:szCs w:val="24"/>
              </w:rPr>
            </w:pPr>
          </w:p>
        </w:tc>
      </w:tr>
      <w:tr w14:paraId="1C832A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nil"/>
              <w:right w:val="single" w:color="auto" w:sz="6" w:space="0"/>
            </w:tcBorders>
            <w:noWrap w:val="0"/>
            <w:vAlign w:val="center"/>
          </w:tcPr>
          <w:p w14:paraId="1D3BA32E">
            <w:pPr>
              <w:pStyle w:val="13"/>
              <w:keepNext/>
              <w:spacing w:line="440" w:lineRule="exact"/>
              <w:ind w:left="63" w:right="63"/>
              <w:rPr>
                <w:rFonts w:hint="eastAsia" w:ascii="宋体" w:hAnsi="宋体" w:eastAsia="宋体" w:cs="宋体"/>
                <w:sz w:val="24"/>
                <w:szCs w:val="24"/>
              </w:rPr>
            </w:pPr>
          </w:p>
        </w:tc>
        <w:tc>
          <w:tcPr>
            <w:tcW w:w="722" w:type="pct"/>
            <w:tcBorders>
              <w:top w:val="single" w:color="auto" w:sz="6" w:space="0"/>
              <w:left w:val="single" w:color="auto" w:sz="6" w:space="0"/>
              <w:bottom w:val="single" w:color="auto" w:sz="6" w:space="0"/>
              <w:right w:val="single" w:color="auto" w:sz="6" w:space="0"/>
            </w:tcBorders>
            <w:noWrap w:val="0"/>
            <w:vAlign w:val="center"/>
          </w:tcPr>
          <w:p w14:paraId="05B57790">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29A887B2">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0254F1FB">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41198C54">
            <w:pPr>
              <w:pStyle w:val="13"/>
              <w:keepNext/>
              <w:spacing w:line="440" w:lineRule="exact"/>
              <w:ind w:left="63" w:right="63"/>
              <w:rPr>
                <w:rFonts w:hint="eastAsia" w:ascii="宋体" w:hAnsi="宋体" w:eastAsia="宋体" w:cs="宋体"/>
                <w:sz w:val="24"/>
                <w:szCs w:val="24"/>
              </w:rPr>
            </w:pPr>
          </w:p>
        </w:tc>
      </w:tr>
      <w:tr w14:paraId="274128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nil"/>
              <w:left w:val="single" w:color="auto" w:sz="12" w:space="0"/>
              <w:bottom w:val="nil"/>
              <w:right w:val="single" w:color="auto" w:sz="6" w:space="0"/>
            </w:tcBorders>
            <w:noWrap w:val="0"/>
            <w:vAlign w:val="center"/>
          </w:tcPr>
          <w:p w14:paraId="0FDBDB56">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其他人员</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43D695F8">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4DA11AB5">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29846313">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79C25AF9">
            <w:pPr>
              <w:pStyle w:val="13"/>
              <w:keepNext/>
              <w:spacing w:line="440" w:lineRule="exact"/>
              <w:ind w:left="63" w:right="63"/>
              <w:rPr>
                <w:rFonts w:hint="eastAsia" w:ascii="宋体" w:hAnsi="宋体" w:eastAsia="宋体" w:cs="宋体"/>
                <w:sz w:val="24"/>
                <w:szCs w:val="24"/>
              </w:rPr>
            </w:pPr>
          </w:p>
        </w:tc>
      </w:tr>
      <w:tr w14:paraId="5B3FAE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nil"/>
              <w:left w:val="single" w:color="auto" w:sz="12" w:space="0"/>
              <w:bottom w:val="nil"/>
              <w:right w:val="single" w:color="auto" w:sz="6" w:space="0"/>
            </w:tcBorders>
            <w:noWrap w:val="0"/>
            <w:vAlign w:val="center"/>
          </w:tcPr>
          <w:p w14:paraId="05DADA03">
            <w:pPr>
              <w:pStyle w:val="13"/>
              <w:keepNext/>
              <w:spacing w:line="440" w:lineRule="exact"/>
              <w:ind w:left="63" w:right="63"/>
              <w:rPr>
                <w:rFonts w:hint="eastAsia" w:ascii="宋体" w:hAnsi="宋体" w:eastAsia="宋体" w:cs="宋体"/>
                <w:sz w:val="24"/>
                <w:szCs w:val="24"/>
              </w:rPr>
            </w:pPr>
          </w:p>
        </w:tc>
        <w:tc>
          <w:tcPr>
            <w:tcW w:w="722" w:type="pct"/>
            <w:tcBorders>
              <w:top w:val="single" w:color="auto" w:sz="6" w:space="0"/>
              <w:left w:val="single" w:color="auto" w:sz="6" w:space="0"/>
              <w:bottom w:val="single" w:color="auto" w:sz="6" w:space="0"/>
              <w:right w:val="single" w:color="auto" w:sz="6" w:space="0"/>
            </w:tcBorders>
            <w:noWrap w:val="0"/>
            <w:vAlign w:val="center"/>
          </w:tcPr>
          <w:p w14:paraId="4193F73F">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7F66ED6D">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64EAD804">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329E5D43">
            <w:pPr>
              <w:pStyle w:val="13"/>
              <w:keepNext/>
              <w:spacing w:line="440" w:lineRule="exact"/>
              <w:ind w:left="63" w:right="63"/>
              <w:rPr>
                <w:rFonts w:hint="eastAsia" w:ascii="宋体" w:hAnsi="宋体" w:eastAsia="宋体" w:cs="宋体"/>
                <w:sz w:val="24"/>
                <w:szCs w:val="24"/>
              </w:rPr>
            </w:pPr>
          </w:p>
        </w:tc>
      </w:tr>
      <w:tr w14:paraId="4145E9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000" w:type="pct"/>
            <w:gridSpan w:val="5"/>
            <w:tcBorders>
              <w:top w:val="single" w:color="auto" w:sz="6" w:space="0"/>
              <w:left w:val="single" w:color="auto" w:sz="12" w:space="0"/>
              <w:bottom w:val="single" w:color="auto" w:sz="6" w:space="0"/>
              <w:right w:val="single" w:color="auto" w:sz="12" w:space="0"/>
            </w:tcBorders>
            <w:noWrap w:val="0"/>
            <w:vAlign w:val="center"/>
          </w:tcPr>
          <w:p w14:paraId="484F592E">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二、现场人员</w:t>
            </w:r>
          </w:p>
        </w:tc>
      </w:tr>
      <w:tr w14:paraId="2C6600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78822CB4">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项目经理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2E23E676">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5DD72E05">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7A828DF0">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7D3CDDFE">
            <w:pPr>
              <w:pStyle w:val="13"/>
              <w:keepNext/>
              <w:spacing w:line="440" w:lineRule="exact"/>
              <w:ind w:left="63" w:right="63"/>
              <w:rPr>
                <w:rFonts w:hint="eastAsia" w:ascii="宋体" w:hAnsi="宋体" w:eastAsia="宋体" w:cs="宋体"/>
                <w:sz w:val="24"/>
                <w:szCs w:val="24"/>
              </w:rPr>
            </w:pPr>
          </w:p>
        </w:tc>
      </w:tr>
      <w:tr w14:paraId="2C4309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7F42C245">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项目副经理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1E483643">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37537682">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2D2B4A39">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6DF8CDBD">
            <w:pPr>
              <w:pStyle w:val="13"/>
              <w:keepNext/>
              <w:spacing w:line="440" w:lineRule="exact"/>
              <w:ind w:left="63" w:right="63"/>
              <w:rPr>
                <w:rFonts w:hint="eastAsia" w:ascii="宋体" w:hAnsi="宋体" w:eastAsia="宋体" w:cs="宋体"/>
                <w:sz w:val="24"/>
                <w:szCs w:val="24"/>
              </w:rPr>
            </w:pPr>
          </w:p>
        </w:tc>
      </w:tr>
      <w:tr w14:paraId="181127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732DCE43">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技术负责人</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1FF40E2E">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49988967">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1FAF1D5A">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1E743FA7">
            <w:pPr>
              <w:pStyle w:val="13"/>
              <w:keepNext/>
              <w:spacing w:line="440" w:lineRule="exact"/>
              <w:ind w:left="63" w:right="63"/>
              <w:rPr>
                <w:rFonts w:hint="eastAsia" w:ascii="宋体" w:hAnsi="宋体" w:eastAsia="宋体" w:cs="宋体"/>
                <w:sz w:val="24"/>
                <w:szCs w:val="24"/>
              </w:rPr>
            </w:pPr>
          </w:p>
        </w:tc>
      </w:tr>
      <w:tr w14:paraId="3BE3D0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1C47C4B0">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造价管理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34D2CA82">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0790D45F">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08B10D8F">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37585DB0">
            <w:pPr>
              <w:pStyle w:val="13"/>
              <w:keepNext/>
              <w:spacing w:line="440" w:lineRule="exact"/>
              <w:ind w:left="63" w:right="63"/>
              <w:rPr>
                <w:rFonts w:hint="eastAsia" w:ascii="宋体" w:hAnsi="宋体" w:eastAsia="宋体" w:cs="宋体"/>
                <w:sz w:val="24"/>
                <w:szCs w:val="24"/>
              </w:rPr>
            </w:pPr>
          </w:p>
        </w:tc>
      </w:tr>
      <w:tr w14:paraId="1D3169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6583411E">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质量管理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0781C670">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079BCC15">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126D3609">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2AFB82A8">
            <w:pPr>
              <w:pStyle w:val="13"/>
              <w:keepNext/>
              <w:spacing w:line="440" w:lineRule="exact"/>
              <w:ind w:left="63" w:right="63"/>
              <w:rPr>
                <w:rFonts w:hint="eastAsia" w:ascii="宋体" w:hAnsi="宋体" w:eastAsia="宋体" w:cs="宋体"/>
                <w:sz w:val="24"/>
                <w:szCs w:val="24"/>
              </w:rPr>
            </w:pPr>
          </w:p>
        </w:tc>
      </w:tr>
      <w:tr w14:paraId="2C0751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750D2124">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材料管理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158BF89C">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59BDEDA2">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39A6E8C2">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1AF50709">
            <w:pPr>
              <w:pStyle w:val="13"/>
              <w:keepNext/>
              <w:spacing w:line="440" w:lineRule="exact"/>
              <w:ind w:left="63" w:right="63"/>
              <w:rPr>
                <w:rFonts w:hint="eastAsia" w:ascii="宋体" w:hAnsi="宋体" w:eastAsia="宋体" w:cs="宋体"/>
                <w:sz w:val="24"/>
                <w:szCs w:val="24"/>
              </w:rPr>
            </w:pPr>
          </w:p>
        </w:tc>
      </w:tr>
      <w:tr w14:paraId="3C1DC0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0A4BDE31">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计划管理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2E9D95B4">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42E4184B">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08917F8E">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4F1093F7">
            <w:pPr>
              <w:pStyle w:val="13"/>
              <w:keepNext/>
              <w:spacing w:line="440" w:lineRule="exact"/>
              <w:ind w:left="63" w:right="63"/>
              <w:rPr>
                <w:rFonts w:hint="eastAsia" w:ascii="宋体" w:hAnsi="宋体" w:eastAsia="宋体" w:cs="宋体"/>
                <w:sz w:val="24"/>
                <w:szCs w:val="24"/>
              </w:rPr>
            </w:pPr>
          </w:p>
        </w:tc>
      </w:tr>
      <w:tr w14:paraId="1F1D35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tcBorders>
              <w:top w:val="single" w:color="auto" w:sz="6" w:space="0"/>
              <w:left w:val="single" w:color="auto" w:sz="12" w:space="0"/>
              <w:bottom w:val="single" w:color="auto" w:sz="6" w:space="0"/>
              <w:right w:val="single" w:color="auto" w:sz="6" w:space="0"/>
            </w:tcBorders>
            <w:noWrap w:val="0"/>
            <w:vAlign w:val="center"/>
          </w:tcPr>
          <w:p w14:paraId="4F4A31A0">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安全管理</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006F7A1D">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6A153210">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260F78D4">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3AC2C7EA">
            <w:pPr>
              <w:pStyle w:val="13"/>
              <w:keepNext/>
              <w:spacing w:line="440" w:lineRule="exact"/>
              <w:ind w:left="63" w:right="63"/>
              <w:rPr>
                <w:rFonts w:hint="eastAsia" w:ascii="宋体" w:hAnsi="宋体" w:eastAsia="宋体" w:cs="宋体"/>
                <w:sz w:val="24"/>
                <w:szCs w:val="24"/>
              </w:rPr>
            </w:pPr>
          </w:p>
        </w:tc>
      </w:tr>
      <w:tr w14:paraId="3BAFB4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vMerge w:val="restart"/>
            <w:tcBorders>
              <w:top w:val="single" w:color="auto" w:sz="6" w:space="0"/>
              <w:left w:val="single" w:color="auto" w:sz="12" w:space="0"/>
              <w:bottom w:val="single" w:color="auto" w:sz="12" w:space="0"/>
              <w:right w:val="single" w:color="auto" w:sz="6" w:space="0"/>
            </w:tcBorders>
            <w:noWrap w:val="0"/>
            <w:vAlign w:val="center"/>
          </w:tcPr>
          <w:p w14:paraId="39324198">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其他人员</w:t>
            </w:r>
          </w:p>
        </w:tc>
        <w:tc>
          <w:tcPr>
            <w:tcW w:w="722" w:type="pct"/>
            <w:tcBorders>
              <w:top w:val="single" w:color="auto" w:sz="6" w:space="0"/>
              <w:left w:val="single" w:color="auto" w:sz="6" w:space="0"/>
              <w:bottom w:val="single" w:color="auto" w:sz="6" w:space="0"/>
              <w:right w:val="single" w:color="auto" w:sz="6" w:space="0"/>
            </w:tcBorders>
            <w:noWrap w:val="0"/>
            <w:vAlign w:val="center"/>
          </w:tcPr>
          <w:p w14:paraId="3B64D860">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1B86681D">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3521BA93">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480AABF0">
            <w:pPr>
              <w:pStyle w:val="13"/>
              <w:keepNext/>
              <w:spacing w:line="440" w:lineRule="exact"/>
              <w:ind w:left="63" w:right="63"/>
              <w:rPr>
                <w:rFonts w:hint="eastAsia" w:ascii="宋体" w:hAnsi="宋体" w:eastAsia="宋体" w:cs="宋体"/>
                <w:sz w:val="24"/>
                <w:szCs w:val="24"/>
              </w:rPr>
            </w:pPr>
          </w:p>
        </w:tc>
      </w:tr>
      <w:tr w14:paraId="7C3155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vMerge w:val="continue"/>
            <w:tcBorders>
              <w:top w:val="single" w:color="auto" w:sz="6" w:space="0"/>
              <w:left w:val="single" w:color="auto" w:sz="12" w:space="0"/>
              <w:bottom w:val="single" w:color="auto" w:sz="12" w:space="0"/>
              <w:right w:val="single" w:color="auto" w:sz="6" w:space="0"/>
            </w:tcBorders>
            <w:noWrap w:val="0"/>
            <w:vAlign w:val="center"/>
          </w:tcPr>
          <w:p w14:paraId="72363271">
            <w:pPr>
              <w:widowControl/>
              <w:rPr>
                <w:rFonts w:hint="eastAsia" w:ascii="宋体" w:hAnsi="宋体" w:eastAsia="宋体" w:cs="宋体"/>
                <w:sz w:val="24"/>
                <w:szCs w:val="24"/>
              </w:rPr>
            </w:pPr>
          </w:p>
        </w:tc>
        <w:tc>
          <w:tcPr>
            <w:tcW w:w="722" w:type="pct"/>
            <w:tcBorders>
              <w:top w:val="single" w:color="auto" w:sz="6" w:space="0"/>
              <w:left w:val="single" w:color="auto" w:sz="6" w:space="0"/>
              <w:bottom w:val="nil"/>
              <w:right w:val="single" w:color="auto" w:sz="6" w:space="0"/>
            </w:tcBorders>
            <w:noWrap w:val="0"/>
            <w:vAlign w:val="center"/>
          </w:tcPr>
          <w:p w14:paraId="738C9CF8">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nil"/>
              <w:right w:val="single" w:color="auto" w:sz="6" w:space="0"/>
            </w:tcBorders>
            <w:noWrap w:val="0"/>
            <w:vAlign w:val="center"/>
          </w:tcPr>
          <w:p w14:paraId="4747C92F">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nil"/>
              <w:right w:val="single" w:color="auto" w:sz="6" w:space="0"/>
            </w:tcBorders>
            <w:noWrap w:val="0"/>
            <w:vAlign w:val="center"/>
          </w:tcPr>
          <w:p w14:paraId="6B7FAE04">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nil"/>
              <w:right w:val="single" w:color="auto" w:sz="12" w:space="0"/>
            </w:tcBorders>
            <w:noWrap w:val="0"/>
            <w:vAlign w:val="center"/>
          </w:tcPr>
          <w:p w14:paraId="1C55E7D5">
            <w:pPr>
              <w:pStyle w:val="13"/>
              <w:keepNext/>
              <w:spacing w:line="440" w:lineRule="exact"/>
              <w:ind w:left="63" w:right="63"/>
              <w:rPr>
                <w:rFonts w:hint="eastAsia" w:ascii="宋体" w:hAnsi="宋体" w:eastAsia="宋体" w:cs="宋体"/>
                <w:sz w:val="24"/>
                <w:szCs w:val="24"/>
              </w:rPr>
            </w:pPr>
          </w:p>
        </w:tc>
      </w:tr>
      <w:tr w14:paraId="0ABA9D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vMerge w:val="continue"/>
            <w:tcBorders>
              <w:top w:val="single" w:color="auto" w:sz="6" w:space="0"/>
              <w:left w:val="single" w:color="auto" w:sz="12" w:space="0"/>
              <w:bottom w:val="single" w:color="auto" w:sz="12" w:space="0"/>
              <w:right w:val="single" w:color="auto" w:sz="6" w:space="0"/>
            </w:tcBorders>
            <w:noWrap w:val="0"/>
            <w:vAlign w:val="center"/>
          </w:tcPr>
          <w:p w14:paraId="3EC7C4B7">
            <w:pPr>
              <w:widowControl/>
              <w:rPr>
                <w:rFonts w:hint="eastAsia" w:ascii="宋体" w:hAnsi="宋体" w:eastAsia="宋体" w:cs="宋体"/>
                <w:sz w:val="24"/>
                <w:szCs w:val="24"/>
              </w:rPr>
            </w:pPr>
          </w:p>
        </w:tc>
        <w:tc>
          <w:tcPr>
            <w:tcW w:w="722" w:type="pct"/>
            <w:tcBorders>
              <w:top w:val="single" w:color="auto" w:sz="6" w:space="0"/>
              <w:left w:val="single" w:color="auto" w:sz="6" w:space="0"/>
              <w:bottom w:val="single" w:color="auto" w:sz="6" w:space="0"/>
              <w:right w:val="single" w:color="auto" w:sz="6" w:space="0"/>
            </w:tcBorders>
            <w:noWrap w:val="0"/>
            <w:vAlign w:val="center"/>
          </w:tcPr>
          <w:p w14:paraId="5FCD81A2">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0FD74BB0">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71F89F37">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297CD10E">
            <w:pPr>
              <w:pStyle w:val="13"/>
              <w:keepNext/>
              <w:spacing w:line="440" w:lineRule="exact"/>
              <w:ind w:left="63" w:right="63"/>
              <w:rPr>
                <w:rFonts w:hint="eastAsia" w:ascii="宋体" w:hAnsi="宋体" w:eastAsia="宋体" w:cs="宋体"/>
                <w:sz w:val="24"/>
                <w:szCs w:val="24"/>
              </w:rPr>
            </w:pPr>
          </w:p>
        </w:tc>
      </w:tr>
      <w:tr w14:paraId="565FF1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vMerge w:val="continue"/>
            <w:tcBorders>
              <w:top w:val="single" w:color="auto" w:sz="6" w:space="0"/>
              <w:left w:val="single" w:color="auto" w:sz="12" w:space="0"/>
              <w:bottom w:val="single" w:color="auto" w:sz="12" w:space="0"/>
              <w:right w:val="single" w:color="auto" w:sz="6" w:space="0"/>
            </w:tcBorders>
            <w:noWrap w:val="0"/>
            <w:vAlign w:val="center"/>
          </w:tcPr>
          <w:p w14:paraId="19532C3A">
            <w:pPr>
              <w:widowControl/>
              <w:rPr>
                <w:rFonts w:hint="eastAsia" w:ascii="宋体" w:hAnsi="宋体" w:eastAsia="宋体" w:cs="宋体"/>
                <w:sz w:val="24"/>
                <w:szCs w:val="24"/>
              </w:rPr>
            </w:pPr>
          </w:p>
        </w:tc>
        <w:tc>
          <w:tcPr>
            <w:tcW w:w="722" w:type="pct"/>
            <w:tcBorders>
              <w:top w:val="single" w:color="auto" w:sz="6" w:space="0"/>
              <w:left w:val="single" w:color="auto" w:sz="6" w:space="0"/>
              <w:bottom w:val="single" w:color="auto" w:sz="6" w:space="0"/>
              <w:right w:val="single" w:color="auto" w:sz="6" w:space="0"/>
            </w:tcBorders>
            <w:noWrap w:val="0"/>
            <w:vAlign w:val="center"/>
          </w:tcPr>
          <w:p w14:paraId="0725469C">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51EA2D39">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68477E2E">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6F7F025B">
            <w:pPr>
              <w:pStyle w:val="13"/>
              <w:keepNext/>
              <w:spacing w:line="440" w:lineRule="exact"/>
              <w:ind w:left="63" w:right="63"/>
              <w:rPr>
                <w:rFonts w:hint="eastAsia" w:ascii="宋体" w:hAnsi="宋体" w:eastAsia="宋体" w:cs="宋体"/>
                <w:sz w:val="24"/>
                <w:szCs w:val="24"/>
              </w:rPr>
            </w:pPr>
          </w:p>
        </w:tc>
      </w:tr>
      <w:tr w14:paraId="3F2E56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vMerge w:val="continue"/>
            <w:tcBorders>
              <w:top w:val="single" w:color="auto" w:sz="6" w:space="0"/>
              <w:left w:val="single" w:color="auto" w:sz="12" w:space="0"/>
              <w:bottom w:val="single" w:color="auto" w:sz="12" w:space="0"/>
              <w:right w:val="single" w:color="auto" w:sz="6" w:space="0"/>
            </w:tcBorders>
            <w:noWrap w:val="0"/>
            <w:vAlign w:val="center"/>
          </w:tcPr>
          <w:p w14:paraId="09166E7F">
            <w:pPr>
              <w:widowControl/>
              <w:rPr>
                <w:rFonts w:hint="eastAsia" w:ascii="宋体" w:hAnsi="宋体" w:eastAsia="宋体" w:cs="宋体"/>
                <w:sz w:val="24"/>
                <w:szCs w:val="24"/>
              </w:rPr>
            </w:pPr>
          </w:p>
        </w:tc>
        <w:tc>
          <w:tcPr>
            <w:tcW w:w="722" w:type="pct"/>
            <w:tcBorders>
              <w:top w:val="single" w:color="auto" w:sz="6" w:space="0"/>
              <w:left w:val="single" w:color="auto" w:sz="6" w:space="0"/>
              <w:bottom w:val="single" w:color="auto" w:sz="6" w:space="0"/>
              <w:right w:val="single" w:color="auto" w:sz="6" w:space="0"/>
            </w:tcBorders>
            <w:noWrap w:val="0"/>
            <w:vAlign w:val="center"/>
          </w:tcPr>
          <w:p w14:paraId="72A9F699">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63CCB79D">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6" w:space="0"/>
              <w:right w:val="single" w:color="auto" w:sz="6" w:space="0"/>
            </w:tcBorders>
            <w:noWrap w:val="0"/>
            <w:vAlign w:val="center"/>
          </w:tcPr>
          <w:p w14:paraId="0E0C9DA8">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6" w:space="0"/>
              <w:right w:val="single" w:color="auto" w:sz="12" w:space="0"/>
            </w:tcBorders>
            <w:noWrap w:val="0"/>
            <w:vAlign w:val="center"/>
          </w:tcPr>
          <w:p w14:paraId="5060DA7B">
            <w:pPr>
              <w:pStyle w:val="13"/>
              <w:keepNext/>
              <w:spacing w:line="440" w:lineRule="exact"/>
              <w:ind w:left="63" w:right="63"/>
              <w:rPr>
                <w:rFonts w:hint="eastAsia" w:ascii="宋体" w:hAnsi="宋体" w:eastAsia="宋体" w:cs="宋体"/>
                <w:sz w:val="24"/>
                <w:szCs w:val="24"/>
              </w:rPr>
            </w:pPr>
          </w:p>
        </w:tc>
      </w:tr>
      <w:tr w14:paraId="375413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53" w:type="pct"/>
            <w:vMerge w:val="continue"/>
            <w:tcBorders>
              <w:top w:val="single" w:color="auto" w:sz="6" w:space="0"/>
              <w:left w:val="single" w:color="auto" w:sz="12" w:space="0"/>
              <w:bottom w:val="single" w:color="auto" w:sz="12" w:space="0"/>
              <w:right w:val="single" w:color="auto" w:sz="6" w:space="0"/>
            </w:tcBorders>
            <w:noWrap w:val="0"/>
            <w:vAlign w:val="center"/>
          </w:tcPr>
          <w:p w14:paraId="4D205635">
            <w:pPr>
              <w:widowControl/>
              <w:rPr>
                <w:rFonts w:hint="eastAsia" w:ascii="宋体" w:hAnsi="宋体" w:eastAsia="宋体" w:cs="宋体"/>
                <w:sz w:val="24"/>
                <w:szCs w:val="24"/>
              </w:rPr>
            </w:pPr>
          </w:p>
        </w:tc>
        <w:tc>
          <w:tcPr>
            <w:tcW w:w="722" w:type="pct"/>
            <w:tcBorders>
              <w:top w:val="single" w:color="auto" w:sz="6" w:space="0"/>
              <w:left w:val="single" w:color="auto" w:sz="6" w:space="0"/>
              <w:bottom w:val="single" w:color="auto" w:sz="12" w:space="0"/>
              <w:right w:val="single" w:color="auto" w:sz="6" w:space="0"/>
            </w:tcBorders>
            <w:noWrap w:val="0"/>
            <w:vAlign w:val="center"/>
          </w:tcPr>
          <w:p w14:paraId="2C278C74">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12" w:space="0"/>
              <w:right w:val="single" w:color="auto" w:sz="6" w:space="0"/>
            </w:tcBorders>
            <w:noWrap w:val="0"/>
            <w:vAlign w:val="center"/>
          </w:tcPr>
          <w:p w14:paraId="6D418C37">
            <w:pPr>
              <w:pStyle w:val="13"/>
              <w:keepNext/>
              <w:spacing w:line="440" w:lineRule="exact"/>
              <w:ind w:left="63" w:right="63"/>
              <w:rPr>
                <w:rFonts w:hint="eastAsia" w:ascii="宋体" w:hAnsi="宋体" w:eastAsia="宋体" w:cs="宋体"/>
                <w:sz w:val="24"/>
                <w:szCs w:val="24"/>
              </w:rPr>
            </w:pPr>
          </w:p>
        </w:tc>
        <w:tc>
          <w:tcPr>
            <w:tcW w:w="577" w:type="pct"/>
            <w:tcBorders>
              <w:top w:val="single" w:color="auto" w:sz="6" w:space="0"/>
              <w:left w:val="single" w:color="auto" w:sz="6" w:space="0"/>
              <w:bottom w:val="single" w:color="auto" w:sz="12" w:space="0"/>
              <w:right w:val="single" w:color="auto" w:sz="6" w:space="0"/>
            </w:tcBorders>
            <w:noWrap w:val="0"/>
            <w:vAlign w:val="center"/>
          </w:tcPr>
          <w:p w14:paraId="208B93CE">
            <w:pPr>
              <w:pStyle w:val="13"/>
              <w:keepNext/>
              <w:spacing w:line="440" w:lineRule="exact"/>
              <w:ind w:left="63" w:right="63"/>
              <w:rPr>
                <w:rFonts w:hint="eastAsia" w:ascii="宋体" w:hAnsi="宋体" w:eastAsia="宋体" w:cs="宋体"/>
                <w:sz w:val="24"/>
                <w:szCs w:val="24"/>
              </w:rPr>
            </w:pPr>
          </w:p>
        </w:tc>
        <w:tc>
          <w:tcPr>
            <w:tcW w:w="2167" w:type="pct"/>
            <w:tcBorders>
              <w:top w:val="single" w:color="auto" w:sz="6" w:space="0"/>
              <w:left w:val="single" w:color="auto" w:sz="6" w:space="0"/>
              <w:bottom w:val="single" w:color="auto" w:sz="12" w:space="0"/>
              <w:right w:val="single" w:color="auto" w:sz="12" w:space="0"/>
            </w:tcBorders>
            <w:noWrap w:val="0"/>
            <w:vAlign w:val="center"/>
          </w:tcPr>
          <w:p w14:paraId="54BFC974">
            <w:pPr>
              <w:pStyle w:val="13"/>
              <w:keepNext/>
              <w:spacing w:line="440" w:lineRule="exact"/>
              <w:ind w:left="63" w:right="63"/>
              <w:rPr>
                <w:rFonts w:hint="eastAsia" w:ascii="宋体" w:hAnsi="宋体" w:eastAsia="宋体" w:cs="宋体"/>
                <w:sz w:val="24"/>
                <w:szCs w:val="24"/>
              </w:rPr>
            </w:pPr>
          </w:p>
        </w:tc>
      </w:tr>
    </w:tbl>
    <w:p w14:paraId="01F1E805">
      <w:pPr>
        <w:spacing w:line="440" w:lineRule="exact"/>
        <w:rPr>
          <w:rFonts w:hint="eastAsia" w:ascii="宋体" w:hAnsi="宋体" w:eastAsia="宋体" w:cs="宋体"/>
          <w:sz w:val="24"/>
          <w:szCs w:val="24"/>
        </w:rPr>
      </w:pPr>
      <w:r>
        <w:rPr>
          <w:rFonts w:ascii="仿宋" w:hAnsi="仿宋" w:eastAsia="仿宋"/>
          <w:sz w:val="30"/>
          <w:szCs w:val="30"/>
          <w:highlight w:val="white"/>
        </w:rPr>
        <w:br w:type="page"/>
      </w:r>
      <w:r>
        <w:rPr>
          <w:rFonts w:hint="eastAsia" w:ascii="宋体" w:hAnsi="宋体" w:eastAsia="宋体" w:cs="宋体"/>
          <w:sz w:val="24"/>
          <w:szCs w:val="24"/>
          <w:highlight w:val="white"/>
        </w:rPr>
        <w:t>附件8：</w:t>
      </w:r>
    </w:p>
    <w:p w14:paraId="3AB07479">
      <w:pPr>
        <w:spacing w:before="156" w:beforeLines="50" w:after="156" w:afterLines="50" w:line="440" w:lineRule="exact"/>
        <w:jc w:val="center"/>
        <w:rPr>
          <w:rFonts w:hint="eastAsia" w:ascii="宋体" w:hAnsi="宋体" w:eastAsia="宋体" w:cs="宋体"/>
          <w:sz w:val="24"/>
          <w:szCs w:val="24"/>
        </w:rPr>
      </w:pPr>
      <w:r>
        <w:rPr>
          <w:rFonts w:hint="eastAsia" w:ascii="宋体" w:hAnsi="宋体" w:eastAsia="宋体" w:cs="宋体"/>
          <w:sz w:val="24"/>
          <w:szCs w:val="24"/>
          <w:highlight w:val="white"/>
        </w:rPr>
        <w:t>履约担保</w:t>
      </w:r>
    </w:p>
    <w:p w14:paraId="6B337CF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rPr>
        <w:t>（发包人名称）：</w:t>
      </w:r>
    </w:p>
    <w:p w14:paraId="0934E9CD">
      <w:pPr>
        <w:spacing w:line="360" w:lineRule="auto"/>
        <w:ind w:firstLine="480" w:firstLineChars="200"/>
        <w:rPr>
          <w:rFonts w:hint="eastAsia" w:ascii="宋体" w:hAnsi="宋体" w:eastAsia="宋体" w:cs="宋体"/>
          <w:sz w:val="24"/>
          <w:szCs w:val="24"/>
        </w:rPr>
      </w:pPr>
    </w:p>
    <w:p w14:paraId="756961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鉴于</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（发包人名称，以下简称“发包人”）与</w:t>
      </w:r>
    </w:p>
    <w:p w14:paraId="6ECF901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 xml:space="preserve"> </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（承包人名称）（以下称“承包人”）于</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年</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月</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日就</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 xml:space="preserve">（工程名称）施工及有关事项协商一致共同签订《建设工程施工合同》。我方愿意无条件地、不可撤销地就承包人履行与你方签订的合同，向你方提供连带责任担保。 </w:t>
      </w:r>
    </w:p>
    <w:p w14:paraId="138736F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 担保金额人民币（大写）</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元（</w:t>
      </w:r>
      <w:r>
        <w:rPr>
          <w:rFonts w:hint="eastAsia" w:ascii="宋体" w:hAnsi="宋体" w:cs="宋体"/>
          <w:sz w:val="24"/>
          <w:szCs w:val="24"/>
          <w:highlight w:val="white"/>
        </w:rPr>
        <w:t>¥</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w:t>
      </w:r>
    </w:p>
    <w:p w14:paraId="39FBEF0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 担保有效期自你方与承包人签订的合同生效之日起至你方签发或应签发工程接收证书之日止。</w:t>
      </w:r>
    </w:p>
    <w:p w14:paraId="029076C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 在本担保有效期内，因承包人违反合同约定的义务给你方造成经济损失时，我方在收到你方以书面形式提出的在担保金额内的赔偿要求后，在7天内无条件支付。</w:t>
      </w:r>
    </w:p>
    <w:p w14:paraId="053670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4. 你方和承包人按合同约定变更合同时，我方承担本担保规定的义务不变。</w:t>
      </w:r>
    </w:p>
    <w:p w14:paraId="2A68CA9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5. 因本保函发生的纠纷，可由双方协商解决，协商不成的，任何一方均可提请</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仲裁委员会仲裁。</w:t>
      </w:r>
    </w:p>
    <w:p w14:paraId="2FB4196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6. 本保函自我方法定代表人（或其授权代理人）签字并加盖公章之日起生效。</w:t>
      </w:r>
    </w:p>
    <w:p w14:paraId="47C6E916">
      <w:pPr>
        <w:spacing w:line="360" w:lineRule="auto"/>
        <w:ind w:firstLine="480" w:firstLineChars="200"/>
        <w:rPr>
          <w:rFonts w:hint="eastAsia" w:ascii="宋体" w:hAnsi="宋体" w:eastAsia="宋体" w:cs="宋体"/>
          <w:sz w:val="24"/>
          <w:szCs w:val="24"/>
        </w:rPr>
      </w:pPr>
    </w:p>
    <w:p w14:paraId="225DE1B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担 保 人：</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（盖单位章）</w:t>
      </w:r>
    </w:p>
    <w:p w14:paraId="2F7F97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法定代表人或其委托代理人：</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（签字）</w:t>
      </w:r>
    </w:p>
    <w:p w14:paraId="742C29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地    址：</w:t>
      </w:r>
      <w:r>
        <w:rPr>
          <w:rFonts w:hint="eastAsia" w:ascii="宋体" w:hAnsi="宋体" w:eastAsia="宋体" w:cs="宋体"/>
          <w:sz w:val="24"/>
          <w:szCs w:val="24"/>
          <w:highlight w:val="white"/>
          <w:u w:val="single"/>
        </w:rPr>
        <w:t xml:space="preserve">                                      </w:t>
      </w:r>
    </w:p>
    <w:p w14:paraId="4E353C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邮政编码：</w:t>
      </w:r>
      <w:r>
        <w:rPr>
          <w:rFonts w:hint="eastAsia" w:ascii="宋体" w:hAnsi="宋体" w:eastAsia="宋体" w:cs="宋体"/>
          <w:sz w:val="24"/>
          <w:szCs w:val="24"/>
          <w:highlight w:val="white"/>
          <w:u w:val="single"/>
        </w:rPr>
        <w:t xml:space="preserve">                                      </w:t>
      </w:r>
    </w:p>
    <w:p w14:paraId="4F59857F">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highlight w:val="white"/>
        </w:rPr>
        <w:t>电    话：</w:t>
      </w:r>
      <w:r>
        <w:rPr>
          <w:rFonts w:hint="eastAsia" w:ascii="宋体" w:hAnsi="宋体" w:eastAsia="宋体" w:cs="宋体"/>
          <w:sz w:val="24"/>
          <w:szCs w:val="24"/>
          <w:highlight w:val="white"/>
          <w:u w:val="single"/>
        </w:rPr>
        <w:t xml:space="preserve">                                      </w:t>
      </w:r>
    </w:p>
    <w:p w14:paraId="4804633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传    真：</w:t>
      </w:r>
      <w:r>
        <w:rPr>
          <w:rFonts w:hint="eastAsia" w:ascii="宋体" w:hAnsi="宋体" w:eastAsia="宋体" w:cs="宋体"/>
          <w:sz w:val="24"/>
          <w:szCs w:val="24"/>
          <w:highlight w:val="white"/>
          <w:u w:val="single"/>
        </w:rPr>
        <w:t xml:space="preserve">                                      </w:t>
      </w:r>
    </w:p>
    <w:p w14:paraId="45498D92">
      <w:pPr>
        <w:spacing w:line="360" w:lineRule="auto"/>
        <w:ind w:firstLine="480" w:firstLineChars="200"/>
        <w:rPr>
          <w:rFonts w:hint="eastAsia" w:ascii="宋体" w:hAnsi="宋体" w:eastAsia="宋体" w:cs="宋体"/>
          <w:sz w:val="24"/>
          <w:szCs w:val="24"/>
          <w:u w:val="single"/>
        </w:rPr>
      </w:pPr>
    </w:p>
    <w:p w14:paraId="49006D25">
      <w:pPr>
        <w:spacing w:line="360" w:lineRule="auto"/>
        <w:ind w:left="0" w:firstLine="480" w:firstLineChars="200"/>
        <w:rPr>
          <w:rFonts w:ascii="仿宋" w:hAnsi="仿宋" w:eastAsia="仿宋"/>
          <w:sz w:val="28"/>
          <w:szCs w:val="28"/>
        </w:rPr>
      </w:pPr>
      <w:r>
        <w:rPr>
          <w:rFonts w:hint="eastAsia" w:ascii="宋体" w:hAnsi="宋体" w:eastAsia="宋体" w:cs="宋体"/>
          <w:sz w:val="24"/>
          <w:szCs w:val="24"/>
          <w:highlight w:val="white"/>
        </w:rPr>
        <w:t xml:space="preserve"> </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年</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月</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日</w:t>
      </w:r>
    </w:p>
    <w:p w14:paraId="7B4FD5FF">
      <w:pPr>
        <w:spacing w:line="360" w:lineRule="auto"/>
        <w:ind w:left="1772" w:hanging="1772" w:hangingChars="633"/>
        <w:rPr>
          <w:rFonts w:ascii="仿宋" w:hAnsi="仿宋" w:eastAsia="仿宋"/>
          <w:sz w:val="28"/>
          <w:szCs w:val="28"/>
        </w:rPr>
      </w:pPr>
    </w:p>
    <w:p w14:paraId="180A1D0A">
      <w:pPr>
        <w:spacing w:line="360" w:lineRule="auto"/>
        <w:ind w:left="1772" w:hanging="1772" w:hangingChars="633"/>
        <w:rPr>
          <w:rFonts w:ascii="仿宋" w:hAnsi="仿宋" w:eastAsia="仿宋"/>
          <w:sz w:val="28"/>
          <w:szCs w:val="28"/>
        </w:rPr>
      </w:pPr>
    </w:p>
    <w:p w14:paraId="7886F4C6">
      <w:pPr>
        <w:spacing w:line="360" w:lineRule="auto"/>
        <w:rPr>
          <w:rFonts w:hint="eastAsia" w:ascii="宋体" w:hAnsi="宋体" w:eastAsia="宋体" w:cs="宋体"/>
          <w:sz w:val="24"/>
          <w:szCs w:val="24"/>
        </w:rPr>
      </w:pPr>
      <w:r>
        <w:rPr>
          <w:rFonts w:hint="eastAsia" w:ascii="宋体" w:hAnsi="宋体" w:eastAsia="宋体" w:cs="宋体"/>
          <w:sz w:val="24"/>
          <w:szCs w:val="24"/>
          <w:highlight w:val="white"/>
        </w:rPr>
        <w:t>附件9 ：</w:t>
      </w:r>
    </w:p>
    <w:p w14:paraId="08397AFB">
      <w:pPr>
        <w:spacing w:before="156" w:beforeLines="50" w:after="156" w:afterLines="50" w:line="440" w:lineRule="exact"/>
        <w:jc w:val="center"/>
        <w:rPr>
          <w:rFonts w:hint="eastAsia" w:ascii="宋体" w:hAnsi="宋体" w:eastAsia="宋体" w:cs="宋体"/>
          <w:sz w:val="24"/>
          <w:szCs w:val="24"/>
        </w:rPr>
      </w:pPr>
      <w:r>
        <w:rPr>
          <w:rFonts w:hint="eastAsia" w:ascii="宋体" w:hAnsi="宋体" w:eastAsia="宋体" w:cs="宋体"/>
          <w:sz w:val="24"/>
          <w:szCs w:val="24"/>
          <w:highlight w:val="white"/>
        </w:rPr>
        <w:t>预付款担保</w:t>
      </w:r>
    </w:p>
    <w:p w14:paraId="0277AD8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 xml:space="preserve"> （发包人名称）：</w:t>
      </w:r>
    </w:p>
    <w:p w14:paraId="5CBBBF3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根据</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（承包人名称）（以下称“承包人”）与</w:t>
      </w:r>
    </w:p>
    <w:p w14:paraId="2FF9CED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（发包人名称）（以下简称“发包人”）</w:t>
      </w:r>
    </w:p>
    <w:p w14:paraId="6446A3F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于</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年</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月</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日签订的</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（工程名称）《建设工程施工合同》，承包人按约定的金额向你方提交一份预付款担保，即有权得到你方支付相等金额的预付款。我方愿意就你方提供给承包人的预付款为承包人提供连带责任担保。</w:t>
      </w:r>
    </w:p>
    <w:p w14:paraId="2D5A18C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 担保金额人民币（大写）</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元（</w:t>
      </w:r>
      <w:r>
        <w:rPr>
          <w:rFonts w:hint="eastAsia" w:ascii="宋体" w:hAnsi="宋体" w:cs="宋体"/>
          <w:sz w:val="24"/>
          <w:szCs w:val="24"/>
          <w:highlight w:val="white"/>
        </w:rPr>
        <w:t>¥</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w:t>
      </w:r>
    </w:p>
    <w:p w14:paraId="5116DB0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 担保有效期自预付款支付给承包人起生效，至你方签发的进度款支付证书说明已完全扣清止。</w:t>
      </w:r>
    </w:p>
    <w:p w14:paraId="7650DCA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3930F40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4. 你方和承包人按合同约定变更合同时，我方承担本保函规定的义务不变。</w:t>
      </w:r>
    </w:p>
    <w:p w14:paraId="244EF2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5. 因本保函发生的纠纷，可由双方协商解决，协商不成的，任何一方均可提请</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仲裁委员会仲裁。</w:t>
      </w:r>
    </w:p>
    <w:p w14:paraId="3AC6E92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6. 本保函自我方法定代表人（或其授权代理人）签字并加盖公章之日起生效。</w:t>
      </w:r>
    </w:p>
    <w:p w14:paraId="0AD68A8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担保人：</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（盖单位章）</w:t>
      </w:r>
    </w:p>
    <w:p w14:paraId="36AD48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法定代表人或其委托代理人：</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（签字）</w:t>
      </w:r>
    </w:p>
    <w:p w14:paraId="596C600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地    址：</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p>
    <w:p w14:paraId="6BC14F29">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highlight w:val="white"/>
        </w:rPr>
        <w:t>邮政编码：</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p>
    <w:p w14:paraId="4B1DA42B">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highlight w:val="white"/>
        </w:rPr>
        <w:t>电    话：</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p>
    <w:p w14:paraId="60056F30">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highlight w:val="white"/>
        </w:rPr>
        <w:t>传    真：</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r>
        <w:rPr>
          <w:rFonts w:hint="eastAsia" w:ascii="宋体" w:hAnsi="宋体" w:eastAsia="宋体" w:cs="宋体"/>
          <w:sz w:val="24"/>
          <w:szCs w:val="24"/>
          <w:highlight w:val="white"/>
          <w:u w:val="single"/>
        </w:rPr>
        <w:tab/>
      </w:r>
    </w:p>
    <w:p w14:paraId="627259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 xml:space="preserve">  </w:t>
      </w:r>
    </w:p>
    <w:p w14:paraId="6FD0D4CB">
      <w:pPr>
        <w:spacing w:line="360" w:lineRule="auto"/>
        <w:ind w:firstLine="480" w:firstLineChars="200"/>
        <w:rPr>
          <w:rFonts w:hint="eastAsia" w:ascii="宋体" w:hAnsi="宋体" w:eastAsia="宋体" w:cs="宋体"/>
          <w:sz w:val="24"/>
          <w:szCs w:val="24"/>
          <w:u w:val="single"/>
        </w:rPr>
      </w:pPr>
    </w:p>
    <w:p w14:paraId="3E7756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年</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月</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日</w:t>
      </w:r>
    </w:p>
    <w:p w14:paraId="7C761CA3">
      <w:pPr>
        <w:spacing w:beforeLines="0" w:afterLines="0" w:line="360" w:lineRule="auto"/>
        <w:ind w:firstLine="0" w:firstLineChars="0"/>
        <w:rPr>
          <w:rFonts w:hint="eastAsia" w:ascii="宋体" w:hAnsi="宋体" w:eastAsia="宋体" w:cs="宋体"/>
          <w:sz w:val="24"/>
          <w:szCs w:val="24"/>
        </w:rPr>
      </w:pPr>
      <w:r>
        <w:rPr>
          <w:rFonts w:ascii="仿宋" w:hAnsi="仿宋" w:eastAsia="仿宋"/>
          <w:b/>
          <w:sz w:val="28"/>
          <w:szCs w:val="28"/>
          <w:highlight w:val="white"/>
        </w:rPr>
        <w:br w:type="page"/>
      </w:r>
      <w:r>
        <w:rPr>
          <w:rFonts w:hint="eastAsia" w:ascii="宋体" w:hAnsi="宋体" w:eastAsia="宋体" w:cs="宋体"/>
          <w:sz w:val="24"/>
          <w:szCs w:val="24"/>
          <w:highlight w:val="white"/>
        </w:rPr>
        <w:t xml:space="preserve">附件10:  </w:t>
      </w:r>
    </w:p>
    <w:p w14:paraId="5ADBE9E8">
      <w:pPr>
        <w:spacing w:before="0" w:beforeLines="0" w:after="0" w:afterLines="0" w:line="360" w:lineRule="auto"/>
        <w:ind w:firstLine="480" w:firstLineChars="200"/>
        <w:jc w:val="center"/>
        <w:rPr>
          <w:rFonts w:hint="eastAsia" w:ascii="宋体" w:hAnsi="宋体" w:eastAsia="宋体" w:cs="宋体"/>
          <w:sz w:val="24"/>
          <w:szCs w:val="24"/>
        </w:rPr>
      </w:pPr>
      <w:r>
        <w:rPr>
          <w:rFonts w:hint="eastAsia" w:ascii="宋体" w:hAnsi="宋体" w:eastAsia="宋体" w:cs="宋体"/>
          <w:sz w:val="24"/>
          <w:szCs w:val="24"/>
          <w:highlight w:val="white"/>
        </w:rPr>
        <w:t>支付担保</w:t>
      </w:r>
    </w:p>
    <w:p w14:paraId="43916BF4">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（承包人）：</w:t>
      </w:r>
    </w:p>
    <w:p w14:paraId="29F0E427">
      <w:pPr>
        <w:spacing w:beforeLines="0" w:afterLines="0" w:line="360" w:lineRule="auto"/>
        <w:ind w:firstLine="480" w:firstLineChars="200"/>
        <w:rPr>
          <w:rFonts w:hint="eastAsia" w:ascii="宋体" w:hAnsi="宋体" w:eastAsia="宋体" w:cs="宋体"/>
          <w:sz w:val="24"/>
          <w:szCs w:val="24"/>
        </w:rPr>
      </w:pPr>
    </w:p>
    <w:p w14:paraId="22EB0471">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鉴于你方作为承包人已经与</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（发包人名称）（以下称“发包人”）于</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年</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月</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日签订了</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（工程名称）《建设工程施工合同》（以下称“主合同”），应发包人的申请，我方愿就发包人履行主合同约定的工程款支付义务以保证的方式向你方提供如下担保：</w:t>
      </w:r>
    </w:p>
    <w:p w14:paraId="133358BB">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一、保证的范围及保证金额</w:t>
      </w:r>
    </w:p>
    <w:p w14:paraId="01883A0C">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 我方的保证范围是主合同约定的工程款。</w:t>
      </w:r>
    </w:p>
    <w:p w14:paraId="4AB9A144">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 本保函所称主合同约定的工程款是指主合同约定的除工程质量保证金以外的合同价款。</w:t>
      </w:r>
    </w:p>
    <w:p w14:paraId="33AAA30F">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 我方保证的金额是主合同约定的工程款的</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%，数额最高不超过人民币元（大写：</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w:t>
      </w:r>
    </w:p>
    <w:p w14:paraId="03BA109C">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二、保证的方式及保证期间</w:t>
      </w:r>
    </w:p>
    <w:p w14:paraId="556840F3">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 我方保证的方式为：连带责任保证。</w:t>
      </w:r>
    </w:p>
    <w:p w14:paraId="21514D9F">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 我方保证的期间为：自本合同生效之日起至主合同约定的工程款支付完毕之日后</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日内。</w:t>
      </w:r>
    </w:p>
    <w:p w14:paraId="36C5A686">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 你方与发包人协议变更工程款支付日期的，经我方书面同意后，保证期间按照变更后的支付日期做相应调整。</w:t>
      </w:r>
    </w:p>
    <w:p w14:paraId="5B356D94">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三、承担保证责任的形式</w:t>
      </w:r>
    </w:p>
    <w:p w14:paraId="677624F2">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我方承担保证责任的形式是代为支付。发包人未按主合同约定向你方支付工程款的，由我方在保证金额内代为支付。</w:t>
      </w:r>
    </w:p>
    <w:p w14:paraId="56C9AC7F">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四、代偿的安排</w:t>
      </w:r>
    </w:p>
    <w:p w14:paraId="7DA2496F">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 你方要求我方承担保证责任的，应向我方发出书面索赔通知及发包人未支付主合同约定工程款的证明材料。索赔通知应写明要求索赔的金额，支付款项应到达的账号。</w:t>
      </w:r>
    </w:p>
    <w:p w14:paraId="01F85F55">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 在出现你方与发包人因工程质量发生争议，发包人拒绝向你方支付工程款的情形时，你方要求我方履行保证责任代为支付的，需提供符合相应条件要求的工程质量检测机构出具的质量说明材料。</w:t>
      </w:r>
    </w:p>
    <w:p w14:paraId="2F94A2C7">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 我方收到你方的书面索赔通知及相应的证明材料后７天内无条件支付。</w:t>
      </w:r>
    </w:p>
    <w:p w14:paraId="2FAF5637">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五、保证责任的解除</w:t>
      </w:r>
    </w:p>
    <w:p w14:paraId="67C79013">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 在本保函承诺的保证期间内，你方未书面向我方主张保证责任的，自保证期间届满次日起，我方保证责任解除。</w:t>
      </w:r>
    </w:p>
    <w:p w14:paraId="20391AF8">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 发包人按主合同约定履行了工程款的全部支付义务的，自本保函承诺的保证期间届满次日起，我方保证责任解除。</w:t>
      </w:r>
    </w:p>
    <w:p w14:paraId="76086D43">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 我方按照本保函向你方履行保证责任所支付金额达到本保函保证金额时，自我方向你方支付（支付款项从我方账户划出）之日起，保证责任即解除。</w:t>
      </w:r>
    </w:p>
    <w:p w14:paraId="346FAAA1">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4. 按照法律法规的规定或出现应解除我方保证责任的其他情形的，我方在本保函项下的保证责任亦解除。</w:t>
      </w:r>
    </w:p>
    <w:p w14:paraId="773948EE">
      <w:pPr>
        <w:spacing w:beforeLines="0" w:afterLines="0" w:line="360" w:lineRule="auto"/>
        <w:ind w:firstLine="480" w:firstLineChars="200"/>
        <w:rPr>
          <w:rFonts w:hint="eastAsia" w:ascii="宋体" w:hAnsi="宋体" w:eastAsia="宋体" w:cs="宋体"/>
          <w:sz w:val="24"/>
          <w:szCs w:val="24"/>
        </w:rPr>
      </w:pPr>
    </w:p>
    <w:p w14:paraId="72F6A918">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5. 我方解除保证责任后，你方应自我方保证责任解除之日起</w:t>
      </w:r>
      <w:r>
        <w:rPr>
          <w:rFonts w:hint="eastAsia" w:ascii="宋体" w:hAnsi="宋体" w:eastAsia="宋体" w:cs="宋体"/>
          <w:sz w:val="24"/>
          <w:szCs w:val="24"/>
          <w:highlight w:val="white"/>
          <w:u w:val="single"/>
        </w:rPr>
        <w:t>/</w:t>
      </w:r>
      <w:r>
        <w:rPr>
          <w:rFonts w:hint="eastAsia" w:ascii="宋体" w:hAnsi="宋体" w:eastAsia="宋体" w:cs="宋体"/>
          <w:sz w:val="24"/>
          <w:szCs w:val="24"/>
          <w:highlight w:val="white"/>
        </w:rPr>
        <w:t>个工作日内，将本保函原件返还我方。</w:t>
      </w:r>
    </w:p>
    <w:p w14:paraId="1C8707B5">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六、免责条款</w:t>
      </w:r>
    </w:p>
    <w:p w14:paraId="7B9A10FF">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 因你方违约致使发包人不能履行义务的，我方不承担保证责任。</w:t>
      </w:r>
    </w:p>
    <w:p w14:paraId="049D9477">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 依照法律法规的规定或你方与发包人的另行约定，免除发包人部分或全部义务的，我方亦免除其相应的保证责任。</w:t>
      </w:r>
    </w:p>
    <w:p w14:paraId="26117201">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3. 你方与发包人协议变更主合同的，如加重发包人责任致使我方保证责任加重的，需征得我方书面同意，否则我方不再承担因此而加重部分的保证责任，但主合同第10条〔变更〕约定的变更不受本款限制。</w:t>
      </w:r>
    </w:p>
    <w:p w14:paraId="431544D2">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4. 因不可抗力造成发包人不能履行义务的，我方不承担保证责任。</w:t>
      </w:r>
    </w:p>
    <w:p w14:paraId="10AE4018">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七、争议解决</w:t>
      </w:r>
    </w:p>
    <w:p w14:paraId="291C565C">
      <w:pPr>
        <w:spacing w:beforeLines="0" w:after="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因本保函或本保函相关事项发生的纠纷，可由双方协商解决，协商不成的，按下列第</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种方式解决：</w:t>
      </w:r>
    </w:p>
    <w:p w14:paraId="45AA7EF6">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（1）向</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仲裁委员会申请仲裁；</w:t>
      </w:r>
    </w:p>
    <w:p w14:paraId="5753F690">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（2）向</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人民法院起诉。</w:t>
      </w:r>
    </w:p>
    <w:p w14:paraId="5C6E53E7">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八、保函的生效</w:t>
      </w:r>
    </w:p>
    <w:p w14:paraId="0EA88BC6">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本保函自我方法定代表人（或其授权代理人）签字并加盖公章之日起生效。</w:t>
      </w:r>
    </w:p>
    <w:p w14:paraId="554C7918">
      <w:pPr>
        <w:spacing w:beforeLines="0" w:afterLines="0" w:line="360" w:lineRule="auto"/>
        <w:ind w:firstLine="480" w:firstLineChars="200"/>
        <w:rPr>
          <w:rFonts w:hint="eastAsia" w:ascii="宋体" w:hAnsi="宋体" w:eastAsia="宋体" w:cs="宋体"/>
          <w:sz w:val="24"/>
          <w:szCs w:val="24"/>
        </w:rPr>
      </w:pPr>
    </w:p>
    <w:p w14:paraId="51630032">
      <w:pPr>
        <w:spacing w:beforeLines="0" w:afterLines="0" w:line="360" w:lineRule="auto"/>
        <w:ind w:right="0" w:firstLine="480" w:firstLineChars="200"/>
        <w:rPr>
          <w:rFonts w:hint="eastAsia" w:ascii="宋体" w:hAnsi="宋体" w:eastAsia="宋体" w:cs="宋体"/>
          <w:sz w:val="24"/>
          <w:szCs w:val="24"/>
        </w:rPr>
      </w:pPr>
    </w:p>
    <w:p w14:paraId="0D94A825">
      <w:pPr>
        <w:spacing w:beforeLines="0" w:afterLines="0" w:line="360" w:lineRule="auto"/>
        <w:ind w:right="0"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担保人：</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（盖章）</w:t>
      </w:r>
    </w:p>
    <w:p w14:paraId="208DE1F0">
      <w:pPr>
        <w:spacing w:beforeLines="0" w:afterLines="0" w:line="360" w:lineRule="auto"/>
        <w:ind w:right="0"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法定代表人或委托代理人：</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（签字）</w:t>
      </w:r>
    </w:p>
    <w:p w14:paraId="1A78AE00">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地    址：</w:t>
      </w:r>
      <w:r>
        <w:rPr>
          <w:rFonts w:hint="eastAsia" w:ascii="宋体" w:hAnsi="宋体" w:eastAsia="宋体" w:cs="宋体"/>
          <w:sz w:val="24"/>
          <w:szCs w:val="24"/>
          <w:highlight w:val="white"/>
          <w:u w:val="single"/>
        </w:rPr>
        <w:t xml:space="preserve">         /                           </w:t>
      </w:r>
    </w:p>
    <w:p w14:paraId="15BE5305">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邮政编码：</w:t>
      </w:r>
      <w:r>
        <w:rPr>
          <w:rFonts w:hint="eastAsia" w:ascii="宋体" w:hAnsi="宋体" w:eastAsia="宋体" w:cs="宋体"/>
          <w:sz w:val="24"/>
          <w:szCs w:val="24"/>
          <w:highlight w:val="white"/>
          <w:u w:val="single"/>
        </w:rPr>
        <w:t xml:space="preserve">         /                            </w:t>
      </w:r>
    </w:p>
    <w:p w14:paraId="0B2B3095">
      <w:pPr>
        <w:spacing w:beforeLines="0" w:afterLines="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highlight w:val="white"/>
        </w:rPr>
        <w:t>传    真：</w:t>
      </w:r>
      <w:r>
        <w:rPr>
          <w:rFonts w:hint="eastAsia" w:ascii="宋体" w:hAnsi="宋体" w:eastAsia="宋体" w:cs="宋体"/>
          <w:sz w:val="24"/>
          <w:szCs w:val="24"/>
          <w:highlight w:val="white"/>
          <w:u w:val="single"/>
        </w:rPr>
        <w:t xml:space="preserve">        /                             </w:t>
      </w:r>
    </w:p>
    <w:p w14:paraId="7CD3D395">
      <w:pPr>
        <w:spacing w:beforeLines="0" w:afterLines="0" w:line="360" w:lineRule="auto"/>
        <w:ind w:right="0" w:firstLine="480" w:firstLineChars="200"/>
        <w:rPr>
          <w:rFonts w:hint="eastAsia" w:ascii="宋体" w:hAnsi="宋体" w:eastAsia="宋体" w:cs="宋体"/>
          <w:sz w:val="24"/>
          <w:szCs w:val="24"/>
          <w:u w:val="single"/>
        </w:rPr>
      </w:pPr>
    </w:p>
    <w:p w14:paraId="5D0E522F">
      <w:pPr>
        <w:spacing w:beforeLines="0" w:afterLines="0" w:line="360" w:lineRule="auto"/>
        <w:ind w:right="0" w:firstLine="480" w:firstLineChars="200"/>
        <w:rPr>
          <w:rFonts w:ascii="仿宋" w:hAnsi="仿宋" w:eastAsia="仿宋"/>
          <w:sz w:val="28"/>
          <w:szCs w:val="28"/>
        </w:rPr>
      </w:pPr>
      <w:r>
        <w:rPr>
          <w:rFonts w:hint="eastAsia" w:ascii="宋体" w:hAnsi="宋体" w:eastAsia="宋体" w:cs="宋体"/>
          <w:sz w:val="24"/>
          <w:szCs w:val="24"/>
          <w:highlight w:val="white"/>
        </w:rPr>
        <w:t xml:space="preserve">             </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年</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月</w:t>
      </w:r>
      <w:r>
        <w:rPr>
          <w:rFonts w:hint="eastAsia" w:ascii="宋体" w:hAnsi="宋体" w:eastAsia="宋体" w:cs="宋体"/>
          <w:sz w:val="24"/>
          <w:szCs w:val="24"/>
          <w:highlight w:val="white"/>
          <w:u w:val="single"/>
        </w:rPr>
        <w:t xml:space="preserve">   /  </w:t>
      </w:r>
      <w:r>
        <w:rPr>
          <w:rFonts w:hint="eastAsia" w:ascii="宋体" w:hAnsi="宋体" w:eastAsia="宋体" w:cs="宋体"/>
          <w:sz w:val="24"/>
          <w:szCs w:val="24"/>
          <w:highlight w:val="white"/>
        </w:rPr>
        <w:t>日</w:t>
      </w:r>
    </w:p>
    <w:p w14:paraId="362AB514">
      <w:pPr>
        <w:spacing w:line="440" w:lineRule="exact"/>
        <w:rPr>
          <w:rFonts w:hint="eastAsia" w:ascii="宋体" w:hAnsi="宋体" w:eastAsia="宋体" w:cs="宋体"/>
          <w:sz w:val="24"/>
          <w:szCs w:val="24"/>
        </w:rPr>
      </w:pPr>
      <w:r>
        <w:rPr>
          <w:rFonts w:ascii="仿宋" w:hAnsi="仿宋" w:eastAsia="仿宋"/>
          <w:sz w:val="30"/>
          <w:szCs w:val="30"/>
          <w:highlight w:val="white"/>
        </w:rPr>
        <w:br w:type="page"/>
      </w:r>
      <w:r>
        <w:rPr>
          <w:rFonts w:hint="eastAsia" w:ascii="宋体" w:hAnsi="宋体" w:eastAsia="宋体" w:cs="宋体"/>
          <w:sz w:val="24"/>
          <w:szCs w:val="24"/>
          <w:highlight w:val="white"/>
        </w:rPr>
        <w:t>附件11：</w:t>
      </w:r>
    </w:p>
    <w:p w14:paraId="28F23397">
      <w:pPr>
        <w:spacing w:before="156" w:beforeLines="50" w:after="156" w:afterLines="50" w:line="440" w:lineRule="exact"/>
        <w:rPr>
          <w:rFonts w:hint="eastAsia" w:ascii="宋体" w:hAnsi="宋体" w:eastAsia="宋体" w:cs="宋体"/>
          <w:sz w:val="24"/>
          <w:szCs w:val="24"/>
        </w:rPr>
      </w:pPr>
      <w:r>
        <w:rPr>
          <w:rFonts w:hint="eastAsia" w:ascii="宋体" w:hAnsi="宋体" w:eastAsia="宋体" w:cs="宋体"/>
          <w:sz w:val="24"/>
          <w:szCs w:val="24"/>
          <w:highlight w:val="white"/>
        </w:rPr>
        <w:t>11-1：材料暂估价表</w:t>
      </w:r>
    </w:p>
    <w:tbl>
      <w:tblPr>
        <w:tblStyle w:val="29"/>
        <w:tblW w:w="4997"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031"/>
        <w:gridCol w:w="2060"/>
        <w:gridCol w:w="882"/>
        <w:gridCol w:w="803"/>
        <w:gridCol w:w="1546"/>
        <w:gridCol w:w="1694"/>
        <w:gridCol w:w="1400"/>
      </w:tblGrid>
      <w:tr w14:paraId="616372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12" w:space="0"/>
              <w:left w:val="single" w:color="auto" w:sz="12" w:space="0"/>
              <w:bottom w:val="double" w:color="auto" w:sz="6" w:space="0"/>
              <w:right w:val="single" w:color="auto" w:sz="6" w:space="0"/>
            </w:tcBorders>
            <w:noWrap w:val="0"/>
            <w:vAlign w:val="top"/>
          </w:tcPr>
          <w:p w14:paraId="185F8150">
            <w:pPr>
              <w:pStyle w:val="13"/>
              <w:keepNext/>
              <w:spacing w:line="440" w:lineRule="exact"/>
              <w:ind w:left="63" w:right="63"/>
              <w:rPr>
                <w:rFonts w:hint="eastAsia" w:ascii="宋体" w:hAnsi="宋体" w:eastAsia="宋体" w:cs="宋体"/>
                <w:sz w:val="24"/>
                <w:szCs w:val="24"/>
                <w:highlight w:val="white"/>
              </w:rPr>
            </w:pPr>
            <w:r>
              <w:rPr>
                <w:rFonts w:hint="eastAsia" w:ascii="宋体" w:hAnsi="宋体" w:eastAsia="宋体" w:cs="宋体"/>
                <w:sz w:val="24"/>
                <w:szCs w:val="24"/>
                <w:highlight w:val="white"/>
              </w:rPr>
              <w:t>序号</w:t>
            </w:r>
          </w:p>
        </w:tc>
        <w:tc>
          <w:tcPr>
            <w:tcW w:w="1093" w:type="pct"/>
            <w:tcBorders>
              <w:top w:val="single" w:color="auto" w:sz="12" w:space="0"/>
              <w:left w:val="single" w:color="auto" w:sz="6" w:space="0"/>
              <w:bottom w:val="double" w:color="auto" w:sz="6" w:space="0"/>
              <w:right w:val="single" w:color="auto" w:sz="6" w:space="0"/>
            </w:tcBorders>
            <w:noWrap w:val="0"/>
            <w:vAlign w:val="top"/>
          </w:tcPr>
          <w:p w14:paraId="6F6FD3E5">
            <w:pPr>
              <w:pStyle w:val="13"/>
              <w:keepNext/>
              <w:spacing w:line="440" w:lineRule="exact"/>
              <w:ind w:left="63" w:right="63"/>
              <w:rPr>
                <w:rFonts w:hint="eastAsia" w:ascii="宋体" w:hAnsi="宋体" w:eastAsia="宋体" w:cs="宋体"/>
                <w:sz w:val="24"/>
                <w:szCs w:val="24"/>
                <w:highlight w:val="white"/>
              </w:rPr>
            </w:pPr>
            <w:r>
              <w:rPr>
                <w:rFonts w:hint="eastAsia" w:ascii="宋体" w:hAnsi="宋体" w:eastAsia="宋体" w:cs="宋体"/>
                <w:sz w:val="24"/>
                <w:szCs w:val="24"/>
                <w:highlight w:val="white"/>
              </w:rPr>
              <w:t>名称</w:t>
            </w:r>
          </w:p>
        </w:tc>
        <w:tc>
          <w:tcPr>
            <w:tcW w:w="468" w:type="pct"/>
            <w:tcBorders>
              <w:top w:val="single" w:color="auto" w:sz="12" w:space="0"/>
              <w:left w:val="single" w:color="auto" w:sz="6" w:space="0"/>
              <w:bottom w:val="double" w:color="auto" w:sz="6" w:space="0"/>
              <w:right w:val="single" w:color="auto" w:sz="6" w:space="0"/>
            </w:tcBorders>
            <w:noWrap w:val="0"/>
            <w:vAlign w:val="top"/>
          </w:tcPr>
          <w:p w14:paraId="3E500286">
            <w:pPr>
              <w:pStyle w:val="13"/>
              <w:keepNext/>
              <w:spacing w:line="440" w:lineRule="exact"/>
              <w:ind w:left="63" w:right="63"/>
              <w:rPr>
                <w:rFonts w:hint="eastAsia" w:ascii="宋体" w:hAnsi="宋体" w:eastAsia="宋体" w:cs="宋体"/>
                <w:sz w:val="24"/>
                <w:szCs w:val="24"/>
                <w:highlight w:val="white"/>
              </w:rPr>
            </w:pPr>
            <w:r>
              <w:rPr>
                <w:rFonts w:hint="eastAsia" w:ascii="宋体" w:hAnsi="宋体" w:eastAsia="宋体" w:cs="宋体"/>
                <w:sz w:val="24"/>
                <w:szCs w:val="24"/>
                <w:highlight w:val="white"/>
              </w:rPr>
              <w:t>单位</w:t>
            </w:r>
          </w:p>
        </w:tc>
        <w:tc>
          <w:tcPr>
            <w:tcW w:w="426" w:type="pct"/>
            <w:tcBorders>
              <w:top w:val="single" w:color="auto" w:sz="12" w:space="0"/>
              <w:left w:val="single" w:color="auto" w:sz="6" w:space="0"/>
              <w:bottom w:val="double" w:color="auto" w:sz="6" w:space="0"/>
              <w:right w:val="single" w:color="auto" w:sz="6" w:space="0"/>
            </w:tcBorders>
            <w:noWrap w:val="0"/>
            <w:vAlign w:val="top"/>
          </w:tcPr>
          <w:p w14:paraId="4BF306E8">
            <w:pPr>
              <w:pStyle w:val="13"/>
              <w:keepNext/>
              <w:spacing w:line="440" w:lineRule="exact"/>
              <w:ind w:left="63" w:right="63"/>
              <w:rPr>
                <w:rFonts w:hint="eastAsia" w:ascii="宋体" w:hAnsi="宋体" w:eastAsia="宋体" w:cs="宋体"/>
                <w:sz w:val="24"/>
                <w:szCs w:val="24"/>
                <w:highlight w:val="white"/>
              </w:rPr>
            </w:pPr>
            <w:r>
              <w:rPr>
                <w:rFonts w:hint="eastAsia" w:ascii="宋体" w:hAnsi="宋体" w:eastAsia="宋体" w:cs="宋体"/>
                <w:sz w:val="24"/>
                <w:szCs w:val="24"/>
                <w:highlight w:val="white"/>
              </w:rPr>
              <w:t>数量</w:t>
            </w:r>
          </w:p>
        </w:tc>
        <w:tc>
          <w:tcPr>
            <w:tcW w:w="820" w:type="pct"/>
            <w:tcBorders>
              <w:top w:val="single" w:color="auto" w:sz="12" w:space="0"/>
              <w:left w:val="single" w:color="auto" w:sz="6" w:space="0"/>
              <w:bottom w:val="double" w:color="auto" w:sz="6" w:space="0"/>
              <w:right w:val="single" w:color="auto" w:sz="6" w:space="0"/>
            </w:tcBorders>
            <w:noWrap w:val="0"/>
            <w:vAlign w:val="top"/>
          </w:tcPr>
          <w:p w14:paraId="3DF4BF68">
            <w:pPr>
              <w:pStyle w:val="13"/>
              <w:keepNext/>
              <w:spacing w:line="440" w:lineRule="exact"/>
              <w:ind w:left="63" w:right="63"/>
              <w:rPr>
                <w:rFonts w:hint="eastAsia" w:ascii="宋体" w:hAnsi="宋体" w:eastAsia="宋体" w:cs="宋体"/>
                <w:sz w:val="24"/>
                <w:szCs w:val="24"/>
                <w:highlight w:val="white"/>
              </w:rPr>
            </w:pPr>
            <w:r>
              <w:rPr>
                <w:rFonts w:hint="eastAsia" w:ascii="宋体" w:hAnsi="宋体" w:eastAsia="宋体" w:cs="宋体"/>
                <w:sz w:val="24"/>
                <w:szCs w:val="24"/>
                <w:highlight w:val="white"/>
              </w:rPr>
              <w:t>单价（元）</w:t>
            </w:r>
          </w:p>
        </w:tc>
        <w:tc>
          <w:tcPr>
            <w:tcW w:w="899" w:type="pct"/>
            <w:tcBorders>
              <w:top w:val="single" w:color="auto" w:sz="12" w:space="0"/>
              <w:left w:val="single" w:color="auto" w:sz="6" w:space="0"/>
              <w:bottom w:val="double" w:color="auto" w:sz="6" w:space="0"/>
              <w:right w:val="single" w:color="auto" w:sz="6" w:space="0"/>
            </w:tcBorders>
            <w:noWrap w:val="0"/>
            <w:vAlign w:val="top"/>
          </w:tcPr>
          <w:p w14:paraId="416A4EB2">
            <w:pPr>
              <w:pStyle w:val="13"/>
              <w:keepNext/>
              <w:spacing w:line="440" w:lineRule="exact"/>
              <w:ind w:left="63" w:right="63"/>
              <w:rPr>
                <w:rFonts w:hint="eastAsia" w:ascii="宋体" w:hAnsi="宋体" w:eastAsia="宋体" w:cs="宋体"/>
                <w:sz w:val="24"/>
                <w:szCs w:val="24"/>
                <w:highlight w:val="white"/>
              </w:rPr>
            </w:pPr>
            <w:r>
              <w:rPr>
                <w:rFonts w:hint="eastAsia" w:ascii="宋体" w:hAnsi="宋体" w:eastAsia="宋体" w:cs="宋体"/>
                <w:sz w:val="24"/>
                <w:szCs w:val="24"/>
                <w:highlight w:val="white"/>
              </w:rPr>
              <w:t>合价（元）</w:t>
            </w:r>
          </w:p>
        </w:tc>
        <w:tc>
          <w:tcPr>
            <w:tcW w:w="743" w:type="pct"/>
            <w:tcBorders>
              <w:top w:val="single" w:color="auto" w:sz="12" w:space="0"/>
              <w:left w:val="single" w:color="auto" w:sz="6" w:space="0"/>
              <w:bottom w:val="double" w:color="auto" w:sz="6" w:space="0"/>
              <w:right w:val="single" w:color="auto" w:sz="12" w:space="0"/>
            </w:tcBorders>
            <w:noWrap w:val="0"/>
            <w:vAlign w:val="top"/>
          </w:tcPr>
          <w:p w14:paraId="35EB05B9">
            <w:pPr>
              <w:pStyle w:val="13"/>
              <w:keepNext/>
              <w:spacing w:line="440" w:lineRule="exact"/>
              <w:ind w:left="63" w:right="63"/>
              <w:rPr>
                <w:rFonts w:hint="eastAsia" w:ascii="宋体" w:hAnsi="宋体" w:eastAsia="宋体" w:cs="宋体"/>
                <w:sz w:val="24"/>
                <w:szCs w:val="24"/>
                <w:highlight w:val="white"/>
              </w:rPr>
            </w:pPr>
            <w:r>
              <w:rPr>
                <w:rFonts w:hint="eastAsia" w:ascii="宋体" w:hAnsi="宋体" w:eastAsia="宋体" w:cs="宋体"/>
                <w:sz w:val="24"/>
                <w:szCs w:val="24"/>
                <w:highlight w:val="white"/>
              </w:rPr>
              <w:t>备注</w:t>
            </w:r>
          </w:p>
        </w:tc>
      </w:tr>
      <w:tr w14:paraId="5EF1B6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double" w:color="auto" w:sz="6" w:space="0"/>
              <w:left w:val="single" w:color="auto" w:sz="12" w:space="0"/>
              <w:bottom w:val="single" w:color="auto" w:sz="6" w:space="0"/>
              <w:right w:val="single" w:color="auto" w:sz="6" w:space="0"/>
            </w:tcBorders>
            <w:noWrap w:val="0"/>
            <w:vAlign w:val="top"/>
          </w:tcPr>
          <w:p w14:paraId="446DD158">
            <w:pPr>
              <w:pStyle w:val="13"/>
              <w:keepNext/>
              <w:spacing w:line="440" w:lineRule="exact"/>
              <w:ind w:left="63" w:right="63"/>
              <w:rPr>
                <w:rFonts w:ascii="仿宋" w:hAnsi="仿宋" w:eastAsia="仿宋"/>
                <w:sz w:val="28"/>
                <w:szCs w:val="30"/>
              </w:rPr>
            </w:pPr>
            <w:r>
              <w:rPr>
                <w:rFonts w:hint="eastAsia" w:ascii="仿宋" w:hAnsi="仿宋" w:eastAsia="仿宋"/>
                <w:sz w:val="28"/>
                <w:szCs w:val="30"/>
              </w:rPr>
              <w:t>/</w:t>
            </w:r>
          </w:p>
        </w:tc>
        <w:tc>
          <w:tcPr>
            <w:tcW w:w="1093" w:type="pct"/>
            <w:tcBorders>
              <w:top w:val="double" w:color="auto" w:sz="6" w:space="0"/>
              <w:left w:val="single" w:color="auto" w:sz="6" w:space="0"/>
              <w:bottom w:val="single" w:color="auto" w:sz="6" w:space="0"/>
              <w:right w:val="single" w:color="auto" w:sz="6" w:space="0"/>
            </w:tcBorders>
            <w:noWrap w:val="0"/>
            <w:vAlign w:val="top"/>
          </w:tcPr>
          <w:p w14:paraId="63A6560A">
            <w:pPr>
              <w:pStyle w:val="13"/>
              <w:keepNext/>
              <w:spacing w:line="440" w:lineRule="exact"/>
              <w:ind w:left="63" w:right="63"/>
              <w:rPr>
                <w:rFonts w:ascii="仿宋" w:hAnsi="仿宋" w:eastAsia="仿宋"/>
                <w:sz w:val="28"/>
                <w:szCs w:val="30"/>
              </w:rPr>
            </w:pPr>
          </w:p>
        </w:tc>
        <w:tc>
          <w:tcPr>
            <w:tcW w:w="468" w:type="pct"/>
            <w:tcBorders>
              <w:top w:val="double" w:color="auto" w:sz="6" w:space="0"/>
              <w:left w:val="single" w:color="auto" w:sz="6" w:space="0"/>
              <w:bottom w:val="single" w:color="auto" w:sz="6" w:space="0"/>
              <w:right w:val="single" w:color="auto" w:sz="6" w:space="0"/>
            </w:tcBorders>
            <w:noWrap w:val="0"/>
            <w:vAlign w:val="top"/>
          </w:tcPr>
          <w:p w14:paraId="1A24798F">
            <w:pPr>
              <w:pStyle w:val="13"/>
              <w:keepNext/>
              <w:spacing w:line="440" w:lineRule="exact"/>
              <w:ind w:left="63" w:right="63"/>
              <w:rPr>
                <w:rFonts w:ascii="仿宋" w:hAnsi="仿宋" w:eastAsia="仿宋"/>
                <w:sz w:val="28"/>
                <w:szCs w:val="30"/>
              </w:rPr>
            </w:pPr>
          </w:p>
        </w:tc>
        <w:tc>
          <w:tcPr>
            <w:tcW w:w="426" w:type="pct"/>
            <w:tcBorders>
              <w:top w:val="double" w:color="auto" w:sz="6" w:space="0"/>
              <w:left w:val="single" w:color="auto" w:sz="6" w:space="0"/>
              <w:bottom w:val="single" w:color="auto" w:sz="6" w:space="0"/>
              <w:right w:val="single" w:color="auto" w:sz="6" w:space="0"/>
            </w:tcBorders>
            <w:noWrap w:val="0"/>
            <w:vAlign w:val="top"/>
          </w:tcPr>
          <w:p w14:paraId="5EE4C558">
            <w:pPr>
              <w:pStyle w:val="13"/>
              <w:keepNext/>
              <w:spacing w:line="440" w:lineRule="exact"/>
              <w:ind w:left="63" w:right="63"/>
              <w:rPr>
                <w:rFonts w:ascii="仿宋" w:hAnsi="仿宋" w:eastAsia="仿宋"/>
                <w:sz w:val="28"/>
                <w:szCs w:val="30"/>
              </w:rPr>
            </w:pPr>
          </w:p>
        </w:tc>
        <w:tc>
          <w:tcPr>
            <w:tcW w:w="820" w:type="pct"/>
            <w:tcBorders>
              <w:top w:val="double" w:color="auto" w:sz="6" w:space="0"/>
              <w:left w:val="single" w:color="auto" w:sz="6" w:space="0"/>
              <w:bottom w:val="single" w:color="auto" w:sz="6" w:space="0"/>
              <w:right w:val="single" w:color="auto" w:sz="6" w:space="0"/>
            </w:tcBorders>
            <w:noWrap w:val="0"/>
            <w:vAlign w:val="top"/>
          </w:tcPr>
          <w:p w14:paraId="3AAEDD6D">
            <w:pPr>
              <w:pStyle w:val="13"/>
              <w:keepNext/>
              <w:spacing w:line="440" w:lineRule="exact"/>
              <w:ind w:left="63" w:right="63"/>
              <w:rPr>
                <w:rFonts w:ascii="仿宋" w:hAnsi="仿宋" w:eastAsia="仿宋"/>
                <w:sz w:val="28"/>
                <w:szCs w:val="30"/>
              </w:rPr>
            </w:pPr>
          </w:p>
        </w:tc>
        <w:tc>
          <w:tcPr>
            <w:tcW w:w="899" w:type="pct"/>
            <w:tcBorders>
              <w:top w:val="double" w:color="auto" w:sz="6" w:space="0"/>
              <w:left w:val="single" w:color="auto" w:sz="6" w:space="0"/>
              <w:bottom w:val="single" w:color="auto" w:sz="6" w:space="0"/>
              <w:right w:val="single" w:color="auto" w:sz="6" w:space="0"/>
            </w:tcBorders>
            <w:noWrap w:val="0"/>
            <w:vAlign w:val="top"/>
          </w:tcPr>
          <w:p w14:paraId="00CA882C">
            <w:pPr>
              <w:pStyle w:val="13"/>
              <w:keepNext/>
              <w:spacing w:line="440" w:lineRule="exact"/>
              <w:ind w:left="63" w:right="63"/>
              <w:rPr>
                <w:rFonts w:ascii="仿宋" w:hAnsi="仿宋" w:eastAsia="仿宋"/>
                <w:sz w:val="28"/>
                <w:szCs w:val="30"/>
              </w:rPr>
            </w:pPr>
          </w:p>
        </w:tc>
        <w:tc>
          <w:tcPr>
            <w:tcW w:w="743" w:type="pct"/>
            <w:tcBorders>
              <w:top w:val="double" w:color="auto" w:sz="6" w:space="0"/>
              <w:left w:val="single" w:color="auto" w:sz="6" w:space="0"/>
              <w:bottom w:val="single" w:color="auto" w:sz="6" w:space="0"/>
              <w:right w:val="single" w:color="auto" w:sz="12" w:space="0"/>
            </w:tcBorders>
            <w:noWrap w:val="0"/>
            <w:vAlign w:val="top"/>
          </w:tcPr>
          <w:p w14:paraId="7CDD42F4">
            <w:pPr>
              <w:pStyle w:val="13"/>
              <w:keepNext/>
              <w:spacing w:line="440" w:lineRule="exact"/>
              <w:ind w:left="63" w:right="63"/>
              <w:rPr>
                <w:rFonts w:ascii="仿宋" w:hAnsi="仿宋" w:eastAsia="仿宋"/>
                <w:sz w:val="28"/>
                <w:szCs w:val="30"/>
              </w:rPr>
            </w:pPr>
          </w:p>
        </w:tc>
      </w:tr>
      <w:tr w14:paraId="3958D8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nil"/>
              <w:left w:val="single" w:color="auto" w:sz="12" w:space="0"/>
              <w:bottom w:val="single" w:color="auto" w:sz="6" w:space="0"/>
              <w:right w:val="single" w:color="auto" w:sz="6" w:space="0"/>
            </w:tcBorders>
            <w:noWrap w:val="0"/>
            <w:vAlign w:val="top"/>
          </w:tcPr>
          <w:p w14:paraId="7937A93F">
            <w:pPr>
              <w:pStyle w:val="13"/>
              <w:keepNext/>
              <w:spacing w:line="440" w:lineRule="exact"/>
              <w:ind w:left="63" w:right="63"/>
              <w:rPr>
                <w:rFonts w:ascii="仿宋" w:hAnsi="仿宋" w:eastAsia="仿宋"/>
                <w:sz w:val="28"/>
                <w:szCs w:val="30"/>
              </w:rPr>
            </w:pPr>
          </w:p>
        </w:tc>
        <w:tc>
          <w:tcPr>
            <w:tcW w:w="1093" w:type="pct"/>
            <w:tcBorders>
              <w:top w:val="nil"/>
              <w:left w:val="single" w:color="auto" w:sz="6" w:space="0"/>
              <w:bottom w:val="single" w:color="auto" w:sz="6" w:space="0"/>
              <w:right w:val="single" w:color="auto" w:sz="6" w:space="0"/>
            </w:tcBorders>
            <w:noWrap w:val="0"/>
            <w:vAlign w:val="top"/>
          </w:tcPr>
          <w:p w14:paraId="590D941C">
            <w:pPr>
              <w:pStyle w:val="13"/>
              <w:keepNext/>
              <w:spacing w:line="440" w:lineRule="exact"/>
              <w:ind w:left="63" w:right="63"/>
              <w:rPr>
                <w:rFonts w:ascii="仿宋" w:hAnsi="仿宋" w:eastAsia="仿宋"/>
                <w:sz w:val="28"/>
                <w:szCs w:val="30"/>
              </w:rPr>
            </w:pPr>
          </w:p>
        </w:tc>
        <w:tc>
          <w:tcPr>
            <w:tcW w:w="468" w:type="pct"/>
            <w:tcBorders>
              <w:top w:val="nil"/>
              <w:left w:val="single" w:color="auto" w:sz="6" w:space="0"/>
              <w:bottom w:val="single" w:color="auto" w:sz="6" w:space="0"/>
              <w:right w:val="single" w:color="auto" w:sz="6" w:space="0"/>
            </w:tcBorders>
            <w:noWrap w:val="0"/>
            <w:vAlign w:val="top"/>
          </w:tcPr>
          <w:p w14:paraId="137C510C">
            <w:pPr>
              <w:pStyle w:val="13"/>
              <w:keepNext/>
              <w:spacing w:line="440" w:lineRule="exact"/>
              <w:ind w:left="63" w:right="63"/>
              <w:rPr>
                <w:rFonts w:ascii="仿宋" w:hAnsi="仿宋" w:eastAsia="仿宋"/>
                <w:sz w:val="28"/>
                <w:szCs w:val="30"/>
              </w:rPr>
            </w:pPr>
          </w:p>
        </w:tc>
        <w:tc>
          <w:tcPr>
            <w:tcW w:w="426" w:type="pct"/>
            <w:tcBorders>
              <w:top w:val="nil"/>
              <w:left w:val="single" w:color="auto" w:sz="6" w:space="0"/>
              <w:bottom w:val="single" w:color="auto" w:sz="6" w:space="0"/>
              <w:right w:val="single" w:color="auto" w:sz="6" w:space="0"/>
            </w:tcBorders>
            <w:noWrap w:val="0"/>
            <w:vAlign w:val="top"/>
          </w:tcPr>
          <w:p w14:paraId="756417E7">
            <w:pPr>
              <w:pStyle w:val="13"/>
              <w:keepNext/>
              <w:spacing w:line="440" w:lineRule="exact"/>
              <w:ind w:left="63" w:right="63"/>
              <w:rPr>
                <w:rFonts w:ascii="仿宋" w:hAnsi="仿宋" w:eastAsia="仿宋"/>
                <w:sz w:val="28"/>
                <w:szCs w:val="30"/>
              </w:rPr>
            </w:pPr>
          </w:p>
        </w:tc>
        <w:tc>
          <w:tcPr>
            <w:tcW w:w="820" w:type="pct"/>
            <w:tcBorders>
              <w:top w:val="nil"/>
              <w:left w:val="single" w:color="auto" w:sz="6" w:space="0"/>
              <w:bottom w:val="single" w:color="auto" w:sz="6" w:space="0"/>
              <w:right w:val="single" w:color="auto" w:sz="6" w:space="0"/>
            </w:tcBorders>
            <w:noWrap w:val="0"/>
            <w:vAlign w:val="top"/>
          </w:tcPr>
          <w:p w14:paraId="19EBE35B">
            <w:pPr>
              <w:pStyle w:val="13"/>
              <w:keepNext/>
              <w:spacing w:line="440" w:lineRule="exact"/>
              <w:ind w:left="63" w:right="63"/>
              <w:rPr>
                <w:rFonts w:ascii="仿宋" w:hAnsi="仿宋" w:eastAsia="仿宋"/>
                <w:sz w:val="28"/>
                <w:szCs w:val="30"/>
              </w:rPr>
            </w:pPr>
          </w:p>
        </w:tc>
        <w:tc>
          <w:tcPr>
            <w:tcW w:w="899" w:type="pct"/>
            <w:tcBorders>
              <w:top w:val="nil"/>
              <w:left w:val="single" w:color="auto" w:sz="6" w:space="0"/>
              <w:bottom w:val="single" w:color="auto" w:sz="6" w:space="0"/>
              <w:right w:val="single" w:color="auto" w:sz="6" w:space="0"/>
            </w:tcBorders>
            <w:noWrap w:val="0"/>
            <w:vAlign w:val="top"/>
          </w:tcPr>
          <w:p w14:paraId="41237E41">
            <w:pPr>
              <w:pStyle w:val="13"/>
              <w:keepNext/>
              <w:spacing w:line="440" w:lineRule="exact"/>
              <w:ind w:left="63" w:right="63"/>
              <w:rPr>
                <w:rFonts w:ascii="仿宋" w:hAnsi="仿宋" w:eastAsia="仿宋"/>
                <w:sz w:val="28"/>
                <w:szCs w:val="30"/>
              </w:rPr>
            </w:pPr>
          </w:p>
        </w:tc>
        <w:tc>
          <w:tcPr>
            <w:tcW w:w="743" w:type="pct"/>
            <w:tcBorders>
              <w:top w:val="nil"/>
              <w:left w:val="single" w:color="auto" w:sz="6" w:space="0"/>
              <w:bottom w:val="single" w:color="auto" w:sz="6" w:space="0"/>
              <w:right w:val="single" w:color="auto" w:sz="12" w:space="0"/>
            </w:tcBorders>
            <w:noWrap w:val="0"/>
            <w:vAlign w:val="top"/>
          </w:tcPr>
          <w:p w14:paraId="046B1CC9">
            <w:pPr>
              <w:pStyle w:val="13"/>
              <w:keepNext/>
              <w:spacing w:line="440" w:lineRule="exact"/>
              <w:ind w:left="63" w:right="63"/>
              <w:rPr>
                <w:rFonts w:ascii="仿宋" w:hAnsi="仿宋" w:eastAsia="仿宋"/>
                <w:sz w:val="28"/>
                <w:szCs w:val="30"/>
              </w:rPr>
            </w:pPr>
          </w:p>
        </w:tc>
      </w:tr>
      <w:tr w14:paraId="374B8F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2EE26139">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4A03EDFA">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4ACE9314">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4DC63A79">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486A5A9B">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607EB9BC">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4C6059B8">
            <w:pPr>
              <w:pStyle w:val="13"/>
              <w:keepNext/>
              <w:spacing w:line="440" w:lineRule="exact"/>
              <w:ind w:left="63" w:right="63"/>
              <w:rPr>
                <w:rFonts w:ascii="仿宋" w:hAnsi="仿宋" w:eastAsia="仿宋"/>
                <w:sz w:val="28"/>
                <w:szCs w:val="30"/>
              </w:rPr>
            </w:pPr>
          </w:p>
        </w:tc>
      </w:tr>
      <w:tr w14:paraId="12B48F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59878011">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32B0C4F7">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16CFE6D1">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1BACE801">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5913684F">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743990A1">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4A0C038D">
            <w:pPr>
              <w:pStyle w:val="13"/>
              <w:keepNext/>
              <w:spacing w:line="440" w:lineRule="exact"/>
              <w:ind w:left="63" w:right="63"/>
              <w:rPr>
                <w:rFonts w:ascii="仿宋" w:hAnsi="仿宋" w:eastAsia="仿宋"/>
                <w:sz w:val="28"/>
                <w:szCs w:val="30"/>
              </w:rPr>
            </w:pPr>
          </w:p>
        </w:tc>
      </w:tr>
      <w:tr w14:paraId="09D13F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2423E994">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448FBC60">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7C28A30E">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49069FA3">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31E54260">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3F4AF182">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0CE75014">
            <w:pPr>
              <w:pStyle w:val="13"/>
              <w:keepNext/>
              <w:spacing w:line="440" w:lineRule="exact"/>
              <w:ind w:left="63" w:right="63"/>
              <w:rPr>
                <w:rFonts w:ascii="仿宋" w:hAnsi="仿宋" w:eastAsia="仿宋"/>
                <w:sz w:val="28"/>
                <w:szCs w:val="30"/>
              </w:rPr>
            </w:pPr>
          </w:p>
        </w:tc>
      </w:tr>
      <w:tr w14:paraId="0479B8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519F7780">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4D8C6CF5">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200150DB">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28D30F59">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347815F2">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062698D7">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021E942F">
            <w:pPr>
              <w:pStyle w:val="13"/>
              <w:keepNext/>
              <w:spacing w:line="440" w:lineRule="exact"/>
              <w:ind w:left="63" w:right="63"/>
              <w:rPr>
                <w:rFonts w:ascii="仿宋" w:hAnsi="仿宋" w:eastAsia="仿宋"/>
                <w:sz w:val="28"/>
                <w:szCs w:val="30"/>
              </w:rPr>
            </w:pPr>
          </w:p>
        </w:tc>
      </w:tr>
      <w:tr w14:paraId="00609F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0FB840CA">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14BB9E68">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51E40C38">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49CE5896">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60A67DC5">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3C1FD4C6">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73451E4B">
            <w:pPr>
              <w:pStyle w:val="13"/>
              <w:keepNext/>
              <w:spacing w:line="440" w:lineRule="exact"/>
              <w:ind w:left="63" w:right="63"/>
              <w:rPr>
                <w:rFonts w:ascii="仿宋" w:hAnsi="仿宋" w:eastAsia="仿宋"/>
                <w:sz w:val="28"/>
                <w:szCs w:val="30"/>
              </w:rPr>
            </w:pPr>
          </w:p>
        </w:tc>
      </w:tr>
      <w:tr w14:paraId="108076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4ABA4F4B">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74FBEEFB">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6B52061C">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0BE65B8E">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246A368D">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58B859B1">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126EE8A4">
            <w:pPr>
              <w:pStyle w:val="13"/>
              <w:keepNext/>
              <w:spacing w:line="440" w:lineRule="exact"/>
              <w:ind w:left="63" w:right="63"/>
              <w:rPr>
                <w:rFonts w:ascii="仿宋" w:hAnsi="仿宋" w:eastAsia="仿宋"/>
                <w:sz w:val="28"/>
                <w:szCs w:val="30"/>
              </w:rPr>
            </w:pPr>
          </w:p>
        </w:tc>
      </w:tr>
      <w:tr w14:paraId="715A6E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01DF8238">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3392026C">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5148A9E4">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78D14717">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5CB5F818">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788DFE08">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538F2D8D">
            <w:pPr>
              <w:pStyle w:val="13"/>
              <w:keepNext/>
              <w:spacing w:line="440" w:lineRule="exact"/>
              <w:ind w:left="63" w:right="63"/>
              <w:rPr>
                <w:rFonts w:ascii="仿宋" w:hAnsi="仿宋" w:eastAsia="仿宋"/>
                <w:sz w:val="28"/>
                <w:szCs w:val="30"/>
              </w:rPr>
            </w:pPr>
          </w:p>
        </w:tc>
      </w:tr>
      <w:tr w14:paraId="76E5DE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2E8C8C48">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7042B465">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27854803">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031E7792">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271D1FD9">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104C0681">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133197ED">
            <w:pPr>
              <w:pStyle w:val="13"/>
              <w:keepNext/>
              <w:spacing w:line="440" w:lineRule="exact"/>
              <w:ind w:left="63" w:right="63"/>
              <w:rPr>
                <w:rFonts w:ascii="仿宋" w:hAnsi="仿宋" w:eastAsia="仿宋"/>
                <w:sz w:val="28"/>
                <w:szCs w:val="30"/>
              </w:rPr>
            </w:pPr>
          </w:p>
        </w:tc>
      </w:tr>
      <w:tr w14:paraId="1AD284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1FB14A92">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0EBF5D35">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61647E17">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3B21FAC0">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7E2BDE7E">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71190B4A">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6E225D14">
            <w:pPr>
              <w:pStyle w:val="13"/>
              <w:keepNext/>
              <w:spacing w:line="440" w:lineRule="exact"/>
              <w:ind w:left="63" w:right="63"/>
              <w:rPr>
                <w:rFonts w:ascii="仿宋" w:hAnsi="仿宋" w:eastAsia="仿宋"/>
                <w:sz w:val="28"/>
                <w:szCs w:val="30"/>
              </w:rPr>
            </w:pPr>
          </w:p>
        </w:tc>
      </w:tr>
      <w:tr w14:paraId="149EC2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5EA9E547">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62C6387A">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481C4F63">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696F9739">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14B7EBCC">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076C2262">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3D989AF4">
            <w:pPr>
              <w:pStyle w:val="13"/>
              <w:keepNext/>
              <w:spacing w:line="440" w:lineRule="exact"/>
              <w:ind w:left="63" w:right="63"/>
              <w:rPr>
                <w:rFonts w:ascii="仿宋" w:hAnsi="仿宋" w:eastAsia="仿宋"/>
                <w:sz w:val="28"/>
                <w:szCs w:val="30"/>
              </w:rPr>
            </w:pPr>
          </w:p>
        </w:tc>
      </w:tr>
      <w:tr w14:paraId="1241C1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39FE743E">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739DF4A7">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0E3DD23B">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0D95A1FC">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57603E50">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23E394EE">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1553B2E8">
            <w:pPr>
              <w:pStyle w:val="13"/>
              <w:keepNext/>
              <w:spacing w:line="440" w:lineRule="exact"/>
              <w:ind w:left="63" w:right="63"/>
              <w:rPr>
                <w:rFonts w:ascii="仿宋" w:hAnsi="仿宋" w:eastAsia="仿宋"/>
                <w:sz w:val="28"/>
                <w:szCs w:val="30"/>
              </w:rPr>
            </w:pPr>
          </w:p>
        </w:tc>
      </w:tr>
      <w:tr w14:paraId="4834BC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355D5537">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205500CA">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5D4BD458">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7E2342FA">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314D82C1">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0A96E8EF">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644181E6">
            <w:pPr>
              <w:pStyle w:val="13"/>
              <w:keepNext/>
              <w:spacing w:line="440" w:lineRule="exact"/>
              <w:ind w:left="63" w:right="63"/>
              <w:rPr>
                <w:rFonts w:ascii="仿宋" w:hAnsi="仿宋" w:eastAsia="仿宋"/>
                <w:sz w:val="28"/>
                <w:szCs w:val="30"/>
              </w:rPr>
            </w:pPr>
          </w:p>
        </w:tc>
      </w:tr>
      <w:tr w14:paraId="3854D3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54F690AE">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0D9DE2F6">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11CBB665">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20FB4F54">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6C755954">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4A50AD87">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09662606">
            <w:pPr>
              <w:pStyle w:val="13"/>
              <w:keepNext/>
              <w:spacing w:line="440" w:lineRule="exact"/>
              <w:ind w:left="63" w:right="63"/>
              <w:rPr>
                <w:rFonts w:ascii="仿宋" w:hAnsi="仿宋" w:eastAsia="仿宋"/>
                <w:sz w:val="28"/>
                <w:szCs w:val="30"/>
              </w:rPr>
            </w:pPr>
          </w:p>
        </w:tc>
      </w:tr>
      <w:tr w14:paraId="69B8CD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66D5F5C3">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55FB8005">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5A74C05D">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2ED97D99">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570C42FD">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1C829D0A">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06873D9E">
            <w:pPr>
              <w:pStyle w:val="13"/>
              <w:keepNext/>
              <w:spacing w:line="440" w:lineRule="exact"/>
              <w:ind w:left="63" w:right="63"/>
              <w:rPr>
                <w:rFonts w:ascii="仿宋" w:hAnsi="仿宋" w:eastAsia="仿宋"/>
                <w:sz w:val="28"/>
                <w:szCs w:val="30"/>
              </w:rPr>
            </w:pPr>
          </w:p>
        </w:tc>
      </w:tr>
      <w:tr w14:paraId="6E7BEF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77F94D5F">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6DD94BF6">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689E8974">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477DF410">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5B92C181">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2E77A614">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1CBC0D0A">
            <w:pPr>
              <w:pStyle w:val="13"/>
              <w:keepNext/>
              <w:spacing w:line="440" w:lineRule="exact"/>
              <w:ind w:left="63" w:right="63"/>
              <w:rPr>
                <w:rFonts w:ascii="仿宋" w:hAnsi="仿宋" w:eastAsia="仿宋"/>
                <w:sz w:val="28"/>
                <w:szCs w:val="30"/>
              </w:rPr>
            </w:pPr>
          </w:p>
        </w:tc>
      </w:tr>
      <w:tr w14:paraId="7019F2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6EF0B83B">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4F121DF7">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1A26670B">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4F319062">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2FB06EE3">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77071FDC">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3D064CC0">
            <w:pPr>
              <w:pStyle w:val="13"/>
              <w:keepNext/>
              <w:spacing w:line="440" w:lineRule="exact"/>
              <w:ind w:left="63" w:right="63"/>
              <w:rPr>
                <w:rFonts w:ascii="仿宋" w:hAnsi="仿宋" w:eastAsia="仿宋"/>
                <w:sz w:val="28"/>
                <w:szCs w:val="30"/>
              </w:rPr>
            </w:pPr>
          </w:p>
        </w:tc>
      </w:tr>
      <w:tr w14:paraId="744801AC">
        <w:tblPrEx>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6EB606BE">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381DECC5">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6CE288BB">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0D8B3B11">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6F9C3332">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70D9ABEB">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167C2DE4">
            <w:pPr>
              <w:pStyle w:val="13"/>
              <w:keepNext/>
              <w:spacing w:line="440" w:lineRule="exact"/>
              <w:ind w:left="63" w:right="63"/>
              <w:rPr>
                <w:rFonts w:ascii="仿宋" w:hAnsi="仿宋" w:eastAsia="仿宋"/>
                <w:sz w:val="28"/>
                <w:szCs w:val="30"/>
              </w:rPr>
            </w:pPr>
          </w:p>
        </w:tc>
      </w:tr>
      <w:tr w14:paraId="37437A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432D3942">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0AF83A77">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6D311582">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3AB1418C">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6DFC5FBF">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41FF6D94">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03ADD157">
            <w:pPr>
              <w:pStyle w:val="13"/>
              <w:keepNext/>
              <w:spacing w:line="440" w:lineRule="exact"/>
              <w:ind w:left="63" w:right="63"/>
              <w:rPr>
                <w:rFonts w:ascii="仿宋" w:hAnsi="仿宋" w:eastAsia="仿宋"/>
                <w:sz w:val="28"/>
                <w:szCs w:val="30"/>
              </w:rPr>
            </w:pPr>
          </w:p>
        </w:tc>
      </w:tr>
      <w:tr w14:paraId="76517E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7" w:type="pct"/>
            <w:tcBorders>
              <w:top w:val="single" w:color="auto" w:sz="6" w:space="0"/>
              <w:left w:val="single" w:color="auto" w:sz="12" w:space="0"/>
              <w:bottom w:val="single" w:color="auto" w:sz="6" w:space="0"/>
              <w:right w:val="single" w:color="auto" w:sz="6" w:space="0"/>
            </w:tcBorders>
            <w:noWrap w:val="0"/>
            <w:vAlign w:val="top"/>
          </w:tcPr>
          <w:p w14:paraId="00E5B8A6">
            <w:pPr>
              <w:pStyle w:val="13"/>
              <w:keepNext/>
              <w:spacing w:line="440" w:lineRule="exact"/>
              <w:ind w:left="63" w:right="63"/>
              <w:rPr>
                <w:rFonts w:ascii="仿宋" w:hAnsi="仿宋" w:eastAsia="仿宋"/>
                <w:sz w:val="28"/>
                <w:szCs w:val="30"/>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5F0A558F">
            <w:pPr>
              <w:pStyle w:val="13"/>
              <w:keepNext/>
              <w:spacing w:line="440" w:lineRule="exact"/>
              <w:ind w:left="63" w:right="63"/>
              <w:rPr>
                <w:rFonts w:ascii="仿宋" w:hAnsi="仿宋" w:eastAsia="仿宋"/>
                <w:sz w:val="28"/>
                <w:szCs w:val="30"/>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592F1707">
            <w:pPr>
              <w:pStyle w:val="13"/>
              <w:keepNext/>
              <w:spacing w:line="440" w:lineRule="exact"/>
              <w:ind w:left="63" w:right="63"/>
              <w:rPr>
                <w:rFonts w:ascii="仿宋" w:hAnsi="仿宋" w:eastAsia="仿宋"/>
                <w:sz w:val="28"/>
                <w:szCs w:val="30"/>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6695FFF9">
            <w:pPr>
              <w:pStyle w:val="13"/>
              <w:keepNext/>
              <w:spacing w:line="440" w:lineRule="exact"/>
              <w:ind w:left="63" w:right="63"/>
              <w:rPr>
                <w:rFonts w:ascii="仿宋" w:hAnsi="仿宋" w:eastAsia="仿宋"/>
                <w:sz w:val="28"/>
                <w:szCs w:val="30"/>
              </w:rPr>
            </w:pPr>
          </w:p>
        </w:tc>
        <w:tc>
          <w:tcPr>
            <w:tcW w:w="820" w:type="pct"/>
            <w:tcBorders>
              <w:top w:val="single" w:color="auto" w:sz="6" w:space="0"/>
              <w:left w:val="single" w:color="auto" w:sz="6" w:space="0"/>
              <w:bottom w:val="single" w:color="auto" w:sz="6" w:space="0"/>
              <w:right w:val="single" w:color="auto" w:sz="6" w:space="0"/>
            </w:tcBorders>
            <w:noWrap w:val="0"/>
            <w:vAlign w:val="top"/>
          </w:tcPr>
          <w:p w14:paraId="74E3F46E">
            <w:pPr>
              <w:pStyle w:val="13"/>
              <w:keepNext/>
              <w:spacing w:line="440" w:lineRule="exact"/>
              <w:ind w:left="63" w:right="63"/>
              <w:rPr>
                <w:rFonts w:ascii="仿宋" w:hAnsi="仿宋" w:eastAsia="仿宋"/>
                <w:sz w:val="28"/>
                <w:szCs w:val="30"/>
              </w:rPr>
            </w:pPr>
          </w:p>
        </w:tc>
        <w:tc>
          <w:tcPr>
            <w:tcW w:w="899" w:type="pct"/>
            <w:tcBorders>
              <w:top w:val="single" w:color="auto" w:sz="6" w:space="0"/>
              <w:left w:val="single" w:color="auto" w:sz="6" w:space="0"/>
              <w:bottom w:val="single" w:color="auto" w:sz="6" w:space="0"/>
              <w:right w:val="single" w:color="auto" w:sz="6" w:space="0"/>
            </w:tcBorders>
            <w:noWrap w:val="0"/>
            <w:vAlign w:val="top"/>
          </w:tcPr>
          <w:p w14:paraId="5A629C9D">
            <w:pPr>
              <w:pStyle w:val="13"/>
              <w:keepNext/>
              <w:spacing w:line="440" w:lineRule="exact"/>
              <w:ind w:left="63" w:right="63"/>
              <w:rPr>
                <w:rFonts w:ascii="仿宋" w:hAnsi="仿宋" w:eastAsia="仿宋"/>
                <w:sz w:val="28"/>
                <w:szCs w:val="30"/>
              </w:rPr>
            </w:pPr>
          </w:p>
        </w:tc>
        <w:tc>
          <w:tcPr>
            <w:tcW w:w="743" w:type="pct"/>
            <w:tcBorders>
              <w:top w:val="single" w:color="auto" w:sz="6" w:space="0"/>
              <w:left w:val="single" w:color="auto" w:sz="6" w:space="0"/>
              <w:bottom w:val="single" w:color="auto" w:sz="6" w:space="0"/>
              <w:right w:val="single" w:color="auto" w:sz="12" w:space="0"/>
            </w:tcBorders>
            <w:noWrap w:val="0"/>
            <w:vAlign w:val="top"/>
          </w:tcPr>
          <w:p w14:paraId="6ADAA298">
            <w:pPr>
              <w:pStyle w:val="13"/>
              <w:keepNext/>
              <w:spacing w:line="440" w:lineRule="exact"/>
              <w:ind w:left="63" w:right="63"/>
              <w:rPr>
                <w:rFonts w:ascii="仿宋" w:hAnsi="仿宋" w:eastAsia="仿宋"/>
                <w:sz w:val="28"/>
                <w:szCs w:val="30"/>
              </w:rPr>
            </w:pPr>
          </w:p>
        </w:tc>
      </w:tr>
    </w:tbl>
    <w:p w14:paraId="53DF85D3">
      <w:pPr>
        <w:spacing w:before="156" w:beforeLines="50" w:after="156" w:afterLines="50" w:line="440" w:lineRule="exact"/>
        <w:rPr>
          <w:rFonts w:hint="eastAsia" w:ascii="仿宋" w:hAnsi="仿宋" w:eastAsia="仿宋"/>
          <w:sz w:val="30"/>
          <w:szCs w:val="30"/>
        </w:rPr>
      </w:pPr>
    </w:p>
    <w:p w14:paraId="51EEC97B">
      <w:pPr>
        <w:spacing w:before="156" w:beforeLines="50" w:after="156" w:afterLines="50" w:line="440" w:lineRule="exact"/>
        <w:rPr>
          <w:rFonts w:ascii="仿宋" w:hAnsi="仿宋" w:eastAsia="仿宋"/>
          <w:sz w:val="30"/>
          <w:szCs w:val="30"/>
        </w:rPr>
      </w:pPr>
    </w:p>
    <w:p w14:paraId="6E21986C">
      <w:pPr>
        <w:spacing w:before="0" w:beforeLines="-2147483648" w:after="0" w:afterLines="-2147483648" w:line="240" w:lineRule="auto"/>
        <w:rPr>
          <w:rFonts w:ascii="仿宋" w:hAnsi="仿宋" w:eastAsia="仿宋"/>
          <w:sz w:val="30"/>
          <w:szCs w:val="30"/>
          <w:highlight w:val="white"/>
        </w:rPr>
      </w:pPr>
      <w:r>
        <w:rPr>
          <w:rFonts w:ascii="仿宋" w:hAnsi="仿宋" w:eastAsia="仿宋"/>
          <w:sz w:val="30"/>
          <w:szCs w:val="30"/>
          <w:highlight w:val="white"/>
        </w:rPr>
        <w:br w:type="page"/>
      </w:r>
    </w:p>
    <w:p w14:paraId="54F3E2EC">
      <w:pPr>
        <w:spacing w:before="156" w:beforeLines="50" w:after="156" w:afterLines="50" w:line="440" w:lineRule="exact"/>
        <w:rPr>
          <w:rFonts w:hint="eastAsia" w:ascii="宋体" w:hAnsi="宋体" w:eastAsia="宋体" w:cs="宋体"/>
          <w:sz w:val="24"/>
          <w:szCs w:val="24"/>
        </w:rPr>
      </w:pPr>
      <w:r>
        <w:rPr>
          <w:rFonts w:hint="eastAsia" w:ascii="宋体" w:hAnsi="宋体" w:eastAsia="宋体" w:cs="宋体"/>
          <w:sz w:val="24"/>
          <w:szCs w:val="24"/>
          <w:highlight w:val="white"/>
        </w:rPr>
        <w:t>11-2：工程设备暂估价表</w:t>
      </w:r>
    </w:p>
    <w:tbl>
      <w:tblPr>
        <w:tblStyle w:val="29"/>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030"/>
        <w:gridCol w:w="2059"/>
        <w:gridCol w:w="882"/>
        <w:gridCol w:w="803"/>
        <w:gridCol w:w="1845"/>
        <w:gridCol w:w="1670"/>
        <w:gridCol w:w="1127"/>
      </w:tblGrid>
      <w:tr w14:paraId="4670EF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12" w:space="0"/>
              <w:left w:val="single" w:color="auto" w:sz="12" w:space="0"/>
              <w:bottom w:val="double" w:color="auto" w:sz="6" w:space="0"/>
              <w:right w:val="single" w:color="auto" w:sz="6" w:space="0"/>
            </w:tcBorders>
            <w:noWrap w:val="0"/>
            <w:vAlign w:val="top"/>
          </w:tcPr>
          <w:p w14:paraId="11F5ECA9">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序号</w:t>
            </w:r>
          </w:p>
        </w:tc>
        <w:tc>
          <w:tcPr>
            <w:tcW w:w="1093" w:type="pct"/>
            <w:tcBorders>
              <w:top w:val="single" w:color="auto" w:sz="12" w:space="0"/>
              <w:left w:val="single" w:color="auto" w:sz="6" w:space="0"/>
              <w:bottom w:val="double" w:color="auto" w:sz="6" w:space="0"/>
              <w:right w:val="single" w:color="auto" w:sz="6" w:space="0"/>
            </w:tcBorders>
            <w:noWrap w:val="0"/>
            <w:vAlign w:val="top"/>
          </w:tcPr>
          <w:p w14:paraId="217C7D61">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名称</w:t>
            </w:r>
          </w:p>
        </w:tc>
        <w:tc>
          <w:tcPr>
            <w:tcW w:w="468" w:type="pct"/>
            <w:tcBorders>
              <w:top w:val="single" w:color="auto" w:sz="12" w:space="0"/>
              <w:left w:val="single" w:color="auto" w:sz="6" w:space="0"/>
              <w:bottom w:val="double" w:color="auto" w:sz="6" w:space="0"/>
              <w:right w:val="single" w:color="auto" w:sz="6" w:space="0"/>
            </w:tcBorders>
            <w:noWrap w:val="0"/>
            <w:vAlign w:val="top"/>
          </w:tcPr>
          <w:p w14:paraId="567A0B5E">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单位</w:t>
            </w:r>
          </w:p>
        </w:tc>
        <w:tc>
          <w:tcPr>
            <w:tcW w:w="426" w:type="pct"/>
            <w:tcBorders>
              <w:top w:val="single" w:color="auto" w:sz="12" w:space="0"/>
              <w:left w:val="single" w:color="auto" w:sz="6" w:space="0"/>
              <w:bottom w:val="double" w:color="auto" w:sz="6" w:space="0"/>
              <w:right w:val="single" w:color="auto" w:sz="6" w:space="0"/>
            </w:tcBorders>
            <w:noWrap w:val="0"/>
            <w:vAlign w:val="top"/>
          </w:tcPr>
          <w:p w14:paraId="565F1659">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数量</w:t>
            </w:r>
          </w:p>
        </w:tc>
        <w:tc>
          <w:tcPr>
            <w:tcW w:w="979" w:type="pct"/>
            <w:tcBorders>
              <w:top w:val="single" w:color="auto" w:sz="12" w:space="0"/>
              <w:left w:val="single" w:color="auto" w:sz="6" w:space="0"/>
              <w:bottom w:val="double" w:color="auto" w:sz="6" w:space="0"/>
              <w:right w:val="single" w:color="auto" w:sz="6" w:space="0"/>
            </w:tcBorders>
            <w:noWrap w:val="0"/>
            <w:vAlign w:val="top"/>
          </w:tcPr>
          <w:p w14:paraId="4788D9F1">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单价（元）</w:t>
            </w:r>
          </w:p>
        </w:tc>
        <w:tc>
          <w:tcPr>
            <w:tcW w:w="886" w:type="pct"/>
            <w:tcBorders>
              <w:top w:val="single" w:color="auto" w:sz="12" w:space="0"/>
              <w:left w:val="single" w:color="auto" w:sz="6" w:space="0"/>
              <w:bottom w:val="double" w:color="auto" w:sz="6" w:space="0"/>
              <w:right w:val="single" w:color="auto" w:sz="6" w:space="0"/>
            </w:tcBorders>
            <w:noWrap w:val="0"/>
            <w:vAlign w:val="top"/>
          </w:tcPr>
          <w:p w14:paraId="7F495F17">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合价（元）</w:t>
            </w:r>
          </w:p>
        </w:tc>
        <w:tc>
          <w:tcPr>
            <w:tcW w:w="598" w:type="pct"/>
            <w:tcBorders>
              <w:top w:val="single" w:color="auto" w:sz="12" w:space="0"/>
              <w:left w:val="single" w:color="auto" w:sz="6" w:space="0"/>
              <w:bottom w:val="double" w:color="auto" w:sz="6" w:space="0"/>
              <w:right w:val="single" w:color="auto" w:sz="12" w:space="0"/>
            </w:tcBorders>
            <w:noWrap w:val="0"/>
            <w:vAlign w:val="top"/>
          </w:tcPr>
          <w:p w14:paraId="02060261">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备注</w:t>
            </w:r>
          </w:p>
        </w:tc>
      </w:tr>
      <w:tr w14:paraId="1934EC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double" w:color="auto" w:sz="6" w:space="0"/>
              <w:left w:val="single" w:color="auto" w:sz="12" w:space="0"/>
              <w:bottom w:val="single" w:color="auto" w:sz="6" w:space="0"/>
              <w:right w:val="single" w:color="auto" w:sz="6" w:space="0"/>
            </w:tcBorders>
            <w:noWrap w:val="0"/>
            <w:vAlign w:val="top"/>
          </w:tcPr>
          <w:p w14:paraId="48696E9C">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w:t>
            </w:r>
          </w:p>
        </w:tc>
        <w:tc>
          <w:tcPr>
            <w:tcW w:w="1093" w:type="pct"/>
            <w:tcBorders>
              <w:top w:val="double" w:color="auto" w:sz="6" w:space="0"/>
              <w:left w:val="single" w:color="auto" w:sz="6" w:space="0"/>
              <w:bottom w:val="single" w:color="auto" w:sz="6" w:space="0"/>
              <w:right w:val="single" w:color="auto" w:sz="6" w:space="0"/>
            </w:tcBorders>
            <w:noWrap w:val="0"/>
            <w:vAlign w:val="top"/>
          </w:tcPr>
          <w:p w14:paraId="2FA0B9B3">
            <w:pPr>
              <w:pStyle w:val="13"/>
              <w:keepNext/>
              <w:spacing w:line="440" w:lineRule="exact"/>
              <w:ind w:left="63" w:right="63"/>
              <w:rPr>
                <w:rFonts w:hint="eastAsia" w:ascii="宋体" w:hAnsi="宋体" w:eastAsia="宋体" w:cs="宋体"/>
                <w:sz w:val="24"/>
                <w:szCs w:val="24"/>
              </w:rPr>
            </w:pPr>
          </w:p>
        </w:tc>
        <w:tc>
          <w:tcPr>
            <w:tcW w:w="468" w:type="pct"/>
            <w:tcBorders>
              <w:top w:val="double" w:color="auto" w:sz="6" w:space="0"/>
              <w:left w:val="single" w:color="auto" w:sz="6" w:space="0"/>
              <w:bottom w:val="single" w:color="auto" w:sz="6" w:space="0"/>
              <w:right w:val="single" w:color="auto" w:sz="6" w:space="0"/>
            </w:tcBorders>
            <w:noWrap w:val="0"/>
            <w:vAlign w:val="top"/>
          </w:tcPr>
          <w:p w14:paraId="00A72C50">
            <w:pPr>
              <w:pStyle w:val="13"/>
              <w:keepNext/>
              <w:spacing w:line="440" w:lineRule="exact"/>
              <w:ind w:left="63" w:right="63"/>
              <w:rPr>
                <w:rFonts w:hint="eastAsia" w:ascii="宋体" w:hAnsi="宋体" w:eastAsia="宋体" w:cs="宋体"/>
                <w:sz w:val="24"/>
                <w:szCs w:val="24"/>
              </w:rPr>
            </w:pPr>
          </w:p>
        </w:tc>
        <w:tc>
          <w:tcPr>
            <w:tcW w:w="426" w:type="pct"/>
            <w:tcBorders>
              <w:top w:val="double" w:color="auto" w:sz="6" w:space="0"/>
              <w:left w:val="single" w:color="auto" w:sz="6" w:space="0"/>
              <w:bottom w:val="single" w:color="auto" w:sz="6" w:space="0"/>
              <w:right w:val="single" w:color="auto" w:sz="6" w:space="0"/>
            </w:tcBorders>
            <w:noWrap w:val="0"/>
            <w:vAlign w:val="top"/>
          </w:tcPr>
          <w:p w14:paraId="3AA2820F">
            <w:pPr>
              <w:pStyle w:val="13"/>
              <w:keepNext/>
              <w:spacing w:line="440" w:lineRule="exact"/>
              <w:ind w:left="63" w:right="63"/>
              <w:rPr>
                <w:rFonts w:hint="eastAsia" w:ascii="宋体" w:hAnsi="宋体" w:eastAsia="宋体" w:cs="宋体"/>
                <w:sz w:val="24"/>
                <w:szCs w:val="24"/>
              </w:rPr>
            </w:pPr>
          </w:p>
        </w:tc>
        <w:tc>
          <w:tcPr>
            <w:tcW w:w="979" w:type="pct"/>
            <w:tcBorders>
              <w:top w:val="double" w:color="auto" w:sz="6" w:space="0"/>
              <w:left w:val="single" w:color="auto" w:sz="6" w:space="0"/>
              <w:bottom w:val="single" w:color="auto" w:sz="6" w:space="0"/>
              <w:right w:val="single" w:color="auto" w:sz="6" w:space="0"/>
            </w:tcBorders>
            <w:noWrap w:val="0"/>
            <w:vAlign w:val="top"/>
          </w:tcPr>
          <w:p w14:paraId="31E29617">
            <w:pPr>
              <w:pStyle w:val="13"/>
              <w:keepNext/>
              <w:spacing w:line="440" w:lineRule="exact"/>
              <w:ind w:left="63" w:right="63"/>
              <w:rPr>
                <w:rFonts w:hint="eastAsia" w:ascii="宋体" w:hAnsi="宋体" w:eastAsia="宋体" w:cs="宋体"/>
                <w:sz w:val="24"/>
                <w:szCs w:val="24"/>
              </w:rPr>
            </w:pPr>
          </w:p>
        </w:tc>
        <w:tc>
          <w:tcPr>
            <w:tcW w:w="886" w:type="pct"/>
            <w:tcBorders>
              <w:top w:val="double" w:color="auto" w:sz="6" w:space="0"/>
              <w:left w:val="single" w:color="auto" w:sz="6" w:space="0"/>
              <w:bottom w:val="single" w:color="auto" w:sz="6" w:space="0"/>
              <w:right w:val="single" w:color="auto" w:sz="6" w:space="0"/>
            </w:tcBorders>
            <w:noWrap w:val="0"/>
            <w:vAlign w:val="top"/>
          </w:tcPr>
          <w:p w14:paraId="61FD8AEA">
            <w:pPr>
              <w:pStyle w:val="13"/>
              <w:keepNext/>
              <w:spacing w:line="440" w:lineRule="exact"/>
              <w:ind w:left="63" w:right="63"/>
              <w:rPr>
                <w:rFonts w:hint="eastAsia" w:ascii="宋体" w:hAnsi="宋体" w:eastAsia="宋体" w:cs="宋体"/>
                <w:sz w:val="24"/>
                <w:szCs w:val="24"/>
              </w:rPr>
            </w:pPr>
          </w:p>
        </w:tc>
        <w:tc>
          <w:tcPr>
            <w:tcW w:w="598" w:type="pct"/>
            <w:tcBorders>
              <w:top w:val="double" w:color="auto" w:sz="6" w:space="0"/>
              <w:left w:val="single" w:color="auto" w:sz="6" w:space="0"/>
              <w:bottom w:val="single" w:color="auto" w:sz="6" w:space="0"/>
              <w:right w:val="single" w:color="auto" w:sz="12" w:space="0"/>
            </w:tcBorders>
            <w:noWrap w:val="0"/>
            <w:vAlign w:val="top"/>
          </w:tcPr>
          <w:p w14:paraId="0B31F4D0">
            <w:pPr>
              <w:pStyle w:val="13"/>
              <w:keepNext/>
              <w:spacing w:line="440" w:lineRule="exact"/>
              <w:ind w:left="63" w:right="63"/>
              <w:rPr>
                <w:rFonts w:hint="eastAsia" w:ascii="宋体" w:hAnsi="宋体" w:eastAsia="宋体" w:cs="宋体"/>
                <w:sz w:val="24"/>
                <w:szCs w:val="24"/>
              </w:rPr>
            </w:pPr>
          </w:p>
        </w:tc>
      </w:tr>
      <w:tr w14:paraId="6306F5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nil"/>
              <w:left w:val="single" w:color="auto" w:sz="12" w:space="0"/>
              <w:bottom w:val="single" w:color="auto" w:sz="6" w:space="0"/>
              <w:right w:val="single" w:color="auto" w:sz="6" w:space="0"/>
            </w:tcBorders>
            <w:noWrap w:val="0"/>
            <w:vAlign w:val="top"/>
          </w:tcPr>
          <w:p w14:paraId="79962A2A">
            <w:pPr>
              <w:pStyle w:val="13"/>
              <w:keepNext/>
              <w:spacing w:line="440" w:lineRule="exact"/>
              <w:ind w:left="63" w:right="63"/>
              <w:rPr>
                <w:rFonts w:hint="eastAsia" w:ascii="宋体" w:hAnsi="宋体" w:eastAsia="宋体" w:cs="宋体"/>
                <w:sz w:val="24"/>
                <w:szCs w:val="24"/>
              </w:rPr>
            </w:pPr>
          </w:p>
        </w:tc>
        <w:tc>
          <w:tcPr>
            <w:tcW w:w="1093" w:type="pct"/>
            <w:tcBorders>
              <w:top w:val="nil"/>
              <w:left w:val="single" w:color="auto" w:sz="6" w:space="0"/>
              <w:bottom w:val="single" w:color="auto" w:sz="6" w:space="0"/>
              <w:right w:val="single" w:color="auto" w:sz="6" w:space="0"/>
            </w:tcBorders>
            <w:noWrap w:val="0"/>
            <w:vAlign w:val="top"/>
          </w:tcPr>
          <w:p w14:paraId="11EE5C75">
            <w:pPr>
              <w:pStyle w:val="13"/>
              <w:keepNext/>
              <w:spacing w:line="440" w:lineRule="exact"/>
              <w:ind w:left="63" w:right="63"/>
              <w:rPr>
                <w:rFonts w:hint="eastAsia" w:ascii="宋体" w:hAnsi="宋体" w:eastAsia="宋体" w:cs="宋体"/>
                <w:sz w:val="24"/>
                <w:szCs w:val="24"/>
              </w:rPr>
            </w:pPr>
          </w:p>
        </w:tc>
        <w:tc>
          <w:tcPr>
            <w:tcW w:w="468" w:type="pct"/>
            <w:tcBorders>
              <w:top w:val="nil"/>
              <w:left w:val="single" w:color="auto" w:sz="6" w:space="0"/>
              <w:bottom w:val="single" w:color="auto" w:sz="6" w:space="0"/>
              <w:right w:val="single" w:color="auto" w:sz="6" w:space="0"/>
            </w:tcBorders>
            <w:noWrap w:val="0"/>
            <w:vAlign w:val="top"/>
          </w:tcPr>
          <w:p w14:paraId="1DD3D541">
            <w:pPr>
              <w:pStyle w:val="13"/>
              <w:keepNext/>
              <w:spacing w:line="440" w:lineRule="exact"/>
              <w:ind w:left="63" w:right="63"/>
              <w:rPr>
                <w:rFonts w:hint="eastAsia" w:ascii="宋体" w:hAnsi="宋体" w:eastAsia="宋体" w:cs="宋体"/>
                <w:sz w:val="24"/>
                <w:szCs w:val="24"/>
              </w:rPr>
            </w:pPr>
          </w:p>
        </w:tc>
        <w:tc>
          <w:tcPr>
            <w:tcW w:w="426" w:type="pct"/>
            <w:tcBorders>
              <w:top w:val="nil"/>
              <w:left w:val="single" w:color="auto" w:sz="6" w:space="0"/>
              <w:bottom w:val="single" w:color="auto" w:sz="6" w:space="0"/>
              <w:right w:val="single" w:color="auto" w:sz="6" w:space="0"/>
            </w:tcBorders>
            <w:noWrap w:val="0"/>
            <w:vAlign w:val="top"/>
          </w:tcPr>
          <w:p w14:paraId="2A50A101">
            <w:pPr>
              <w:pStyle w:val="13"/>
              <w:keepNext/>
              <w:spacing w:line="440" w:lineRule="exact"/>
              <w:ind w:left="63" w:right="63"/>
              <w:rPr>
                <w:rFonts w:hint="eastAsia" w:ascii="宋体" w:hAnsi="宋体" w:eastAsia="宋体" w:cs="宋体"/>
                <w:sz w:val="24"/>
                <w:szCs w:val="24"/>
              </w:rPr>
            </w:pPr>
          </w:p>
        </w:tc>
        <w:tc>
          <w:tcPr>
            <w:tcW w:w="979" w:type="pct"/>
            <w:tcBorders>
              <w:top w:val="nil"/>
              <w:left w:val="single" w:color="auto" w:sz="6" w:space="0"/>
              <w:bottom w:val="single" w:color="auto" w:sz="6" w:space="0"/>
              <w:right w:val="single" w:color="auto" w:sz="6" w:space="0"/>
            </w:tcBorders>
            <w:noWrap w:val="0"/>
            <w:vAlign w:val="top"/>
          </w:tcPr>
          <w:p w14:paraId="7E729A06">
            <w:pPr>
              <w:pStyle w:val="13"/>
              <w:keepNext/>
              <w:spacing w:line="440" w:lineRule="exact"/>
              <w:ind w:left="63" w:right="63"/>
              <w:rPr>
                <w:rFonts w:hint="eastAsia" w:ascii="宋体" w:hAnsi="宋体" w:eastAsia="宋体" w:cs="宋体"/>
                <w:sz w:val="24"/>
                <w:szCs w:val="24"/>
              </w:rPr>
            </w:pPr>
          </w:p>
        </w:tc>
        <w:tc>
          <w:tcPr>
            <w:tcW w:w="886" w:type="pct"/>
            <w:tcBorders>
              <w:top w:val="nil"/>
              <w:left w:val="single" w:color="auto" w:sz="6" w:space="0"/>
              <w:bottom w:val="single" w:color="auto" w:sz="6" w:space="0"/>
              <w:right w:val="single" w:color="auto" w:sz="6" w:space="0"/>
            </w:tcBorders>
            <w:noWrap w:val="0"/>
            <w:vAlign w:val="top"/>
          </w:tcPr>
          <w:p w14:paraId="33E51434">
            <w:pPr>
              <w:pStyle w:val="13"/>
              <w:keepNext/>
              <w:spacing w:line="440" w:lineRule="exact"/>
              <w:ind w:left="63" w:right="63"/>
              <w:rPr>
                <w:rFonts w:hint="eastAsia" w:ascii="宋体" w:hAnsi="宋体" w:eastAsia="宋体" w:cs="宋体"/>
                <w:sz w:val="24"/>
                <w:szCs w:val="24"/>
              </w:rPr>
            </w:pPr>
          </w:p>
        </w:tc>
        <w:tc>
          <w:tcPr>
            <w:tcW w:w="598" w:type="pct"/>
            <w:tcBorders>
              <w:top w:val="nil"/>
              <w:left w:val="single" w:color="auto" w:sz="6" w:space="0"/>
              <w:bottom w:val="single" w:color="auto" w:sz="6" w:space="0"/>
              <w:right w:val="single" w:color="auto" w:sz="12" w:space="0"/>
            </w:tcBorders>
            <w:noWrap w:val="0"/>
            <w:vAlign w:val="top"/>
          </w:tcPr>
          <w:p w14:paraId="0B13CA31">
            <w:pPr>
              <w:pStyle w:val="13"/>
              <w:keepNext/>
              <w:spacing w:line="440" w:lineRule="exact"/>
              <w:ind w:left="63" w:right="63"/>
              <w:rPr>
                <w:rFonts w:hint="eastAsia" w:ascii="宋体" w:hAnsi="宋体" w:eastAsia="宋体" w:cs="宋体"/>
                <w:sz w:val="24"/>
                <w:szCs w:val="24"/>
              </w:rPr>
            </w:pPr>
          </w:p>
        </w:tc>
      </w:tr>
      <w:tr w14:paraId="56E6E0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666FC337">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77F1BCFA">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6A1DC86E">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4C64C58E">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49AEDA32">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2472D89D">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617C64EC">
            <w:pPr>
              <w:pStyle w:val="13"/>
              <w:keepNext/>
              <w:spacing w:line="440" w:lineRule="exact"/>
              <w:ind w:left="63" w:right="63"/>
              <w:rPr>
                <w:rFonts w:hint="eastAsia" w:ascii="宋体" w:hAnsi="宋体" w:eastAsia="宋体" w:cs="宋体"/>
                <w:sz w:val="24"/>
                <w:szCs w:val="24"/>
              </w:rPr>
            </w:pPr>
          </w:p>
        </w:tc>
      </w:tr>
      <w:tr w14:paraId="6238A0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41C6AD0B">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3B6A7F7A">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09834933">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21FEE37B">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64425184">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3AC89D6E">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29E47AB8">
            <w:pPr>
              <w:pStyle w:val="13"/>
              <w:keepNext/>
              <w:spacing w:line="440" w:lineRule="exact"/>
              <w:ind w:left="63" w:right="63"/>
              <w:rPr>
                <w:rFonts w:hint="eastAsia" w:ascii="宋体" w:hAnsi="宋体" w:eastAsia="宋体" w:cs="宋体"/>
                <w:sz w:val="24"/>
                <w:szCs w:val="24"/>
              </w:rPr>
            </w:pPr>
          </w:p>
        </w:tc>
      </w:tr>
      <w:tr w14:paraId="6AEE71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080B6F79">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1F960D84">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42BAD3A7">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6A204A08">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49FB8940">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509E3EED">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6F1FC811">
            <w:pPr>
              <w:pStyle w:val="13"/>
              <w:keepNext/>
              <w:spacing w:line="440" w:lineRule="exact"/>
              <w:ind w:left="63" w:right="63"/>
              <w:rPr>
                <w:rFonts w:hint="eastAsia" w:ascii="宋体" w:hAnsi="宋体" w:eastAsia="宋体" w:cs="宋体"/>
                <w:sz w:val="24"/>
                <w:szCs w:val="24"/>
              </w:rPr>
            </w:pPr>
          </w:p>
        </w:tc>
      </w:tr>
      <w:tr w14:paraId="674273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0A591471">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7F9CBC2B">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60483116">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34300E91">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7207A250">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4DCF39F6">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24BBE6E3">
            <w:pPr>
              <w:pStyle w:val="13"/>
              <w:keepNext/>
              <w:spacing w:line="440" w:lineRule="exact"/>
              <w:ind w:left="63" w:right="63"/>
              <w:rPr>
                <w:rFonts w:hint="eastAsia" w:ascii="宋体" w:hAnsi="宋体" w:eastAsia="宋体" w:cs="宋体"/>
                <w:sz w:val="24"/>
                <w:szCs w:val="24"/>
              </w:rPr>
            </w:pPr>
          </w:p>
        </w:tc>
      </w:tr>
      <w:tr w14:paraId="664536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24C7FE7C">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60653129">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13BBEF0C">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10259065">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7FCA45F9">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336005A3">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0DF249F9">
            <w:pPr>
              <w:pStyle w:val="13"/>
              <w:keepNext/>
              <w:spacing w:line="440" w:lineRule="exact"/>
              <w:ind w:left="63" w:right="63"/>
              <w:rPr>
                <w:rFonts w:hint="eastAsia" w:ascii="宋体" w:hAnsi="宋体" w:eastAsia="宋体" w:cs="宋体"/>
                <w:sz w:val="24"/>
                <w:szCs w:val="24"/>
              </w:rPr>
            </w:pPr>
          </w:p>
        </w:tc>
      </w:tr>
      <w:tr w14:paraId="2695D7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6710D6FB">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3866ADEA">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6F889D2C">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04DFE3E2">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39F16D0C">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0F6D3169">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125EA964">
            <w:pPr>
              <w:pStyle w:val="13"/>
              <w:keepNext/>
              <w:spacing w:line="440" w:lineRule="exact"/>
              <w:ind w:left="63" w:right="63"/>
              <w:rPr>
                <w:rFonts w:hint="eastAsia" w:ascii="宋体" w:hAnsi="宋体" w:eastAsia="宋体" w:cs="宋体"/>
                <w:sz w:val="24"/>
                <w:szCs w:val="24"/>
              </w:rPr>
            </w:pPr>
          </w:p>
        </w:tc>
      </w:tr>
      <w:tr w14:paraId="564C42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5ED6A45D">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4B69644D">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4DC1DB76">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71AF05E4">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40BBC81A">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4EB3BDCB">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4AFA0D48">
            <w:pPr>
              <w:pStyle w:val="13"/>
              <w:keepNext/>
              <w:spacing w:line="440" w:lineRule="exact"/>
              <w:ind w:left="63" w:right="63"/>
              <w:rPr>
                <w:rFonts w:hint="eastAsia" w:ascii="宋体" w:hAnsi="宋体" w:eastAsia="宋体" w:cs="宋体"/>
                <w:sz w:val="24"/>
                <w:szCs w:val="24"/>
              </w:rPr>
            </w:pPr>
          </w:p>
        </w:tc>
      </w:tr>
      <w:tr w14:paraId="39C839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32F7648A">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7E47FCB5">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5FC65127">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73FDF524">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023DEB4D">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7A12135D">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1C5AA426">
            <w:pPr>
              <w:pStyle w:val="13"/>
              <w:keepNext/>
              <w:spacing w:line="440" w:lineRule="exact"/>
              <w:ind w:left="63" w:right="63"/>
              <w:rPr>
                <w:rFonts w:hint="eastAsia" w:ascii="宋体" w:hAnsi="宋体" w:eastAsia="宋体" w:cs="宋体"/>
                <w:sz w:val="24"/>
                <w:szCs w:val="24"/>
              </w:rPr>
            </w:pPr>
          </w:p>
        </w:tc>
      </w:tr>
      <w:tr w14:paraId="121E08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6B8467B0">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36A787D8">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654FB643">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662F8578">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675C9334">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4C5EA195">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2D62A360">
            <w:pPr>
              <w:pStyle w:val="13"/>
              <w:keepNext/>
              <w:spacing w:line="440" w:lineRule="exact"/>
              <w:ind w:left="63" w:right="63"/>
              <w:rPr>
                <w:rFonts w:hint="eastAsia" w:ascii="宋体" w:hAnsi="宋体" w:eastAsia="宋体" w:cs="宋体"/>
                <w:sz w:val="24"/>
                <w:szCs w:val="24"/>
              </w:rPr>
            </w:pPr>
          </w:p>
        </w:tc>
      </w:tr>
      <w:tr w14:paraId="6AD845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34FC12F4">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09EDB875">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714B4BBA">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78F2593A">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7DEF2448">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635B6433">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5B0D1B9F">
            <w:pPr>
              <w:pStyle w:val="13"/>
              <w:keepNext/>
              <w:spacing w:line="440" w:lineRule="exact"/>
              <w:ind w:left="63" w:right="63"/>
              <w:rPr>
                <w:rFonts w:hint="eastAsia" w:ascii="宋体" w:hAnsi="宋体" w:eastAsia="宋体" w:cs="宋体"/>
                <w:sz w:val="24"/>
                <w:szCs w:val="24"/>
              </w:rPr>
            </w:pPr>
          </w:p>
        </w:tc>
      </w:tr>
      <w:tr w14:paraId="45C54C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1A8AF418">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2E5AC4A0">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01EC9C1D">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1DC8E25F">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22D82DAB">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10E9A3E6">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26C52875">
            <w:pPr>
              <w:pStyle w:val="13"/>
              <w:keepNext/>
              <w:spacing w:line="440" w:lineRule="exact"/>
              <w:ind w:left="63" w:right="63"/>
              <w:rPr>
                <w:rFonts w:hint="eastAsia" w:ascii="宋体" w:hAnsi="宋体" w:eastAsia="宋体" w:cs="宋体"/>
                <w:sz w:val="24"/>
                <w:szCs w:val="24"/>
              </w:rPr>
            </w:pPr>
          </w:p>
        </w:tc>
      </w:tr>
      <w:tr w14:paraId="1969E7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5999AFC6">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2ACE27EF">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7F9BE194">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5B358CD6">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7C02E26C">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570B9FC7">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550BC57F">
            <w:pPr>
              <w:pStyle w:val="13"/>
              <w:keepNext/>
              <w:spacing w:line="440" w:lineRule="exact"/>
              <w:ind w:left="63" w:right="63"/>
              <w:rPr>
                <w:rFonts w:hint="eastAsia" w:ascii="宋体" w:hAnsi="宋体" w:eastAsia="宋体" w:cs="宋体"/>
                <w:sz w:val="24"/>
                <w:szCs w:val="24"/>
              </w:rPr>
            </w:pPr>
          </w:p>
        </w:tc>
      </w:tr>
      <w:tr w14:paraId="477AAA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5D20B862">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794DAF97">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629543F5">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24110C59">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55A48F97">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7860D146">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3FD66372">
            <w:pPr>
              <w:pStyle w:val="13"/>
              <w:keepNext/>
              <w:spacing w:line="440" w:lineRule="exact"/>
              <w:ind w:left="63" w:right="63"/>
              <w:rPr>
                <w:rFonts w:hint="eastAsia" w:ascii="宋体" w:hAnsi="宋体" w:eastAsia="宋体" w:cs="宋体"/>
                <w:sz w:val="24"/>
                <w:szCs w:val="24"/>
              </w:rPr>
            </w:pPr>
          </w:p>
        </w:tc>
      </w:tr>
      <w:tr w14:paraId="67CFD6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494C21CA">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555ED9D8">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3AB318CD">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094C6251">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2AB62887">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40B8A968">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54AEF979">
            <w:pPr>
              <w:pStyle w:val="13"/>
              <w:keepNext/>
              <w:spacing w:line="440" w:lineRule="exact"/>
              <w:ind w:left="63" w:right="63"/>
              <w:rPr>
                <w:rFonts w:hint="eastAsia" w:ascii="宋体" w:hAnsi="宋体" w:eastAsia="宋体" w:cs="宋体"/>
                <w:sz w:val="24"/>
                <w:szCs w:val="24"/>
              </w:rPr>
            </w:pPr>
          </w:p>
        </w:tc>
      </w:tr>
      <w:tr w14:paraId="1D3D6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149CDB42">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5E77875A">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0B2C5E26">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68B41A51">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458EF8C9">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7E6E5856">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34FC7165">
            <w:pPr>
              <w:pStyle w:val="13"/>
              <w:keepNext/>
              <w:spacing w:line="440" w:lineRule="exact"/>
              <w:ind w:left="63" w:right="63"/>
              <w:rPr>
                <w:rFonts w:hint="eastAsia" w:ascii="宋体" w:hAnsi="宋体" w:eastAsia="宋体" w:cs="宋体"/>
                <w:sz w:val="24"/>
                <w:szCs w:val="24"/>
              </w:rPr>
            </w:pPr>
          </w:p>
        </w:tc>
      </w:tr>
      <w:tr w14:paraId="722CB7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6398512C">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09B24F48">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0C415866">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47311B43">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645FB3F8">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782A277C">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613E0DFE">
            <w:pPr>
              <w:pStyle w:val="13"/>
              <w:keepNext/>
              <w:spacing w:line="440" w:lineRule="exact"/>
              <w:ind w:left="63" w:right="63"/>
              <w:rPr>
                <w:rFonts w:hint="eastAsia" w:ascii="宋体" w:hAnsi="宋体" w:eastAsia="宋体" w:cs="宋体"/>
                <w:sz w:val="24"/>
                <w:szCs w:val="24"/>
              </w:rPr>
            </w:pPr>
          </w:p>
        </w:tc>
      </w:tr>
      <w:tr w14:paraId="731996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156579A0">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54B8851D">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6050BE09">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14704464">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793A0F0B">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30E8733D">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4CE8C392">
            <w:pPr>
              <w:pStyle w:val="13"/>
              <w:keepNext/>
              <w:spacing w:line="440" w:lineRule="exact"/>
              <w:ind w:left="63" w:right="63"/>
              <w:rPr>
                <w:rFonts w:hint="eastAsia" w:ascii="宋体" w:hAnsi="宋体" w:eastAsia="宋体" w:cs="宋体"/>
                <w:sz w:val="24"/>
                <w:szCs w:val="24"/>
              </w:rPr>
            </w:pPr>
          </w:p>
        </w:tc>
      </w:tr>
      <w:tr w14:paraId="526194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75BC7384">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62E2B228">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7D5FEDD4">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0BC0B81C">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5938B742">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3D0095E6">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203F913A">
            <w:pPr>
              <w:pStyle w:val="13"/>
              <w:keepNext/>
              <w:spacing w:line="440" w:lineRule="exact"/>
              <w:ind w:left="63" w:right="63"/>
              <w:rPr>
                <w:rFonts w:hint="eastAsia" w:ascii="宋体" w:hAnsi="宋体" w:eastAsia="宋体" w:cs="宋体"/>
                <w:sz w:val="24"/>
                <w:szCs w:val="24"/>
              </w:rPr>
            </w:pPr>
          </w:p>
        </w:tc>
      </w:tr>
      <w:tr w14:paraId="1AA477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4C530B63">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03B49105">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7BD3C67C">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3E532D11">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32F48A02">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0DB6BDF0">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7A19941E">
            <w:pPr>
              <w:pStyle w:val="13"/>
              <w:keepNext/>
              <w:spacing w:line="440" w:lineRule="exact"/>
              <w:ind w:left="63" w:right="63"/>
              <w:rPr>
                <w:rFonts w:hint="eastAsia" w:ascii="宋体" w:hAnsi="宋体" w:eastAsia="宋体" w:cs="宋体"/>
                <w:sz w:val="24"/>
                <w:szCs w:val="24"/>
              </w:rPr>
            </w:pPr>
          </w:p>
        </w:tc>
      </w:tr>
      <w:tr w14:paraId="09AF40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184197C0">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551593B7">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31C9455C">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5FF1DE23">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14736439">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020F6A19">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2323B58A">
            <w:pPr>
              <w:pStyle w:val="13"/>
              <w:keepNext/>
              <w:spacing w:line="440" w:lineRule="exact"/>
              <w:ind w:left="63" w:right="63"/>
              <w:rPr>
                <w:rFonts w:hint="eastAsia" w:ascii="宋体" w:hAnsi="宋体" w:eastAsia="宋体" w:cs="宋体"/>
                <w:sz w:val="24"/>
                <w:szCs w:val="24"/>
              </w:rPr>
            </w:pPr>
          </w:p>
        </w:tc>
      </w:tr>
      <w:tr w14:paraId="38549A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06309F6E">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6FDBC84B">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4C443CE6">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33E180EF">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55EB0975">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34971A13">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30343A0A">
            <w:pPr>
              <w:pStyle w:val="13"/>
              <w:keepNext/>
              <w:spacing w:line="440" w:lineRule="exact"/>
              <w:ind w:left="63" w:right="63"/>
              <w:rPr>
                <w:rFonts w:hint="eastAsia" w:ascii="宋体" w:hAnsi="宋体" w:eastAsia="宋体" w:cs="宋体"/>
                <w:sz w:val="24"/>
                <w:szCs w:val="24"/>
              </w:rPr>
            </w:pPr>
          </w:p>
        </w:tc>
      </w:tr>
      <w:tr w14:paraId="162D36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6" w:space="0"/>
              <w:right w:val="single" w:color="auto" w:sz="6" w:space="0"/>
            </w:tcBorders>
            <w:noWrap w:val="0"/>
            <w:vAlign w:val="top"/>
          </w:tcPr>
          <w:p w14:paraId="612E54B2">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6" w:space="0"/>
              <w:right w:val="single" w:color="auto" w:sz="6" w:space="0"/>
            </w:tcBorders>
            <w:noWrap w:val="0"/>
            <w:vAlign w:val="top"/>
          </w:tcPr>
          <w:p w14:paraId="05492282">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6" w:space="0"/>
              <w:right w:val="single" w:color="auto" w:sz="6" w:space="0"/>
            </w:tcBorders>
            <w:noWrap w:val="0"/>
            <w:vAlign w:val="top"/>
          </w:tcPr>
          <w:p w14:paraId="70C939B8">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6" w:space="0"/>
              <w:right w:val="single" w:color="auto" w:sz="6" w:space="0"/>
            </w:tcBorders>
            <w:noWrap w:val="0"/>
            <w:vAlign w:val="top"/>
          </w:tcPr>
          <w:p w14:paraId="162A9A93">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6" w:space="0"/>
              <w:right w:val="single" w:color="auto" w:sz="6" w:space="0"/>
            </w:tcBorders>
            <w:noWrap w:val="0"/>
            <w:vAlign w:val="top"/>
          </w:tcPr>
          <w:p w14:paraId="23E7B750">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6" w:space="0"/>
              <w:right w:val="single" w:color="auto" w:sz="6" w:space="0"/>
            </w:tcBorders>
            <w:noWrap w:val="0"/>
            <w:vAlign w:val="top"/>
          </w:tcPr>
          <w:p w14:paraId="0171EBCF">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6" w:space="0"/>
              <w:right w:val="single" w:color="auto" w:sz="12" w:space="0"/>
            </w:tcBorders>
            <w:noWrap w:val="0"/>
            <w:vAlign w:val="top"/>
          </w:tcPr>
          <w:p w14:paraId="1369C84A">
            <w:pPr>
              <w:pStyle w:val="13"/>
              <w:keepNext/>
              <w:spacing w:line="440" w:lineRule="exact"/>
              <w:ind w:left="63" w:right="63"/>
              <w:rPr>
                <w:rFonts w:hint="eastAsia" w:ascii="宋体" w:hAnsi="宋体" w:eastAsia="宋体" w:cs="宋体"/>
                <w:sz w:val="24"/>
                <w:szCs w:val="24"/>
              </w:rPr>
            </w:pPr>
          </w:p>
        </w:tc>
      </w:tr>
      <w:tr w14:paraId="4CCD61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47" w:type="pct"/>
            <w:tcBorders>
              <w:top w:val="single" w:color="auto" w:sz="6" w:space="0"/>
              <w:left w:val="single" w:color="auto" w:sz="12" w:space="0"/>
              <w:bottom w:val="single" w:color="auto" w:sz="12" w:space="0"/>
              <w:right w:val="single" w:color="auto" w:sz="6" w:space="0"/>
            </w:tcBorders>
            <w:noWrap w:val="0"/>
            <w:vAlign w:val="top"/>
          </w:tcPr>
          <w:p w14:paraId="4F6A59FD">
            <w:pPr>
              <w:pStyle w:val="13"/>
              <w:keepNext/>
              <w:spacing w:line="440" w:lineRule="exact"/>
              <w:ind w:left="63" w:right="63"/>
              <w:rPr>
                <w:rFonts w:hint="eastAsia" w:ascii="宋体" w:hAnsi="宋体" w:eastAsia="宋体" w:cs="宋体"/>
                <w:sz w:val="24"/>
                <w:szCs w:val="24"/>
              </w:rPr>
            </w:pPr>
          </w:p>
        </w:tc>
        <w:tc>
          <w:tcPr>
            <w:tcW w:w="1093" w:type="pct"/>
            <w:tcBorders>
              <w:top w:val="single" w:color="auto" w:sz="6" w:space="0"/>
              <w:left w:val="single" w:color="auto" w:sz="6" w:space="0"/>
              <w:bottom w:val="single" w:color="auto" w:sz="12" w:space="0"/>
              <w:right w:val="single" w:color="auto" w:sz="6" w:space="0"/>
            </w:tcBorders>
            <w:noWrap w:val="0"/>
            <w:vAlign w:val="top"/>
          </w:tcPr>
          <w:p w14:paraId="2BA2BAF5">
            <w:pPr>
              <w:pStyle w:val="13"/>
              <w:keepNext/>
              <w:spacing w:line="440" w:lineRule="exact"/>
              <w:ind w:left="63" w:right="63"/>
              <w:rPr>
                <w:rFonts w:hint="eastAsia" w:ascii="宋体" w:hAnsi="宋体" w:eastAsia="宋体" w:cs="宋体"/>
                <w:sz w:val="24"/>
                <w:szCs w:val="24"/>
              </w:rPr>
            </w:pPr>
          </w:p>
        </w:tc>
        <w:tc>
          <w:tcPr>
            <w:tcW w:w="468" w:type="pct"/>
            <w:tcBorders>
              <w:top w:val="single" w:color="auto" w:sz="6" w:space="0"/>
              <w:left w:val="single" w:color="auto" w:sz="6" w:space="0"/>
              <w:bottom w:val="single" w:color="auto" w:sz="12" w:space="0"/>
              <w:right w:val="single" w:color="auto" w:sz="6" w:space="0"/>
            </w:tcBorders>
            <w:noWrap w:val="0"/>
            <w:vAlign w:val="top"/>
          </w:tcPr>
          <w:p w14:paraId="3B39C2C5">
            <w:pPr>
              <w:pStyle w:val="13"/>
              <w:keepNext/>
              <w:spacing w:line="440" w:lineRule="exact"/>
              <w:ind w:left="63" w:right="63"/>
              <w:rPr>
                <w:rFonts w:hint="eastAsia" w:ascii="宋体" w:hAnsi="宋体" w:eastAsia="宋体" w:cs="宋体"/>
                <w:sz w:val="24"/>
                <w:szCs w:val="24"/>
              </w:rPr>
            </w:pPr>
          </w:p>
        </w:tc>
        <w:tc>
          <w:tcPr>
            <w:tcW w:w="426" w:type="pct"/>
            <w:tcBorders>
              <w:top w:val="single" w:color="auto" w:sz="6" w:space="0"/>
              <w:left w:val="single" w:color="auto" w:sz="6" w:space="0"/>
              <w:bottom w:val="single" w:color="auto" w:sz="12" w:space="0"/>
              <w:right w:val="single" w:color="auto" w:sz="6" w:space="0"/>
            </w:tcBorders>
            <w:noWrap w:val="0"/>
            <w:vAlign w:val="top"/>
          </w:tcPr>
          <w:p w14:paraId="2AB4E889">
            <w:pPr>
              <w:pStyle w:val="13"/>
              <w:keepNext/>
              <w:spacing w:line="440" w:lineRule="exact"/>
              <w:ind w:left="63" w:right="63"/>
              <w:rPr>
                <w:rFonts w:hint="eastAsia" w:ascii="宋体" w:hAnsi="宋体" w:eastAsia="宋体" w:cs="宋体"/>
                <w:sz w:val="24"/>
                <w:szCs w:val="24"/>
              </w:rPr>
            </w:pPr>
          </w:p>
        </w:tc>
        <w:tc>
          <w:tcPr>
            <w:tcW w:w="979" w:type="pct"/>
            <w:tcBorders>
              <w:top w:val="single" w:color="auto" w:sz="6" w:space="0"/>
              <w:left w:val="single" w:color="auto" w:sz="6" w:space="0"/>
              <w:bottom w:val="single" w:color="auto" w:sz="12" w:space="0"/>
              <w:right w:val="single" w:color="auto" w:sz="6" w:space="0"/>
            </w:tcBorders>
            <w:noWrap w:val="0"/>
            <w:vAlign w:val="top"/>
          </w:tcPr>
          <w:p w14:paraId="7EA06C5C">
            <w:pPr>
              <w:pStyle w:val="13"/>
              <w:keepNext/>
              <w:spacing w:line="440" w:lineRule="exact"/>
              <w:ind w:left="63" w:right="63"/>
              <w:rPr>
                <w:rFonts w:hint="eastAsia" w:ascii="宋体" w:hAnsi="宋体" w:eastAsia="宋体" w:cs="宋体"/>
                <w:sz w:val="24"/>
                <w:szCs w:val="24"/>
              </w:rPr>
            </w:pPr>
          </w:p>
        </w:tc>
        <w:tc>
          <w:tcPr>
            <w:tcW w:w="886" w:type="pct"/>
            <w:tcBorders>
              <w:top w:val="single" w:color="auto" w:sz="6" w:space="0"/>
              <w:left w:val="single" w:color="auto" w:sz="6" w:space="0"/>
              <w:bottom w:val="single" w:color="auto" w:sz="12" w:space="0"/>
              <w:right w:val="single" w:color="auto" w:sz="6" w:space="0"/>
            </w:tcBorders>
            <w:noWrap w:val="0"/>
            <w:vAlign w:val="top"/>
          </w:tcPr>
          <w:p w14:paraId="62BD9B3D">
            <w:pPr>
              <w:pStyle w:val="13"/>
              <w:keepNext/>
              <w:spacing w:line="440" w:lineRule="exact"/>
              <w:ind w:left="63" w:right="63"/>
              <w:rPr>
                <w:rFonts w:hint="eastAsia" w:ascii="宋体" w:hAnsi="宋体" w:eastAsia="宋体" w:cs="宋体"/>
                <w:sz w:val="24"/>
                <w:szCs w:val="24"/>
              </w:rPr>
            </w:pPr>
          </w:p>
        </w:tc>
        <w:tc>
          <w:tcPr>
            <w:tcW w:w="598" w:type="pct"/>
            <w:tcBorders>
              <w:top w:val="single" w:color="auto" w:sz="6" w:space="0"/>
              <w:left w:val="single" w:color="auto" w:sz="6" w:space="0"/>
              <w:bottom w:val="single" w:color="auto" w:sz="12" w:space="0"/>
              <w:right w:val="single" w:color="auto" w:sz="12" w:space="0"/>
            </w:tcBorders>
            <w:noWrap w:val="0"/>
            <w:vAlign w:val="top"/>
          </w:tcPr>
          <w:p w14:paraId="254CBD91">
            <w:pPr>
              <w:pStyle w:val="13"/>
              <w:keepNext/>
              <w:spacing w:line="440" w:lineRule="exact"/>
              <w:ind w:left="63" w:right="63"/>
              <w:rPr>
                <w:rFonts w:hint="eastAsia" w:ascii="宋体" w:hAnsi="宋体" w:eastAsia="宋体" w:cs="宋体"/>
                <w:sz w:val="24"/>
                <w:szCs w:val="24"/>
              </w:rPr>
            </w:pPr>
          </w:p>
        </w:tc>
      </w:tr>
    </w:tbl>
    <w:p w14:paraId="76FCBBF8">
      <w:pPr>
        <w:spacing w:line="440" w:lineRule="exact"/>
        <w:rPr>
          <w:rFonts w:ascii="仿宋" w:hAnsi="仿宋" w:eastAsia="仿宋"/>
          <w:sz w:val="30"/>
          <w:szCs w:val="30"/>
        </w:rPr>
      </w:pPr>
    </w:p>
    <w:p w14:paraId="7479E15D">
      <w:pPr>
        <w:spacing w:before="156" w:beforeLines="50" w:after="156" w:afterLines="50" w:line="440" w:lineRule="exact"/>
        <w:rPr>
          <w:rFonts w:hint="eastAsia" w:ascii="宋体" w:hAnsi="宋体" w:eastAsia="宋体" w:cs="宋体"/>
          <w:sz w:val="24"/>
          <w:szCs w:val="24"/>
        </w:rPr>
      </w:pPr>
      <w:r>
        <w:rPr>
          <w:rFonts w:ascii="仿宋" w:hAnsi="仿宋" w:eastAsia="仿宋"/>
          <w:sz w:val="30"/>
          <w:szCs w:val="30"/>
          <w:highlight w:val="white"/>
        </w:rPr>
        <w:br w:type="page"/>
      </w:r>
      <w:r>
        <w:rPr>
          <w:rFonts w:hint="eastAsia" w:ascii="宋体" w:hAnsi="宋体" w:eastAsia="宋体" w:cs="宋体"/>
          <w:sz w:val="24"/>
          <w:szCs w:val="24"/>
          <w:highlight w:val="white"/>
        </w:rPr>
        <w:t>11-3：专业工程暂估价表</w:t>
      </w:r>
    </w:p>
    <w:tbl>
      <w:tblPr>
        <w:tblStyle w:val="29"/>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38"/>
        <w:gridCol w:w="2119"/>
        <w:gridCol w:w="4995"/>
        <w:gridCol w:w="1366"/>
      </w:tblGrid>
      <w:tr w14:paraId="09FBA7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12" w:space="0"/>
              <w:left w:val="single" w:color="auto" w:sz="12" w:space="0"/>
              <w:bottom w:val="double" w:color="auto" w:sz="6" w:space="0"/>
              <w:right w:val="single" w:color="auto" w:sz="6" w:space="0"/>
            </w:tcBorders>
            <w:noWrap w:val="0"/>
            <w:vAlign w:val="top"/>
          </w:tcPr>
          <w:p w14:paraId="5D6B45BF">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序号</w:t>
            </w:r>
          </w:p>
        </w:tc>
        <w:tc>
          <w:tcPr>
            <w:tcW w:w="1125" w:type="pct"/>
            <w:tcBorders>
              <w:top w:val="single" w:color="auto" w:sz="12" w:space="0"/>
              <w:left w:val="single" w:color="auto" w:sz="6" w:space="0"/>
              <w:bottom w:val="double" w:color="auto" w:sz="6" w:space="0"/>
              <w:right w:val="single" w:color="auto" w:sz="6" w:space="0"/>
            </w:tcBorders>
            <w:noWrap w:val="0"/>
            <w:vAlign w:val="top"/>
          </w:tcPr>
          <w:p w14:paraId="2ACD2315">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专业工程名称</w:t>
            </w:r>
          </w:p>
        </w:tc>
        <w:tc>
          <w:tcPr>
            <w:tcW w:w="2652" w:type="pct"/>
            <w:tcBorders>
              <w:top w:val="single" w:color="auto" w:sz="12" w:space="0"/>
              <w:left w:val="single" w:color="auto" w:sz="6" w:space="0"/>
              <w:bottom w:val="double" w:color="auto" w:sz="6" w:space="0"/>
              <w:right w:val="single" w:color="auto" w:sz="6" w:space="0"/>
            </w:tcBorders>
            <w:noWrap w:val="0"/>
            <w:vAlign w:val="top"/>
          </w:tcPr>
          <w:p w14:paraId="675164BB">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工程内容</w:t>
            </w:r>
          </w:p>
        </w:tc>
        <w:tc>
          <w:tcPr>
            <w:tcW w:w="723" w:type="pct"/>
            <w:tcBorders>
              <w:top w:val="single" w:color="auto" w:sz="12" w:space="0"/>
              <w:left w:val="single" w:color="auto" w:sz="6" w:space="0"/>
              <w:bottom w:val="double" w:color="auto" w:sz="6" w:space="0"/>
              <w:right w:val="single" w:color="auto" w:sz="12" w:space="0"/>
            </w:tcBorders>
            <w:noWrap w:val="0"/>
            <w:vAlign w:val="top"/>
          </w:tcPr>
          <w:p w14:paraId="241C4CCA">
            <w:pPr>
              <w:pStyle w:val="13"/>
              <w:keepNext/>
              <w:spacing w:line="440" w:lineRule="exact"/>
              <w:ind w:left="63" w:right="63"/>
              <w:jc w:val="center"/>
              <w:rPr>
                <w:rFonts w:hint="eastAsia" w:ascii="宋体" w:hAnsi="宋体" w:eastAsia="宋体" w:cs="宋体"/>
                <w:sz w:val="24"/>
                <w:szCs w:val="24"/>
              </w:rPr>
            </w:pPr>
            <w:r>
              <w:rPr>
                <w:rFonts w:hint="eastAsia" w:ascii="宋体" w:hAnsi="宋体" w:eastAsia="宋体" w:cs="宋体"/>
                <w:sz w:val="24"/>
                <w:szCs w:val="24"/>
                <w:highlight w:val="white"/>
              </w:rPr>
              <w:t>金额</w:t>
            </w:r>
          </w:p>
        </w:tc>
      </w:tr>
      <w:tr w14:paraId="480E64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double" w:color="auto" w:sz="6" w:space="0"/>
              <w:left w:val="single" w:color="auto" w:sz="12" w:space="0"/>
              <w:bottom w:val="single" w:color="auto" w:sz="6" w:space="0"/>
              <w:right w:val="single" w:color="auto" w:sz="6" w:space="0"/>
            </w:tcBorders>
            <w:noWrap w:val="0"/>
            <w:vAlign w:val="top"/>
          </w:tcPr>
          <w:p w14:paraId="2C1CFD4D">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rPr>
              <w:t>/</w:t>
            </w:r>
          </w:p>
        </w:tc>
        <w:tc>
          <w:tcPr>
            <w:tcW w:w="1125" w:type="pct"/>
            <w:tcBorders>
              <w:top w:val="double" w:color="auto" w:sz="6" w:space="0"/>
              <w:left w:val="single" w:color="auto" w:sz="6" w:space="0"/>
              <w:bottom w:val="single" w:color="auto" w:sz="6" w:space="0"/>
              <w:right w:val="single" w:color="auto" w:sz="6" w:space="0"/>
            </w:tcBorders>
            <w:noWrap w:val="0"/>
            <w:vAlign w:val="top"/>
          </w:tcPr>
          <w:p w14:paraId="22FF05A3">
            <w:pPr>
              <w:pStyle w:val="13"/>
              <w:keepNext/>
              <w:spacing w:line="440" w:lineRule="exact"/>
              <w:ind w:left="63" w:right="63"/>
              <w:rPr>
                <w:rFonts w:hint="eastAsia" w:ascii="宋体" w:hAnsi="宋体" w:eastAsia="宋体" w:cs="宋体"/>
                <w:sz w:val="24"/>
                <w:szCs w:val="24"/>
              </w:rPr>
            </w:pPr>
          </w:p>
        </w:tc>
        <w:tc>
          <w:tcPr>
            <w:tcW w:w="2652" w:type="pct"/>
            <w:tcBorders>
              <w:top w:val="double" w:color="auto" w:sz="6" w:space="0"/>
              <w:left w:val="single" w:color="auto" w:sz="6" w:space="0"/>
              <w:bottom w:val="single" w:color="auto" w:sz="6" w:space="0"/>
              <w:right w:val="single" w:color="auto" w:sz="6" w:space="0"/>
            </w:tcBorders>
            <w:noWrap w:val="0"/>
            <w:vAlign w:val="top"/>
          </w:tcPr>
          <w:p w14:paraId="48DC794C">
            <w:pPr>
              <w:pStyle w:val="13"/>
              <w:keepNext/>
              <w:spacing w:line="440" w:lineRule="exact"/>
              <w:ind w:left="63" w:right="63"/>
              <w:rPr>
                <w:rFonts w:hint="eastAsia" w:ascii="宋体" w:hAnsi="宋体" w:eastAsia="宋体" w:cs="宋体"/>
                <w:sz w:val="24"/>
                <w:szCs w:val="24"/>
              </w:rPr>
            </w:pPr>
          </w:p>
        </w:tc>
        <w:tc>
          <w:tcPr>
            <w:tcW w:w="723" w:type="pct"/>
            <w:tcBorders>
              <w:top w:val="double" w:color="auto" w:sz="6" w:space="0"/>
              <w:left w:val="single" w:color="auto" w:sz="6" w:space="0"/>
              <w:bottom w:val="single" w:color="auto" w:sz="6" w:space="0"/>
              <w:right w:val="single" w:color="auto" w:sz="12" w:space="0"/>
            </w:tcBorders>
            <w:noWrap w:val="0"/>
            <w:vAlign w:val="top"/>
          </w:tcPr>
          <w:p w14:paraId="68FD4745">
            <w:pPr>
              <w:pStyle w:val="13"/>
              <w:keepNext/>
              <w:spacing w:line="440" w:lineRule="exact"/>
              <w:ind w:left="63" w:right="63"/>
              <w:rPr>
                <w:rFonts w:hint="eastAsia" w:ascii="宋体" w:hAnsi="宋体" w:eastAsia="宋体" w:cs="宋体"/>
                <w:sz w:val="24"/>
                <w:szCs w:val="24"/>
              </w:rPr>
            </w:pPr>
          </w:p>
        </w:tc>
      </w:tr>
      <w:tr w14:paraId="4A065E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nil"/>
              <w:left w:val="single" w:color="auto" w:sz="12" w:space="0"/>
              <w:bottom w:val="single" w:color="auto" w:sz="6" w:space="0"/>
              <w:right w:val="single" w:color="auto" w:sz="6" w:space="0"/>
            </w:tcBorders>
            <w:noWrap w:val="0"/>
            <w:vAlign w:val="top"/>
          </w:tcPr>
          <w:p w14:paraId="703C3591">
            <w:pPr>
              <w:pStyle w:val="13"/>
              <w:keepNext/>
              <w:spacing w:line="440" w:lineRule="exact"/>
              <w:ind w:left="63" w:right="63"/>
              <w:rPr>
                <w:rFonts w:hint="eastAsia" w:ascii="宋体" w:hAnsi="宋体" w:eastAsia="宋体" w:cs="宋体"/>
                <w:sz w:val="24"/>
                <w:szCs w:val="24"/>
              </w:rPr>
            </w:pPr>
          </w:p>
        </w:tc>
        <w:tc>
          <w:tcPr>
            <w:tcW w:w="1125" w:type="pct"/>
            <w:tcBorders>
              <w:top w:val="nil"/>
              <w:left w:val="single" w:color="auto" w:sz="6" w:space="0"/>
              <w:bottom w:val="single" w:color="auto" w:sz="6" w:space="0"/>
              <w:right w:val="single" w:color="auto" w:sz="6" w:space="0"/>
            </w:tcBorders>
            <w:noWrap w:val="0"/>
            <w:vAlign w:val="top"/>
          </w:tcPr>
          <w:p w14:paraId="097AD645">
            <w:pPr>
              <w:pStyle w:val="13"/>
              <w:keepNext/>
              <w:spacing w:line="440" w:lineRule="exact"/>
              <w:ind w:left="63" w:right="63"/>
              <w:rPr>
                <w:rFonts w:hint="eastAsia" w:ascii="宋体" w:hAnsi="宋体" w:eastAsia="宋体" w:cs="宋体"/>
                <w:sz w:val="24"/>
                <w:szCs w:val="24"/>
              </w:rPr>
            </w:pPr>
          </w:p>
        </w:tc>
        <w:tc>
          <w:tcPr>
            <w:tcW w:w="2652" w:type="pct"/>
            <w:tcBorders>
              <w:top w:val="nil"/>
              <w:left w:val="single" w:color="auto" w:sz="6" w:space="0"/>
              <w:bottom w:val="single" w:color="auto" w:sz="6" w:space="0"/>
              <w:right w:val="single" w:color="auto" w:sz="6" w:space="0"/>
            </w:tcBorders>
            <w:noWrap w:val="0"/>
            <w:vAlign w:val="top"/>
          </w:tcPr>
          <w:p w14:paraId="695014C5">
            <w:pPr>
              <w:pStyle w:val="13"/>
              <w:keepNext/>
              <w:spacing w:line="440" w:lineRule="exact"/>
              <w:ind w:left="63" w:right="63"/>
              <w:rPr>
                <w:rFonts w:hint="eastAsia" w:ascii="宋体" w:hAnsi="宋体" w:eastAsia="宋体" w:cs="宋体"/>
                <w:sz w:val="24"/>
                <w:szCs w:val="24"/>
              </w:rPr>
            </w:pPr>
          </w:p>
        </w:tc>
        <w:tc>
          <w:tcPr>
            <w:tcW w:w="723" w:type="pct"/>
            <w:tcBorders>
              <w:top w:val="nil"/>
              <w:left w:val="single" w:color="auto" w:sz="6" w:space="0"/>
              <w:bottom w:val="single" w:color="auto" w:sz="6" w:space="0"/>
              <w:right w:val="single" w:color="auto" w:sz="12" w:space="0"/>
            </w:tcBorders>
            <w:noWrap w:val="0"/>
            <w:vAlign w:val="top"/>
          </w:tcPr>
          <w:p w14:paraId="55DB6718">
            <w:pPr>
              <w:pStyle w:val="13"/>
              <w:keepNext/>
              <w:spacing w:line="440" w:lineRule="exact"/>
              <w:ind w:left="63" w:right="63"/>
              <w:rPr>
                <w:rFonts w:hint="eastAsia" w:ascii="宋体" w:hAnsi="宋体" w:eastAsia="宋体" w:cs="宋体"/>
                <w:sz w:val="24"/>
                <w:szCs w:val="24"/>
              </w:rPr>
            </w:pPr>
          </w:p>
        </w:tc>
      </w:tr>
      <w:tr w14:paraId="0AD8BE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nil"/>
              <w:left w:val="single" w:color="auto" w:sz="12" w:space="0"/>
              <w:bottom w:val="single" w:color="auto" w:sz="6" w:space="0"/>
              <w:right w:val="single" w:color="auto" w:sz="6" w:space="0"/>
            </w:tcBorders>
            <w:noWrap w:val="0"/>
            <w:vAlign w:val="top"/>
          </w:tcPr>
          <w:p w14:paraId="174258C6">
            <w:pPr>
              <w:pStyle w:val="13"/>
              <w:keepNext/>
              <w:spacing w:line="440" w:lineRule="exact"/>
              <w:ind w:left="63" w:right="63"/>
              <w:rPr>
                <w:rFonts w:hint="eastAsia" w:ascii="宋体" w:hAnsi="宋体" w:eastAsia="宋体" w:cs="宋体"/>
                <w:sz w:val="24"/>
                <w:szCs w:val="24"/>
              </w:rPr>
            </w:pPr>
          </w:p>
        </w:tc>
        <w:tc>
          <w:tcPr>
            <w:tcW w:w="1125" w:type="pct"/>
            <w:tcBorders>
              <w:top w:val="nil"/>
              <w:left w:val="single" w:color="auto" w:sz="6" w:space="0"/>
              <w:bottom w:val="single" w:color="auto" w:sz="6" w:space="0"/>
              <w:right w:val="single" w:color="auto" w:sz="6" w:space="0"/>
            </w:tcBorders>
            <w:noWrap w:val="0"/>
            <w:vAlign w:val="top"/>
          </w:tcPr>
          <w:p w14:paraId="32F8F523">
            <w:pPr>
              <w:pStyle w:val="13"/>
              <w:keepNext/>
              <w:spacing w:line="440" w:lineRule="exact"/>
              <w:ind w:left="63" w:right="63"/>
              <w:rPr>
                <w:rFonts w:hint="eastAsia" w:ascii="宋体" w:hAnsi="宋体" w:eastAsia="宋体" w:cs="宋体"/>
                <w:sz w:val="24"/>
                <w:szCs w:val="24"/>
              </w:rPr>
            </w:pPr>
          </w:p>
        </w:tc>
        <w:tc>
          <w:tcPr>
            <w:tcW w:w="2652" w:type="pct"/>
            <w:tcBorders>
              <w:top w:val="nil"/>
              <w:left w:val="single" w:color="auto" w:sz="6" w:space="0"/>
              <w:bottom w:val="single" w:color="auto" w:sz="6" w:space="0"/>
              <w:right w:val="single" w:color="auto" w:sz="6" w:space="0"/>
            </w:tcBorders>
            <w:noWrap w:val="0"/>
            <w:vAlign w:val="top"/>
          </w:tcPr>
          <w:p w14:paraId="2EC92A58">
            <w:pPr>
              <w:pStyle w:val="13"/>
              <w:keepNext/>
              <w:spacing w:line="440" w:lineRule="exact"/>
              <w:ind w:left="63" w:right="63"/>
              <w:rPr>
                <w:rFonts w:hint="eastAsia" w:ascii="宋体" w:hAnsi="宋体" w:eastAsia="宋体" w:cs="宋体"/>
                <w:sz w:val="24"/>
                <w:szCs w:val="24"/>
              </w:rPr>
            </w:pPr>
          </w:p>
        </w:tc>
        <w:tc>
          <w:tcPr>
            <w:tcW w:w="723" w:type="pct"/>
            <w:tcBorders>
              <w:top w:val="nil"/>
              <w:left w:val="single" w:color="auto" w:sz="6" w:space="0"/>
              <w:bottom w:val="single" w:color="auto" w:sz="6" w:space="0"/>
              <w:right w:val="single" w:color="auto" w:sz="12" w:space="0"/>
            </w:tcBorders>
            <w:noWrap w:val="0"/>
            <w:vAlign w:val="top"/>
          </w:tcPr>
          <w:p w14:paraId="55B51426">
            <w:pPr>
              <w:pStyle w:val="13"/>
              <w:keepNext/>
              <w:spacing w:line="440" w:lineRule="exact"/>
              <w:ind w:left="63" w:right="63"/>
              <w:rPr>
                <w:rFonts w:hint="eastAsia" w:ascii="宋体" w:hAnsi="宋体" w:eastAsia="宋体" w:cs="宋体"/>
                <w:sz w:val="24"/>
                <w:szCs w:val="24"/>
              </w:rPr>
            </w:pPr>
          </w:p>
        </w:tc>
      </w:tr>
      <w:tr w14:paraId="6F59F3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1E8EF46C">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6D5BB5CC">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1B79126F">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332EAD87">
            <w:pPr>
              <w:pStyle w:val="13"/>
              <w:keepNext/>
              <w:spacing w:line="440" w:lineRule="exact"/>
              <w:ind w:left="63" w:right="63"/>
              <w:rPr>
                <w:rFonts w:hint="eastAsia" w:ascii="宋体" w:hAnsi="宋体" w:eastAsia="宋体" w:cs="宋体"/>
                <w:sz w:val="24"/>
                <w:szCs w:val="24"/>
              </w:rPr>
            </w:pPr>
          </w:p>
        </w:tc>
      </w:tr>
      <w:tr w14:paraId="3E1888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2CD65651">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76BE803E">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0BEC5EE6">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6AD6BCD8">
            <w:pPr>
              <w:pStyle w:val="13"/>
              <w:keepNext/>
              <w:spacing w:line="440" w:lineRule="exact"/>
              <w:ind w:left="63" w:right="63"/>
              <w:rPr>
                <w:rFonts w:hint="eastAsia" w:ascii="宋体" w:hAnsi="宋体" w:eastAsia="宋体" w:cs="宋体"/>
                <w:sz w:val="24"/>
                <w:szCs w:val="24"/>
              </w:rPr>
            </w:pPr>
          </w:p>
        </w:tc>
      </w:tr>
      <w:tr w14:paraId="73632D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6C1398C6">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70E1FA37">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456D47C6">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55D685D1">
            <w:pPr>
              <w:pStyle w:val="13"/>
              <w:keepNext/>
              <w:spacing w:line="440" w:lineRule="exact"/>
              <w:ind w:left="63" w:right="63"/>
              <w:rPr>
                <w:rFonts w:hint="eastAsia" w:ascii="宋体" w:hAnsi="宋体" w:eastAsia="宋体" w:cs="宋体"/>
                <w:sz w:val="24"/>
                <w:szCs w:val="24"/>
              </w:rPr>
            </w:pPr>
          </w:p>
        </w:tc>
      </w:tr>
      <w:tr w14:paraId="3FB6FF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3301DB0F">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017D6AB6">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2B01D979">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0C0A1617">
            <w:pPr>
              <w:pStyle w:val="13"/>
              <w:keepNext/>
              <w:spacing w:line="440" w:lineRule="exact"/>
              <w:ind w:left="63" w:right="63"/>
              <w:rPr>
                <w:rFonts w:hint="eastAsia" w:ascii="宋体" w:hAnsi="宋体" w:eastAsia="宋体" w:cs="宋体"/>
                <w:sz w:val="24"/>
                <w:szCs w:val="24"/>
              </w:rPr>
            </w:pPr>
          </w:p>
        </w:tc>
      </w:tr>
      <w:tr w14:paraId="49F52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57DB221D">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18FF2982">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23CB8216">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6D713216">
            <w:pPr>
              <w:pStyle w:val="13"/>
              <w:keepNext/>
              <w:spacing w:line="440" w:lineRule="exact"/>
              <w:ind w:left="63" w:right="63"/>
              <w:rPr>
                <w:rFonts w:hint="eastAsia" w:ascii="宋体" w:hAnsi="宋体" w:eastAsia="宋体" w:cs="宋体"/>
                <w:sz w:val="24"/>
                <w:szCs w:val="24"/>
              </w:rPr>
            </w:pPr>
          </w:p>
        </w:tc>
      </w:tr>
      <w:tr w14:paraId="23F6F9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6160A9B7">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32703A11">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322419B1">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1C965C41">
            <w:pPr>
              <w:pStyle w:val="13"/>
              <w:keepNext/>
              <w:spacing w:line="440" w:lineRule="exact"/>
              <w:ind w:left="63" w:right="63"/>
              <w:rPr>
                <w:rFonts w:hint="eastAsia" w:ascii="宋体" w:hAnsi="宋体" w:eastAsia="宋体" w:cs="宋体"/>
                <w:sz w:val="24"/>
                <w:szCs w:val="24"/>
              </w:rPr>
            </w:pPr>
          </w:p>
        </w:tc>
      </w:tr>
      <w:tr w14:paraId="0C0DF4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25DF4631">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71A123F3">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343D101D">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7D0081AA">
            <w:pPr>
              <w:pStyle w:val="13"/>
              <w:keepNext/>
              <w:spacing w:line="440" w:lineRule="exact"/>
              <w:ind w:left="63" w:right="63"/>
              <w:rPr>
                <w:rFonts w:hint="eastAsia" w:ascii="宋体" w:hAnsi="宋体" w:eastAsia="宋体" w:cs="宋体"/>
                <w:sz w:val="24"/>
                <w:szCs w:val="24"/>
              </w:rPr>
            </w:pPr>
          </w:p>
        </w:tc>
      </w:tr>
      <w:tr w14:paraId="3AC531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7AE22691">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34B7FBD8">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7FDD0000">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2E78B715">
            <w:pPr>
              <w:pStyle w:val="13"/>
              <w:keepNext/>
              <w:spacing w:line="440" w:lineRule="exact"/>
              <w:ind w:left="63" w:right="63"/>
              <w:rPr>
                <w:rFonts w:hint="eastAsia" w:ascii="宋体" w:hAnsi="宋体" w:eastAsia="宋体" w:cs="宋体"/>
                <w:sz w:val="24"/>
                <w:szCs w:val="24"/>
              </w:rPr>
            </w:pPr>
          </w:p>
        </w:tc>
      </w:tr>
      <w:tr w14:paraId="64A349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6AD89680">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1664BB19">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564A86BC">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5E6EA124">
            <w:pPr>
              <w:pStyle w:val="13"/>
              <w:keepNext/>
              <w:spacing w:line="440" w:lineRule="exact"/>
              <w:ind w:left="63" w:right="63"/>
              <w:rPr>
                <w:rFonts w:hint="eastAsia" w:ascii="宋体" w:hAnsi="宋体" w:eastAsia="宋体" w:cs="宋体"/>
                <w:sz w:val="24"/>
                <w:szCs w:val="24"/>
              </w:rPr>
            </w:pPr>
          </w:p>
        </w:tc>
      </w:tr>
      <w:tr w14:paraId="7E1BF8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59A592C7">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39B6BE6B">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62BFFC07">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67E2FCE2">
            <w:pPr>
              <w:pStyle w:val="13"/>
              <w:keepNext/>
              <w:spacing w:line="440" w:lineRule="exact"/>
              <w:ind w:left="63" w:right="63"/>
              <w:rPr>
                <w:rFonts w:hint="eastAsia" w:ascii="宋体" w:hAnsi="宋体" w:eastAsia="宋体" w:cs="宋体"/>
                <w:sz w:val="24"/>
                <w:szCs w:val="24"/>
              </w:rPr>
            </w:pPr>
          </w:p>
        </w:tc>
      </w:tr>
      <w:tr w14:paraId="6AAD87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1D6DA083">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4E7841FC">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13D2AA5E">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75A6CDEB">
            <w:pPr>
              <w:pStyle w:val="13"/>
              <w:keepNext/>
              <w:spacing w:line="440" w:lineRule="exact"/>
              <w:ind w:left="63" w:right="63"/>
              <w:rPr>
                <w:rFonts w:hint="eastAsia" w:ascii="宋体" w:hAnsi="宋体" w:eastAsia="宋体" w:cs="宋体"/>
                <w:sz w:val="24"/>
                <w:szCs w:val="24"/>
              </w:rPr>
            </w:pPr>
          </w:p>
        </w:tc>
      </w:tr>
      <w:tr w14:paraId="293EAA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07EE4FFD">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41F7D7F0">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73539B21">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1BFDC849">
            <w:pPr>
              <w:pStyle w:val="13"/>
              <w:keepNext/>
              <w:spacing w:line="440" w:lineRule="exact"/>
              <w:ind w:left="63" w:right="63"/>
              <w:rPr>
                <w:rFonts w:hint="eastAsia" w:ascii="宋体" w:hAnsi="宋体" w:eastAsia="宋体" w:cs="宋体"/>
                <w:sz w:val="24"/>
                <w:szCs w:val="24"/>
              </w:rPr>
            </w:pPr>
          </w:p>
        </w:tc>
      </w:tr>
      <w:tr w14:paraId="24B016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0825910A">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009A2C5A">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3319985F">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4A25E107">
            <w:pPr>
              <w:pStyle w:val="13"/>
              <w:keepNext/>
              <w:spacing w:line="440" w:lineRule="exact"/>
              <w:ind w:left="63" w:right="63"/>
              <w:rPr>
                <w:rFonts w:hint="eastAsia" w:ascii="宋体" w:hAnsi="宋体" w:eastAsia="宋体" w:cs="宋体"/>
                <w:sz w:val="24"/>
                <w:szCs w:val="24"/>
              </w:rPr>
            </w:pPr>
          </w:p>
        </w:tc>
      </w:tr>
      <w:tr w14:paraId="0664F3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5C265E39">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6E479AAF">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53B3228E">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55315922">
            <w:pPr>
              <w:pStyle w:val="13"/>
              <w:keepNext/>
              <w:spacing w:line="440" w:lineRule="exact"/>
              <w:ind w:left="63" w:right="63"/>
              <w:rPr>
                <w:rFonts w:hint="eastAsia" w:ascii="宋体" w:hAnsi="宋体" w:eastAsia="宋体" w:cs="宋体"/>
                <w:sz w:val="24"/>
                <w:szCs w:val="24"/>
              </w:rPr>
            </w:pPr>
          </w:p>
        </w:tc>
      </w:tr>
      <w:tr w14:paraId="277C0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58DB1C3B">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0BD4261A">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110BE465">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076761AD">
            <w:pPr>
              <w:pStyle w:val="13"/>
              <w:keepNext/>
              <w:spacing w:line="440" w:lineRule="exact"/>
              <w:ind w:left="63" w:right="63"/>
              <w:rPr>
                <w:rFonts w:hint="eastAsia" w:ascii="宋体" w:hAnsi="宋体" w:eastAsia="宋体" w:cs="宋体"/>
                <w:sz w:val="24"/>
                <w:szCs w:val="24"/>
              </w:rPr>
            </w:pPr>
          </w:p>
        </w:tc>
      </w:tr>
      <w:tr w14:paraId="6820A4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7C1FE9B6">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63B4F6FF">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1C461299">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412DC0CC">
            <w:pPr>
              <w:pStyle w:val="13"/>
              <w:keepNext/>
              <w:spacing w:line="440" w:lineRule="exact"/>
              <w:ind w:left="63" w:right="63"/>
              <w:rPr>
                <w:rFonts w:hint="eastAsia" w:ascii="宋体" w:hAnsi="宋体" w:eastAsia="宋体" w:cs="宋体"/>
                <w:sz w:val="24"/>
                <w:szCs w:val="24"/>
              </w:rPr>
            </w:pPr>
          </w:p>
        </w:tc>
      </w:tr>
      <w:tr w14:paraId="33F93E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47EB5A77">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6FF2B4C9">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7FEF4F78">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0180E4D3">
            <w:pPr>
              <w:pStyle w:val="13"/>
              <w:keepNext/>
              <w:spacing w:line="440" w:lineRule="exact"/>
              <w:ind w:left="63" w:right="63"/>
              <w:rPr>
                <w:rFonts w:hint="eastAsia" w:ascii="宋体" w:hAnsi="宋体" w:eastAsia="宋体" w:cs="宋体"/>
                <w:sz w:val="24"/>
                <w:szCs w:val="24"/>
              </w:rPr>
            </w:pPr>
          </w:p>
        </w:tc>
      </w:tr>
      <w:tr w14:paraId="27190A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2AA33C54">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1294F2BF">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6F2EA108">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268AF0BA">
            <w:pPr>
              <w:pStyle w:val="13"/>
              <w:keepNext/>
              <w:spacing w:line="440" w:lineRule="exact"/>
              <w:ind w:left="63" w:right="63"/>
              <w:rPr>
                <w:rFonts w:hint="eastAsia" w:ascii="宋体" w:hAnsi="宋体" w:eastAsia="宋体" w:cs="宋体"/>
                <w:sz w:val="24"/>
                <w:szCs w:val="24"/>
              </w:rPr>
            </w:pPr>
          </w:p>
        </w:tc>
      </w:tr>
      <w:tr w14:paraId="637FF9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533B2D3B">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3CEBC941">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781FE538">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3BE786BB">
            <w:pPr>
              <w:pStyle w:val="13"/>
              <w:keepNext/>
              <w:spacing w:line="440" w:lineRule="exact"/>
              <w:ind w:left="63" w:right="63"/>
              <w:rPr>
                <w:rFonts w:hint="eastAsia" w:ascii="宋体" w:hAnsi="宋体" w:eastAsia="宋体" w:cs="宋体"/>
                <w:sz w:val="24"/>
                <w:szCs w:val="24"/>
              </w:rPr>
            </w:pPr>
          </w:p>
        </w:tc>
      </w:tr>
      <w:tr w14:paraId="5733E2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15E226AE">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0B7D2381">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1F4706F9">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7EA23B03">
            <w:pPr>
              <w:pStyle w:val="13"/>
              <w:keepNext/>
              <w:spacing w:line="440" w:lineRule="exact"/>
              <w:ind w:left="63" w:right="63"/>
              <w:rPr>
                <w:rFonts w:hint="eastAsia" w:ascii="宋体" w:hAnsi="宋体" w:eastAsia="宋体" w:cs="宋体"/>
                <w:sz w:val="24"/>
                <w:szCs w:val="24"/>
              </w:rPr>
            </w:pPr>
          </w:p>
        </w:tc>
      </w:tr>
      <w:tr w14:paraId="1CF382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35EBCCC9">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2874B348">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70F41E99">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64B48F64">
            <w:pPr>
              <w:pStyle w:val="13"/>
              <w:keepNext/>
              <w:spacing w:line="440" w:lineRule="exact"/>
              <w:ind w:left="63" w:right="63"/>
              <w:rPr>
                <w:rFonts w:hint="eastAsia" w:ascii="宋体" w:hAnsi="宋体" w:eastAsia="宋体" w:cs="宋体"/>
                <w:sz w:val="24"/>
                <w:szCs w:val="24"/>
              </w:rPr>
            </w:pPr>
          </w:p>
        </w:tc>
      </w:tr>
      <w:tr w14:paraId="588E2B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7C5F903D">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7018CD26">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4067508D">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4108E94D">
            <w:pPr>
              <w:pStyle w:val="13"/>
              <w:keepNext/>
              <w:spacing w:line="440" w:lineRule="exact"/>
              <w:ind w:left="63" w:right="63"/>
              <w:rPr>
                <w:rFonts w:hint="eastAsia" w:ascii="宋体" w:hAnsi="宋体" w:eastAsia="宋体" w:cs="宋体"/>
                <w:sz w:val="24"/>
                <w:szCs w:val="24"/>
              </w:rPr>
            </w:pPr>
          </w:p>
        </w:tc>
      </w:tr>
      <w:tr w14:paraId="566C72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98" w:type="pct"/>
            <w:tcBorders>
              <w:top w:val="single" w:color="auto" w:sz="6" w:space="0"/>
              <w:left w:val="single" w:color="auto" w:sz="12" w:space="0"/>
              <w:bottom w:val="single" w:color="auto" w:sz="6" w:space="0"/>
              <w:right w:val="single" w:color="auto" w:sz="6" w:space="0"/>
            </w:tcBorders>
            <w:noWrap w:val="0"/>
            <w:vAlign w:val="top"/>
          </w:tcPr>
          <w:p w14:paraId="5FC46E7B">
            <w:pPr>
              <w:pStyle w:val="13"/>
              <w:keepNext/>
              <w:spacing w:line="440" w:lineRule="exact"/>
              <w:ind w:left="63" w:right="63"/>
              <w:rPr>
                <w:rFonts w:hint="eastAsia" w:ascii="宋体" w:hAnsi="宋体" w:eastAsia="宋体" w:cs="宋体"/>
                <w:sz w:val="24"/>
                <w:szCs w:val="24"/>
              </w:rPr>
            </w:pPr>
          </w:p>
        </w:tc>
        <w:tc>
          <w:tcPr>
            <w:tcW w:w="1125" w:type="pct"/>
            <w:tcBorders>
              <w:top w:val="single" w:color="auto" w:sz="6" w:space="0"/>
              <w:left w:val="single" w:color="auto" w:sz="6" w:space="0"/>
              <w:bottom w:val="single" w:color="auto" w:sz="6" w:space="0"/>
              <w:right w:val="single" w:color="auto" w:sz="6" w:space="0"/>
            </w:tcBorders>
            <w:noWrap w:val="0"/>
            <w:vAlign w:val="top"/>
          </w:tcPr>
          <w:p w14:paraId="2149796D">
            <w:pPr>
              <w:pStyle w:val="13"/>
              <w:keepNext/>
              <w:spacing w:line="440" w:lineRule="exact"/>
              <w:ind w:left="63" w:right="63"/>
              <w:rPr>
                <w:rFonts w:hint="eastAsia" w:ascii="宋体" w:hAnsi="宋体" w:eastAsia="宋体" w:cs="宋体"/>
                <w:sz w:val="24"/>
                <w:szCs w:val="24"/>
              </w:rPr>
            </w:pPr>
          </w:p>
        </w:tc>
        <w:tc>
          <w:tcPr>
            <w:tcW w:w="2652" w:type="pct"/>
            <w:tcBorders>
              <w:top w:val="single" w:color="auto" w:sz="6" w:space="0"/>
              <w:left w:val="single" w:color="auto" w:sz="6" w:space="0"/>
              <w:bottom w:val="single" w:color="auto" w:sz="6" w:space="0"/>
              <w:right w:val="single" w:color="auto" w:sz="6" w:space="0"/>
            </w:tcBorders>
            <w:noWrap w:val="0"/>
            <w:vAlign w:val="top"/>
          </w:tcPr>
          <w:p w14:paraId="61C9B663">
            <w:pPr>
              <w:pStyle w:val="13"/>
              <w:keepNext/>
              <w:spacing w:line="440" w:lineRule="exact"/>
              <w:ind w:left="63" w:right="63"/>
              <w:rPr>
                <w:rFonts w:hint="eastAsia" w:ascii="宋体" w:hAnsi="宋体" w:eastAsia="宋体" w:cs="宋体"/>
                <w:sz w:val="24"/>
                <w:szCs w:val="24"/>
              </w:rPr>
            </w:pPr>
          </w:p>
        </w:tc>
        <w:tc>
          <w:tcPr>
            <w:tcW w:w="723" w:type="pct"/>
            <w:tcBorders>
              <w:top w:val="single" w:color="auto" w:sz="6" w:space="0"/>
              <w:left w:val="single" w:color="auto" w:sz="6" w:space="0"/>
              <w:bottom w:val="single" w:color="auto" w:sz="6" w:space="0"/>
              <w:right w:val="single" w:color="auto" w:sz="12" w:space="0"/>
            </w:tcBorders>
            <w:noWrap w:val="0"/>
            <w:vAlign w:val="top"/>
          </w:tcPr>
          <w:p w14:paraId="14F2559A">
            <w:pPr>
              <w:pStyle w:val="13"/>
              <w:keepNext/>
              <w:spacing w:line="440" w:lineRule="exact"/>
              <w:ind w:left="63" w:right="63"/>
              <w:rPr>
                <w:rFonts w:hint="eastAsia" w:ascii="宋体" w:hAnsi="宋体" w:eastAsia="宋体" w:cs="宋体"/>
                <w:sz w:val="24"/>
                <w:szCs w:val="24"/>
              </w:rPr>
            </w:pPr>
          </w:p>
        </w:tc>
      </w:tr>
      <w:tr w14:paraId="24BCC3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000" w:type="pct"/>
            <w:gridSpan w:val="4"/>
            <w:tcBorders>
              <w:top w:val="single" w:color="auto" w:sz="6" w:space="0"/>
              <w:left w:val="single" w:color="auto" w:sz="12" w:space="0"/>
              <w:bottom w:val="single" w:color="auto" w:sz="12" w:space="0"/>
              <w:right w:val="single" w:color="auto" w:sz="12" w:space="0"/>
            </w:tcBorders>
            <w:noWrap w:val="0"/>
            <w:vAlign w:val="top"/>
          </w:tcPr>
          <w:p w14:paraId="28338784">
            <w:pPr>
              <w:pStyle w:val="13"/>
              <w:keepNext/>
              <w:spacing w:line="440" w:lineRule="exact"/>
              <w:ind w:left="63" w:right="63"/>
              <w:rPr>
                <w:rFonts w:hint="eastAsia" w:ascii="宋体" w:hAnsi="宋体" w:eastAsia="宋体" w:cs="宋体"/>
                <w:sz w:val="24"/>
                <w:szCs w:val="24"/>
              </w:rPr>
            </w:pPr>
            <w:r>
              <w:rPr>
                <w:rFonts w:hint="eastAsia" w:ascii="宋体" w:hAnsi="宋体" w:eastAsia="宋体" w:cs="宋体"/>
                <w:sz w:val="24"/>
                <w:szCs w:val="24"/>
                <w:highlight w:val="white"/>
              </w:rPr>
              <w:t>小计：</w:t>
            </w:r>
          </w:p>
        </w:tc>
      </w:tr>
    </w:tbl>
    <w:p w14:paraId="28DFC373">
      <w:pPr>
        <w:rPr>
          <w:rFonts w:hint="eastAsia" w:ascii="宋体" w:hAnsi="宋体" w:eastAsia="宋体" w:cs="宋体"/>
          <w:sz w:val="24"/>
          <w:szCs w:val="24"/>
          <w:highlight w:val="cyan"/>
        </w:rPr>
      </w:pPr>
      <w:bookmarkStart w:id="456" w:name="EBe2f228841b774b11b5e875e8be3c15af"/>
      <w:r>
        <w:rPr>
          <w:rFonts w:hint="eastAsia" w:ascii="宋体" w:hAnsi="宋体" w:eastAsia="宋体" w:cs="宋体"/>
          <w:sz w:val="24"/>
          <w:szCs w:val="24"/>
          <w:highlight w:val="white"/>
        </w:rPr>
        <w:t xml:space="preserve"> </w:t>
      </w:r>
      <w:bookmarkEnd w:id="456"/>
    </w:p>
    <w:p w14:paraId="4287E3F4">
      <w:pPr>
        <w:rPr>
          <w:rFonts w:hint="eastAsia" w:ascii="仿宋" w:hAnsi="仿宋" w:eastAsia="仿宋"/>
          <w:highlight w:val="red"/>
        </w:rPr>
      </w:pPr>
    </w:p>
    <w:p w14:paraId="48A8DD7B">
      <w:pPr>
        <w:rPr>
          <w:rFonts w:hint="eastAsia" w:ascii="仿宋" w:hAnsi="仿宋" w:eastAsia="仿宋"/>
          <w:highlight w:val="red"/>
        </w:rPr>
      </w:pPr>
    </w:p>
    <w:p w14:paraId="16941255">
      <w:pPr>
        <w:spacing w:before="156" w:beforeLines="50" w:after="156" w:afterLines="50"/>
        <w:rPr>
          <w:rFonts w:hint="eastAsia" w:ascii="宋体" w:hAnsi="宋体" w:cs="宋体"/>
          <w:sz w:val="24"/>
          <w:szCs w:val="24"/>
        </w:rPr>
      </w:pPr>
      <w:r>
        <w:rPr>
          <w:rFonts w:hint="eastAsia" w:ascii="宋体" w:hAnsi="宋体" w:cs="宋体"/>
          <w:sz w:val="24"/>
          <w:szCs w:val="24"/>
        </w:rPr>
        <w:t>附件12</w:t>
      </w:r>
    </w:p>
    <w:p w14:paraId="1C7E27C3">
      <w:pPr>
        <w:ind w:firstLine="484" w:firstLineChars="202"/>
        <w:jc w:val="center"/>
        <w:rPr>
          <w:rFonts w:hint="eastAsia" w:ascii="宋体" w:hAnsi="宋体" w:eastAsia="宋体" w:cs="宋体"/>
          <w:bCs/>
          <w:sz w:val="24"/>
          <w:szCs w:val="24"/>
        </w:rPr>
      </w:pPr>
      <w:r>
        <w:rPr>
          <w:rFonts w:hint="eastAsia" w:ascii="宋体" w:hAnsi="宋体" w:eastAsia="宋体" w:cs="宋体"/>
          <w:bCs/>
          <w:sz w:val="24"/>
          <w:szCs w:val="24"/>
        </w:rPr>
        <w:t>不拖欠农民工工资承诺书</w:t>
      </w:r>
    </w:p>
    <w:p w14:paraId="56B892FE">
      <w:pPr>
        <w:spacing w:before="156" w:beforeLines="50" w:after="156" w:afterLines="50"/>
        <w:ind w:firstLine="480"/>
        <w:rPr>
          <w:rFonts w:hint="eastAsia" w:ascii="宋体" w:hAnsi="宋体" w:cs="宋体"/>
          <w:sz w:val="24"/>
          <w:szCs w:val="24"/>
        </w:rPr>
      </w:pPr>
    </w:p>
    <w:p w14:paraId="687B5E0F">
      <w:pPr>
        <w:spacing w:before="156" w:beforeLines="50" w:after="156" w:afterLines="50" w:line="560" w:lineRule="exact"/>
        <w:ind w:firstLine="720" w:firstLineChars="300"/>
        <w:rPr>
          <w:rFonts w:hint="eastAsia" w:ascii="宋体" w:hAnsi="宋体" w:eastAsia="宋体" w:cs="宋体"/>
          <w:sz w:val="24"/>
          <w:szCs w:val="24"/>
          <w:highlight w:val="white"/>
        </w:rPr>
      </w:pPr>
      <w:r>
        <w:rPr>
          <w:rFonts w:hint="eastAsia" w:ascii="宋体" w:hAnsi="宋体" w:eastAsia="宋体" w:cs="宋体"/>
          <w:sz w:val="24"/>
          <w:szCs w:val="24"/>
          <w:highlight w:val="white"/>
        </w:rPr>
        <w:t>为保护民工的合法权益，本人（法定代表人姓名）</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代表</w:t>
      </w:r>
      <w:r>
        <w:rPr>
          <w:rFonts w:hint="eastAsia" w:ascii="宋体" w:hAnsi="宋体" w:eastAsia="宋体" w:cs="宋体"/>
          <w:sz w:val="24"/>
          <w:szCs w:val="24"/>
          <w:highlight w:val="white"/>
          <w:u w:val="single"/>
        </w:rPr>
        <w:t xml:space="preserve">      （公司）</w:t>
      </w:r>
      <w:r>
        <w:rPr>
          <w:rFonts w:hint="eastAsia" w:ascii="宋体" w:hAnsi="宋体" w:eastAsia="宋体" w:cs="宋体"/>
          <w:sz w:val="24"/>
          <w:szCs w:val="24"/>
          <w:highlight w:val="white"/>
        </w:rPr>
        <w:t>郑重承诺：在</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施工过程中，保证按照国家规定及有关合同要求支付农民工工资，决不发生拖欠行为，如果被发现发生拖欠或克扣农民工工资行为，无论是否造成农民工上访，本公司一定及时妥善解决，并赔偿甲方因此造成的各种损失，甲方有权没收我方的农民工工资保证金并随时解除合同。合同解除后，乙方必须在甲方指定的时间内无条件迅速撤出工地，超过时间仍不撤离的，甲方有权要求乙方支付</w:t>
      </w:r>
      <w:r>
        <w:rPr>
          <w:rFonts w:hint="eastAsia" w:ascii="宋体" w:hAnsi="宋体" w:eastAsia="宋体" w:cs="宋体"/>
          <w:sz w:val="24"/>
          <w:szCs w:val="24"/>
          <w:highlight w:val="white"/>
          <w:u w:val="single"/>
        </w:rPr>
        <w:t xml:space="preserve">     </w:t>
      </w:r>
      <w:r>
        <w:rPr>
          <w:rFonts w:hint="eastAsia" w:ascii="宋体" w:hAnsi="宋体" w:eastAsia="宋体" w:cs="宋体"/>
          <w:sz w:val="24"/>
          <w:szCs w:val="24"/>
          <w:highlight w:val="white"/>
        </w:rPr>
        <w:t>元/日的违约金并赔偿相关损失，该违约金可在工程结算款中直接予以扣除。</w:t>
      </w:r>
    </w:p>
    <w:p w14:paraId="109DFE34">
      <w:pPr>
        <w:spacing w:before="156" w:beforeLines="50" w:after="156" w:afterLines="50" w:line="440" w:lineRule="exact"/>
        <w:rPr>
          <w:rFonts w:hint="eastAsia" w:ascii="宋体" w:hAnsi="宋体" w:eastAsia="宋体" w:cs="宋体"/>
          <w:sz w:val="24"/>
          <w:szCs w:val="24"/>
          <w:highlight w:val="white"/>
        </w:rPr>
      </w:pPr>
    </w:p>
    <w:p w14:paraId="6D8A2458">
      <w:pPr>
        <w:spacing w:before="156" w:beforeLines="50" w:after="156" w:afterLines="50" w:line="440" w:lineRule="exact"/>
        <w:rPr>
          <w:rFonts w:hint="eastAsia" w:ascii="宋体" w:hAnsi="宋体" w:eastAsia="宋体" w:cs="宋体"/>
          <w:sz w:val="24"/>
          <w:szCs w:val="24"/>
          <w:highlight w:val="white"/>
        </w:rPr>
      </w:pPr>
    </w:p>
    <w:p w14:paraId="2F3870EE">
      <w:pPr>
        <w:spacing w:before="156" w:beforeLines="50" w:after="156" w:afterLines="50" w:line="440" w:lineRule="exact"/>
        <w:rPr>
          <w:rFonts w:hint="eastAsia" w:ascii="宋体" w:hAnsi="宋体" w:eastAsia="宋体" w:cs="宋体"/>
          <w:sz w:val="24"/>
          <w:szCs w:val="24"/>
          <w:highlight w:val="white"/>
        </w:rPr>
      </w:pPr>
    </w:p>
    <w:p w14:paraId="148A2B22">
      <w:pPr>
        <w:spacing w:before="156" w:beforeLines="50" w:after="156" w:afterLines="50" w:line="560" w:lineRule="exact"/>
        <w:ind w:firstLine="2880" w:firstLineChars="1200"/>
        <w:rPr>
          <w:rFonts w:hint="eastAsia" w:ascii="宋体" w:hAnsi="宋体" w:eastAsia="宋体" w:cs="宋体"/>
          <w:sz w:val="24"/>
          <w:szCs w:val="24"/>
          <w:highlight w:val="white"/>
        </w:rPr>
      </w:pPr>
      <w:r>
        <w:rPr>
          <w:rFonts w:hint="eastAsia" w:ascii="宋体" w:hAnsi="宋体" w:eastAsia="宋体" w:cs="宋体"/>
          <w:sz w:val="24"/>
          <w:szCs w:val="24"/>
          <w:highlight w:val="white"/>
        </w:rPr>
        <w:t>乙方：（公章）</w:t>
      </w:r>
    </w:p>
    <w:p w14:paraId="7BC8128E">
      <w:pPr>
        <w:spacing w:before="156" w:beforeLines="50" w:after="156" w:afterLines="50" w:line="560" w:lineRule="exact"/>
        <w:ind w:firstLine="2160" w:firstLineChars="900"/>
        <w:rPr>
          <w:rFonts w:hint="eastAsia" w:ascii="宋体" w:hAnsi="宋体" w:eastAsia="宋体" w:cs="宋体"/>
          <w:sz w:val="24"/>
          <w:szCs w:val="24"/>
          <w:highlight w:val="white"/>
        </w:rPr>
      </w:pPr>
      <w:r>
        <w:rPr>
          <w:rFonts w:hint="eastAsia" w:ascii="宋体" w:hAnsi="宋体" w:eastAsia="宋体" w:cs="宋体"/>
          <w:sz w:val="24"/>
          <w:szCs w:val="24"/>
          <w:highlight w:val="white"/>
        </w:rPr>
        <w:t>法人或其授权委托代理人：（签字）</w:t>
      </w:r>
    </w:p>
    <w:p w14:paraId="256CB992">
      <w:pPr>
        <w:spacing w:before="156" w:beforeLines="50" w:after="156" w:afterLines="50" w:line="560" w:lineRule="exact"/>
        <w:ind w:firstLine="2640" w:firstLineChars="1100"/>
        <w:rPr>
          <w:rFonts w:hint="eastAsia" w:ascii="宋体" w:hAnsi="宋体" w:eastAsia="宋体" w:cs="宋体"/>
          <w:sz w:val="24"/>
          <w:szCs w:val="24"/>
          <w:highlight w:val="white"/>
        </w:rPr>
      </w:pPr>
    </w:p>
    <w:p w14:paraId="032AA8E1">
      <w:pPr>
        <w:spacing w:before="156" w:beforeLines="50" w:after="156" w:afterLines="50" w:line="560" w:lineRule="exact"/>
        <w:ind w:firstLine="4320" w:firstLineChars="1800"/>
        <w:rPr>
          <w:rFonts w:hint="eastAsia" w:ascii="仿宋" w:hAnsi="仿宋" w:eastAsia="仿宋"/>
          <w:sz w:val="30"/>
          <w:szCs w:val="30"/>
          <w:highlight w:val="white"/>
        </w:rPr>
      </w:pPr>
      <w:r>
        <w:rPr>
          <w:rFonts w:hint="eastAsia" w:ascii="宋体" w:hAnsi="宋体" w:eastAsia="宋体" w:cs="宋体"/>
          <w:sz w:val="24"/>
          <w:szCs w:val="24"/>
          <w:highlight w:val="white"/>
        </w:rPr>
        <w:t>日 期：   年    月    日</w:t>
      </w:r>
    </w:p>
    <w:p w14:paraId="2355C772">
      <w:pPr>
        <w:widowControl/>
        <w:spacing w:line="400" w:lineRule="exact"/>
        <w:ind w:firstLine="420"/>
        <w:jc w:val="left"/>
        <w:rPr>
          <w:rFonts w:hint="eastAsia" w:ascii="宋体" w:hAnsi="宋体" w:cs="宋体"/>
          <w:color w:val="auto"/>
          <w:sz w:val="24"/>
          <w:szCs w:val="24"/>
          <w:highlight w:val="none"/>
        </w:rPr>
      </w:pPr>
    </w:p>
    <w:p w14:paraId="72A505FB">
      <w:pPr>
        <w:widowControl/>
        <w:spacing w:line="400" w:lineRule="exact"/>
        <w:ind w:firstLine="420"/>
        <w:jc w:val="left"/>
        <w:rPr>
          <w:rFonts w:hint="eastAsia" w:ascii="宋体" w:hAnsi="宋体" w:cs="宋体"/>
          <w:color w:val="auto"/>
          <w:sz w:val="24"/>
          <w:szCs w:val="24"/>
          <w:highlight w:val="none"/>
        </w:rPr>
      </w:pPr>
    </w:p>
    <w:p w14:paraId="7911EEDC">
      <w:pPr>
        <w:widowControl/>
        <w:spacing w:line="400" w:lineRule="exact"/>
        <w:ind w:firstLine="420"/>
        <w:jc w:val="left"/>
        <w:rPr>
          <w:rFonts w:hint="eastAsia" w:ascii="宋体" w:hAnsi="宋体" w:cs="宋体"/>
          <w:color w:val="auto"/>
          <w:sz w:val="24"/>
          <w:szCs w:val="24"/>
          <w:highlight w:val="none"/>
        </w:rPr>
      </w:pPr>
    </w:p>
    <w:p w14:paraId="24171DC9">
      <w:pPr>
        <w:widowControl/>
        <w:spacing w:line="400" w:lineRule="exact"/>
        <w:ind w:firstLine="420"/>
        <w:jc w:val="left"/>
        <w:rPr>
          <w:rFonts w:hint="eastAsia" w:ascii="宋体" w:hAnsi="宋体" w:cs="宋体"/>
          <w:color w:val="auto"/>
          <w:sz w:val="24"/>
          <w:szCs w:val="24"/>
          <w:highlight w:val="none"/>
        </w:rPr>
      </w:pPr>
    </w:p>
    <w:p w14:paraId="528C09CF">
      <w:pPr>
        <w:spacing w:line="560" w:lineRule="exact"/>
        <w:ind w:firstLine="480"/>
        <w:rPr>
          <w:rFonts w:hint="eastAsia" w:ascii="宋体" w:hAnsi="宋体" w:cs="宋体"/>
          <w:color w:val="auto"/>
          <w:sz w:val="24"/>
          <w:szCs w:val="24"/>
          <w:highlight w:val="none"/>
          <w:lang w:val="zh-CN"/>
        </w:rPr>
      </w:pPr>
    </w:p>
    <w:bookmarkEnd w:id="217"/>
    <w:p w14:paraId="303B9CD8">
      <w:pPr>
        <w:widowControl/>
        <w:jc w:val="left"/>
        <w:rPr>
          <w:rFonts w:ascii="宋体" w:hAnsi="宋体"/>
          <w:color w:val="auto"/>
          <w:sz w:val="36"/>
          <w:highlight w:val="none"/>
        </w:rPr>
      </w:pPr>
    </w:p>
    <w:p w14:paraId="15EE9FD3">
      <w:pPr>
        <w:widowControl/>
        <w:jc w:val="left"/>
        <w:rPr>
          <w:rFonts w:ascii="宋体" w:hAnsi="宋体"/>
          <w:color w:val="auto"/>
          <w:sz w:val="36"/>
          <w:highlight w:val="none"/>
        </w:rPr>
      </w:pPr>
      <w:r>
        <w:rPr>
          <w:rFonts w:ascii="宋体" w:hAnsi="宋体"/>
          <w:color w:val="auto"/>
          <w:sz w:val="36"/>
          <w:highlight w:val="none"/>
        </w:rPr>
        <w:br w:type="page"/>
      </w:r>
    </w:p>
    <w:p w14:paraId="46310AFC">
      <w:pPr>
        <w:widowControl/>
        <w:jc w:val="center"/>
        <w:rPr>
          <w:color w:val="auto"/>
          <w:sz w:val="20"/>
          <w:highlight w:val="none"/>
        </w:rPr>
      </w:pPr>
      <w:r>
        <w:rPr>
          <w:rFonts w:ascii="宋体" w:hAnsi="宋体"/>
          <w:color w:val="auto"/>
          <w:sz w:val="36"/>
          <w:highlight w:val="none"/>
        </w:rPr>
        <w:t>第四部分</w:t>
      </w:r>
      <w:r>
        <w:rPr>
          <w:rFonts w:hint="eastAsia" w:ascii="宋体" w:hAnsi="宋体"/>
          <w:color w:val="auto"/>
          <w:sz w:val="36"/>
          <w:highlight w:val="none"/>
        </w:rPr>
        <w:t xml:space="preserve">  采购需求</w:t>
      </w:r>
      <w:bookmarkEnd w:id="214"/>
      <w:bookmarkEnd w:id="215"/>
      <w:bookmarkEnd w:id="216"/>
      <w:bookmarkStart w:id="457" w:name="EB69fca8740d1f4b0e9a8dbc98881cd3d4"/>
    </w:p>
    <w:p w14:paraId="2613E97D">
      <w:pPr>
        <w:pStyle w:val="251"/>
        <w:spacing w:line="360" w:lineRule="auto"/>
        <w:jc w:val="both"/>
        <w:rPr>
          <w:rFonts w:hint="eastAsia" w:ascii="华文宋体" w:hAnsi="华文宋体" w:eastAsia="华文宋体" w:cs="华文宋体"/>
          <w:color w:val="auto"/>
          <w:sz w:val="21"/>
          <w:szCs w:val="21"/>
          <w:highlight w:val="none"/>
        </w:rPr>
      </w:pPr>
      <w:r>
        <w:rPr>
          <w:rStyle w:val="250"/>
          <w:rFonts w:hint="eastAsia" w:ascii="华文宋体" w:hAnsi="华文宋体" w:eastAsia="华文宋体" w:cs="华文宋体"/>
          <w:color w:val="auto"/>
          <w:sz w:val="21"/>
          <w:szCs w:val="21"/>
          <w:highlight w:val="none"/>
        </w:rPr>
        <w:t>一.项目概况</w:t>
      </w:r>
    </w:p>
    <w:p w14:paraId="6FA61CA7">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本项目建设内容包括图纸及工程量清单内所有内容。</w:t>
      </w:r>
    </w:p>
    <w:p w14:paraId="217FE6E6">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本项目工程质量及所有用材均须符合相关行业及国家最新技术规范和环保标准。供应商可进行现场勘测并认真核对磋商文件提供的工程量清单，在充分了解本项目采购范围后结合自身实际情况进行响应文件的制作和报价。供应商应提供详细的安全管理措施、应急预案及合理的进度计划，资源准备充裕，以做好赶工措施准备，对施工难点、重点要有专项施工方案。</w:t>
      </w:r>
    </w:p>
    <w:p w14:paraId="72D83D87">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项目工期：合同签订后</w:t>
      </w:r>
      <w:r>
        <w:rPr>
          <w:rFonts w:hint="eastAsia" w:ascii="华文宋体" w:hAnsi="华文宋体" w:eastAsia="华文宋体" w:cs="华文宋体"/>
          <w:color w:val="auto"/>
          <w:sz w:val="21"/>
          <w:szCs w:val="21"/>
          <w:highlight w:val="none"/>
          <w:lang w:val="en-US" w:eastAsia="zh-CN"/>
        </w:rPr>
        <w:t>150天</w:t>
      </w:r>
      <w:r>
        <w:rPr>
          <w:rFonts w:hint="eastAsia" w:ascii="华文宋体" w:hAnsi="华文宋体" w:eastAsia="华文宋体" w:cs="华文宋体"/>
          <w:color w:val="auto"/>
          <w:sz w:val="21"/>
          <w:szCs w:val="21"/>
          <w:highlight w:val="none"/>
        </w:rPr>
        <w:t>内完工。</w:t>
      </w:r>
    </w:p>
    <w:p w14:paraId="123D963C">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 xml:space="preserve">项目联系人：刘传动 </w:t>
      </w:r>
    </w:p>
    <w:p w14:paraId="6280CAEC">
      <w:pPr>
        <w:widowControl/>
        <w:spacing w:line="360" w:lineRule="auto"/>
        <w:ind w:firstLine="420" w:firstLineChars="200"/>
        <w:rPr>
          <w:rFonts w:hint="eastAsia" w:ascii="华文宋体" w:hAnsi="华文宋体" w:eastAsia="华文宋体" w:cs="华文宋体"/>
          <w:color w:val="auto"/>
          <w:sz w:val="21"/>
          <w:szCs w:val="21"/>
          <w:highlight w:val="none"/>
          <w:lang w:eastAsia="zh-CN"/>
        </w:rPr>
      </w:pPr>
      <w:r>
        <w:rPr>
          <w:rFonts w:hint="eastAsia" w:ascii="华文宋体" w:hAnsi="华文宋体" w:eastAsia="华文宋体" w:cs="华文宋体"/>
          <w:color w:val="auto"/>
          <w:sz w:val="21"/>
          <w:szCs w:val="21"/>
          <w:highlight w:val="none"/>
        </w:rPr>
        <w:t>联系方式：13505296360</w:t>
      </w:r>
    </w:p>
    <w:p w14:paraId="664F66AD">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项目所属行业：建筑业</w:t>
      </w:r>
    </w:p>
    <w:p w14:paraId="2A95C1CD">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采购预算（最高限价）：人民币399.518224</w:t>
      </w:r>
      <w:r>
        <w:rPr>
          <w:rFonts w:hint="eastAsia" w:ascii="华文宋体" w:hAnsi="华文宋体" w:eastAsia="华文宋体" w:cs="华文宋体"/>
          <w:color w:val="auto"/>
          <w:sz w:val="21"/>
          <w:szCs w:val="21"/>
          <w:highlight w:val="none"/>
          <w:lang w:eastAsia="zh-CN"/>
        </w:rPr>
        <w:t>万元</w:t>
      </w:r>
      <w:r>
        <w:rPr>
          <w:rFonts w:hint="eastAsia" w:ascii="华文宋体" w:hAnsi="华文宋体" w:eastAsia="华文宋体" w:cs="华文宋体"/>
          <w:color w:val="auto"/>
          <w:sz w:val="21"/>
          <w:szCs w:val="21"/>
          <w:highlight w:val="none"/>
        </w:rPr>
        <w:t>。</w:t>
      </w:r>
    </w:p>
    <w:p w14:paraId="0DBE9D8D">
      <w:pPr>
        <w:pStyle w:val="251"/>
        <w:spacing w:line="360" w:lineRule="auto"/>
        <w:jc w:val="both"/>
        <w:rPr>
          <w:rFonts w:hint="eastAsia" w:ascii="华文宋体" w:hAnsi="华文宋体" w:eastAsia="华文宋体" w:cs="华文宋体"/>
          <w:color w:val="auto"/>
          <w:sz w:val="21"/>
          <w:szCs w:val="21"/>
          <w:highlight w:val="none"/>
        </w:rPr>
      </w:pPr>
      <w:r>
        <w:rPr>
          <w:rStyle w:val="250"/>
          <w:rFonts w:hint="eastAsia" w:ascii="华文宋体" w:hAnsi="华文宋体" w:eastAsia="华文宋体" w:cs="华文宋体"/>
          <w:color w:val="auto"/>
          <w:sz w:val="21"/>
          <w:szCs w:val="21"/>
          <w:highlight w:val="none"/>
        </w:rPr>
        <w:t>二.采购标的汇总表</w:t>
      </w:r>
    </w:p>
    <w:p w14:paraId="428D494A">
      <w:pPr>
        <w:pStyle w:val="251"/>
        <w:spacing w:line="360" w:lineRule="auto"/>
        <w:ind w:firstLine="420" w:firstLineChars="200"/>
        <w:jc w:val="both"/>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（一）采购标的</w:t>
      </w:r>
    </w:p>
    <w:p w14:paraId="6193BB14">
      <w:pPr>
        <w:pStyle w:val="251"/>
        <w:spacing w:line="360" w:lineRule="auto"/>
        <w:ind w:firstLine="420" w:firstLineChars="200"/>
        <w:jc w:val="both"/>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1.工程类标的</w:t>
      </w:r>
    </w:p>
    <w:tbl>
      <w:tblPr>
        <w:tblStyle w:val="29"/>
        <w:tblW w:w="5000" w:type="pct"/>
        <w:tblInd w:w="0" w:type="dxa"/>
        <w:tblBorders>
          <w:top w:val="single" w:color="808080" w:sz="8" w:space="0"/>
          <w:left w:val="single" w:color="808080" w:sz="8" w:space="0"/>
          <w:bottom w:val="single" w:color="808080" w:sz="8" w:space="0"/>
          <w:right w:val="single" w:color="808080" w:sz="8" w:space="0"/>
          <w:insideH w:val="single" w:color="808080" w:sz="4" w:space="0"/>
          <w:insideV w:val="single" w:color="808080" w:sz="4" w:space="0"/>
        </w:tblBorders>
        <w:tblLayout w:type="fixed"/>
        <w:tblCellMar>
          <w:top w:w="15" w:type="dxa"/>
          <w:left w:w="15" w:type="dxa"/>
          <w:bottom w:w="15" w:type="dxa"/>
          <w:right w:w="15" w:type="dxa"/>
        </w:tblCellMar>
      </w:tblPr>
      <w:tblGrid>
        <w:gridCol w:w="498"/>
        <w:gridCol w:w="3819"/>
        <w:gridCol w:w="1068"/>
        <w:gridCol w:w="528"/>
        <w:gridCol w:w="3168"/>
        <w:gridCol w:w="501"/>
      </w:tblGrid>
      <w:tr w14:paraId="70B7E86E">
        <w:tblPrEx>
          <w:tblBorders>
            <w:top w:val="single" w:color="808080" w:sz="8" w:space="0"/>
            <w:left w:val="single" w:color="808080" w:sz="8" w:space="0"/>
            <w:bottom w:val="single" w:color="808080" w:sz="8" w:space="0"/>
            <w:right w:val="single" w:color="808080" w:sz="8" w:space="0"/>
            <w:insideH w:val="single" w:color="808080" w:sz="4" w:space="0"/>
            <w:insideV w:val="single" w:color="808080" w:sz="4" w:space="0"/>
          </w:tblBorders>
          <w:tblCellMar>
            <w:top w:w="15" w:type="dxa"/>
            <w:left w:w="15" w:type="dxa"/>
            <w:bottom w:w="15" w:type="dxa"/>
            <w:right w:w="15" w:type="dxa"/>
          </w:tblCellMar>
        </w:tblPrEx>
        <w:tc>
          <w:tcPr>
            <w:tcW w:w="259" w:type="pct"/>
            <w:noWrap/>
            <w:tcMar>
              <w:top w:w="0" w:type="dxa"/>
              <w:left w:w="108" w:type="dxa"/>
              <w:bottom w:w="0" w:type="dxa"/>
              <w:right w:w="108" w:type="dxa"/>
            </w:tcMar>
            <w:vAlign w:val="center"/>
          </w:tcPr>
          <w:p w14:paraId="1B3D5146">
            <w:pPr>
              <w:pStyle w:val="251"/>
              <w:jc w:val="center"/>
              <w:rPr>
                <w:rFonts w:hint="eastAsia" w:ascii="华文宋体" w:hAnsi="华文宋体" w:eastAsia="华文宋体" w:cs="华文宋体"/>
                <w:b/>
                <w:bCs/>
                <w:color w:val="auto"/>
                <w:sz w:val="21"/>
                <w:szCs w:val="21"/>
                <w:highlight w:val="none"/>
              </w:rPr>
            </w:pPr>
            <w:r>
              <w:rPr>
                <w:rFonts w:hint="eastAsia" w:ascii="华文宋体" w:hAnsi="华文宋体" w:eastAsia="华文宋体" w:cs="华文宋体"/>
                <w:b/>
                <w:bCs/>
                <w:color w:val="auto"/>
                <w:sz w:val="21"/>
                <w:szCs w:val="21"/>
                <w:highlight w:val="none"/>
              </w:rPr>
              <w:t>序号</w:t>
            </w:r>
          </w:p>
        </w:tc>
        <w:tc>
          <w:tcPr>
            <w:tcW w:w="1992" w:type="pct"/>
            <w:noWrap/>
            <w:tcMar>
              <w:top w:w="0" w:type="dxa"/>
              <w:left w:w="108" w:type="dxa"/>
              <w:bottom w:w="0" w:type="dxa"/>
              <w:right w:w="108" w:type="dxa"/>
            </w:tcMar>
            <w:vAlign w:val="center"/>
          </w:tcPr>
          <w:p w14:paraId="6E4051AF">
            <w:pPr>
              <w:pStyle w:val="251"/>
              <w:spacing w:line="360" w:lineRule="auto"/>
              <w:jc w:val="center"/>
              <w:rPr>
                <w:rFonts w:hint="eastAsia" w:ascii="华文宋体" w:hAnsi="华文宋体" w:eastAsia="华文宋体" w:cs="华文宋体"/>
                <w:b/>
                <w:bCs/>
                <w:color w:val="auto"/>
                <w:sz w:val="21"/>
                <w:szCs w:val="21"/>
                <w:highlight w:val="none"/>
              </w:rPr>
            </w:pPr>
            <w:r>
              <w:rPr>
                <w:rFonts w:hint="eastAsia" w:ascii="华文宋体" w:hAnsi="华文宋体" w:eastAsia="华文宋体" w:cs="华文宋体"/>
                <w:b/>
                <w:bCs/>
                <w:color w:val="auto"/>
                <w:sz w:val="21"/>
                <w:szCs w:val="21"/>
                <w:highlight w:val="none"/>
              </w:rPr>
              <w:t>标的名称</w:t>
            </w:r>
          </w:p>
        </w:tc>
        <w:tc>
          <w:tcPr>
            <w:tcW w:w="557" w:type="pct"/>
            <w:noWrap/>
            <w:tcMar>
              <w:top w:w="0" w:type="dxa"/>
              <w:left w:w="108" w:type="dxa"/>
              <w:bottom w:w="0" w:type="dxa"/>
              <w:right w:w="108" w:type="dxa"/>
            </w:tcMar>
          </w:tcPr>
          <w:p w14:paraId="31185C52">
            <w:pPr>
              <w:pStyle w:val="251"/>
              <w:spacing w:line="360" w:lineRule="auto"/>
              <w:jc w:val="center"/>
              <w:rPr>
                <w:rFonts w:hint="eastAsia" w:ascii="华文宋体" w:hAnsi="华文宋体" w:eastAsia="华文宋体" w:cs="华文宋体"/>
                <w:b/>
                <w:bCs/>
                <w:color w:val="auto"/>
                <w:sz w:val="21"/>
                <w:szCs w:val="21"/>
                <w:highlight w:val="none"/>
              </w:rPr>
            </w:pPr>
            <w:r>
              <w:rPr>
                <w:rFonts w:hint="eastAsia" w:ascii="华文宋体" w:hAnsi="华文宋体" w:eastAsia="华文宋体" w:cs="华文宋体"/>
                <w:b/>
                <w:bCs/>
                <w:color w:val="auto"/>
                <w:sz w:val="21"/>
                <w:szCs w:val="21"/>
                <w:highlight w:val="none"/>
              </w:rPr>
              <w:t>计量</w:t>
            </w:r>
          </w:p>
          <w:p w14:paraId="16D4740E">
            <w:pPr>
              <w:pStyle w:val="251"/>
              <w:spacing w:line="360" w:lineRule="auto"/>
              <w:jc w:val="center"/>
              <w:rPr>
                <w:rFonts w:hint="eastAsia" w:ascii="华文宋体" w:hAnsi="华文宋体" w:eastAsia="华文宋体" w:cs="华文宋体"/>
                <w:b/>
                <w:bCs/>
                <w:color w:val="auto"/>
                <w:sz w:val="21"/>
                <w:szCs w:val="21"/>
                <w:highlight w:val="none"/>
              </w:rPr>
            </w:pPr>
            <w:r>
              <w:rPr>
                <w:rFonts w:hint="eastAsia" w:ascii="华文宋体" w:hAnsi="华文宋体" w:eastAsia="华文宋体" w:cs="华文宋体"/>
                <w:b/>
                <w:bCs/>
                <w:color w:val="auto"/>
                <w:sz w:val="21"/>
                <w:szCs w:val="21"/>
                <w:highlight w:val="none"/>
              </w:rPr>
              <w:t>单位</w:t>
            </w:r>
          </w:p>
        </w:tc>
        <w:tc>
          <w:tcPr>
            <w:tcW w:w="275" w:type="pct"/>
            <w:noWrap/>
            <w:tcMar>
              <w:top w:w="0" w:type="dxa"/>
              <w:left w:w="108" w:type="dxa"/>
              <w:bottom w:w="0" w:type="dxa"/>
              <w:right w:w="108" w:type="dxa"/>
            </w:tcMar>
            <w:vAlign w:val="center"/>
          </w:tcPr>
          <w:p w14:paraId="2D9B60F3">
            <w:pPr>
              <w:pStyle w:val="251"/>
              <w:spacing w:line="360" w:lineRule="auto"/>
              <w:jc w:val="center"/>
              <w:rPr>
                <w:rFonts w:hint="eastAsia" w:ascii="华文宋体" w:hAnsi="华文宋体" w:eastAsia="华文宋体" w:cs="华文宋体"/>
                <w:b/>
                <w:bCs/>
                <w:color w:val="auto"/>
                <w:sz w:val="21"/>
                <w:szCs w:val="21"/>
                <w:highlight w:val="none"/>
              </w:rPr>
            </w:pPr>
            <w:r>
              <w:rPr>
                <w:rFonts w:hint="eastAsia" w:ascii="华文宋体" w:hAnsi="华文宋体" w:eastAsia="华文宋体" w:cs="华文宋体"/>
                <w:b/>
                <w:bCs/>
                <w:color w:val="auto"/>
                <w:sz w:val="21"/>
                <w:szCs w:val="21"/>
                <w:highlight w:val="none"/>
              </w:rPr>
              <w:t>数量</w:t>
            </w:r>
          </w:p>
        </w:tc>
        <w:tc>
          <w:tcPr>
            <w:tcW w:w="1653" w:type="pct"/>
            <w:noWrap/>
            <w:tcMar>
              <w:top w:w="0" w:type="dxa"/>
              <w:left w:w="108" w:type="dxa"/>
              <w:bottom w:w="0" w:type="dxa"/>
              <w:right w:w="108" w:type="dxa"/>
            </w:tcMar>
            <w:vAlign w:val="center"/>
          </w:tcPr>
          <w:p w14:paraId="1FCFF3AA">
            <w:pPr>
              <w:pStyle w:val="251"/>
              <w:spacing w:line="360" w:lineRule="auto"/>
              <w:jc w:val="center"/>
              <w:rPr>
                <w:rFonts w:hint="eastAsia" w:ascii="华文宋体" w:hAnsi="华文宋体" w:eastAsia="华文宋体" w:cs="华文宋体"/>
                <w:b/>
                <w:bCs/>
                <w:color w:val="auto"/>
                <w:sz w:val="21"/>
                <w:szCs w:val="21"/>
                <w:highlight w:val="none"/>
              </w:rPr>
            </w:pPr>
            <w:r>
              <w:rPr>
                <w:rFonts w:hint="eastAsia" w:ascii="华文宋体" w:hAnsi="华文宋体" w:eastAsia="华文宋体" w:cs="华文宋体"/>
                <w:b/>
                <w:bCs/>
                <w:color w:val="auto"/>
                <w:sz w:val="21"/>
                <w:szCs w:val="21"/>
                <w:highlight w:val="none"/>
              </w:rPr>
              <w:t>要求简述</w:t>
            </w:r>
          </w:p>
        </w:tc>
        <w:tc>
          <w:tcPr>
            <w:tcW w:w="261" w:type="pct"/>
            <w:noWrap/>
            <w:tcMar>
              <w:top w:w="0" w:type="dxa"/>
              <w:left w:w="108" w:type="dxa"/>
              <w:bottom w:w="0" w:type="dxa"/>
              <w:right w:w="108" w:type="dxa"/>
            </w:tcMar>
            <w:vAlign w:val="center"/>
          </w:tcPr>
          <w:p w14:paraId="52088C24">
            <w:pPr>
              <w:pStyle w:val="251"/>
              <w:spacing w:line="360" w:lineRule="auto"/>
              <w:jc w:val="center"/>
              <w:rPr>
                <w:rFonts w:hint="eastAsia" w:ascii="华文宋体" w:hAnsi="华文宋体" w:eastAsia="华文宋体" w:cs="华文宋体"/>
                <w:b/>
                <w:bCs/>
                <w:color w:val="auto"/>
                <w:sz w:val="21"/>
                <w:szCs w:val="21"/>
                <w:highlight w:val="none"/>
              </w:rPr>
            </w:pPr>
            <w:r>
              <w:rPr>
                <w:rFonts w:hint="eastAsia" w:ascii="华文宋体" w:hAnsi="华文宋体" w:eastAsia="华文宋体" w:cs="华文宋体"/>
                <w:b/>
                <w:bCs/>
                <w:color w:val="auto"/>
                <w:sz w:val="21"/>
                <w:szCs w:val="21"/>
                <w:highlight w:val="none"/>
              </w:rPr>
              <w:t>备注</w:t>
            </w:r>
          </w:p>
        </w:tc>
      </w:tr>
      <w:tr w14:paraId="13AC8EE1">
        <w:tblPrEx>
          <w:tblBorders>
            <w:top w:val="single" w:color="808080" w:sz="8" w:space="0"/>
            <w:left w:val="single" w:color="808080" w:sz="8" w:space="0"/>
            <w:bottom w:val="single" w:color="808080" w:sz="8" w:space="0"/>
            <w:right w:val="single" w:color="808080" w:sz="8" w:space="0"/>
            <w:insideH w:val="single" w:color="808080" w:sz="4" w:space="0"/>
            <w:insideV w:val="single" w:color="808080" w:sz="4" w:space="0"/>
          </w:tblBorders>
          <w:tblCellMar>
            <w:top w:w="15" w:type="dxa"/>
            <w:left w:w="15" w:type="dxa"/>
            <w:bottom w:w="15" w:type="dxa"/>
            <w:right w:w="15" w:type="dxa"/>
          </w:tblCellMar>
        </w:tblPrEx>
        <w:trPr>
          <w:trHeight w:val="879" w:hRule="atLeast"/>
        </w:trPr>
        <w:tc>
          <w:tcPr>
            <w:tcW w:w="259" w:type="pct"/>
            <w:noWrap/>
            <w:tcMar>
              <w:top w:w="0" w:type="dxa"/>
              <w:left w:w="108" w:type="dxa"/>
              <w:bottom w:w="0" w:type="dxa"/>
              <w:right w:w="108" w:type="dxa"/>
            </w:tcMar>
            <w:vAlign w:val="center"/>
          </w:tcPr>
          <w:p w14:paraId="44B331F6">
            <w:pPr>
              <w:pStyle w:val="251"/>
              <w:spacing w:line="192" w:lineRule="auto"/>
              <w:jc w:val="center"/>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1</w:t>
            </w:r>
          </w:p>
        </w:tc>
        <w:tc>
          <w:tcPr>
            <w:tcW w:w="1992" w:type="pct"/>
            <w:noWrap/>
            <w:tcMar>
              <w:top w:w="0" w:type="dxa"/>
              <w:left w:w="108" w:type="dxa"/>
              <w:bottom w:w="0" w:type="dxa"/>
              <w:right w:w="108" w:type="dxa"/>
            </w:tcMar>
            <w:vAlign w:val="center"/>
          </w:tcPr>
          <w:p w14:paraId="505C6E52">
            <w:pPr>
              <w:pStyle w:val="251"/>
              <w:spacing w:line="276" w:lineRule="auto"/>
              <w:jc w:val="center"/>
              <w:rPr>
                <w:rFonts w:hint="eastAsia" w:ascii="华文宋体" w:hAnsi="华文宋体" w:eastAsia="华文宋体" w:cs="华文宋体"/>
                <w:color w:val="auto"/>
                <w:sz w:val="21"/>
                <w:szCs w:val="21"/>
                <w:highlight w:val="none"/>
                <w:lang w:eastAsia="zh-CN"/>
              </w:rPr>
            </w:pPr>
            <w:r>
              <w:rPr>
                <w:rFonts w:hint="eastAsia" w:ascii="华文宋体" w:hAnsi="华文宋体" w:eastAsia="华文宋体" w:cs="华文宋体"/>
                <w:color w:val="auto"/>
                <w:sz w:val="21"/>
                <w:szCs w:val="21"/>
                <w:highlight w:val="none"/>
                <w:lang w:eastAsia="zh-CN"/>
              </w:rPr>
              <w:t>现代农业产业园—半坡农创园工程</w:t>
            </w:r>
          </w:p>
        </w:tc>
        <w:tc>
          <w:tcPr>
            <w:tcW w:w="557" w:type="pct"/>
            <w:noWrap/>
            <w:tcMar>
              <w:top w:w="0" w:type="dxa"/>
              <w:left w:w="108" w:type="dxa"/>
              <w:bottom w:w="0" w:type="dxa"/>
              <w:right w:w="108" w:type="dxa"/>
            </w:tcMar>
            <w:vAlign w:val="center"/>
          </w:tcPr>
          <w:p w14:paraId="77A767DB">
            <w:pPr>
              <w:pStyle w:val="251"/>
              <w:spacing w:line="276" w:lineRule="auto"/>
              <w:jc w:val="center"/>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项</w:t>
            </w:r>
          </w:p>
        </w:tc>
        <w:tc>
          <w:tcPr>
            <w:tcW w:w="275" w:type="pct"/>
            <w:noWrap/>
            <w:tcMar>
              <w:top w:w="0" w:type="dxa"/>
              <w:left w:w="108" w:type="dxa"/>
              <w:bottom w:w="0" w:type="dxa"/>
              <w:right w:w="108" w:type="dxa"/>
            </w:tcMar>
            <w:vAlign w:val="center"/>
          </w:tcPr>
          <w:p w14:paraId="615951C4">
            <w:pPr>
              <w:pStyle w:val="251"/>
              <w:spacing w:line="276" w:lineRule="auto"/>
              <w:jc w:val="center"/>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1</w:t>
            </w:r>
          </w:p>
        </w:tc>
        <w:tc>
          <w:tcPr>
            <w:tcW w:w="1653" w:type="pct"/>
            <w:noWrap/>
            <w:tcMar>
              <w:top w:w="0" w:type="dxa"/>
              <w:left w:w="108" w:type="dxa"/>
              <w:bottom w:w="0" w:type="dxa"/>
              <w:right w:w="108" w:type="dxa"/>
            </w:tcMar>
            <w:vAlign w:val="center"/>
          </w:tcPr>
          <w:p w14:paraId="49588319">
            <w:pPr>
              <w:pStyle w:val="251"/>
              <w:spacing w:line="276" w:lineRule="auto"/>
              <w:jc w:val="center"/>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完成图纸及工程量清单内所有内容；质量：合格。</w:t>
            </w:r>
          </w:p>
        </w:tc>
        <w:tc>
          <w:tcPr>
            <w:tcW w:w="261" w:type="pct"/>
            <w:noWrap/>
            <w:tcMar>
              <w:top w:w="0" w:type="dxa"/>
              <w:left w:w="108" w:type="dxa"/>
              <w:bottom w:w="0" w:type="dxa"/>
              <w:right w:w="108" w:type="dxa"/>
            </w:tcMar>
            <w:vAlign w:val="center"/>
          </w:tcPr>
          <w:p w14:paraId="1F5CDA0F">
            <w:pPr>
              <w:pStyle w:val="251"/>
              <w:spacing w:line="276" w:lineRule="auto"/>
              <w:jc w:val="center"/>
              <w:rPr>
                <w:rFonts w:hint="eastAsia" w:ascii="华文宋体" w:hAnsi="华文宋体" w:eastAsia="华文宋体" w:cs="华文宋体"/>
                <w:color w:val="auto"/>
                <w:sz w:val="21"/>
                <w:szCs w:val="21"/>
                <w:highlight w:val="none"/>
              </w:rPr>
            </w:pPr>
          </w:p>
        </w:tc>
      </w:tr>
    </w:tbl>
    <w:p w14:paraId="5493EBD6">
      <w:pPr>
        <w:pStyle w:val="251"/>
        <w:spacing w:line="360" w:lineRule="auto"/>
        <w:ind w:firstLine="420" w:firstLineChars="200"/>
        <w:jc w:val="both"/>
        <w:rPr>
          <w:rFonts w:hint="eastAsia" w:ascii="华文宋体" w:hAnsi="华文宋体" w:eastAsia="华文宋体" w:cs="华文宋体"/>
          <w:color w:val="auto"/>
          <w:sz w:val="21"/>
          <w:szCs w:val="21"/>
          <w:highlight w:val="none"/>
          <w:lang w:eastAsia="zh-CN"/>
        </w:rPr>
      </w:pPr>
      <w:r>
        <w:rPr>
          <w:rFonts w:hint="eastAsia" w:ascii="华文宋体" w:hAnsi="华文宋体" w:eastAsia="华文宋体" w:cs="华文宋体"/>
          <w:bCs/>
          <w:color w:val="auto"/>
          <w:sz w:val="21"/>
          <w:szCs w:val="21"/>
          <w:highlight w:val="none"/>
        </w:rPr>
        <w:t>（二）本项目核心标的为：</w:t>
      </w:r>
      <w:r>
        <w:rPr>
          <w:rFonts w:hint="eastAsia" w:ascii="华文宋体" w:hAnsi="华文宋体" w:eastAsia="华文宋体" w:cs="华文宋体"/>
          <w:bCs/>
          <w:color w:val="auto"/>
          <w:sz w:val="21"/>
          <w:szCs w:val="21"/>
          <w:highlight w:val="none"/>
          <w:lang w:eastAsia="zh-CN"/>
        </w:rPr>
        <w:t>现代农业产业园—半坡农创园工程</w:t>
      </w:r>
    </w:p>
    <w:p w14:paraId="32F1CD9E">
      <w:pPr>
        <w:pStyle w:val="251"/>
        <w:spacing w:line="360" w:lineRule="auto"/>
        <w:jc w:val="both"/>
        <w:rPr>
          <w:rStyle w:val="250"/>
          <w:rFonts w:hint="eastAsia" w:ascii="华文宋体" w:hAnsi="华文宋体" w:eastAsia="华文宋体" w:cs="华文宋体"/>
          <w:color w:val="auto"/>
          <w:sz w:val="21"/>
          <w:szCs w:val="21"/>
          <w:highlight w:val="none"/>
        </w:rPr>
      </w:pPr>
      <w:r>
        <w:rPr>
          <w:rStyle w:val="250"/>
          <w:rFonts w:hint="eastAsia" w:ascii="华文宋体" w:hAnsi="华文宋体" w:eastAsia="华文宋体" w:cs="华文宋体"/>
          <w:color w:val="auto"/>
          <w:sz w:val="21"/>
          <w:szCs w:val="21"/>
          <w:highlight w:val="none"/>
        </w:rPr>
        <w:t>三.技术要求</w:t>
      </w:r>
    </w:p>
    <w:p w14:paraId="36A4574B">
      <w:pPr>
        <w:pStyle w:val="251"/>
        <w:spacing w:line="360" w:lineRule="auto"/>
        <w:ind w:firstLine="420" w:firstLineChars="200"/>
        <w:jc w:val="both"/>
        <w:rPr>
          <w:rFonts w:hint="eastAsia" w:ascii="华文宋体" w:hAnsi="华文宋体" w:eastAsia="华文宋体" w:cs="华文宋体"/>
          <w:bCs/>
          <w:color w:val="auto"/>
          <w:sz w:val="21"/>
          <w:szCs w:val="21"/>
          <w:highlight w:val="none"/>
        </w:rPr>
      </w:pPr>
      <w:r>
        <w:rPr>
          <w:rFonts w:hint="eastAsia" w:ascii="华文宋体" w:hAnsi="华文宋体" w:eastAsia="华文宋体" w:cs="华文宋体"/>
          <w:bCs/>
          <w:color w:val="auto"/>
          <w:sz w:val="21"/>
          <w:szCs w:val="21"/>
          <w:highlight w:val="none"/>
        </w:rPr>
        <w:t>（一）工程内容和标准</w:t>
      </w:r>
    </w:p>
    <w:p w14:paraId="0E2A2B18">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1、完成工程量清单及图纸中的所有施工内容（清单及图纸详见附件）。</w:t>
      </w:r>
    </w:p>
    <w:p w14:paraId="097A068B">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2、供应商对该工程所使用的全部材料、设备、配件及工程质量负责，至少提供</w:t>
      </w:r>
      <w:r>
        <w:rPr>
          <w:rFonts w:hint="eastAsia" w:ascii="华文宋体" w:hAnsi="华文宋体" w:eastAsia="华文宋体" w:cs="华文宋体"/>
          <w:b/>
          <w:color w:val="auto"/>
          <w:sz w:val="21"/>
          <w:szCs w:val="21"/>
          <w:highlight w:val="none"/>
        </w:rPr>
        <w:t>两年</w:t>
      </w:r>
      <w:r>
        <w:rPr>
          <w:rFonts w:hint="eastAsia" w:ascii="华文宋体" w:hAnsi="华文宋体" w:eastAsia="华文宋体" w:cs="华文宋体"/>
          <w:b/>
          <w:color w:val="auto"/>
          <w:sz w:val="21"/>
          <w:szCs w:val="21"/>
          <w:highlight w:val="none"/>
          <w:lang w:eastAsia="zh-CN"/>
        </w:rPr>
        <w:t>（</w:t>
      </w:r>
      <w:r>
        <w:rPr>
          <w:rFonts w:hint="eastAsia" w:ascii="华文宋体" w:hAnsi="华文宋体" w:eastAsia="华文宋体" w:cs="华文宋体"/>
          <w:b/>
          <w:color w:val="auto"/>
          <w:sz w:val="21"/>
          <w:szCs w:val="21"/>
          <w:highlight w:val="none"/>
          <w:lang w:val="en-US" w:eastAsia="zh-CN"/>
        </w:rPr>
        <w:t>合同另有约定，按合同执行）</w:t>
      </w:r>
      <w:r>
        <w:rPr>
          <w:rFonts w:hint="eastAsia" w:ascii="华文宋体" w:hAnsi="华文宋体" w:eastAsia="华文宋体" w:cs="华文宋体"/>
          <w:color w:val="auto"/>
          <w:sz w:val="21"/>
          <w:szCs w:val="21"/>
          <w:highlight w:val="none"/>
        </w:rPr>
        <w:t>全免费质保，从工程验收合格之日起计算，免费质保期间发生任何问题，供应商应在接到甲方通知后1小时内做出响应、并在3小时内安排人员到达现场。</w:t>
      </w:r>
    </w:p>
    <w:p w14:paraId="2D87DF3C">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3、供应商须为本工程委派项目负责人，供应商必须保证项目负责人亲临现场进行巡视、指导，检查施工进度和质量；施工时间内项目施工员必须全程驻留工地。</w:t>
      </w:r>
    </w:p>
    <w:p w14:paraId="7203ACB1">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4、供应商须服从甲方现场管理、与采购人配合服务。</w:t>
      </w:r>
    </w:p>
    <w:p w14:paraId="09FE05F3">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5、未经采购人同意不得更换项目负责人及项目管理班子人员，否则每更换项目负责人一次，采购人将</w:t>
      </w:r>
      <w:r>
        <w:rPr>
          <w:rFonts w:hint="eastAsia" w:ascii="华文宋体" w:hAnsi="华文宋体" w:eastAsia="华文宋体" w:cs="华文宋体"/>
          <w:color w:val="auto"/>
          <w:sz w:val="21"/>
          <w:szCs w:val="21"/>
          <w:highlight w:val="none"/>
          <w:lang w:val="en-US" w:eastAsia="zh-CN"/>
        </w:rPr>
        <w:t>按合同条款要求</w:t>
      </w:r>
      <w:r>
        <w:rPr>
          <w:rFonts w:hint="eastAsia" w:ascii="华文宋体" w:hAnsi="华文宋体" w:eastAsia="华文宋体" w:cs="华文宋体"/>
          <w:color w:val="auto"/>
          <w:sz w:val="21"/>
          <w:szCs w:val="21"/>
          <w:highlight w:val="none"/>
        </w:rPr>
        <w:t>从工程款中扣除违约金。</w:t>
      </w:r>
    </w:p>
    <w:p w14:paraId="78397D2E">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6、项目完工后必须提供本项目最终的详细图纸及相关全部资料（装订成册）。</w:t>
      </w:r>
    </w:p>
    <w:p w14:paraId="6CBFDAEE">
      <w:pPr>
        <w:pStyle w:val="251"/>
        <w:spacing w:line="360" w:lineRule="auto"/>
        <w:ind w:firstLine="420" w:firstLineChars="200"/>
        <w:jc w:val="both"/>
        <w:rPr>
          <w:rFonts w:hint="eastAsia" w:ascii="华文宋体" w:hAnsi="华文宋体" w:eastAsia="华文宋体" w:cs="华文宋体"/>
          <w:bCs/>
          <w:color w:val="auto"/>
          <w:sz w:val="21"/>
          <w:szCs w:val="21"/>
          <w:highlight w:val="none"/>
        </w:rPr>
      </w:pPr>
      <w:r>
        <w:rPr>
          <w:rFonts w:hint="eastAsia" w:ascii="华文宋体" w:hAnsi="华文宋体" w:eastAsia="华文宋体" w:cs="华文宋体"/>
          <w:bCs/>
          <w:color w:val="auto"/>
          <w:sz w:val="21"/>
          <w:szCs w:val="21"/>
          <w:highlight w:val="none"/>
        </w:rPr>
        <w:t>（二）其他技术要求</w:t>
      </w:r>
    </w:p>
    <w:p w14:paraId="42FC5B29">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1、磋商报价应以磋商文件提供的工程量为基础作明细报价，供应商应认真进行现场勘测并认真核对磋商文件提供的工程量清单。磋商响应文件中提供的工程量清单如有缺项、漏项、数量不足或不明确等情况，各供应商应及时提出，否则一切后果由供应商自行承担。成交并签定合同后采购人将不再承担采购范围内除合同总价之外的任何费用(必须按采购要求或工程量清单中项目特征描述施工，材料使用满足磋商文件要求，拆除工程及清运工作等自行计算并包含在报价内)。凡与本工程有关的主材、辅材（包括管道、线缆等）和安装全部包含在内，除采购人明确提出需要工程调整或变更外，不再增加任何费用。</w:t>
      </w:r>
    </w:p>
    <w:p w14:paraId="3D8EA3AD">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2、材料进场、垃圾外运时需注意对采购方道路、道板及绿化的保护，如有损坏，应恢复原样，相关维修费供应商自理。</w:t>
      </w:r>
    </w:p>
    <w:p w14:paraId="04464D36">
      <w:pPr>
        <w:pStyle w:val="251"/>
        <w:spacing w:line="360" w:lineRule="auto"/>
        <w:ind w:firstLine="420" w:firstLineChars="200"/>
        <w:jc w:val="both"/>
        <w:rPr>
          <w:rFonts w:hint="eastAsia" w:ascii="华文宋体" w:hAnsi="华文宋体" w:eastAsia="华文宋体" w:cs="华文宋体"/>
          <w:bCs/>
          <w:color w:val="auto"/>
          <w:sz w:val="21"/>
          <w:szCs w:val="21"/>
          <w:highlight w:val="none"/>
        </w:rPr>
      </w:pPr>
      <w:bookmarkStart w:id="458" w:name="_Toc18194"/>
      <w:r>
        <w:rPr>
          <w:rFonts w:hint="eastAsia" w:ascii="华文宋体" w:hAnsi="华文宋体" w:eastAsia="华文宋体" w:cs="华文宋体"/>
          <w:bCs/>
          <w:color w:val="auto"/>
          <w:sz w:val="21"/>
          <w:szCs w:val="21"/>
          <w:highlight w:val="none"/>
        </w:rPr>
        <w:t>（三）技术规范、标准</w:t>
      </w:r>
      <w:bookmarkEnd w:id="458"/>
    </w:p>
    <w:p w14:paraId="6C86432D">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《建筑工程施工质量验收统一标准》GB503002013 其它与本项目相关的技术规范。在项目施工过程中，如果国家有更新的行业标准公布，则按最新标准执行，验收时也按照最新标准进行。设计及施工中可以参照国外先进技术规范，但要与采购人沟通，且得到采购人认可方可实施。</w:t>
      </w:r>
    </w:p>
    <w:p w14:paraId="6F2242B2">
      <w:pPr>
        <w:pStyle w:val="251"/>
        <w:tabs>
          <w:tab w:val="left" w:pos="312"/>
        </w:tabs>
        <w:spacing w:line="360" w:lineRule="auto"/>
        <w:jc w:val="both"/>
        <w:rPr>
          <w:rStyle w:val="250"/>
          <w:rFonts w:hint="eastAsia" w:ascii="华文宋体" w:hAnsi="华文宋体" w:eastAsia="华文宋体" w:cs="华文宋体"/>
          <w:color w:val="auto"/>
          <w:sz w:val="21"/>
          <w:szCs w:val="21"/>
          <w:highlight w:val="none"/>
        </w:rPr>
      </w:pPr>
      <w:r>
        <w:rPr>
          <w:rStyle w:val="250"/>
          <w:rFonts w:hint="eastAsia" w:ascii="华文宋体" w:hAnsi="华文宋体" w:eastAsia="华文宋体" w:cs="华文宋体"/>
          <w:color w:val="auto"/>
          <w:sz w:val="21"/>
          <w:szCs w:val="21"/>
          <w:highlight w:val="none"/>
        </w:rPr>
        <w:t>四.商务要求</w:t>
      </w:r>
    </w:p>
    <w:p w14:paraId="61C488F2">
      <w:pPr>
        <w:pStyle w:val="251"/>
        <w:spacing w:line="360" w:lineRule="auto"/>
        <w:ind w:firstLine="420" w:firstLineChars="200"/>
        <w:jc w:val="both"/>
        <w:rPr>
          <w:rFonts w:hint="eastAsia" w:ascii="华文宋体" w:hAnsi="华文宋体" w:eastAsia="华文宋体" w:cs="华文宋体"/>
          <w:bCs/>
          <w:color w:val="auto"/>
          <w:sz w:val="21"/>
          <w:szCs w:val="21"/>
          <w:highlight w:val="none"/>
        </w:rPr>
      </w:pPr>
      <w:r>
        <w:rPr>
          <w:rFonts w:hint="eastAsia" w:ascii="华文宋体" w:hAnsi="华文宋体" w:eastAsia="华文宋体" w:cs="华文宋体"/>
          <w:bCs/>
          <w:color w:val="auto"/>
          <w:sz w:val="21"/>
          <w:szCs w:val="21"/>
          <w:highlight w:val="none"/>
        </w:rPr>
        <w:t>（一）供应商能力要求</w:t>
      </w:r>
    </w:p>
    <w:p w14:paraId="15D8E2B5">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1、供应商应熟悉本项目所涉及国家、行业的现行标准及规范，具有相应资质和类似的施工经验。</w:t>
      </w:r>
    </w:p>
    <w:p w14:paraId="49159484">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2、拟派项目负责人无在建工程，无在建工程认定按照苏建规字[2017]1号文规定执行。</w:t>
      </w:r>
    </w:p>
    <w:p w14:paraId="6C5C4094">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3、供应商应为本项目制定科学详细的实施方案（如安全管理措施、应急预案、进度计划、施工重难点措施），项目履约应严格参照执行。</w:t>
      </w:r>
    </w:p>
    <w:p w14:paraId="6D9915AC">
      <w:pPr>
        <w:pStyle w:val="251"/>
        <w:spacing w:line="360" w:lineRule="auto"/>
        <w:ind w:firstLine="420" w:firstLineChars="200"/>
        <w:jc w:val="both"/>
        <w:rPr>
          <w:rFonts w:hint="eastAsia" w:ascii="华文宋体" w:hAnsi="华文宋体" w:eastAsia="华文宋体" w:cs="华文宋体"/>
          <w:b/>
          <w:color w:val="auto"/>
          <w:sz w:val="21"/>
          <w:szCs w:val="21"/>
          <w:highlight w:val="none"/>
        </w:rPr>
      </w:pPr>
      <w:r>
        <w:rPr>
          <w:rFonts w:hint="eastAsia" w:ascii="华文宋体" w:hAnsi="华文宋体" w:eastAsia="华文宋体" w:cs="华文宋体"/>
          <w:bCs/>
          <w:color w:val="auto"/>
          <w:sz w:val="21"/>
          <w:szCs w:val="21"/>
          <w:highlight w:val="none"/>
        </w:rPr>
        <w:t>（二）项目工期及地点</w:t>
      </w:r>
    </w:p>
    <w:p w14:paraId="7CA9D4C4">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1、项目工期：合同签订后</w:t>
      </w:r>
      <w:r>
        <w:rPr>
          <w:rFonts w:hint="eastAsia" w:ascii="华文宋体" w:hAnsi="华文宋体" w:eastAsia="华文宋体" w:cs="华文宋体"/>
          <w:color w:val="auto"/>
          <w:sz w:val="21"/>
          <w:szCs w:val="21"/>
          <w:highlight w:val="none"/>
          <w:lang w:val="en-US" w:eastAsia="zh-CN"/>
        </w:rPr>
        <w:t>150天</w:t>
      </w:r>
      <w:r>
        <w:rPr>
          <w:rFonts w:hint="eastAsia" w:ascii="华文宋体" w:hAnsi="华文宋体" w:eastAsia="华文宋体" w:cs="华文宋体"/>
          <w:color w:val="auto"/>
          <w:sz w:val="21"/>
          <w:szCs w:val="21"/>
          <w:highlight w:val="none"/>
        </w:rPr>
        <w:t>内完工，达到采购方初步验收条件。</w:t>
      </w:r>
    </w:p>
    <w:p w14:paraId="6A35F34B">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2、项目地点：</w:t>
      </w:r>
      <w:r>
        <w:rPr>
          <w:rFonts w:hint="eastAsia" w:ascii="华文宋体" w:hAnsi="华文宋体" w:eastAsia="华文宋体" w:cs="华文宋体"/>
          <w:color w:val="auto"/>
          <w:sz w:val="21"/>
          <w:szCs w:val="21"/>
          <w:highlight w:val="none"/>
          <w:lang w:eastAsia="zh-CN"/>
        </w:rPr>
        <w:t>句容市白兔镇人民政府</w:t>
      </w:r>
      <w:r>
        <w:rPr>
          <w:rFonts w:hint="eastAsia" w:ascii="华文宋体" w:hAnsi="华文宋体" w:eastAsia="华文宋体" w:cs="华文宋体"/>
          <w:color w:val="auto"/>
          <w:sz w:val="21"/>
          <w:szCs w:val="21"/>
          <w:highlight w:val="none"/>
        </w:rPr>
        <w:t>。</w:t>
      </w:r>
    </w:p>
    <w:p w14:paraId="00FE0DFE">
      <w:pPr>
        <w:pStyle w:val="251"/>
        <w:spacing w:line="360" w:lineRule="auto"/>
        <w:ind w:firstLine="420" w:firstLineChars="200"/>
        <w:jc w:val="both"/>
        <w:rPr>
          <w:rFonts w:hint="eastAsia" w:ascii="华文宋体" w:hAnsi="华文宋体" w:eastAsia="华文宋体" w:cs="华文宋体"/>
          <w:b/>
          <w:color w:val="auto"/>
          <w:sz w:val="21"/>
          <w:szCs w:val="21"/>
          <w:highlight w:val="none"/>
        </w:rPr>
      </w:pPr>
      <w:r>
        <w:rPr>
          <w:rFonts w:hint="eastAsia" w:ascii="华文宋体" w:hAnsi="华文宋体" w:eastAsia="华文宋体" w:cs="华文宋体"/>
          <w:bCs/>
          <w:color w:val="auto"/>
          <w:sz w:val="21"/>
          <w:szCs w:val="21"/>
          <w:highlight w:val="none"/>
        </w:rPr>
        <w:t>（三）</w:t>
      </w:r>
      <w:r>
        <w:rPr>
          <w:rFonts w:hint="eastAsia" w:ascii="华文宋体" w:hAnsi="华文宋体" w:eastAsia="华文宋体" w:cs="华文宋体"/>
          <w:color w:val="auto"/>
          <w:sz w:val="21"/>
          <w:szCs w:val="21"/>
          <w:highlight w:val="none"/>
        </w:rPr>
        <w:t>验收要求</w:t>
      </w:r>
    </w:p>
    <w:p w14:paraId="1BE52603">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1、由采购人及有关部门进行验收。</w:t>
      </w:r>
    </w:p>
    <w:p w14:paraId="31C74E3C">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成交供应商的磋商报价包含了采购人现有场地条件下，进行工程施工，及验收合格前的所有费用及现场所有的配套管理费用。成交后须按采购人要求进行施工，因设计变更等可能的变化而引起的清单数量变化，以实际数量进行结算，变化部分的单价按成交价执行，但增加的金额不得超过政府采购的相关规定。</w:t>
      </w:r>
    </w:p>
    <w:p w14:paraId="59EE6425">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3、成交供应商在完工期内完成项目施工，提出书面验收申请，采购方组织相关专家进行验收，验收标准为磋商文件及投标文件各项要求，国家或行业有规定的，还要符合相应规定。</w:t>
      </w:r>
    </w:p>
    <w:p w14:paraId="4CEAA385">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（四）付款方式</w:t>
      </w:r>
    </w:p>
    <w:p w14:paraId="704A0FB2">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lang w:eastAsia="zh-CN"/>
        </w:rPr>
        <w:t>1、</w:t>
      </w:r>
      <w:r>
        <w:rPr>
          <w:rFonts w:hint="eastAsia" w:ascii="华文宋体" w:hAnsi="华文宋体" w:eastAsia="华文宋体" w:cs="华文宋体"/>
          <w:color w:val="auto"/>
          <w:sz w:val="21"/>
          <w:szCs w:val="21"/>
          <w:highlight w:val="none"/>
        </w:rPr>
        <w:t>工程进度款按项目进度节点支付：合同签订后，在收到乙方正式发票10个工作日内，甲方向乙方支付合同总额的30%作为预付款；</w:t>
      </w:r>
    </w:p>
    <w:p w14:paraId="037C4C39">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lang w:val="en-US" w:eastAsia="zh-CN"/>
        </w:rPr>
        <w:t>2、</w:t>
      </w:r>
      <w:r>
        <w:rPr>
          <w:rFonts w:hint="eastAsia" w:ascii="华文宋体" w:hAnsi="华文宋体" w:eastAsia="华文宋体" w:cs="华文宋体"/>
          <w:color w:val="auto"/>
          <w:sz w:val="21"/>
          <w:szCs w:val="21"/>
          <w:highlight w:val="none"/>
        </w:rPr>
        <w:t>承包人完成承包事项经发包人书面认可，并经政府主管部门验收合格并出具竣工验收合格证书，发包人予以支付至合同总价款（扣除应扣款后）的60 %。</w:t>
      </w:r>
    </w:p>
    <w:p w14:paraId="12C1547E">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lang w:eastAsia="zh-CN"/>
        </w:rPr>
        <w:t>3、</w:t>
      </w:r>
      <w:r>
        <w:rPr>
          <w:rFonts w:hint="eastAsia" w:ascii="华文宋体" w:hAnsi="华文宋体" w:eastAsia="华文宋体" w:cs="华文宋体"/>
          <w:color w:val="auto"/>
          <w:sz w:val="21"/>
          <w:szCs w:val="21"/>
          <w:highlight w:val="none"/>
        </w:rPr>
        <w:t>完成竣工结算审计后付至审定价款的97%</w:t>
      </w:r>
    </w:p>
    <w:p w14:paraId="509B0B0C">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lang w:eastAsia="zh-CN"/>
        </w:rPr>
        <w:t>4、</w:t>
      </w:r>
      <w:r>
        <w:rPr>
          <w:rFonts w:hint="eastAsia" w:ascii="华文宋体" w:hAnsi="华文宋体" w:eastAsia="华文宋体" w:cs="华文宋体"/>
          <w:color w:val="auto"/>
          <w:sz w:val="21"/>
          <w:szCs w:val="21"/>
          <w:highlight w:val="none"/>
        </w:rPr>
        <w:t>保修金在缺陷责任期满后付清。</w:t>
      </w:r>
    </w:p>
    <w:p w14:paraId="53A24E9B">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lang w:eastAsia="zh-CN"/>
        </w:rPr>
        <w:t>5、</w:t>
      </w:r>
      <w:r>
        <w:rPr>
          <w:rFonts w:hint="eastAsia" w:ascii="华文宋体" w:hAnsi="华文宋体" w:eastAsia="华文宋体" w:cs="华文宋体"/>
          <w:color w:val="auto"/>
          <w:sz w:val="21"/>
          <w:szCs w:val="21"/>
          <w:highlight w:val="none"/>
        </w:rPr>
        <w:t>工程结算审计核减额超7%以外部分的审计费用由承包方承担，项目被抽中复审的，承包方需无条件予以配合。</w:t>
      </w:r>
    </w:p>
    <w:p w14:paraId="641279BA">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lang w:eastAsia="zh-CN"/>
        </w:rPr>
        <w:t>6、</w:t>
      </w:r>
      <w:r>
        <w:rPr>
          <w:rFonts w:hint="eastAsia" w:ascii="华文宋体" w:hAnsi="华文宋体" w:eastAsia="华文宋体" w:cs="华文宋体"/>
          <w:color w:val="auto"/>
          <w:sz w:val="21"/>
          <w:szCs w:val="21"/>
          <w:highlight w:val="none"/>
        </w:rPr>
        <w:t>为保证农民工工资支付，需要总承包单位办理农民工工资专用账户。</w:t>
      </w:r>
    </w:p>
    <w:p w14:paraId="3E0F065C">
      <w:pPr>
        <w:pStyle w:val="251"/>
        <w:spacing w:line="360" w:lineRule="auto"/>
        <w:ind w:firstLine="420" w:firstLineChars="200"/>
        <w:jc w:val="both"/>
        <w:rPr>
          <w:rFonts w:hint="eastAsia" w:ascii="华文宋体" w:hAnsi="华文宋体" w:eastAsia="华文宋体" w:cs="华文宋体"/>
          <w:b/>
          <w:color w:val="auto"/>
          <w:sz w:val="21"/>
          <w:szCs w:val="21"/>
          <w:highlight w:val="none"/>
        </w:rPr>
      </w:pPr>
      <w:r>
        <w:rPr>
          <w:rFonts w:hint="eastAsia" w:ascii="华文宋体" w:hAnsi="华文宋体" w:eastAsia="华文宋体" w:cs="华文宋体"/>
          <w:bCs/>
          <w:color w:val="auto"/>
          <w:sz w:val="21"/>
          <w:szCs w:val="21"/>
          <w:highlight w:val="none"/>
        </w:rPr>
        <w:t>（五）</w:t>
      </w:r>
      <w:r>
        <w:rPr>
          <w:rFonts w:hint="eastAsia" w:ascii="华文宋体" w:hAnsi="华文宋体" w:eastAsia="华文宋体" w:cs="华文宋体"/>
          <w:color w:val="auto"/>
          <w:sz w:val="21"/>
          <w:szCs w:val="21"/>
          <w:highlight w:val="none"/>
        </w:rPr>
        <w:t>其他</w:t>
      </w:r>
    </w:p>
    <w:p w14:paraId="438CB0F0">
      <w:pPr>
        <w:widowControl/>
        <w:spacing w:line="360" w:lineRule="auto"/>
        <w:ind w:firstLine="420" w:firstLineChars="200"/>
        <w:rPr>
          <w:rFonts w:hint="eastAsia" w:ascii="华文宋体" w:hAnsi="华文宋体" w:eastAsia="华文宋体" w:cs="华文宋体"/>
          <w:color w:val="auto"/>
          <w:sz w:val="21"/>
          <w:szCs w:val="21"/>
          <w:highlight w:val="none"/>
        </w:rPr>
      </w:pPr>
      <w:bookmarkStart w:id="459" w:name="_Toc6173"/>
      <w:r>
        <w:rPr>
          <w:rFonts w:hint="eastAsia" w:ascii="华文宋体" w:hAnsi="华文宋体" w:eastAsia="华文宋体" w:cs="华文宋体"/>
          <w:color w:val="auto"/>
          <w:sz w:val="21"/>
          <w:szCs w:val="21"/>
          <w:highlight w:val="none"/>
        </w:rPr>
        <w:t>1、磋商报价要求</w:t>
      </w:r>
      <w:bookmarkEnd w:id="459"/>
    </w:p>
    <w:p w14:paraId="45465028">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1.1本工程项目采用固定单价报价方式，供应商应根据磋商文件所提供的工程量清单及图纸，计算出磋商报价。工程完工验收后成交供应商按照相关规定的程序上报竣工结算书至采购人，工程最终结算以审计后金额为准。风险范围以外（即工程调整或变更部分）的合同价款调整方法在合同中约定。</w:t>
      </w:r>
    </w:p>
    <w:p w14:paraId="77234176">
      <w:pPr>
        <w:widowControl/>
        <w:spacing w:line="360" w:lineRule="auto"/>
        <w:ind w:firstLine="420" w:firstLineChars="200"/>
        <w:rPr>
          <w:rFonts w:hint="eastAsia" w:ascii="华文宋体" w:hAnsi="华文宋体" w:eastAsia="华文宋体" w:cs="华文宋体"/>
          <w:color w:val="auto"/>
          <w:sz w:val="21"/>
          <w:szCs w:val="21"/>
          <w:highlight w:val="none"/>
        </w:rPr>
      </w:pPr>
      <w:bookmarkStart w:id="460" w:name="_Toc13608"/>
      <w:r>
        <w:rPr>
          <w:rFonts w:hint="eastAsia" w:ascii="华文宋体" w:hAnsi="华文宋体" w:eastAsia="华文宋体" w:cs="华文宋体"/>
          <w:color w:val="auto"/>
          <w:sz w:val="21"/>
          <w:szCs w:val="21"/>
          <w:highlight w:val="none"/>
        </w:rPr>
        <w:t>2、磋商报价编制要求</w:t>
      </w:r>
      <w:bookmarkEnd w:id="460"/>
    </w:p>
    <w:p w14:paraId="49A1E85C">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2.1报价时以采购人提供的图纸及工程量清单，按照工程量清单计价格式，依据市场行情自主进行报价；</w:t>
      </w:r>
    </w:p>
    <w:p w14:paraId="723084CC">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2.2供应商不得将不可竞争费用(费率)降低标准计取，计费低于或高于规定标准的将不得推荐为中标候选人。不可竞争费包括现场安全文明施工措施费、规费、税金、暂估价、暂列金额，具体标准详见本项目《工程量清单》。</w:t>
      </w:r>
    </w:p>
    <w:p w14:paraId="283C2F6B">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2.3磋商响应文件报价中单价、合价均采用人民币表示。磋商报价应根据磋商文件中的工程量清单和有关要求、施工现场实际情况、企业定额参照“计价表”及本磋商文件规定进行编制，并充分考虑风险因素，进行自主报价，但不得低于企业成本价；</w:t>
      </w:r>
    </w:p>
    <w:p w14:paraId="1648FD9D">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 xml:space="preserve">2.4采购人提供的暂列金额(如果有)，该部分价格供应商不得下浮，但须包含在磋商报价中。暂列金额部分除合同另有约定外，由采购人结合工程具体情况，指令全部或部分使用，或者根本不予动用；(暂列金额详见本项目《工程量清单》）； </w:t>
      </w:r>
    </w:p>
    <w:p w14:paraId="526A0670">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2.5供应商的磋商报价，应当包括完成提供的工程量清单范围内的所有项目所需的全部费用，如果出现少算、漏算费用或未填单价和合价的工程项目，该部分费用采购人将不予支付并均视为此费用已包括在磋商报价中， 除本磋商文件或合同另有约定外，结算时不得调整；</w:t>
      </w:r>
    </w:p>
    <w:p w14:paraId="279FC3FA">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2.6工程量清单计价成果文件必须按照磋商文件所提供的格式填入；</w:t>
      </w:r>
    </w:p>
    <w:p w14:paraId="2F717055">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2.7对于甲供的设备和材料（如果有），供应商负责现场卸车和保管，费用计入磋商报价中，该费用包干使用；</w:t>
      </w:r>
    </w:p>
    <w:p w14:paraId="0E57351F">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2.8磋商文件中《合同主要条款》中明确的由承包人承担的或考虑的所有工作及内容所发生的各项费用，供应商应综合考虑后一并计入磋商报价中；</w:t>
      </w:r>
    </w:p>
    <w:p w14:paraId="437955D8">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2.9采购人反对盲目压价，供应商应根据工程实际情况和本企业经营管理水平，充分考虑合同期间的市场风险，确定合理报价。</w:t>
      </w:r>
    </w:p>
    <w:p w14:paraId="1387A2C1">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3、每种工程量只允许有一种报价，任何有选择报价将不予接受。供应商必须对磋商文件中所采购的所有工程量进行报价，只报其中部分工程量的磋商响应文件无效。</w:t>
      </w:r>
    </w:p>
    <w:p w14:paraId="2C7A229C">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4、供应商应严格按磋商文件提供的工程量清单报价，不得随意合并或增减。</w:t>
      </w:r>
    </w:p>
    <w:p w14:paraId="1906149E">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5、供应商应按工程量清单中列出的工程项目填报单价和合价，供应商未填单价或合价或未列出的工程项目，在工程实施后，采购人将不予以支付，并视作该项费用已包括在工程总报价中。</w:t>
      </w:r>
    </w:p>
    <w:p w14:paraId="73B22E4B">
      <w:pPr>
        <w:widowControl/>
        <w:spacing w:line="360" w:lineRule="auto"/>
        <w:ind w:firstLine="420" w:firstLineChars="200"/>
        <w:rPr>
          <w:rFonts w:hint="eastAsia" w:ascii="华文宋体" w:hAnsi="华文宋体" w:eastAsia="华文宋体" w:cs="华文宋体"/>
          <w:color w:val="auto"/>
          <w:sz w:val="21"/>
          <w:szCs w:val="21"/>
          <w:highlight w:val="none"/>
        </w:rPr>
      </w:pPr>
      <w:r>
        <w:rPr>
          <w:rFonts w:hint="eastAsia" w:ascii="华文宋体" w:hAnsi="华文宋体" w:eastAsia="华文宋体" w:cs="华文宋体"/>
          <w:color w:val="auto"/>
          <w:sz w:val="21"/>
          <w:szCs w:val="21"/>
          <w:highlight w:val="none"/>
        </w:rPr>
        <w:t>6、供应商应按磋商文件的要求在响应文件里提供磋商首轮报价，并根据首轮报价在所附的首轮明细报价表上列明所提供工程的明细报价（已标价的工程量清单）。</w:t>
      </w:r>
    </w:p>
    <w:p w14:paraId="2FAC11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color w:val="auto"/>
          <w:sz w:val="24"/>
          <w:szCs w:val="24"/>
          <w:highlight w:val="none"/>
          <w:lang w:bidi="ar"/>
        </w:rPr>
      </w:pPr>
    </w:p>
    <w:p w14:paraId="0FD7D873">
      <w:pPr>
        <w:widowControl/>
        <w:spacing w:line="360" w:lineRule="auto"/>
        <w:ind w:firstLine="480"/>
        <w:jc w:val="left"/>
        <w:rPr>
          <w:rFonts w:hint="eastAsia" w:ascii="宋体" w:hAnsi="宋体" w:cs="宋体"/>
          <w:color w:val="auto"/>
          <w:sz w:val="24"/>
          <w:szCs w:val="24"/>
          <w:highlight w:val="none"/>
          <w:lang w:bidi="ar"/>
        </w:rPr>
      </w:pPr>
    </w:p>
    <w:p w14:paraId="7964A883">
      <w:pPr>
        <w:pStyle w:val="37"/>
        <w:rPr>
          <w:color w:val="auto"/>
          <w:highlight w:val="none"/>
          <w:lang w:bidi="ar"/>
        </w:rPr>
        <w:sectPr>
          <w:footerReference r:id="rId10" w:type="first"/>
          <w:headerReference r:id="rId8" w:type="default"/>
          <w:footerReference r:id="rId9" w:type="default"/>
          <w:pgSz w:w="11906" w:h="16838"/>
          <w:pgMar w:top="1440" w:right="1270" w:bottom="1440" w:left="1270" w:header="851" w:footer="992" w:gutter="0"/>
          <w:pgNumType w:fmt="decimal"/>
          <w:cols w:space="720" w:num="1"/>
          <w:titlePg/>
          <w:docGrid w:linePitch="360" w:charSpace="0"/>
        </w:sectPr>
      </w:pPr>
    </w:p>
    <w:bookmarkEnd w:id="457"/>
    <w:p w14:paraId="11F2264A">
      <w:pPr>
        <w:pStyle w:val="191"/>
        <w:jc w:val="center"/>
        <w:rPr>
          <w:rFonts w:ascii="宋体" w:hAnsi="宋体"/>
          <w:color w:val="auto"/>
          <w:sz w:val="36"/>
          <w:highlight w:val="none"/>
          <w:lang w:eastAsia="zh-CN"/>
        </w:rPr>
      </w:pPr>
      <w:bookmarkStart w:id="461" w:name="_Toc73365513"/>
      <w:bookmarkStart w:id="462" w:name="_Toc256000057"/>
      <w:bookmarkStart w:id="463" w:name="_Toc73364900"/>
      <w:r>
        <w:rPr>
          <w:rFonts w:hint="eastAsia" w:ascii="宋体" w:hAnsi="宋体"/>
          <w:color w:val="auto"/>
          <w:sz w:val="36"/>
          <w:highlight w:val="none"/>
        </w:rPr>
        <w:t>第五部分  磋商及评审</w:t>
      </w:r>
      <w:bookmarkEnd w:id="461"/>
      <w:bookmarkEnd w:id="462"/>
      <w:bookmarkEnd w:id="463"/>
    </w:p>
    <w:p w14:paraId="14F141F5">
      <w:pPr>
        <w:pStyle w:val="192"/>
        <w:pageBreakBefore w:val="0"/>
        <w:kinsoku/>
        <w:wordWrap/>
        <w:overflowPunct/>
        <w:topLinePunct w:val="0"/>
        <w:autoSpaceDE/>
        <w:autoSpaceDN/>
        <w:bidi w:val="0"/>
        <w:adjustRightInd/>
        <w:snapToGrid/>
        <w:spacing w:before="0" w:after="0" w:line="360" w:lineRule="auto"/>
        <w:jc w:val="both"/>
        <w:textAlignment w:val="auto"/>
        <w:outlineLvl w:val="9"/>
        <w:rPr>
          <w:rFonts w:ascii="宋体" w:hAnsi="宋体" w:eastAsia="宋体"/>
          <w:color w:val="auto"/>
          <w:sz w:val="32"/>
          <w:highlight w:val="none"/>
        </w:rPr>
      </w:pPr>
      <w:bookmarkStart w:id="464" w:name="_Toc73364901"/>
      <w:bookmarkStart w:id="465" w:name="_Toc73365514"/>
      <w:bookmarkStart w:id="466" w:name="_Toc256000058"/>
      <w:r>
        <w:rPr>
          <w:rFonts w:hint="eastAsia" w:ascii="宋体" w:hAnsi="宋体" w:eastAsia="宋体"/>
          <w:color w:val="auto"/>
          <w:sz w:val="32"/>
          <w:highlight w:val="none"/>
        </w:rPr>
        <w:t>1．</w:t>
      </w:r>
      <w:r>
        <w:rPr>
          <w:rFonts w:ascii="宋体" w:hAnsi="宋体" w:eastAsia="宋体"/>
          <w:color w:val="auto"/>
          <w:sz w:val="32"/>
          <w:highlight w:val="none"/>
        </w:rPr>
        <w:t>磋商小组职责</w:t>
      </w:r>
      <w:bookmarkEnd w:id="464"/>
      <w:bookmarkEnd w:id="465"/>
      <w:bookmarkEnd w:id="466"/>
    </w:p>
    <w:p w14:paraId="3E8CEC70">
      <w:pPr>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1.1熟悉和理解磋商文件，如磋商文件内容违反国家有关强制性规定的，磋商小组应当停止评审并向采购人或者采购代理机构说明情况。</w:t>
      </w:r>
    </w:p>
    <w:p w14:paraId="780A89BC">
      <w:pPr>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1.2按照客观、公正、审慎的原则，根据磋商文件规定的评审程序、评审方法和评审标准进行独立评审。</w:t>
      </w:r>
    </w:p>
    <w:p w14:paraId="22223CE2">
      <w:pPr>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1.3起草评审报告并进行签署。</w:t>
      </w:r>
    </w:p>
    <w:p w14:paraId="14428E08">
      <w:pPr>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1.4推荐成交候选供应商。</w:t>
      </w:r>
    </w:p>
    <w:p w14:paraId="4503D07E">
      <w:pPr>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1.5向采购人、采购代理机构、财政部门或者其他监督部门报告非法干预评审工作的行为。</w:t>
      </w:r>
    </w:p>
    <w:p w14:paraId="1B5244DD">
      <w:pPr>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1.6法律、法规和规章规定的其他职责。</w:t>
      </w:r>
    </w:p>
    <w:p w14:paraId="58A3C4FD">
      <w:pPr>
        <w:pStyle w:val="192"/>
        <w:pageBreakBefore w:val="0"/>
        <w:kinsoku/>
        <w:wordWrap/>
        <w:overflowPunct/>
        <w:topLinePunct w:val="0"/>
        <w:autoSpaceDE/>
        <w:autoSpaceDN/>
        <w:bidi w:val="0"/>
        <w:adjustRightInd/>
        <w:snapToGrid/>
        <w:spacing w:before="0" w:after="0" w:line="360" w:lineRule="auto"/>
        <w:jc w:val="both"/>
        <w:textAlignment w:val="auto"/>
        <w:outlineLvl w:val="9"/>
        <w:rPr>
          <w:rFonts w:ascii="宋体" w:hAnsi="宋体" w:eastAsia="宋体"/>
          <w:color w:val="auto"/>
          <w:sz w:val="32"/>
          <w:highlight w:val="none"/>
        </w:rPr>
      </w:pPr>
      <w:bookmarkStart w:id="467" w:name="_Toc73364902"/>
      <w:bookmarkStart w:id="468" w:name="_Toc73365515"/>
      <w:bookmarkStart w:id="469" w:name="_Toc256000059"/>
      <w:r>
        <w:rPr>
          <w:rFonts w:hint="eastAsia" w:ascii="宋体" w:hAnsi="宋体" w:eastAsia="宋体"/>
          <w:color w:val="auto"/>
          <w:sz w:val="32"/>
          <w:highlight w:val="none"/>
        </w:rPr>
        <w:t>2．磋商及评审程序</w:t>
      </w:r>
      <w:bookmarkEnd w:id="467"/>
      <w:bookmarkEnd w:id="468"/>
      <w:bookmarkEnd w:id="469"/>
    </w:p>
    <w:p w14:paraId="7A463571">
      <w:pPr>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2.1磋商组织方按磋商小组名单核对身份并签到。</w:t>
      </w:r>
    </w:p>
    <w:p w14:paraId="7018C24C">
      <w:pPr>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2.2磋商组织方宣布磋商及评审纪律，磋商小组确认有无回避的情形。</w:t>
      </w:r>
    </w:p>
    <w:p w14:paraId="31C9B5FD">
      <w:pPr>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2.3磋商小组推选组长，负责组织磋商及评审活动，采购人代表不得担任组长。</w:t>
      </w:r>
    </w:p>
    <w:p w14:paraId="3ABB5B51">
      <w:pPr>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2.4磋商小组正式评审前，应当对磋商文件进行熟悉和理解，审查磋商文件。</w:t>
      </w:r>
    </w:p>
    <w:p w14:paraId="3E6EDA05">
      <w:pPr>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2.5磋商小组将对供应商进行符合性审查，对首次响应文件进行有效性、完整性和响应程度审查。未通过审查的供应商不得参与磋商，磋商小组应书面告知供应商并说明理由。</w:t>
      </w:r>
    </w:p>
    <w:p w14:paraId="0786AD7B">
      <w:pPr>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2.6</w:t>
      </w:r>
      <w:r>
        <w:rPr>
          <w:rFonts w:ascii="宋体" w:hAnsi="宋体"/>
          <w:color w:val="auto"/>
          <w:sz w:val="24"/>
          <w:highlight w:val="none"/>
        </w:rPr>
        <w:t>磋商小组在对响应文件的有效性、完整性和响应程度进行审查时，可以要求供应商对响应文件中含义不明确、同类问题表述不一致或者有明显文字和计算错误的内容等作出必要的澄清、说明或者更正。磋商小组要求供应商澄清、说明或者更正响应文件应当以书面形式作出。</w:t>
      </w:r>
    </w:p>
    <w:p w14:paraId="41E33D00">
      <w:pPr>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2.7磋商小组应集中与符合要求的单一供应商分别进行磋商，并给予所有参加磋商的供应商平等的磋商机会。</w:t>
      </w:r>
    </w:p>
    <w:p w14:paraId="09C54047">
      <w:pPr>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2.8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w:t>
      </w:r>
    </w:p>
    <w:p w14:paraId="750B01ED">
      <w:pPr>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rPr>
        <w:t>2.9磋商文件能够详细列明采购标的的技术、服务要求的，磋商结束后，磋商小组应要求所有实质性响应的供应商在规定时间内提交最后报价。磋商文件不能详细列明采购标的的技术、服务要求，需经磋商由供应商提供最终设计方案或解决方案的，磋商结束后，磋商小组应按照少数服从多数的原则投票推荐三家及以上供应商的设计方案或者解决方案，并要求其在规定时间内提交最后报价。</w:t>
      </w:r>
    </w:p>
    <w:p w14:paraId="7BC140C1">
      <w:pPr>
        <w:pageBreakBefore w:val="0"/>
        <w:kinsoku/>
        <w:wordWrap/>
        <w:overflowPunct/>
        <w:topLinePunct w:val="0"/>
        <w:autoSpaceDE/>
        <w:autoSpaceDN/>
        <w:bidi w:val="0"/>
        <w:adjustRightInd/>
        <w:snapToGrid/>
        <w:spacing w:line="360" w:lineRule="auto"/>
        <w:ind w:firstLine="482" w:firstLineChars="200"/>
        <w:jc w:val="both"/>
        <w:textAlignment w:val="auto"/>
        <w:outlineLvl w:val="9"/>
        <w:rPr>
          <w:rFonts w:ascii="宋体" w:hAnsi="宋体"/>
          <w:b/>
          <w:bCs/>
          <w:color w:val="auto"/>
          <w:highlight w:val="none"/>
        </w:rPr>
      </w:pPr>
      <w:r>
        <w:rPr>
          <w:rFonts w:hint="eastAsia" w:ascii="宋体" w:hAnsi="宋体"/>
          <w:b/>
          <w:bCs/>
          <w:color w:val="auto"/>
          <w:sz w:val="24"/>
          <w:highlight w:val="none"/>
        </w:rPr>
        <w:t>供应商未在磋商小组规定的时间内完成最后报价的视为放弃报价，自动退出此次磋商，其响应按无效响应处理，不参与后续的项目流程。最后报价须加盖电子签章。</w:t>
      </w:r>
    </w:p>
    <w:p w14:paraId="61616E39">
      <w:pPr>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符合磋商</w:t>
      </w:r>
      <w:r>
        <w:rPr>
          <w:rFonts w:ascii="宋体" w:hAnsi="宋体"/>
          <w:color w:val="auto"/>
          <w:sz w:val="24"/>
          <w:highlight w:val="none"/>
        </w:rPr>
        <w:t>文件供应商须知</w:t>
      </w:r>
      <w:r>
        <w:rPr>
          <w:rFonts w:hint="eastAsia" w:ascii="宋体" w:hAnsi="宋体"/>
          <w:color w:val="auto"/>
          <w:sz w:val="24"/>
          <w:highlight w:val="none"/>
        </w:rPr>
        <w:t>规定情形的，提交最后报价的供应商可以为</w:t>
      </w:r>
      <w:r>
        <w:rPr>
          <w:rFonts w:ascii="宋体" w:hAnsi="宋体"/>
          <w:color w:val="auto"/>
          <w:sz w:val="24"/>
          <w:highlight w:val="none"/>
        </w:rPr>
        <w:t>2</w:t>
      </w:r>
      <w:r>
        <w:rPr>
          <w:rFonts w:hint="eastAsia" w:ascii="宋体" w:hAnsi="宋体"/>
          <w:color w:val="auto"/>
          <w:sz w:val="24"/>
          <w:highlight w:val="none"/>
        </w:rPr>
        <w:t>家。</w:t>
      </w:r>
    </w:p>
    <w:p w14:paraId="17462310">
      <w:pPr>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2.10经磋商确定最终采购需求和提交最后报价的供应商后，磋商小组应对提交最后报价的供应商的响应文件和最后报价进行评审。</w:t>
      </w:r>
    </w:p>
    <w:p w14:paraId="5CB1A383">
      <w:pPr>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2.11磋商小组对磋商供应商得分按照从高到低进行排序，得分相同的磋商供应商，报价低者排名在前，评审得分且最后报价相同的，按技术指标优劣顺序排列。</w:t>
      </w:r>
    </w:p>
    <w:p w14:paraId="2A9C03AE">
      <w:pPr>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ascii="宋体" w:hAnsi="宋体"/>
          <w:color w:val="auto"/>
          <w:sz w:val="24"/>
          <w:highlight w:val="none"/>
        </w:rPr>
      </w:pPr>
      <w:r>
        <w:rPr>
          <w:rFonts w:hint="eastAsia" w:ascii="宋体" w:hAnsi="宋体"/>
          <w:color w:val="auto"/>
          <w:sz w:val="24"/>
          <w:highlight w:val="none"/>
        </w:rPr>
        <w:t>2.12推荐成交候选供应商，并出具书面评审报告。</w:t>
      </w:r>
    </w:p>
    <w:p w14:paraId="751C38D8">
      <w:pPr>
        <w:pStyle w:val="192"/>
        <w:pageBreakBefore w:val="0"/>
        <w:kinsoku/>
        <w:wordWrap/>
        <w:overflowPunct/>
        <w:topLinePunct w:val="0"/>
        <w:autoSpaceDE/>
        <w:autoSpaceDN/>
        <w:bidi w:val="0"/>
        <w:adjustRightInd/>
        <w:snapToGrid/>
        <w:spacing w:before="0" w:after="0" w:line="360" w:lineRule="auto"/>
        <w:jc w:val="both"/>
        <w:textAlignment w:val="auto"/>
        <w:outlineLvl w:val="9"/>
        <w:rPr>
          <w:rFonts w:hint="eastAsia" w:ascii="宋体" w:hAnsi="宋体" w:eastAsia="宋体"/>
          <w:color w:val="auto"/>
          <w:sz w:val="32"/>
          <w:highlight w:val="none"/>
        </w:rPr>
      </w:pPr>
      <w:bookmarkStart w:id="470" w:name="_Toc73365516"/>
      <w:bookmarkStart w:id="471" w:name="_Toc73364903"/>
      <w:bookmarkStart w:id="472" w:name="_Toc256000060"/>
      <w:r>
        <w:rPr>
          <w:rFonts w:hint="eastAsia" w:ascii="宋体" w:hAnsi="宋体" w:eastAsia="宋体"/>
          <w:color w:val="auto"/>
          <w:sz w:val="32"/>
          <w:highlight w:val="none"/>
        </w:rPr>
        <w:t>3．供应商资格审查</w:t>
      </w:r>
      <w:bookmarkEnd w:id="470"/>
      <w:bookmarkEnd w:id="471"/>
      <w:bookmarkEnd w:id="472"/>
    </w:p>
    <w:p w14:paraId="243C67D6">
      <w:pPr>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rPr>
        <w:t>开启结束后，采购人将依法对供应商的资格进行审查。资格审查的内容如下：</w:t>
      </w:r>
    </w:p>
    <w:p w14:paraId="6CD3769E">
      <w:pPr>
        <w:rPr>
          <w:rFonts w:hint="eastAsia"/>
          <w:color w:val="auto"/>
          <w:sz w:val="20"/>
          <w:highlight w:val="none"/>
        </w:rPr>
      </w:pPr>
      <w:bookmarkStart w:id="473" w:name="EB26dcd70bebb54979b7a4b621de125d2f"/>
    </w:p>
    <w:tbl>
      <w:tblPr>
        <w:tblStyle w:val="2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6"/>
        <w:gridCol w:w="1394"/>
        <w:gridCol w:w="7732"/>
      </w:tblGrid>
      <w:tr w14:paraId="5F9E5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A5BC13B">
            <w:pPr>
              <w:pStyle w:val="253"/>
              <w:jc w:val="center"/>
              <w:rPr>
                <w:rFonts w:ascii="宋体" w:hAnsi="宋体" w:eastAsia="宋体" w:cs="宋体"/>
                <w:color w:val="auto"/>
                <w:sz w:val="21"/>
                <w:highlight w:val="none"/>
              </w:rPr>
            </w:pPr>
            <w:r>
              <w:rPr>
                <w:rFonts w:ascii="宋体" w:hAnsi="宋体" w:eastAsia="宋体" w:cs="宋体"/>
                <w:color w:val="auto"/>
                <w:sz w:val="21"/>
                <w:highlight w:val="none"/>
              </w:rPr>
              <w:t>序号</w:t>
            </w:r>
          </w:p>
        </w:tc>
        <w:tc>
          <w:tcPr>
            <w:tcW w:w="72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ED615E2">
            <w:pPr>
              <w:pStyle w:val="253"/>
              <w:jc w:val="center"/>
              <w:rPr>
                <w:rFonts w:ascii="宋体" w:hAnsi="宋体" w:eastAsia="宋体" w:cs="宋体"/>
                <w:color w:val="auto"/>
                <w:sz w:val="21"/>
                <w:highlight w:val="none"/>
              </w:rPr>
            </w:pPr>
            <w:r>
              <w:rPr>
                <w:rFonts w:ascii="宋体" w:hAnsi="宋体" w:eastAsia="宋体" w:cs="宋体"/>
                <w:color w:val="auto"/>
                <w:sz w:val="21"/>
                <w:highlight w:val="none"/>
              </w:rPr>
              <w:t>审查要素</w:t>
            </w:r>
          </w:p>
        </w:tc>
        <w:tc>
          <w:tcPr>
            <w:tcW w:w="4033"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0C3F0D8">
            <w:pPr>
              <w:pStyle w:val="253"/>
              <w:jc w:val="center"/>
              <w:rPr>
                <w:rFonts w:ascii="宋体" w:hAnsi="宋体" w:eastAsia="宋体" w:cs="宋体"/>
                <w:color w:val="auto"/>
                <w:sz w:val="21"/>
                <w:highlight w:val="none"/>
              </w:rPr>
            </w:pPr>
            <w:r>
              <w:rPr>
                <w:rFonts w:ascii="宋体" w:hAnsi="宋体" w:eastAsia="宋体" w:cs="宋体"/>
                <w:color w:val="auto"/>
                <w:sz w:val="21"/>
                <w:highlight w:val="none"/>
              </w:rPr>
              <w:t>审查内容</w:t>
            </w:r>
          </w:p>
        </w:tc>
      </w:tr>
      <w:tr w14:paraId="6C425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7F1CA94">
            <w:pPr>
              <w:pStyle w:val="253"/>
              <w:jc w:val="center"/>
              <w:rPr>
                <w:rFonts w:ascii="宋体" w:hAnsi="宋体" w:eastAsia="宋体" w:cs="宋体"/>
                <w:color w:val="auto"/>
                <w:sz w:val="21"/>
                <w:highlight w:val="none"/>
              </w:rPr>
            </w:pPr>
            <w:r>
              <w:rPr>
                <w:rFonts w:ascii="宋体" w:hAnsi="宋体" w:eastAsia="宋体" w:cs="宋体"/>
                <w:color w:val="auto"/>
                <w:sz w:val="21"/>
                <w:highlight w:val="none"/>
              </w:rPr>
              <w:t>1</w:t>
            </w:r>
          </w:p>
        </w:tc>
        <w:tc>
          <w:tcPr>
            <w:tcW w:w="72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0385DBC">
            <w:pPr>
              <w:pStyle w:val="253"/>
              <w:jc w:val="center"/>
              <w:rPr>
                <w:rFonts w:ascii="宋体" w:hAnsi="宋体" w:eastAsia="宋体" w:cs="宋体"/>
                <w:color w:val="auto"/>
                <w:sz w:val="21"/>
                <w:highlight w:val="none"/>
              </w:rPr>
            </w:pPr>
            <w:r>
              <w:rPr>
                <w:rFonts w:ascii="宋体" w:hAnsi="宋体" w:eastAsia="宋体" w:cs="宋体"/>
                <w:color w:val="auto"/>
                <w:sz w:val="21"/>
                <w:highlight w:val="none"/>
              </w:rPr>
              <w:t>具有独立承担民事责任的能力</w:t>
            </w:r>
          </w:p>
        </w:tc>
        <w:tc>
          <w:tcPr>
            <w:tcW w:w="4033"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C3A6B90">
            <w:pPr>
              <w:pStyle w:val="253"/>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eastAsia="zh-CN"/>
              </w:rPr>
              <w:t>提供法人或者其他组织的营业执照等证明文件。</w:t>
            </w:r>
          </w:p>
        </w:tc>
      </w:tr>
      <w:tr w14:paraId="7E308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13007B4">
            <w:pPr>
              <w:pStyle w:val="253"/>
              <w:jc w:val="center"/>
              <w:rPr>
                <w:rFonts w:ascii="宋体" w:hAnsi="宋体" w:eastAsia="宋体" w:cs="宋体"/>
                <w:color w:val="auto"/>
                <w:sz w:val="21"/>
                <w:highlight w:val="none"/>
              </w:rPr>
            </w:pPr>
            <w:r>
              <w:rPr>
                <w:rFonts w:ascii="宋体" w:hAnsi="宋体" w:eastAsia="宋体" w:cs="宋体"/>
                <w:color w:val="auto"/>
                <w:sz w:val="21"/>
                <w:highlight w:val="none"/>
              </w:rPr>
              <w:t>2</w:t>
            </w:r>
          </w:p>
        </w:tc>
        <w:tc>
          <w:tcPr>
            <w:tcW w:w="72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CF32962">
            <w:pPr>
              <w:pStyle w:val="253"/>
              <w:jc w:val="center"/>
              <w:rPr>
                <w:rFonts w:ascii="宋体" w:hAnsi="宋体" w:eastAsia="宋体" w:cs="宋体"/>
                <w:color w:val="auto"/>
                <w:sz w:val="21"/>
                <w:highlight w:val="none"/>
              </w:rPr>
            </w:pPr>
            <w:r>
              <w:rPr>
                <w:rFonts w:hint="eastAsia" w:ascii="宋体" w:hAnsi="宋体" w:eastAsia="宋体" w:cs="宋体"/>
                <w:color w:val="auto"/>
                <w:sz w:val="21"/>
                <w:highlight w:val="none"/>
              </w:rPr>
              <w:t>具有良好的商业信誉和健全的财务会计制度</w:t>
            </w:r>
          </w:p>
        </w:tc>
        <w:tc>
          <w:tcPr>
            <w:tcW w:w="4033"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BCA996B">
            <w:pPr>
              <w:pStyle w:val="253"/>
              <w:jc w:val="center"/>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（提供2023年度财务报告，成立不满一年的提供至少一个月财务报告，或银行出具的资信证明，或财政部门认可的政府采购专业担保机构出具的投标担保函等，或提供资格承诺函）。</w:t>
            </w:r>
          </w:p>
        </w:tc>
      </w:tr>
      <w:tr w14:paraId="6773B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13EEBF5">
            <w:pPr>
              <w:pStyle w:val="253"/>
              <w:jc w:val="center"/>
              <w:rPr>
                <w:rFonts w:ascii="宋体" w:hAnsi="宋体" w:eastAsia="宋体" w:cs="宋体"/>
                <w:color w:val="auto"/>
                <w:sz w:val="21"/>
                <w:highlight w:val="none"/>
              </w:rPr>
            </w:pPr>
            <w:r>
              <w:rPr>
                <w:rFonts w:ascii="宋体" w:hAnsi="宋体" w:eastAsia="宋体" w:cs="宋体"/>
                <w:color w:val="auto"/>
                <w:sz w:val="21"/>
                <w:highlight w:val="none"/>
              </w:rPr>
              <w:t>3</w:t>
            </w:r>
          </w:p>
        </w:tc>
        <w:tc>
          <w:tcPr>
            <w:tcW w:w="72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06995C3">
            <w:pPr>
              <w:pStyle w:val="253"/>
              <w:jc w:val="center"/>
              <w:rPr>
                <w:rFonts w:ascii="宋体" w:hAnsi="宋体" w:eastAsia="宋体" w:cs="宋体"/>
                <w:color w:val="auto"/>
                <w:sz w:val="21"/>
                <w:highlight w:val="none"/>
              </w:rPr>
            </w:pPr>
            <w:r>
              <w:rPr>
                <w:rFonts w:hint="eastAsia" w:ascii="宋体" w:hAnsi="宋体" w:eastAsia="宋体" w:cs="宋体"/>
                <w:color w:val="auto"/>
                <w:sz w:val="21"/>
                <w:highlight w:val="none"/>
              </w:rPr>
              <w:t>具有履行合同所必需的设备和专业技术能力</w:t>
            </w:r>
          </w:p>
        </w:tc>
        <w:tc>
          <w:tcPr>
            <w:tcW w:w="4033"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29B6C5B">
            <w:pPr>
              <w:pStyle w:val="253"/>
              <w:jc w:val="center"/>
              <w:rPr>
                <w:rFonts w:ascii="宋体" w:hAnsi="宋体" w:eastAsia="宋体" w:cs="宋体"/>
                <w:color w:val="auto"/>
                <w:sz w:val="21"/>
                <w:highlight w:val="none"/>
              </w:rPr>
            </w:pPr>
            <w:r>
              <w:rPr>
                <w:rFonts w:hint="eastAsia" w:ascii="宋体" w:hAnsi="宋体" w:eastAsia="宋体" w:cs="宋体"/>
                <w:color w:val="auto"/>
                <w:sz w:val="21"/>
                <w:highlight w:val="none"/>
              </w:rPr>
              <w:t>（提供具备履行合同所必需的设备和专业技术能力的书面声明或提供资格承诺函）。</w:t>
            </w:r>
          </w:p>
        </w:tc>
      </w:tr>
      <w:tr w14:paraId="7FCC4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B71615C">
            <w:pPr>
              <w:pStyle w:val="253"/>
              <w:jc w:val="center"/>
              <w:rPr>
                <w:rFonts w:ascii="宋体" w:hAnsi="宋体" w:eastAsia="宋体" w:cs="宋体"/>
                <w:color w:val="auto"/>
                <w:sz w:val="21"/>
                <w:highlight w:val="none"/>
              </w:rPr>
            </w:pPr>
            <w:r>
              <w:rPr>
                <w:rFonts w:ascii="宋体" w:hAnsi="宋体" w:eastAsia="宋体" w:cs="宋体"/>
                <w:color w:val="auto"/>
                <w:sz w:val="21"/>
                <w:highlight w:val="none"/>
              </w:rPr>
              <w:t>4</w:t>
            </w:r>
          </w:p>
        </w:tc>
        <w:tc>
          <w:tcPr>
            <w:tcW w:w="72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8513B59">
            <w:pPr>
              <w:pStyle w:val="253"/>
              <w:jc w:val="center"/>
              <w:rPr>
                <w:rFonts w:ascii="宋体" w:hAnsi="宋体" w:eastAsia="宋体" w:cs="宋体"/>
                <w:color w:val="auto"/>
                <w:sz w:val="21"/>
                <w:highlight w:val="none"/>
              </w:rPr>
            </w:pPr>
            <w:r>
              <w:rPr>
                <w:rFonts w:hint="eastAsia" w:ascii="宋体" w:hAnsi="宋体" w:eastAsia="宋体" w:cs="宋体"/>
                <w:color w:val="auto"/>
                <w:sz w:val="21"/>
                <w:highlight w:val="none"/>
              </w:rPr>
              <w:t>有依法缴纳税收和社会保障资金的良好记录</w:t>
            </w:r>
          </w:p>
        </w:tc>
        <w:tc>
          <w:tcPr>
            <w:tcW w:w="4033"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483AA4A">
            <w:pPr>
              <w:pStyle w:val="253"/>
              <w:jc w:val="center"/>
              <w:rPr>
                <w:rFonts w:ascii="宋体" w:hAnsi="宋体" w:eastAsia="宋体" w:cs="宋体"/>
                <w:color w:val="auto"/>
                <w:sz w:val="21"/>
                <w:highlight w:val="none"/>
              </w:rPr>
            </w:pPr>
            <w:r>
              <w:rPr>
                <w:rFonts w:hint="eastAsia" w:ascii="宋体" w:hAnsi="宋体" w:eastAsia="宋体" w:cs="宋体"/>
                <w:color w:val="auto"/>
                <w:sz w:val="21"/>
                <w:highlight w:val="none"/>
              </w:rPr>
              <w:t>有依法缴纳税收和社会保障资金的良好记录（参加本次政府采购活动前半年内（至少一个月））依法缴纳税收和社会保险资金的相关材料或提供资格承诺函）。</w:t>
            </w:r>
          </w:p>
        </w:tc>
      </w:tr>
      <w:tr w14:paraId="67302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E636607">
            <w:pPr>
              <w:pStyle w:val="253"/>
              <w:jc w:val="center"/>
              <w:rPr>
                <w:rFonts w:ascii="宋体" w:hAnsi="宋体" w:eastAsia="宋体" w:cs="宋体"/>
                <w:color w:val="auto"/>
                <w:sz w:val="21"/>
                <w:highlight w:val="none"/>
              </w:rPr>
            </w:pPr>
            <w:r>
              <w:rPr>
                <w:rFonts w:ascii="宋体" w:hAnsi="宋体" w:eastAsia="宋体" w:cs="宋体"/>
                <w:color w:val="auto"/>
                <w:sz w:val="21"/>
                <w:highlight w:val="none"/>
              </w:rPr>
              <w:t>5</w:t>
            </w:r>
          </w:p>
        </w:tc>
        <w:tc>
          <w:tcPr>
            <w:tcW w:w="72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6E44C80">
            <w:pPr>
              <w:pStyle w:val="253"/>
              <w:jc w:val="center"/>
              <w:rPr>
                <w:rFonts w:ascii="宋体" w:hAnsi="宋体" w:eastAsia="宋体" w:cs="宋体"/>
                <w:color w:val="auto"/>
                <w:sz w:val="21"/>
                <w:highlight w:val="none"/>
              </w:rPr>
            </w:pPr>
            <w:r>
              <w:rPr>
                <w:rFonts w:hint="eastAsia" w:ascii="宋体" w:hAnsi="宋体" w:eastAsia="宋体" w:cs="宋体"/>
                <w:color w:val="auto"/>
                <w:sz w:val="21"/>
                <w:highlight w:val="none"/>
              </w:rPr>
              <w:t>参加政府采购活动前三年内，在经营活动中没有重大违法记录</w:t>
            </w:r>
          </w:p>
        </w:tc>
        <w:tc>
          <w:tcPr>
            <w:tcW w:w="4033"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D01CC5B">
            <w:pPr>
              <w:pStyle w:val="253"/>
              <w:jc w:val="center"/>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1)</w:t>
            </w:r>
            <w:r>
              <w:rPr>
                <w:rFonts w:hint="eastAsia" w:ascii="宋体" w:hAnsi="宋体" w:eastAsia="宋体" w:cs="宋体"/>
                <w:color w:val="auto"/>
                <w:sz w:val="21"/>
                <w:highlight w:val="none"/>
              </w:rPr>
              <w:t>见投标承诺函或提供资格承诺函</w:t>
            </w:r>
          </w:p>
          <w:p w14:paraId="399BAB45">
            <w:pPr>
              <w:pStyle w:val="253"/>
              <w:jc w:val="center"/>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信用中国”网站（www.creditchina.gov.cn）、中国政府采购网（www.ccgp.gov.cn）、网站（http://http://credit.jiangsu.gov.cn/）的查询结果未列入失信被执行人名单、重大税收违法案件当事人名单、政府采购严重违法失信行为名单，以现场查询为准。</w:t>
            </w:r>
          </w:p>
        </w:tc>
      </w:tr>
      <w:tr w14:paraId="10291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1B2E073">
            <w:pPr>
              <w:pStyle w:val="253"/>
              <w:jc w:val="center"/>
              <w:rPr>
                <w:rFonts w:ascii="宋体" w:hAnsi="宋体" w:eastAsia="宋体" w:cs="宋体"/>
                <w:color w:val="auto"/>
                <w:sz w:val="21"/>
                <w:highlight w:val="none"/>
              </w:rPr>
            </w:pPr>
            <w:r>
              <w:rPr>
                <w:rFonts w:ascii="宋体" w:hAnsi="宋体" w:eastAsia="宋体" w:cs="宋体"/>
                <w:color w:val="auto"/>
                <w:sz w:val="21"/>
                <w:highlight w:val="none"/>
              </w:rPr>
              <w:t>6</w:t>
            </w:r>
          </w:p>
        </w:tc>
        <w:tc>
          <w:tcPr>
            <w:tcW w:w="72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BD56463">
            <w:pPr>
              <w:pStyle w:val="253"/>
              <w:jc w:val="center"/>
              <w:rPr>
                <w:rFonts w:ascii="宋体" w:hAnsi="宋体" w:eastAsia="宋体" w:cs="宋体"/>
                <w:color w:val="auto"/>
                <w:sz w:val="21"/>
                <w:highlight w:val="none"/>
              </w:rPr>
            </w:pPr>
            <w:r>
              <w:rPr>
                <w:rFonts w:hint="eastAsia" w:ascii="宋体" w:hAnsi="宋体" w:eastAsia="宋体" w:cs="宋体"/>
                <w:color w:val="auto"/>
                <w:sz w:val="21"/>
                <w:highlight w:val="none"/>
              </w:rPr>
              <w:t>落实政府采购政策需满足的资格要求</w:t>
            </w:r>
          </w:p>
        </w:tc>
        <w:tc>
          <w:tcPr>
            <w:tcW w:w="4033"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7356FA1">
            <w:pPr>
              <w:pStyle w:val="253"/>
              <w:jc w:val="center"/>
              <w:rPr>
                <w:rFonts w:ascii="宋体" w:hAnsi="宋体" w:eastAsia="宋体" w:cs="宋体"/>
                <w:color w:val="auto"/>
                <w:sz w:val="21"/>
                <w:highlight w:val="none"/>
              </w:rPr>
            </w:pPr>
            <w:r>
              <w:rPr>
                <w:rFonts w:hint="eastAsia" w:ascii="宋体" w:hAnsi="宋体" w:eastAsia="宋体" w:cs="宋体"/>
                <w:color w:val="auto"/>
                <w:sz w:val="21"/>
                <w:highlight w:val="none"/>
              </w:rPr>
              <w:t>根据财政部、工业和信息化部关于印发《政府采购促进中小企业发展管理办法》的通知、江苏省财政厅《关于做好政府采购支持企业发展有关事项的通知》的相关规定，本项目专门面向中小微企业采购，只接受中小微企业参与。中小企业划分标准见《工业和信息化部、国家统计局、国家发展和改革委员会、财政部关于印发中小企业划型标准规定的通知》</w:t>
            </w:r>
            <w:r>
              <w:rPr>
                <w:rFonts w:hint="eastAsia" w:ascii="宋体" w:hAnsi="宋体" w:eastAsia="宋体" w:cs="宋体"/>
                <w:color w:val="auto"/>
                <w:sz w:val="21"/>
                <w:highlight w:val="none"/>
                <w:lang w:eastAsia="zh-CN"/>
              </w:rPr>
              <w:t>（</w:t>
            </w:r>
            <w:r>
              <w:rPr>
                <w:rFonts w:hint="eastAsia" w:ascii="宋体" w:hAnsi="宋体" w:eastAsia="宋体" w:cs="宋体"/>
                <w:i w:val="0"/>
                <w:iCs w:val="0"/>
                <w:caps w:val="0"/>
                <w:color w:val="auto"/>
                <w:spacing w:val="0"/>
                <w:sz w:val="21"/>
                <w:szCs w:val="24"/>
                <w:highlight w:val="none"/>
                <w:shd w:val="clear"/>
                <w:lang w:val="en-US" w:eastAsia="zh-CN"/>
              </w:rPr>
              <w:t>提供</w:t>
            </w:r>
            <w:r>
              <w:rPr>
                <w:rFonts w:hint="eastAsia" w:ascii="宋体" w:hAnsi="宋体" w:eastAsia="宋体" w:cs="宋体"/>
                <w:i w:val="0"/>
                <w:iCs w:val="0"/>
                <w:caps w:val="0"/>
                <w:color w:val="auto"/>
                <w:spacing w:val="0"/>
                <w:sz w:val="21"/>
                <w:szCs w:val="24"/>
                <w:highlight w:val="none"/>
                <w:shd w:val="clear"/>
                <w:lang w:eastAsia="zh-CN"/>
              </w:rPr>
              <w:t>中小企业声明函）</w:t>
            </w:r>
            <w:r>
              <w:rPr>
                <w:rFonts w:hint="eastAsia" w:ascii="宋体" w:hAnsi="宋体" w:eastAsia="宋体" w:cs="宋体"/>
                <w:color w:val="auto"/>
                <w:sz w:val="21"/>
                <w:highlight w:val="none"/>
              </w:rPr>
              <w:t>。</w:t>
            </w:r>
          </w:p>
        </w:tc>
      </w:tr>
      <w:tr w14:paraId="2665D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862705F">
            <w:pPr>
              <w:pStyle w:val="253"/>
              <w:jc w:val="center"/>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7</w:t>
            </w:r>
          </w:p>
        </w:tc>
        <w:tc>
          <w:tcPr>
            <w:tcW w:w="72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3629214">
            <w:pPr>
              <w:pStyle w:val="253"/>
              <w:jc w:val="center"/>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本项目特定资格要求</w:t>
            </w:r>
          </w:p>
        </w:tc>
        <w:tc>
          <w:tcPr>
            <w:tcW w:w="4033"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F5F44A6">
            <w:pPr>
              <w:pStyle w:val="253"/>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（1）供应商须具有有效期内建筑工程施工总承包三级及以上资质，并取得有效期内安全生产许可证（提供相关证明材料扫描件）。</w:t>
            </w:r>
          </w:p>
          <w:p w14:paraId="3B8918D0">
            <w:pPr>
              <w:pStyle w:val="253"/>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（2）供应商拟派项目负责人须为本单位正式员工(供应商为其缴纳的2024年8月-2025年1月内任意一个月的社保证明材料加盖公章)，具备建筑工程专业二级及以上注册建造师资格，并具备有效的安全生产考核合格证 B 类证（提供相关证书及上述社会保险证明材料扫描件）。</w:t>
            </w:r>
          </w:p>
          <w:p w14:paraId="75A8972E">
            <w:pPr>
              <w:pStyle w:val="253"/>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（3）供应商承诺项目负责人无在建工程 (提供书面承诺书，格式自拟)。</w:t>
            </w:r>
          </w:p>
          <w:p w14:paraId="2A9EC0ED">
            <w:pPr>
              <w:pStyle w:val="253"/>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 xml:space="preserve">在建工程的认定： </w:t>
            </w:r>
          </w:p>
          <w:p w14:paraId="6FF28A51">
            <w:pPr>
              <w:pStyle w:val="253"/>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 xml:space="preserve">  1）项目负责人不得同时在两个或者两个以上单位受聘或者执业： </w:t>
            </w:r>
          </w:p>
          <w:p w14:paraId="6CAFF4CF">
            <w:pPr>
              <w:pStyle w:val="253"/>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 xml:space="preserve">    a、同时在两个及以上单位签订劳动合同或交纳社会保险； </w:t>
            </w:r>
          </w:p>
          <w:p w14:paraId="685464E1">
            <w:pPr>
              <w:pStyle w:val="253"/>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 xml:space="preserve">    b、将本人执（职）业资格证书同时注册在两个及以上单位。 </w:t>
            </w:r>
          </w:p>
          <w:p w14:paraId="64D96E37">
            <w:pPr>
              <w:pStyle w:val="253"/>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 xml:space="preserve">  2）项目负责人是非变更后无在建工程，或项目负责人是变更后无在建工程（必须原合同工期已满且变更备案之日已满6个月），或因非承包方原因致使工程项目停工或因故不能按期开工、且已办理了项目负责人解锁手续，或项目负责人有在建工程，但该在建工程与本次招标的工程属于同一工程项目、同一项目批文、同一施工地点分段发包或分期施工的情况且总的工程规模在项目负责人执业范围之内。 </w:t>
            </w:r>
          </w:p>
          <w:p w14:paraId="3DA4DA57">
            <w:pPr>
              <w:pStyle w:val="253"/>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 xml:space="preserve">  3）项目负责人不得同时在其他企业担任法定代表人、分公司负责人、董事长、总经理、董事、执行董事、监事、财务负责人等企业高级管理岗位。项目负责人不得是个体工商户经营者。</w:t>
            </w:r>
          </w:p>
          <w:p w14:paraId="7BA11E1C">
            <w:pPr>
              <w:pStyle w:val="253"/>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 xml:space="preserve">  4）不得同时在两个及两个以上的工程项目上担任施工单位项目负责人。</w:t>
            </w:r>
          </w:p>
        </w:tc>
      </w:tr>
      <w:tr w14:paraId="54F29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8"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6E54BBE">
            <w:pPr>
              <w:pStyle w:val="253"/>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8</w:t>
            </w:r>
          </w:p>
        </w:tc>
        <w:tc>
          <w:tcPr>
            <w:tcW w:w="727"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0352135">
            <w:pPr>
              <w:pStyle w:val="253"/>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其他</w:t>
            </w:r>
          </w:p>
        </w:tc>
        <w:tc>
          <w:tcPr>
            <w:tcW w:w="4033" w:type="pct"/>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1B26728">
            <w:pPr>
              <w:pStyle w:val="253"/>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 xml:space="preserve">拒绝下述供应商参加本次采购活动： </w:t>
            </w:r>
          </w:p>
          <w:p w14:paraId="1EA025B7">
            <w:pPr>
              <w:pStyle w:val="253"/>
              <w:rPr>
                <w:rFonts w:hint="eastAsia" w:ascii="宋体" w:hAnsi="宋体" w:eastAsia="宋体" w:cs="宋体"/>
                <w:b w:val="0"/>
                <w:bCs w:val="0"/>
                <w:color w:val="auto"/>
                <w:sz w:val="21"/>
                <w:highlight w:val="none"/>
                <w:lang w:eastAsia="zh-CN"/>
              </w:rPr>
            </w:pPr>
            <w:r>
              <w:rPr>
                <w:rFonts w:hint="eastAsia" w:ascii="宋体" w:hAnsi="宋体" w:eastAsia="宋体" w:cs="宋体"/>
                <w:b w:val="0"/>
                <w:bCs w:val="0"/>
                <w:color w:val="auto"/>
                <w:sz w:val="21"/>
                <w:highlight w:val="none"/>
                <w:lang w:eastAsia="zh-CN"/>
              </w:rPr>
              <w:t xml:space="preserve">1）供应商单位负责人为同一人或者存在直接控股、管理关系的不同供应商，不得参加同一合同项下的政府采购活动； </w:t>
            </w:r>
          </w:p>
          <w:p w14:paraId="0CCC0B2E">
            <w:pPr>
              <w:pStyle w:val="253"/>
              <w:rPr>
                <w:rFonts w:hint="eastAsia" w:ascii="宋体" w:hAnsi="宋体" w:eastAsia="宋体" w:cs="宋体"/>
                <w:b w:val="0"/>
                <w:bCs w:val="0"/>
                <w:color w:val="auto"/>
                <w:sz w:val="21"/>
                <w:highlight w:val="none"/>
                <w:lang w:eastAsia="zh-CN"/>
              </w:rPr>
            </w:pPr>
            <w:r>
              <w:rPr>
                <w:rFonts w:hint="eastAsia" w:ascii="宋体" w:hAnsi="宋体" w:eastAsia="宋体" w:cs="宋体"/>
                <w:b w:val="0"/>
                <w:bCs w:val="0"/>
                <w:color w:val="auto"/>
                <w:sz w:val="21"/>
                <w:highlight w:val="none"/>
                <w:lang w:eastAsia="zh-CN"/>
              </w:rPr>
              <w:t xml:space="preserve">2）为采购项目提供整体设计、规范编制或者项目管理、监理、检测等服务的供应商，不得参加本项目的采购活动； </w:t>
            </w:r>
          </w:p>
          <w:p w14:paraId="3918960D">
            <w:pPr>
              <w:pStyle w:val="253"/>
              <w:rPr>
                <w:rFonts w:hint="eastAsia" w:ascii="宋体" w:hAnsi="宋体" w:eastAsia="宋体" w:cs="宋体"/>
                <w:b w:val="0"/>
                <w:bCs w:val="0"/>
                <w:color w:val="auto"/>
                <w:sz w:val="21"/>
                <w:highlight w:val="none"/>
                <w:lang w:eastAsia="zh-CN"/>
              </w:rPr>
            </w:pPr>
            <w:r>
              <w:rPr>
                <w:rFonts w:hint="eastAsia" w:ascii="宋体" w:hAnsi="宋体" w:eastAsia="宋体" w:cs="宋体"/>
                <w:b w:val="0"/>
                <w:bCs w:val="0"/>
                <w:color w:val="auto"/>
                <w:sz w:val="21"/>
                <w:highlight w:val="none"/>
                <w:lang w:eastAsia="zh-CN"/>
              </w:rPr>
              <w:t>3）供应商被“信用中国”网站（www.creditchina.gov.cn）、“中国政府采购网”(www.ccgp.gov.cn)列入失信被执行人、重大税收违法案件当事人名单、政府采购严重违法失信行为记录名单。</w:t>
            </w:r>
          </w:p>
          <w:p w14:paraId="74BB882A">
            <w:pPr>
              <w:pStyle w:val="253"/>
              <w:rPr>
                <w:rFonts w:hint="eastAsia" w:ascii="宋体" w:hAnsi="宋体" w:eastAsia="宋体" w:cs="宋体"/>
                <w:color w:val="auto"/>
                <w:sz w:val="21"/>
                <w:highlight w:val="none"/>
                <w:lang w:eastAsia="zh-CN"/>
              </w:rPr>
            </w:pPr>
            <w:r>
              <w:rPr>
                <w:rFonts w:hint="eastAsia" w:ascii="宋体" w:hAnsi="宋体" w:eastAsia="宋体" w:cs="宋体"/>
                <w:b/>
                <w:bCs/>
                <w:color w:val="auto"/>
                <w:sz w:val="21"/>
                <w:highlight w:val="none"/>
                <w:lang w:eastAsia="zh-CN"/>
              </w:rPr>
              <w:t>提供资格承诺函</w:t>
            </w:r>
          </w:p>
        </w:tc>
      </w:tr>
    </w:tbl>
    <w:p w14:paraId="105D6B3D">
      <w:pPr>
        <w:rPr>
          <w:rFonts w:hint="eastAsia"/>
          <w:color w:val="auto"/>
          <w:sz w:val="20"/>
          <w:highlight w:val="none"/>
        </w:rPr>
      </w:pPr>
      <w:r>
        <w:rPr>
          <w:rFonts w:hint="eastAsia"/>
          <w:color w:val="auto"/>
          <w:sz w:val="20"/>
          <w:highlight w:val="none"/>
        </w:rPr>
        <w:t xml:space="preserve"> </w:t>
      </w:r>
      <w:bookmarkEnd w:id="473"/>
    </w:p>
    <w:p w14:paraId="38573F7E">
      <w:pPr>
        <w:rPr>
          <w:color w:val="auto"/>
          <w:highlight w:val="none"/>
        </w:rPr>
      </w:pPr>
      <w:bookmarkStart w:id="474" w:name="EB211f29febcfc44e799be42b999126ad4"/>
      <w:r>
        <w:rPr>
          <w:rFonts w:hint="eastAsia"/>
          <w:color w:val="auto"/>
          <w:sz w:val="20"/>
          <w:highlight w:val="none"/>
        </w:rPr>
        <w:t xml:space="preserve"> </w:t>
      </w:r>
      <w:bookmarkEnd w:id="474"/>
    </w:p>
    <w:p w14:paraId="26F3D552">
      <w:pPr>
        <w:pStyle w:val="192"/>
        <w:spacing w:line="400" w:lineRule="exact"/>
        <w:ind w:firstLine="321"/>
        <w:jc w:val="left"/>
        <w:rPr>
          <w:rFonts w:hint="eastAsia" w:ascii="宋体" w:hAnsi="宋体" w:eastAsia="宋体"/>
          <w:color w:val="auto"/>
          <w:sz w:val="32"/>
          <w:highlight w:val="none"/>
        </w:rPr>
      </w:pPr>
      <w:bookmarkStart w:id="475" w:name="_Toc73364904"/>
      <w:bookmarkStart w:id="476" w:name="_Toc256000061"/>
      <w:bookmarkStart w:id="477" w:name="_Toc73365517"/>
      <w:r>
        <w:rPr>
          <w:rFonts w:hint="eastAsia" w:ascii="宋体" w:hAnsi="宋体" w:eastAsia="宋体"/>
          <w:color w:val="auto"/>
          <w:sz w:val="32"/>
          <w:highlight w:val="none"/>
        </w:rPr>
        <w:t>4．磋商响应文件的有效性、完整性和响应程度审查</w:t>
      </w:r>
      <w:bookmarkEnd w:id="475"/>
      <w:bookmarkEnd w:id="476"/>
      <w:bookmarkEnd w:id="477"/>
    </w:p>
    <w:p w14:paraId="54777583">
      <w:pPr>
        <w:rPr>
          <w:rFonts w:hint="eastAsia"/>
          <w:color w:val="auto"/>
          <w:highlight w:val="none"/>
        </w:rPr>
      </w:pPr>
      <w:bookmarkStart w:id="478" w:name="EB5ff77f62222b43a48ee845bbfe38b65b"/>
    </w:p>
    <w:tbl>
      <w:tblPr>
        <w:tblStyle w:val="2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47"/>
        <w:gridCol w:w="1392"/>
        <w:gridCol w:w="7643"/>
      </w:tblGrid>
      <w:tr w14:paraId="3EF80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F23B316">
            <w:pPr>
              <w:pStyle w:val="254"/>
              <w:jc w:val="center"/>
              <w:rPr>
                <w:rFonts w:ascii="宋体" w:hAnsi="宋体" w:eastAsia="宋体" w:cs="宋体"/>
                <w:color w:val="auto"/>
                <w:sz w:val="21"/>
                <w:highlight w:val="none"/>
              </w:rPr>
            </w:pPr>
            <w:r>
              <w:rPr>
                <w:rFonts w:ascii="宋体" w:hAnsi="宋体" w:eastAsia="宋体" w:cs="宋体"/>
                <w:color w:val="auto"/>
                <w:sz w:val="21"/>
                <w:highlight w:val="none"/>
              </w:rPr>
              <w:t>序号</w:t>
            </w:r>
          </w:p>
        </w:tc>
        <w:tc>
          <w:tcPr>
            <w:tcW w:w="1392"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5EACB36">
            <w:pPr>
              <w:pStyle w:val="254"/>
              <w:jc w:val="center"/>
              <w:rPr>
                <w:rFonts w:ascii="宋体" w:hAnsi="宋体" w:eastAsia="宋体" w:cs="宋体"/>
                <w:color w:val="auto"/>
                <w:sz w:val="21"/>
                <w:highlight w:val="none"/>
              </w:rPr>
            </w:pPr>
            <w:r>
              <w:rPr>
                <w:rFonts w:ascii="宋体" w:hAnsi="宋体" w:eastAsia="宋体" w:cs="宋体"/>
                <w:color w:val="auto"/>
                <w:sz w:val="21"/>
                <w:highlight w:val="none"/>
              </w:rPr>
              <w:t>审查要素</w:t>
            </w:r>
          </w:p>
        </w:tc>
        <w:tc>
          <w:tcPr>
            <w:tcW w:w="7643"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D3104CD">
            <w:pPr>
              <w:pStyle w:val="254"/>
              <w:jc w:val="center"/>
              <w:rPr>
                <w:rFonts w:ascii="宋体" w:hAnsi="宋体" w:eastAsia="宋体" w:cs="宋体"/>
                <w:color w:val="auto"/>
                <w:sz w:val="21"/>
                <w:highlight w:val="none"/>
              </w:rPr>
            </w:pPr>
            <w:r>
              <w:rPr>
                <w:rFonts w:ascii="宋体" w:hAnsi="宋体" w:eastAsia="宋体" w:cs="宋体"/>
                <w:color w:val="auto"/>
                <w:sz w:val="21"/>
                <w:highlight w:val="none"/>
              </w:rPr>
              <w:t>审查内容</w:t>
            </w:r>
          </w:p>
        </w:tc>
      </w:tr>
      <w:tr w14:paraId="68568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14A6FA2">
            <w:pPr>
              <w:pStyle w:val="254"/>
              <w:jc w:val="center"/>
              <w:rPr>
                <w:rFonts w:ascii="宋体" w:hAnsi="宋体" w:eastAsia="宋体" w:cs="宋体"/>
                <w:color w:val="auto"/>
                <w:sz w:val="21"/>
                <w:highlight w:val="none"/>
              </w:rPr>
            </w:pPr>
            <w:r>
              <w:rPr>
                <w:rFonts w:ascii="宋体" w:hAnsi="宋体" w:eastAsia="宋体" w:cs="宋体"/>
                <w:color w:val="auto"/>
                <w:sz w:val="21"/>
                <w:highlight w:val="none"/>
              </w:rPr>
              <w:t>1</w:t>
            </w:r>
          </w:p>
        </w:tc>
        <w:tc>
          <w:tcPr>
            <w:tcW w:w="1392"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640B810">
            <w:pPr>
              <w:pStyle w:val="254"/>
              <w:jc w:val="center"/>
              <w:rPr>
                <w:rFonts w:ascii="宋体" w:hAnsi="宋体" w:eastAsia="宋体" w:cs="宋体"/>
                <w:color w:val="auto"/>
                <w:sz w:val="21"/>
                <w:highlight w:val="none"/>
              </w:rPr>
            </w:pPr>
            <w:r>
              <w:rPr>
                <w:rFonts w:ascii="宋体" w:hAnsi="宋体" w:eastAsia="宋体" w:cs="宋体"/>
                <w:color w:val="auto"/>
                <w:sz w:val="21"/>
                <w:highlight w:val="none"/>
              </w:rPr>
              <w:t>响应文件有效性</w:t>
            </w:r>
          </w:p>
        </w:tc>
        <w:tc>
          <w:tcPr>
            <w:tcW w:w="7643"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040580B">
            <w:pPr>
              <w:pStyle w:val="254"/>
              <w:jc w:val="center"/>
              <w:rPr>
                <w:rFonts w:ascii="宋体" w:hAnsi="宋体" w:eastAsia="宋体" w:cs="宋体"/>
                <w:color w:val="auto"/>
                <w:sz w:val="21"/>
                <w:highlight w:val="none"/>
              </w:rPr>
            </w:pPr>
            <w:r>
              <w:rPr>
                <w:rFonts w:ascii="宋体" w:hAnsi="宋体" w:eastAsia="宋体" w:cs="宋体"/>
                <w:color w:val="auto"/>
                <w:sz w:val="21"/>
                <w:highlight w:val="none"/>
              </w:rPr>
              <w:t>电子响应文件的有效电子签章。磋商报价。若有委托代理人，供应商为委托代理人缴纳的社保证明材料。未发现属无效响应的其他情形。</w:t>
            </w:r>
          </w:p>
        </w:tc>
      </w:tr>
      <w:tr w14:paraId="4F8D2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A6E8B9F">
            <w:pPr>
              <w:pStyle w:val="254"/>
              <w:jc w:val="center"/>
              <w:rPr>
                <w:rFonts w:ascii="宋体" w:hAnsi="宋体" w:eastAsia="宋体" w:cs="宋体"/>
                <w:color w:val="auto"/>
                <w:sz w:val="21"/>
                <w:highlight w:val="none"/>
              </w:rPr>
            </w:pPr>
            <w:r>
              <w:rPr>
                <w:rFonts w:ascii="宋体" w:hAnsi="宋体" w:eastAsia="宋体" w:cs="宋体"/>
                <w:color w:val="auto"/>
                <w:sz w:val="21"/>
                <w:highlight w:val="none"/>
              </w:rPr>
              <w:t>2</w:t>
            </w:r>
          </w:p>
        </w:tc>
        <w:tc>
          <w:tcPr>
            <w:tcW w:w="1392"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037B552">
            <w:pPr>
              <w:pStyle w:val="254"/>
              <w:jc w:val="center"/>
              <w:rPr>
                <w:rFonts w:ascii="宋体" w:hAnsi="宋体" w:eastAsia="宋体" w:cs="宋体"/>
                <w:color w:val="auto"/>
                <w:sz w:val="21"/>
                <w:highlight w:val="none"/>
              </w:rPr>
            </w:pPr>
            <w:r>
              <w:rPr>
                <w:rFonts w:ascii="宋体" w:hAnsi="宋体" w:eastAsia="宋体" w:cs="宋体"/>
                <w:color w:val="auto"/>
                <w:sz w:val="21"/>
                <w:highlight w:val="none"/>
              </w:rPr>
              <w:t>响应文件完整性</w:t>
            </w:r>
          </w:p>
        </w:tc>
        <w:tc>
          <w:tcPr>
            <w:tcW w:w="7643"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05F91B8">
            <w:pPr>
              <w:pStyle w:val="254"/>
              <w:jc w:val="center"/>
              <w:rPr>
                <w:rFonts w:ascii="宋体" w:hAnsi="宋体" w:eastAsia="宋体" w:cs="宋体"/>
                <w:color w:val="auto"/>
                <w:sz w:val="21"/>
                <w:highlight w:val="none"/>
              </w:rPr>
            </w:pPr>
            <w:r>
              <w:rPr>
                <w:rFonts w:ascii="宋体" w:hAnsi="宋体" w:eastAsia="宋体" w:cs="宋体"/>
                <w:color w:val="auto"/>
                <w:sz w:val="21"/>
                <w:highlight w:val="none"/>
              </w:rPr>
              <w:t>响应文件内容完整性、齐全性。</w:t>
            </w:r>
          </w:p>
        </w:tc>
      </w:tr>
      <w:tr w14:paraId="49D41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B2C6AD3">
            <w:pPr>
              <w:pStyle w:val="254"/>
              <w:jc w:val="center"/>
              <w:rPr>
                <w:rFonts w:ascii="宋体" w:hAnsi="宋体" w:eastAsia="宋体" w:cs="宋体"/>
                <w:color w:val="auto"/>
                <w:sz w:val="21"/>
                <w:highlight w:val="none"/>
              </w:rPr>
            </w:pPr>
            <w:r>
              <w:rPr>
                <w:rFonts w:ascii="宋体" w:hAnsi="宋体" w:eastAsia="宋体" w:cs="宋体"/>
                <w:color w:val="auto"/>
                <w:sz w:val="21"/>
                <w:highlight w:val="none"/>
              </w:rPr>
              <w:t>3</w:t>
            </w:r>
          </w:p>
        </w:tc>
        <w:tc>
          <w:tcPr>
            <w:tcW w:w="1392"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6D05660">
            <w:pPr>
              <w:pStyle w:val="254"/>
              <w:jc w:val="center"/>
              <w:rPr>
                <w:rFonts w:ascii="宋体" w:hAnsi="宋体" w:eastAsia="宋体" w:cs="宋体"/>
                <w:color w:val="auto"/>
                <w:sz w:val="21"/>
                <w:highlight w:val="none"/>
              </w:rPr>
            </w:pPr>
            <w:r>
              <w:rPr>
                <w:rFonts w:ascii="宋体" w:hAnsi="宋体" w:eastAsia="宋体" w:cs="宋体"/>
                <w:color w:val="auto"/>
                <w:sz w:val="21"/>
                <w:highlight w:val="none"/>
              </w:rPr>
              <w:t>对磋商文件响应程度</w:t>
            </w:r>
          </w:p>
        </w:tc>
        <w:tc>
          <w:tcPr>
            <w:tcW w:w="7643"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E6A0D9A">
            <w:pPr>
              <w:pStyle w:val="254"/>
              <w:jc w:val="center"/>
              <w:rPr>
                <w:rFonts w:ascii="宋体" w:hAnsi="宋体" w:eastAsia="宋体" w:cs="宋体"/>
                <w:color w:val="auto"/>
                <w:sz w:val="21"/>
                <w:highlight w:val="none"/>
              </w:rPr>
            </w:pPr>
            <w:r>
              <w:rPr>
                <w:rFonts w:ascii="宋体" w:hAnsi="宋体" w:eastAsia="宋体" w:cs="宋体"/>
                <w:color w:val="auto"/>
                <w:sz w:val="21"/>
                <w:highlight w:val="none"/>
              </w:rPr>
              <w:t>审查响应文件与磋商文件要求的主要条款、条件和技术规格是否相符，是否存在重大偏离或保留。</w:t>
            </w:r>
          </w:p>
        </w:tc>
      </w:tr>
    </w:tbl>
    <w:p w14:paraId="37D60509">
      <w:pPr>
        <w:rPr>
          <w:rFonts w:hint="eastAsia"/>
          <w:color w:val="auto"/>
          <w:sz w:val="20"/>
          <w:highlight w:val="none"/>
        </w:rPr>
      </w:pPr>
      <w:r>
        <w:rPr>
          <w:rFonts w:hint="eastAsia"/>
          <w:color w:val="auto"/>
          <w:sz w:val="20"/>
          <w:highlight w:val="none"/>
        </w:rPr>
        <w:t xml:space="preserve"> </w:t>
      </w:r>
      <w:bookmarkEnd w:id="478"/>
    </w:p>
    <w:p w14:paraId="7BEC649C">
      <w:pPr>
        <w:spacing w:line="360" w:lineRule="auto"/>
        <w:ind w:firstLine="480"/>
        <w:rPr>
          <w:rFonts w:ascii="宋体" w:hAnsi="宋体"/>
          <w:color w:val="auto"/>
          <w:sz w:val="24"/>
          <w:highlight w:val="none"/>
        </w:rPr>
      </w:pPr>
      <w:r>
        <w:rPr>
          <w:rFonts w:hint="eastAsia" w:ascii="宋体" w:hAnsi="宋体"/>
          <w:color w:val="auto"/>
          <w:sz w:val="24"/>
          <w:highlight w:val="none"/>
        </w:rPr>
        <w:t>审查磋商响应文件与磋商文件要求的主要条款、条件和技术规格是否相符，是否存在重大偏离或保留。所谓重大偏离或保留系指影响到磋商文件规定的服务（货物）范围、质量和性能的，或者在实质上与磋商文件不一致，有限制采购人权利和供应商义务的规定，而纠正这些偏离或保留将会对其他实质上响应文件的供应商的竞争地位产生不公正的影响（重大偏离或保留的认定须经磋商小组半数以上同意）。磋商小组决定磋商响应文件的响应性只根据磋商响应文件本身的内容，而不寻求外部的证据。</w:t>
      </w:r>
    </w:p>
    <w:p w14:paraId="3A36D523">
      <w:pPr>
        <w:pStyle w:val="192"/>
        <w:spacing w:line="400" w:lineRule="exact"/>
        <w:ind w:firstLine="321"/>
        <w:jc w:val="left"/>
        <w:rPr>
          <w:rFonts w:ascii="宋体" w:hAnsi="宋体" w:eastAsia="宋体"/>
          <w:color w:val="auto"/>
          <w:sz w:val="32"/>
          <w:highlight w:val="none"/>
        </w:rPr>
      </w:pPr>
      <w:bookmarkStart w:id="479" w:name="_Toc256000062"/>
      <w:bookmarkStart w:id="480" w:name="_Toc73365518"/>
      <w:bookmarkStart w:id="481" w:name="_Toc73364905"/>
      <w:r>
        <w:rPr>
          <w:rFonts w:hint="eastAsia" w:ascii="宋体" w:hAnsi="宋体" w:eastAsia="宋体"/>
          <w:color w:val="auto"/>
          <w:sz w:val="32"/>
          <w:highlight w:val="none"/>
        </w:rPr>
        <w:t>5．磋商记录</w:t>
      </w:r>
      <w:bookmarkEnd w:id="479"/>
      <w:bookmarkEnd w:id="480"/>
      <w:bookmarkEnd w:id="481"/>
    </w:p>
    <w:p w14:paraId="7BEE7101">
      <w:pPr>
        <w:spacing w:line="360" w:lineRule="auto"/>
        <w:ind w:firstLine="480"/>
        <w:rPr>
          <w:rFonts w:ascii="宋体" w:hAnsi="宋体"/>
          <w:color w:val="auto"/>
          <w:sz w:val="24"/>
          <w:highlight w:val="none"/>
        </w:rPr>
      </w:pPr>
      <w:r>
        <w:rPr>
          <w:rFonts w:hint="eastAsia" w:ascii="宋体" w:hAnsi="宋体"/>
          <w:color w:val="auto"/>
          <w:sz w:val="24"/>
          <w:highlight w:val="none"/>
        </w:rPr>
        <w:t>5.1《磋商记录》包括供应商答复或承诺的内容、磋商文件的变动情况及最后报价等。</w:t>
      </w:r>
    </w:p>
    <w:p w14:paraId="77F32EBC">
      <w:pPr>
        <w:pStyle w:val="192"/>
        <w:spacing w:line="400" w:lineRule="exact"/>
        <w:ind w:firstLine="321"/>
        <w:jc w:val="left"/>
        <w:rPr>
          <w:rFonts w:ascii="宋体" w:hAnsi="宋体" w:eastAsia="宋体"/>
          <w:color w:val="auto"/>
          <w:sz w:val="32"/>
          <w:highlight w:val="none"/>
        </w:rPr>
      </w:pPr>
      <w:bookmarkStart w:id="482" w:name="_Toc73365519"/>
      <w:bookmarkStart w:id="483" w:name="_Toc73364906"/>
      <w:bookmarkStart w:id="484" w:name="_Toc256000063"/>
      <w:r>
        <w:rPr>
          <w:rFonts w:hint="eastAsia" w:ascii="宋体" w:hAnsi="宋体" w:eastAsia="宋体"/>
          <w:color w:val="auto"/>
          <w:sz w:val="32"/>
          <w:highlight w:val="none"/>
        </w:rPr>
        <w:t>6．综合评分</w:t>
      </w:r>
      <w:bookmarkEnd w:id="482"/>
      <w:bookmarkEnd w:id="483"/>
      <w:bookmarkEnd w:id="484"/>
    </w:p>
    <w:p w14:paraId="04F454A4">
      <w:pPr>
        <w:widowControl/>
        <w:spacing w:line="360" w:lineRule="auto"/>
        <w:ind w:firstLine="482"/>
        <w:rPr>
          <w:rFonts w:hint="eastAsia" w:ascii="宋体" w:hAnsi="宋体"/>
          <w:b/>
          <w:color w:val="auto"/>
          <w:sz w:val="24"/>
          <w:highlight w:val="none"/>
        </w:rPr>
      </w:pPr>
      <w:r>
        <w:rPr>
          <w:rFonts w:hint="eastAsia" w:ascii="宋体" w:hAnsi="宋体"/>
          <w:b/>
          <w:color w:val="auto"/>
          <w:sz w:val="24"/>
          <w:highlight w:val="none"/>
        </w:rPr>
        <w:t>经磋商确定最终采购需求和提交最后报价的供应商后，磋商小组采用综合评分法对提交最后报价的供应商的磋商响应文件和最后报价进行综合评分，总分100分。</w:t>
      </w:r>
    </w:p>
    <w:p w14:paraId="1B4318C1">
      <w:pPr>
        <w:rPr>
          <w:rFonts w:hint="eastAsia"/>
          <w:color w:val="auto"/>
          <w:highlight w:val="none"/>
        </w:rPr>
      </w:pPr>
      <w:bookmarkStart w:id="485" w:name="EBeb38bac6236d407ea758a92f796301c6"/>
    </w:p>
    <w:tbl>
      <w:tblPr>
        <w:tblStyle w:val="2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95"/>
        <w:gridCol w:w="2395"/>
        <w:gridCol w:w="2396"/>
        <w:gridCol w:w="2396"/>
      </w:tblGrid>
      <w:tr w14:paraId="1A90F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AE679EC">
            <w:pPr>
              <w:pStyle w:val="255"/>
              <w:jc w:val="center"/>
              <w:rPr>
                <w:rFonts w:ascii="宋体" w:hAnsi="宋体" w:eastAsia="宋体" w:cs="宋体"/>
                <w:color w:val="auto"/>
                <w:sz w:val="21"/>
                <w:highlight w:val="none"/>
              </w:rPr>
            </w:pPr>
            <w:r>
              <w:rPr>
                <w:rFonts w:ascii="宋体" w:hAnsi="宋体" w:eastAsia="宋体" w:cs="宋体"/>
                <w:color w:val="auto"/>
                <w:sz w:val="21"/>
                <w:highlight w:val="none"/>
              </w:rPr>
              <w:t>评分项目</w:t>
            </w:r>
          </w:p>
        </w:tc>
        <w:tc>
          <w:tcPr>
            <w:tcW w:w="239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38F18AA">
            <w:pPr>
              <w:pStyle w:val="255"/>
              <w:jc w:val="center"/>
              <w:rPr>
                <w:rFonts w:ascii="宋体" w:hAnsi="宋体" w:eastAsia="宋体" w:cs="宋体"/>
                <w:color w:val="auto"/>
                <w:sz w:val="21"/>
                <w:highlight w:val="none"/>
              </w:rPr>
            </w:pPr>
            <w:r>
              <w:rPr>
                <w:rFonts w:ascii="宋体" w:hAnsi="宋体" w:eastAsia="宋体" w:cs="宋体"/>
                <w:color w:val="auto"/>
                <w:sz w:val="21"/>
                <w:highlight w:val="none"/>
              </w:rPr>
              <w:t>技术评估</w:t>
            </w:r>
          </w:p>
        </w:tc>
        <w:tc>
          <w:tcPr>
            <w:tcW w:w="239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4BFE08A">
            <w:pPr>
              <w:pStyle w:val="255"/>
              <w:jc w:val="center"/>
              <w:rPr>
                <w:rFonts w:ascii="宋体" w:hAnsi="宋体" w:eastAsia="宋体" w:cs="宋体"/>
                <w:color w:val="auto"/>
                <w:sz w:val="21"/>
                <w:highlight w:val="none"/>
              </w:rPr>
            </w:pPr>
            <w:r>
              <w:rPr>
                <w:rFonts w:ascii="宋体" w:hAnsi="宋体" w:eastAsia="宋体" w:cs="宋体"/>
                <w:color w:val="auto"/>
                <w:sz w:val="21"/>
                <w:highlight w:val="none"/>
              </w:rPr>
              <w:t>商务评估</w:t>
            </w:r>
          </w:p>
        </w:tc>
        <w:tc>
          <w:tcPr>
            <w:tcW w:w="239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C362212">
            <w:pPr>
              <w:pStyle w:val="255"/>
              <w:jc w:val="center"/>
              <w:rPr>
                <w:rFonts w:ascii="宋体" w:hAnsi="宋体" w:eastAsia="宋体" w:cs="宋体"/>
                <w:color w:val="auto"/>
                <w:sz w:val="21"/>
                <w:highlight w:val="none"/>
              </w:rPr>
            </w:pPr>
            <w:r>
              <w:rPr>
                <w:rFonts w:ascii="宋体" w:hAnsi="宋体" w:eastAsia="宋体" w:cs="宋体"/>
                <w:color w:val="auto"/>
                <w:sz w:val="21"/>
                <w:highlight w:val="none"/>
              </w:rPr>
              <w:t>价格评估</w:t>
            </w:r>
          </w:p>
        </w:tc>
      </w:tr>
      <w:tr w14:paraId="3D439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9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30227CC">
            <w:pPr>
              <w:pStyle w:val="255"/>
              <w:jc w:val="center"/>
              <w:rPr>
                <w:rFonts w:ascii="宋体" w:hAnsi="宋体" w:eastAsia="宋体" w:cs="宋体"/>
                <w:color w:val="auto"/>
                <w:sz w:val="21"/>
                <w:highlight w:val="none"/>
              </w:rPr>
            </w:pPr>
            <w:r>
              <w:rPr>
                <w:rFonts w:ascii="宋体" w:hAnsi="宋体" w:eastAsia="宋体" w:cs="宋体"/>
                <w:color w:val="auto"/>
                <w:sz w:val="21"/>
                <w:highlight w:val="none"/>
              </w:rPr>
              <w:t>分值</w:t>
            </w:r>
          </w:p>
        </w:tc>
        <w:tc>
          <w:tcPr>
            <w:tcW w:w="239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468574E">
            <w:pPr>
              <w:pStyle w:val="255"/>
              <w:jc w:val="center"/>
              <w:rPr>
                <w:rFonts w:ascii="宋体" w:hAnsi="宋体" w:eastAsia="宋体" w:cs="宋体"/>
                <w:color w:val="auto"/>
                <w:sz w:val="21"/>
                <w:highlight w:val="none"/>
              </w:rPr>
            </w:pPr>
            <w:r>
              <w:rPr>
                <w:rFonts w:hint="eastAsia" w:ascii="宋体" w:hAnsi="宋体" w:eastAsia="宋体" w:cs="宋体"/>
                <w:color w:val="auto"/>
                <w:sz w:val="21"/>
                <w:highlight w:val="none"/>
                <w:lang w:val="en-US" w:eastAsia="zh-CN"/>
              </w:rPr>
              <w:t>30</w:t>
            </w:r>
            <w:r>
              <w:rPr>
                <w:rFonts w:ascii="宋体" w:hAnsi="宋体" w:eastAsia="宋体" w:cs="宋体"/>
                <w:color w:val="auto"/>
                <w:sz w:val="21"/>
                <w:highlight w:val="none"/>
              </w:rPr>
              <w:t>.00</w:t>
            </w:r>
          </w:p>
        </w:tc>
        <w:tc>
          <w:tcPr>
            <w:tcW w:w="239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0D16DCF">
            <w:pPr>
              <w:pStyle w:val="255"/>
              <w:jc w:val="center"/>
              <w:rPr>
                <w:rFonts w:ascii="宋体" w:hAnsi="宋体" w:eastAsia="宋体" w:cs="宋体"/>
                <w:color w:val="auto"/>
                <w:sz w:val="21"/>
                <w:highlight w:val="none"/>
              </w:rPr>
            </w:pPr>
            <w:r>
              <w:rPr>
                <w:rFonts w:hint="eastAsia" w:ascii="宋体" w:hAnsi="宋体" w:eastAsia="宋体" w:cs="宋体"/>
                <w:color w:val="auto"/>
                <w:sz w:val="21"/>
                <w:highlight w:val="none"/>
                <w:lang w:val="en-US" w:eastAsia="zh-CN"/>
              </w:rPr>
              <w:t>20</w:t>
            </w:r>
            <w:r>
              <w:rPr>
                <w:rFonts w:ascii="宋体" w:hAnsi="宋体" w:eastAsia="宋体" w:cs="宋体"/>
                <w:color w:val="auto"/>
                <w:sz w:val="21"/>
                <w:highlight w:val="none"/>
              </w:rPr>
              <w:t>.00</w:t>
            </w:r>
          </w:p>
        </w:tc>
        <w:tc>
          <w:tcPr>
            <w:tcW w:w="239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26A183D">
            <w:pPr>
              <w:pStyle w:val="255"/>
              <w:jc w:val="center"/>
              <w:rPr>
                <w:rFonts w:ascii="宋体" w:hAnsi="宋体" w:eastAsia="宋体" w:cs="宋体"/>
                <w:color w:val="auto"/>
                <w:sz w:val="21"/>
                <w:highlight w:val="none"/>
              </w:rPr>
            </w:pPr>
            <w:r>
              <w:rPr>
                <w:rFonts w:hint="eastAsia" w:ascii="宋体" w:hAnsi="宋体" w:eastAsia="宋体" w:cs="宋体"/>
                <w:color w:val="auto"/>
                <w:sz w:val="21"/>
                <w:highlight w:val="none"/>
                <w:lang w:val="en-US" w:eastAsia="zh-CN"/>
              </w:rPr>
              <w:t>50</w:t>
            </w:r>
            <w:r>
              <w:rPr>
                <w:rFonts w:ascii="宋体" w:hAnsi="宋体" w:eastAsia="宋体" w:cs="宋体"/>
                <w:color w:val="auto"/>
                <w:sz w:val="21"/>
                <w:highlight w:val="none"/>
              </w:rPr>
              <w:t>.00</w:t>
            </w:r>
          </w:p>
        </w:tc>
      </w:tr>
    </w:tbl>
    <w:p w14:paraId="71BA2197">
      <w:pPr>
        <w:rPr>
          <w:rFonts w:hint="eastAsia"/>
          <w:color w:val="auto"/>
          <w:sz w:val="20"/>
          <w:highlight w:val="none"/>
        </w:rPr>
      </w:pPr>
      <w:r>
        <w:rPr>
          <w:rFonts w:hint="eastAsia"/>
          <w:color w:val="auto"/>
          <w:sz w:val="20"/>
          <w:highlight w:val="none"/>
        </w:rPr>
        <w:t xml:space="preserve"> </w:t>
      </w:r>
      <w:bookmarkEnd w:id="485"/>
    </w:p>
    <w:p w14:paraId="0F9532BE">
      <w:pPr>
        <w:widowControl/>
        <w:numPr>
          <w:ilvl w:val="0"/>
          <w:numId w:val="5"/>
        </w:numPr>
        <w:spacing w:line="360" w:lineRule="auto"/>
        <w:jc w:val="left"/>
        <w:rPr>
          <w:rFonts w:hint="eastAsia" w:ascii="宋体" w:hAnsi="宋体"/>
          <w:b/>
          <w:color w:val="auto"/>
          <w:sz w:val="24"/>
          <w:highlight w:val="none"/>
        </w:rPr>
      </w:pPr>
      <w:r>
        <w:rPr>
          <w:rFonts w:hint="eastAsia" w:ascii="宋体" w:hAnsi="宋体"/>
          <w:b/>
          <w:color w:val="auto"/>
          <w:sz w:val="24"/>
          <w:highlight w:val="none"/>
        </w:rPr>
        <w:t>技术评估</w:t>
      </w:r>
    </w:p>
    <w:p w14:paraId="3182800D">
      <w:pPr>
        <w:rPr>
          <w:color w:val="auto"/>
          <w:highlight w:val="none"/>
        </w:rPr>
      </w:pPr>
      <w:bookmarkStart w:id="486" w:name="EB6b2e05f244d844eab53af046ecb4a6fe"/>
    </w:p>
    <w:tbl>
      <w:tblPr>
        <w:tblStyle w:val="2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6"/>
        <w:gridCol w:w="1135"/>
        <w:gridCol w:w="7137"/>
        <w:gridCol w:w="684"/>
      </w:tblGrid>
      <w:tr w14:paraId="69F1E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BCA4B76">
            <w:pPr>
              <w:pStyle w:val="256"/>
              <w:jc w:val="center"/>
              <w:rPr>
                <w:rFonts w:ascii="宋体" w:hAnsi="宋体" w:eastAsia="宋体" w:cs="宋体"/>
                <w:color w:val="auto"/>
                <w:sz w:val="21"/>
                <w:highlight w:val="none"/>
              </w:rPr>
            </w:pPr>
            <w:r>
              <w:rPr>
                <w:rFonts w:ascii="宋体" w:hAnsi="宋体" w:eastAsia="宋体" w:cs="宋体"/>
                <w:color w:val="auto"/>
                <w:sz w:val="21"/>
                <w:highlight w:val="none"/>
              </w:rPr>
              <w:t>序号</w:t>
            </w:r>
          </w:p>
        </w:tc>
        <w:tc>
          <w:tcPr>
            <w:tcW w:w="113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35216C9">
            <w:pPr>
              <w:pStyle w:val="256"/>
              <w:jc w:val="center"/>
              <w:rPr>
                <w:rFonts w:ascii="宋体" w:hAnsi="宋体" w:eastAsia="宋体" w:cs="宋体"/>
                <w:color w:val="auto"/>
                <w:sz w:val="21"/>
                <w:highlight w:val="none"/>
              </w:rPr>
            </w:pPr>
            <w:r>
              <w:rPr>
                <w:rFonts w:ascii="宋体" w:hAnsi="宋体" w:eastAsia="宋体" w:cs="宋体"/>
                <w:color w:val="auto"/>
                <w:sz w:val="21"/>
                <w:highlight w:val="none"/>
              </w:rPr>
              <w:t>评审因素</w:t>
            </w:r>
          </w:p>
        </w:tc>
        <w:tc>
          <w:tcPr>
            <w:tcW w:w="713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4CFDF70">
            <w:pPr>
              <w:pStyle w:val="256"/>
              <w:jc w:val="center"/>
              <w:rPr>
                <w:rFonts w:ascii="宋体" w:hAnsi="宋体" w:eastAsia="宋体" w:cs="宋体"/>
                <w:color w:val="auto"/>
                <w:sz w:val="21"/>
                <w:highlight w:val="none"/>
              </w:rPr>
            </w:pPr>
            <w:r>
              <w:rPr>
                <w:rFonts w:ascii="宋体" w:hAnsi="宋体" w:eastAsia="宋体" w:cs="宋体"/>
                <w:color w:val="auto"/>
                <w:sz w:val="21"/>
                <w:highlight w:val="none"/>
              </w:rPr>
              <w:t>评审细则</w:t>
            </w:r>
          </w:p>
        </w:tc>
        <w:tc>
          <w:tcPr>
            <w:tcW w:w="68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B32B3C6">
            <w:pPr>
              <w:pStyle w:val="256"/>
              <w:jc w:val="center"/>
              <w:rPr>
                <w:rFonts w:ascii="宋体" w:hAnsi="宋体" w:eastAsia="宋体" w:cs="宋体"/>
                <w:color w:val="auto"/>
                <w:sz w:val="21"/>
                <w:highlight w:val="none"/>
              </w:rPr>
            </w:pPr>
            <w:r>
              <w:rPr>
                <w:rFonts w:ascii="宋体" w:hAnsi="宋体" w:eastAsia="宋体" w:cs="宋体"/>
                <w:color w:val="auto"/>
                <w:sz w:val="21"/>
                <w:highlight w:val="none"/>
              </w:rPr>
              <w:t>分值</w:t>
            </w:r>
          </w:p>
        </w:tc>
      </w:tr>
      <w:tr w14:paraId="3510D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98" w:type="dxa"/>
            <w:gridSpan w:val="3"/>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CCF89E0">
            <w:pPr>
              <w:pStyle w:val="256"/>
              <w:jc w:val="center"/>
              <w:rPr>
                <w:rFonts w:ascii="宋体" w:hAnsi="宋体" w:eastAsia="宋体" w:cs="宋体"/>
                <w:color w:val="auto"/>
                <w:sz w:val="21"/>
                <w:highlight w:val="none"/>
              </w:rPr>
            </w:pPr>
            <w:r>
              <w:rPr>
                <w:rFonts w:ascii="宋体" w:hAnsi="宋体" w:eastAsia="宋体" w:cs="宋体"/>
                <w:color w:val="auto"/>
                <w:sz w:val="21"/>
                <w:highlight w:val="none"/>
              </w:rPr>
              <w:t>技术或者服务水平评价</w:t>
            </w:r>
          </w:p>
        </w:tc>
        <w:tc>
          <w:tcPr>
            <w:tcW w:w="68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4352FF3">
            <w:pPr>
              <w:pStyle w:val="256"/>
              <w:jc w:val="center"/>
              <w:rPr>
                <w:rFonts w:hint="default" w:ascii="宋体" w:hAnsi="宋体" w:eastAsia="宋体" w:cs="宋体"/>
                <w:color w:val="auto"/>
                <w:sz w:val="21"/>
                <w:highlight w:val="none"/>
                <w:lang w:val="en-US"/>
              </w:rPr>
            </w:pPr>
            <w:r>
              <w:rPr>
                <w:rFonts w:hint="eastAsia" w:ascii="宋体" w:hAnsi="宋体" w:eastAsia="宋体" w:cs="宋体"/>
                <w:color w:val="auto"/>
                <w:sz w:val="21"/>
                <w:highlight w:val="none"/>
                <w:lang w:val="en-US" w:eastAsia="zh-CN"/>
              </w:rPr>
              <w:t>30</w:t>
            </w:r>
          </w:p>
        </w:tc>
      </w:tr>
      <w:tr w14:paraId="3A9F3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A5501A3">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1.1</w:t>
            </w:r>
          </w:p>
        </w:tc>
        <w:tc>
          <w:tcPr>
            <w:tcW w:w="113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4653070">
            <w:pPr>
              <w:pStyle w:val="253"/>
              <w:jc w:val="center"/>
              <w:rPr>
                <w:rStyle w:val="305"/>
                <w:rFonts w:ascii="宋体" w:hAnsi="宋体" w:eastAsia="宋体" w:cs="宋体"/>
                <w:color w:val="auto"/>
                <w:sz w:val="21"/>
                <w:highlight w:val="none"/>
              </w:rPr>
            </w:pPr>
            <w:r>
              <w:rPr>
                <w:rStyle w:val="305"/>
                <w:rFonts w:hint="eastAsia" w:ascii="宋体" w:hAnsi="宋体" w:eastAsia="宋体" w:cs="宋体"/>
                <w:color w:val="auto"/>
                <w:sz w:val="21"/>
                <w:highlight w:val="none"/>
              </w:rPr>
              <w:t>总体概述</w:t>
            </w:r>
          </w:p>
        </w:tc>
        <w:tc>
          <w:tcPr>
            <w:tcW w:w="713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109AE4E">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总体设想透彻，方案内容表述针对性强，施工段划分合理的得</w:t>
            </w:r>
            <w:r>
              <w:rPr>
                <w:rStyle w:val="305"/>
                <w:rFonts w:hint="eastAsia" w:ascii="宋体" w:hAnsi="宋体" w:eastAsia="宋体" w:cs="宋体"/>
                <w:color w:val="auto"/>
                <w:sz w:val="21"/>
                <w:highlight w:val="none"/>
                <w:lang w:val="en-US" w:eastAsia="zh-CN"/>
              </w:rPr>
              <w:t>3</w:t>
            </w:r>
            <w:r>
              <w:rPr>
                <w:rStyle w:val="305"/>
                <w:rFonts w:hint="eastAsia" w:ascii="宋体" w:hAnsi="宋体" w:eastAsia="宋体" w:cs="宋体"/>
                <w:color w:val="auto"/>
                <w:sz w:val="21"/>
                <w:highlight w:val="none"/>
              </w:rPr>
              <w:t>分</w:t>
            </w:r>
            <w:r>
              <w:rPr>
                <w:rStyle w:val="305"/>
                <w:rFonts w:hint="eastAsia" w:ascii="宋体" w:hAnsi="宋体" w:eastAsia="宋体" w:cs="宋体"/>
                <w:color w:val="auto"/>
                <w:sz w:val="21"/>
                <w:highlight w:val="none"/>
                <w:lang w:val="en-US" w:eastAsia="zh-CN"/>
              </w:rPr>
              <w:t>;</w:t>
            </w:r>
            <w:r>
              <w:rPr>
                <w:rStyle w:val="305"/>
                <w:rFonts w:hint="eastAsia" w:ascii="宋体" w:hAnsi="宋体" w:eastAsia="宋体" w:cs="宋体"/>
                <w:color w:val="auto"/>
                <w:sz w:val="21"/>
                <w:highlight w:val="none"/>
              </w:rPr>
              <w:t>总体设想一般，方案内容表述针对性较强，施工段划分较合理的得2分;总体设想模糊，方案内容表述针对性不强，施工段划分合理性一般的得1分</w:t>
            </w:r>
            <w:r>
              <w:rPr>
                <w:rStyle w:val="305"/>
                <w:rFonts w:hint="eastAsia" w:ascii="宋体" w:hAnsi="宋体" w:eastAsia="宋体" w:cs="宋体"/>
                <w:color w:val="auto"/>
                <w:sz w:val="21"/>
                <w:highlight w:val="none"/>
                <w:lang w:val="en-US" w:eastAsia="zh-CN"/>
              </w:rPr>
              <w:t>;</w:t>
            </w:r>
            <w:r>
              <w:rPr>
                <w:rStyle w:val="305"/>
                <w:rFonts w:hint="eastAsia" w:ascii="宋体" w:hAnsi="宋体" w:eastAsia="宋体" w:cs="宋体"/>
                <w:color w:val="auto"/>
                <w:sz w:val="21"/>
                <w:highlight w:val="none"/>
              </w:rPr>
              <w:t>未提供方案的不得分。</w:t>
            </w:r>
          </w:p>
        </w:tc>
        <w:tc>
          <w:tcPr>
            <w:tcW w:w="68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D69031E">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w:t>
            </w:r>
          </w:p>
        </w:tc>
      </w:tr>
      <w:tr w14:paraId="5E984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56BA456">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1.2</w:t>
            </w:r>
          </w:p>
        </w:tc>
        <w:tc>
          <w:tcPr>
            <w:tcW w:w="113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D86A985">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施工现场平面布置和临时设施、临时道路布置</w:t>
            </w:r>
          </w:p>
        </w:tc>
        <w:tc>
          <w:tcPr>
            <w:tcW w:w="713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89E9A8A">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施工现场布置符合现场条件且布置合理,针对性及可行性强的得</w:t>
            </w:r>
            <w:r>
              <w:rPr>
                <w:rStyle w:val="305"/>
                <w:rFonts w:hint="eastAsia" w:ascii="宋体" w:hAnsi="宋体" w:eastAsia="宋体" w:cs="宋体"/>
                <w:color w:val="auto"/>
                <w:sz w:val="21"/>
                <w:highlight w:val="none"/>
                <w:lang w:val="en-US" w:eastAsia="zh-CN"/>
              </w:rPr>
              <w:t>3</w:t>
            </w:r>
            <w:r>
              <w:rPr>
                <w:rStyle w:val="305"/>
                <w:rFonts w:hint="eastAsia" w:ascii="宋体" w:hAnsi="宋体" w:eastAsia="宋体" w:cs="宋体"/>
                <w:color w:val="auto"/>
                <w:sz w:val="21"/>
                <w:highlight w:val="none"/>
              </w:rPr>
              <w:t>分</w:t>
            </w:r>
            <w:r>
              <w:rPr>
                <w:rStyle w:val="305"/>
                <w:rFonts w:hint="eastAsia" w:ascii="宋体" w:hAnsi="宋体" w:eastAsia="宋体" w:cs="宋体"/>
                <w:color w:val="auto"/>
                <w:sz w:val="21"/>
                <w:highlight w:val="none"/>
                <w:lang w:val="en-US" w:eastAsia="zh-CN"/>
              </w:rPr>
              <w:t>;</w:t>
            </w:r>
            <w:r>
              <w:rPr>
                <w:rStyle w:val="305"/>
                <w:rFonts w:hint="eastAsia" w:ascii="宋体" w:hAnsi="宋体" w:eastAsia="宋体" w:cs="宋体"/>
                <w:color w:val="auto"/>
                <w:sz w:val="21"/>
                <w:highlight w:val="none"/>
              </w:rPr>
              <w:t>施工现场布置基本符合现场条件且布置较为合理，针对性及可行性较强的得</w:t>
            </w:r>
            <w:r>
              <w:rPr>
                <w:rStyle w:val="305"/>
                <w:rFonts w:hint="eastAsia" w:ascii="宋体" w:hAnsi="宋体" w:eastAsia="宋体" w:cs="宋体"/>
                <w:color w:val="auto"/>
                <w:sz w:val="21"/>
                <w:highlight w:val="none"/>
                <w:lang w:val="en-US" w:eastAsia="zh-CN"/>
              </w:rPr>
              <w:t>2</w:t>
            </w:r>
            <w:r>
              <w:rPr>
                <w:rStyle w:val="305"/>
                <w:rFonts w:hint="eastAsia" w:ascii="宋体" w:hAnsi="宋体" w:eastAsia="宋体" w:cs="宋体"/>
                <w:color w:val="auto"/>
                <w:sz w:val="21"/>
                <w:highlight w:val="none"/>
              </w:rPr>
              <w:t>分;施工现场布置与现场条件符合性一般，基本合理可行的得1分</w:t>
            </w:r>
            <w:r>
              <w:rPr>
                <w:rStyle w:val="305"/>
                <w:rFonts w:hint="eastAsia" w:ascii="宋体" w:hAnsi="宋体" w:eastAsia="宋体" w:cs="宋体"/>
                <w:color w:val="auto"/>
                <w:sz w:val="21"/>
                <w:highlight w:val="none"/>
                <w:lang w:val="en-US" w:eastAsia="zh-CN"/>
              </w:rPr>
              <w:t>;</w:t>
            </w:r>
            <w:r>
              <w:rPr>
                <w:rStyle w:val="305"/>
                <w:rFonts w:hint="eastAsia" w:ascii="宋体" w:hAnsi="宋体" w:eastAsia="宋体" w:cs="宋体"/>
                <w:color w:val="auto"/>
                <w:sz w:val="21"/>
                <w:highlight w:val="none"/>
              </w:rPr>
              <w:t>未提供方案的不得分。</w:t>
            </w:r>
          </w:p>
        </w:tc>
        <w:tc>
          <w:tcPr>
            <w:tcW w:w="68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CF5FF8F">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w:t>
            </w:r>
          </w:p>
        </w:tc>
      </w:tr>
      <w:tr w14:paraId="72008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C7AC231">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1.3</w:t>
            </w:r>
          </w:p>
        </w:tc>
        <w:tc>
          <w:tcPr>
            <w:tcW w:w="113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2F39040">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施工进度计划和各阶段进度的保证措施</w:t>
            </w:r>
          </w:p>
        </w:tc>
        <w:tc>
          <w:tcPr>
            <w:tcW w:w="713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6AAE443">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评委对各供应商关于本工程施工进度计划的描述，以及为完成该计划所定措施是否科学、合理、规范、高效进行横向比较</w:t>
            </w:r>
            <w:r>
              <w:rPr>
                <w:rStyle w:val="305"/>
                <w:rFonts w:hint="eastAsia" w:ascii="宋体" w:hAnsi="宋体" w:eastAsia="宋体" w:cs="宋体"/>
                <w:color w:val="auto"/>
                <w:sz w:val="21"/>
                <w:highlight w:val="none"/>
                <w:lang w:val="en-US" w:eastAsia="zh-CN"/>
              </w:rPr>
              <w:t>;</w:t>
            </w:r>
            <w:r>
              <w:rPr>
                <w:rStyle w:val="305"/>
                <w:rFonts w:hint="eastAsia" w:ascii="宋体" w:hAnsi="宋体" w:eastAsia="宋体" w:cs="宋体"/>
                <w:color w:val="auto"/>
                <w:sz w:val="21"/>
                <w:highlight w:val="none"/>
              </w:rPr>
              <w:t>进度计划详尽，项目实施进度、时间点、关键节点等设置清晰准确的得</w:t>
            </w:r>
            <w:r>
              <w:rPr>
                <w:rStyle w:val="305"/>
                <w:rFonts w:hint="eastAsia" w:ascii="宋体" w:hAnsi="宋体" w:eastAsia="宋体" w:cs="宋体"/>
                <w:color w:val="auto"/>
                <w:sz w:val="21"/>
                <w:highlight w:val="none"/>
                <w:lang w:val="en-US" w:eastAsia="zh-CN"/>
              </w:rPr>
              <w:t>3</w:t>
            </w:r>
            <w:r>
              <w:rPr>
                <w:rStyle w:val="305"/>
                <w:rFonts w:hint="eastAsia" w:ascii="宋体" w:hAnsi="宋体" w:eastAsia="宋体" w:cs="宋体"/>
                <w:color w:val="auto"/>
                <w:sz w:val="21"/>
                <w:highlight w:val="none"/>
              </w:rPr>
              <w:t>分</w:t>
            </w:r>
            <w:r>
              <w:rPr>
                <w:rStyle w:val="305"/>
                <w:rFonts w:hint="eastAsia" w:ascii="宋体" w:hAnsi="宋体" w:eastAsia="宋体" w:cs="宋体"/>
                <w:color w:val="auto"/>
                <w:sz w:val="21"/>
                <w:highlight w:val="none"/>
                <w:lang w:val="en-US" w:eastAsia="zh-CN"/>
              </w:rPr>
              <w:t>;</w:t>
            </w:r>
            <w:r>
              <w:rPr>
                <w:rStyle w:val="305"/>
                <w:rFonts w:hint="eastAsia" w:ascii="宋体" w:hAnsi="宋体" w:eastAsia="宋体" w:cs="宋体"/>
                <w:color w:val="auto"/>
                <w:sz w:val="21"/>
                <w:highlight w:val="none"/>
              </w:rPr>
              <w:t>进度计划较为详尽，项目实施进度、时间点、关键点等设置比较准确的得</w:t>
            </w:r>
            <w:r>
              <w:rPr>
                <w:rStyle w:val="305"/>
                <w:rFonts w:hint="eastAsia" w:ascii="宋体" w:hAnsi="宋体" w:eastAsia="宋体" w:cs="宋体"/>
                <w:color w:val="auto"/>
                <w:sz w:val="21"/>
                <w:highlight w:val="none"/>
                <w:lang w:val="en-US" w:eastAsia="zh-CN"/>
              </w:rPr>
              <w:t>2</w:t>
            </w:r>
            <w:r>
              <w:rPr>
                <w:rStyle w:val="305"/>
                <w:rFonts w:hint="eastAsia" w:ascii="宋体" w:hAnsi="宋体" w:eastAsia="宋体" w:cs="宋体"/>
                <w:color w:val="auto"/>
                <w:sz w:val="21"/>
                <w:highlight w:val="none"/>
              </w:rPr>
              <w:t>分</w:t>
            </w:r>
            <w:r>
              <w:rPr>
                <w:rStyle w:val="305"/>
                <w:rFonts w:hint="eastAsia" w:ascii="宋体" w:hAnsi="宋体" w:eastAsia="宋体" w:cs="宋体"/>
                <w:color w:val="auto"/>
                <w:sz w:val="21"/>
                <w:highlight w:val="none"/>
                <w:lang w:val="en-US" w:eastAsia="zh-CN"/>
              </w:rPr>
              <w:t>;</w:t>
            </w:r>
            <w:r>
              <w:rPr>
                <w:rStyle w:val="305"/>
                <w:rFonts w:hint="eastAsia" w:ascii="宋体" w:hAnsi="宋体" w:eastAsia="宋体" w:cs="宋体"/>
                <w:color w:val="auto"/>
                <w:sz w:val="21"/>
                <w:highlight w:val="none"/>
              </w:rPr>
              <w:t>方案简单，描述不清楚，只能基本满足项目实需要的得1分;未提供方案的不得分。</w:t>
            </w:r>
          </w:p>
        </w:tc>
        <w:tc>
          <w:tcPr>
            <w:tcW w:w="68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6330629">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w:t>
            </w:r>
          </w:p>
        </w:tc>
      </w:tr>
      <w:tr w14:paraId="08AA6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D66A3E9">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1.4</w:t>
            </w:r>
          </w:p>
        </w:tc>
        <w:tc>
          <w:tcPr>
            <w:tcW w:w="1135" w:type="dxa"/>
            <w:tcBorders>
              <w:top w:val="single" w:color="000000" w:sz="2" w:space="0"/>
              <w:left w:val="single" w:color="000000" w:sz="2" w:space="0"/>
              <w:bottom w:val="single" w:color="000000" w:sz="2" w:space="0"/>
              <w:right w:val="single" w:color="000000" w:sz="2" w:space="0"/>
            </w:tcBorders>
            <w:shd w:val="clear" w:color="auto" w:fill="auto"/>
            <w:noWrap w:val="0"/>
            <w:tcMar>
              <w:top w:w="100" w:type="dxa"/>
              <w:bottom w:w="100" w:type="dxa"/>
            </w:tcMar>
            <w:vAlign w:val="center"/>
          </w:tcPr>
          <w:p w14:paraId="1C29DEFA">
            <w:pPr>
              <w:pStyle w:val="253"/>
              <w:jc w:val="center"/>
              <w:rPr>
                <w:rFonts w:hint="eastAsia" w:ascii="Times New Roman" w:hAnsi="Times New Roman" w:eastAsia="Times New Roman" w:cs="Times New Roman"/>
                <w:color w:val="auto"/>
                <w:sz w:val="21"/>
                <w:szCs w:val="24"/>
                <w:highlight w:val="none"/>
                <w:lang w:bidi="ar-SA"/>
              </w:rPr>
            </w:pPr>
            <w:r>
              <w:rPr>
                <w:rStyle w:val="305"/>
                <w:rFonts w:ascii="宋体" w:hAnsi="宋体" w:eastAsia="宋体" w:cs="宋体"/>
                <w:color w:val="auto"/>
                <w:sz w:val="21"/>
                <w:highlight w:val="none"/>
              </w:rPr>
              <w:t>各分部分项工程的施工方案及质量保证措施</w:t>
            </w:r>
          </w:p>
        </w:tc>
        <w:tc>
          <w:tcPr>
            <w:tcW w:w="7137" w:type="dxa"/>
            <w:tcBorders>
              <w:top w:val="single" w:color="000000" w:sz="2" w:space="0"/>
              <w:left w:val="single" w:color="000000" w:sz="2" w:space="0"/>
              <w:bottom w:val="single" w:color="000000" w:sz="2" w:space="0"/>
              <w:right w:val="single" w:color="000000" w:sz="2" w:space="0"/>
            </w:tcBorders>
            <w:shd w:val="clear" w:color="auto" w:fill="auto"/>
            <w:noWrap w:val="0"/>
            <w:tcMar>
              <w:top w:w="100" w:type="dxa"/>
              <w:bottom w:w="100" w:type="dxa"/>
            </w:tcMar>
            <w:vAlign w:val="center"/>
          </w:tcPr>
          <w:p w14:paraId="61368B62">
            <w:pPr>
              <w:pStyle w:val="253"/>
              <w:jc w:val="center"/>
              <w:rPr>
                <w:rFonts w:hint="eastAsia" w:ascii="Times New Roman" w:hAnsi="Times New Roman" w:eastAsia="Times New Roman" w:cs="Times New Roman"/>
                <w:color w:val="auto"/>
                <w:spacing w:val="-8"/>
                <w:sz w:val="21"/>
                <w:szCs w:val="24"/>
                <w:highlight w:val="none"/>
                <w:lang w:bidi="ar-SA"/>
              </w:rPr>
            </w:pPr>
            <w:r>
              <w:rPr>
                <w:rStyle w:val="305"/>
                <w:rFonts w:hint="eastAsia" w:ascii="宋体" w:hAnsi="宋体" w:eastAsia="宋体" w:cs="宋体"/>
                <w:color w:val="auto"/>
                <w:sz w:val="21"/>
                <w:highlight w:val="none"/>
              </w:rPr>
              <w:t>各分部分项工程施工方案齐全，可行性强及质量保证措施合理可行的得</w:t>
            </w:r>
            <w:r>
              <w:rPr>
                <w:rStyle w:val="305"/>
                <w:rFonts w:hint="eastAsia" w:ascii="宋体" w:hAnsi="宋体" w:eastAsia="宋体" w:cs="宋体"/>
                <w:color w:val="auto"/>
                <w:sz w:val="21"/>
                <w:highlight w:val="none"/>
                <w:lang w:val="en-US" w:eastAsia="zh-CN"/>
              </w:rPr>
              <w:t>3</w:t>
            </w:r>
            <w:r>
              <w:rPr>
                <w:rStyle w:val="305"/>
                <w:rFonts w:hint="eastAsia" w:ascii="宋体" w:hAnsi="宋体" w:eastAsia="宋体" w:cs="宋体"/>
                <w:color w:val="auto"/>
                <w:sz w:val="21"/>
                <w:highlight w:val="none"/>
              </w:rPr>
              <w:t>分;各分部分项工程施工方案较为齐全，可行性较强及质量保证措施较为合理可行的得</w:t>
            </w:r>
            <w:r>
              <w:rPr>
                <w:rStyle w:val="305"/>
                <w:rFonts w:hint="eastAsia" w:ascii="宋体" w:hAnsi="宋体" w:eastAsia="宋体" w:cs="宋体"/>
                <w:color w:val="auto"/>
                <w:sz w:val="21"/>
                <w:highlight w:val="none"/>
                <w:lang w:val="en-US" w:eastAsia="zh-CN"/>
              </w:rPr>
              <w:t>2</w:t>
            </w:r>
            <w:r>
              <w:rPr>
                <w:rStyle w:val="305"/>
                <w:rFonts w:hint="eastAsia" w:ascii="宋体" w:hAnsi="宋体" w:eastAsia="宋体" w:cs="宋体"/>
                <w:color w:val="auto"/>
                <w:sz w:val="21"/>
                <w:highlight w:val="none"/>
              </w:rPr>
              <w:t>分;各分部分项工程施工方案有明显缺且可行性一般，质量保证措施一般的得1分;未提供方案的不分。</w:t>
            </w:r>
          </w:p>
        </w:tc>
        <w:tc>
          <w:tcPr>
            <w:tcW w:w="68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0303D60">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w:t>
            </w:r>
          </w:p>
        </w:tc>
      </w:tr>
      <w:tr w14:paraId="6CB11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33AE385">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1.5</w:t>
            </w:r>
          </w:p>
        </w:tc>
        <w:tc>
          <w:tcPr>
            <w:tcW w:w="113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06CAED7">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安全文明施工、环境保护措施</w:t>
            </w:r>
          </w:p>
        </w:tc>
        <w:tc>
          <w:tcPr>
            <w:tcW w:w="713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F22D31B">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安全文明施工措施科学合理，问题沟通和解决机制简单有效，对项目安全、环保等风险进行分析，给出应对措施，且操作性强的得</w:t>
            </w:r>
            <w:r>
              <w:rPr>
                <w:rStyle w:val="305"/>
                <w:rFonts w:hint="eastAsia" w:ascii="宋体" w:hAnsi="宋体" w:eastAsia="宋体" w:cs="宋体"/>
                <w:color w:val="auto"/>
                <w:sz w:val="21"/>
                <w:highlight w:val="none"/>
                <w:lang w:val="en-US" w:eastAsia="zh-CN"/>
              </w:rPr>
              <w:t>3</w:t>
            </w:r>
            <w:r>
              <w:rPr>
                <w:rStyle w:val="305"/>
                <w:rFonts w:hint="eastAsia" w:ascii="宋体" w:hAnsi="宋体" w:eastAsia="宋体" w:cs="宋体"/>
                <w:color w:val="auto"/>
                <w:sz w:val="21"/>
                <w:highlight w:val="none"/>
              </w:rPr>
              <w:t>分;措施比较合理、操作性较强、考虑较周全、能基本满足项目实施需要的得</w:t>
            </w:r>
            <w:r>
              <w:rPr>
                <w:rStyle w:val="305"/>
                <w:rFonts w:hint="eastAsia" w:ascii="宋体" w:hAnsi="宋体" w:eastAsia="宋体" w:cs="宋体"/>
                <w:color w:val="auto"/>
                <w:sz w:val="21"/>
                <w:highlight w:val="none"/>
                <w:lang w:val="en-US" w:eastAsia="zh-CN"/>
              </w:rPr>
              <w:t>2</w:t>
            </w:r>
            <w:r>
              <w:rPr>
                <w:rStyle w:val="305"/>
                <w:rFonts w:hint="eastAsia" w:ascii="宋体" w:hAnsi="宋体" w:eastAsia="宋体" w:cs="宋体"/>
                <w:color w:val="auto"/>
                <w:sz w:val="21"/>
                <w:highlight w:val="none"/>
              </w:rPr>
              <w:t>分;措施简单，操作性不强，很难达到保护环境效果的得1分;未提供方案的不得分。</w:t>
            </w:r>
          </w:p>
        </w:tc>
        <w:tc>
          <w:tcPr>
            <w:tcW w:w="68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997E050">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w:t>
            </w:r>
          </w:p>
        </w:tc>
      </w:tr>
      <w:tr w14:paraId="25995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E503E9D">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1.6</w:t>
            </w:r>
          </w:p>
        </w:tc>
        <w:tc>
          <w:tcPr>
            <w:tcW w:w="113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CFD4829">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劳动力、机械设备和材料投入计划</w:t>
            </w:r>
          </w:p>
        </w:tc>
        <w:tc>
          <w:tcPr>
            <w:tcW w:w="713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5535BEE">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评委对各供应商投入的劳动力、机械设备和材料情况进行横向比较</w:t>
            </w:r>
            <w:r>
              <w:rPr>
                <w:rStyle w:val="305"/>
                <w:rFonts w:hint="eastAsia" w:ascii="宋体" w:hAnsi="宋体" w:eastAsia="宋体" w:cs="宋体"/>
                <w:color w:val="auto"/>
                <w:sz w:val="21"/>
                <w:highlight w:val="none"/>
                <w:lang w:val="en-US" w:eastAsia="zh-CN"/>
              </w:rPr>
              <w:t>,</w:t>
            </w:r>
            <w:r>
              <w:rPr>
                <w:rStyle w:val="305"/>
                <w:rFonts w:hint="eastAsia" w:ascii="宋体" w:hAnsi="宋体" w:eastAsia="宋体" w:cs="宋体"/>
                <w:color w:val="auto"/>
                <w:sz w:val="21"/>
                <w:highlight w:val="none"/>
              </w:rPr>
              <w:t>投入科学合理先进的得</w:t>
            </w:r>
            <w:r>
              <w:rPr>
                <w:rStyle w:val="305"/>
                <w:rFonts w:hint="eastAsia" w:ascii="宋体" w:hAnsi="宋体" w:eastAsia="宋体" w:cs="宋体"/>
                <w:color w:val="auto"/>
                <w:sz w:val="21"/>
                <w:highlight w:val="none"/>
                <w:lang w:val="en-US" w:eastAsia="zh-CN"/>
              </w:rPr>
              <w:t>3</w:t>
            </w:r>
            <w:r>
              <w:rPr>
                <w:rStyle w:val="305"/>
                <w:rFonts w:hint="eastAsia" w:ascii="宋体" w:hAnsi="宋体" w:eastAsia="宋体" w:cs="宋体"/>
                <w:color w:val="auto"/>
                <w:sz w:val="21"/>
                <w:highlight w:val="none"/>
              </w:rPr>
              <w:t>分;比较合理，稍有欠缺的得2分;只能满足项目基本需求的得1分;未提供方案的不得分。</w:t>
            </w:r>
          </w:p>
        </w:tc>
        <w:tc>
          <w:tcPr>
            <w:tcW w:w="68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956B69A">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w:t>
            </w:r>
          </w:p>
        </w:tc>
      </w:tr>
      <w:tr w14:paraId="45259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193E316">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1.7</w:t>
            </w:r>
          </w:p>
        </w:tc>
        <w:tc>
          <w:tcPr>
            <w:tcW w:w="113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402EE99">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关键施工技术、工艺及工程项目实施的重点、难点和解决方案</w:t>
            </w:r>
          </w:p>
        </w:tc>
        <w:tc>
          <w:tcPr>
            <w:tcW w:w="713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1EB86A4">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关键施工技术、工艺先进可行，项目实施的重难点分析透彻且解决方案合理可行的得</w:t>
            </w:r>
            <w:r>
              <w:rPr>
                <w:rStyle w:val="305"/>
                <w:rFonts w:hint="eastAsia" w:ascii="宋体" w:hAnsi="宋体" w:eastAsia="宋体" w:cs="宋体"/>
                <w:color w:val="auto"/>
                <w:sz w:val="21"/>
                <w:highlight w:val="none"/>
                <w:lang w:val="en-US" w:eastAsia="zh-CN"/>
              </w:rPr>
              <w:t>4</w:t>
            </w:r>
            <w:r>
              <w:rPr>
                <w:rStyle w:val="305"/>
                <w:rFonts w:hint="eastAsia" w:ascii="宋体" w:hAnsi="宋体" w:eastAsia="宋体" w:cs="宋体"/>
                <w:color w:val="auto"/>
                <w:sz w:val="21"/>
                <w:highlight w:val="none"/>
              </w:rPr>
              <w:t>分;关键施工技术、工艺可行性强，项目实施的重难点分析较为透彻且解决方案较为合理可行的得</w:t>
            </w:r>
            <w:r>
              <w:rPr>
                <w:rStyle w:val="305"/>
                <w:rFonts w:hint="eastAsia" w:ascii="宋体" w:hAnsi="宋体" w:eastAsia="宋体" w:cs="宋体"/>
                <w:color w:val="auto"/>
                <w:sz w:val="21"/>
                <w:highlight w:val="none"/>
                <w:lang w:val="en-US" w:eastAsia="zh-CN"/>
              </w:rPr>
              <w:t>2</w:t>
            </w:r>
            <w:r>
              <w:rPr>
                <w:rStyle w:val="305"/>
                <w:rFonts w:hint="eastAsia" w:ascii="宋体" w:hAnsi="宋体" w:eastAsia="宋体" w:cs="宋体"/>
                <w:color w:val="auto"/>
                <w:sz w:val="21"/>
                <w:highlight w:val="none"/>
              </w:rPr>
              <w:t>分;关键施工技术、工艺可行性一般，项目实施的重难点分析模糊且解决方案可行性较差的得1分;未提供方案的不得分。</w:t>
            </w:r>
          </w:p>
        </w:tc>
        <w:tc>
          <w:tcPr>
            <w:tcW w:w="68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954538F">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w:t>
            </w:r>
          </w:p>
        </w:tc>
      </w:tr>
      <w:tr w14:paraId="53FEF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F204F95">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1.8</w:t>
            </w:r>
          </w:p>
        </w:tc>
        <w:tc>
          <w:tcPr>
            <w:tcW w:w="113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6BF9B84">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冬雨季施工、已有设施、保护等特殊情况下的施工措施</w:t>
            </w:r>
          </w:p>
        </w:tc>
        <w:tc>
          <w:tcPr>
            <w:tcW w:w="713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626F6CF">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冬雨季施工方案及已有设施、保护等特殊情况下的施工措施合理可行的得4分;冬雨季施工方案及已有设施、保护等特殊情况下的施工措施较为合理可行的得2分;冬雨季施工方案及已有设施、保护等特殊情况下的施工措施可行性一般的得1分;未提供方案的不得分。</w:t>
            </w:r>
          </w:p>
        </w:tc>
        <w:tc>
          <w:tcPr>
            <w:tcW w:w="68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0FC3361">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w:t>
            </w:r>
          </w:p>
        </w:tc>
      </w:tr>
      <w:tr w14:paraId="75663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6"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F230EEB">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1.9</w:t>
            </w:r>
          </w:p>
        </w:tc>
        <w:tc>
          <w:tcPr>
            <w:tcW w:w="1135"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23859B2">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新技术、新产品、新工艺、新材料应用</w:t>
            </w:r>
          </w:p>
        </w:tc>
        <w:tc>
          <w:tcPr>
            <w:tcW w:w="7137"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26BEBED">
            <w:pPr>
              <w:pStyle w:val="253"/>
              <w:jc w:val="center"/>
              <w:rPr>
                <w:rStyle w:val="305"/>
                <w:rFonts w:hint="eastAsia" w:ascii="宋体" w:hAnsi="宋体" w:eastAsia="宋体" w:cs="宋体"/>
                <w:color w:val="auto"/>
                <w:sz w:val="21"/>
                <w:highlight w:val="none"/>
              </w:rPr>
            </w:pPr>
            <w:r>
              <w:rPr>
                <w:rStyle w:val="305"/>
                <w:rFonts w:hint="eastAsia" w:ascii="宋体" w:hAnsi="宋体" w:eastAsia="宋体" w:cs="宋体"/>
                <w:color w:val="auto"/>
                <w:sz w:val="21"/>
                <w:highlight w:val="none"/>
              </w:rPr>
              <w:t>新技术、新产品、新工艺、新材料的应用与本项目内容符合且先进可行的得</w:t>
            </w:r>
            <w:r>
              <w:rPr>
                <w:rStyle w:val="305"/>
                <w:rFonts w:hint="eastAsia" w:ascii="宋体" w:hAnsi="宋体" w:eastAsia="宋体" w:cs="宋体"/>
                <w:color w:val="auto"/>
                <w:sz w:val="21"/>
                <w:highlight w:val="none"/>
                <w:lang w:val="en-US" w:eastAsia="zh-CN"/>
              </w:rPr>
              <w:t>4</w:t>
            </w:r>
            <w:r>
              <w:rPr>
                <w:rStyle w:val="305"/>
                <w:rFonts w:hint="eastAsia" w:ascii="宋体" w:hAnsi="宋体" w:eastAsia="宋体" w:cs="宋体"/>
                <w:color w:val="auto"/>
                <w:sz w:val="21"/>
                <w:highlight w:val="none"/>
              </w:rPr>
              <w:t>分;与本项目内容基本符合且可行性强的得2分;与本项目内容不完全相符且可行性一般的得1分:未提供方案的不得分。</w:t>
            </w:r>
          </w:p>
        </w:tc>
        <w:tc>
          <w:tcPr>
            <w:tcW w:w="68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768F098">
            <w:pPr>
              <w:pStyle w:val="256"/>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w:t>
            </w:r>
          </w:p>
        </w:tc>
      </w:tr>
    </w:tbl>
    <w:p w14:paraId="3E1D65DA">
      <w:pPr>
        <w:rPr>
          <w:rFonts w:hint="eastAsia"/>
          <w:color w:val="auto"/>
          <w:sz w:val="20"/>
          <w:highlight w:val="none"/>
        </w:rPr>
      </w:pPr>
      <w:r>
        <w:rPr>
          <w:rFonts w:hint="eastAsia"/>
          <w:color w:val="auto"/>
          <w:sz w:val="20"/>
          <w:highlight w:val="none"/>
        </w:rPr>
        <w:t xml:space="preserve"> </w:t>
      </w:r>
      <w:bookmarkEnd w:id="486"/>
    </w:p>
    <w:p w14:paraId="36A7AC90">
      <w:pPr>
        <w:widowControl/>
        <w:numPr>
          <w:ilvl w:val="0"/>
          <w:numId w:val="5"/>
        </w:numPr>
        <w:spacing w:line="360" w:lineRule="auto"/>
        <w:jc w:val="left"/>
        <w:rPr>
          <w:rFonts w:hint="eastAsia" w:ascii="宋体" w:hAnsi="宋体"/>
          <w:b/>
          <w:color w:val="auto"/>
          <w:sz w:val="24"/>
          <w:highlight w:val="none"/>
        </w:rPr>
      </w:pPr>
      <w:r>
        <w:rPr>
          <w:rFonts w:hint="eastAsia" w:ascii="宋体" w:hAnsi="宋体"/>
          <w:b/>
          <w:color w:val="auto"/>
          <w:sz w:val="24"/>
          <w:highlight w:val="none"/>
        </w:rPr>
        <w:t>商务评估</w:t>
      </w:r>
    </w:p>
    <w:p w14:paraId="2E13A33A">
      <w:pPr>
        <w:rPr>
          <w:rFonts w:hint="eastAsia"/>
          <w:color w:val="auto"/>
          <w:highlight w:val="none"/>
        </w:rPr>
      </w:pPr>
      <w:bookmarkStart w:id="487" w:name="EBcc36ae01fb994a918da451ccb0f74e57"/>
    </w:p>
    <w:tbl>
      <w:tblPr>
        <w:tblStyle w:val="2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0"/>
        <w:gridCol w:w="899"/>
        <w:gridCol w:w="7489"/>
        <w:gridCol w:w="634"/>
      </w:tblGrid>
      <w:tr w14:paraId="0D853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0"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BA286E4">
            <w:pPr>
              <w:pStyle w:val="257"/>
              <w:jc w:val="center"/>
              <w:rPr>
                <w:rFonts w:ascii="宋体" w:hAnsi="宋体" w:eastAsia="宋体" w:cs="宋体"/>
                <w:color w:val="auto"/>
                <w:sz w:val="21"/>
                <w:highlight w:val="none"/>
              </w:rPr>
            </w:pPr>
            <w:r>
              <w:rPr>
                <w:rFonts w:ascii="宋体" w:hAnsi="宋体" w:eastAsia="宋体" w:cs="宋体"/>
                <w:color w:val="auto"/>
                <w:sz w:val="21"/>
                <w:highlight w:val="none"/>
              </w:rPr>
              <w:t>序号</w:t>
            </w:r>
          </w:p>
        </w:tc>
        <w:tc>
          <w:tcPr>
            <w:tcW w:w="89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3118BFD">
            <w:pPr>
              <w:pStyle w:val="257"/>
              <w:jc w:val="center"/>
              <w:rPr>
                <w:rFonts w:ascii="宋体" w:hAnsi="宋体" w:eastAsia="宋体" w:cs="宋体"/>
                <w:color w:val="auto"/>
                <w:sz w:val="21"/>
                <w:highlight w:val="none"/>
              </w:rPr>
            </w:pPr>
            <w:r>
              <w:rPr>
                <w:rFonts w:ascii="宋体" w:hAnsi="宋体" w:eastAsia="宋体" w:cs="宋体"/>
                <w:color w:val="auto"/>
                <w:sz w:val="21"/>
                <w:highlight w:val="none"/>
              </w:rPr>
              <w:t>评审因素</w:t>
            </w:r>
          </w:p>
        </w:tc>
        <w:tc>
          <w:tcPr>
            <w:tcW w:w="748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C28D023">
            <w:pPr>
              <w:pStyle w:val="257"/>
              <w:jc w:val="center"/>
              <w:rPr>
                <w:rFonts w:ascii="宋体" w:hAnsi="宋体" w:eastAsia="宋体" w:cs="宋体"/>
                <w:color w:val="auto"/>
                <w:sz w:val="21"/>
                <w:highlight w:val="none"/>
              </w:rPr>
            </w:pPr>
            <w:r>
              <w:rPr>
                <w:rFonts w:ascii="宋体" w:hAnsi="宋体" w:eastAsia="宋体" w:cs="宋体"/>
                <w:color w:val="auto"/>
                <w:sz w:val="21"/>
                <w:highlight w:val="none"/>
              </w:rPr>
              <w:t>评审细则</w:t>
            </w:r>
          </w:p>
        </w:tc>
        <w:tc>
          <w:tcPr>
            <w:tcW w:w="63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D4386CE">
            <w:pPr>
              <w:pStyle w:val="257"/>
              <w:jc w:val="center"/>
              <w:rPr>
                <w:rFonts w:ascii="宋体" w:hAnsi="宋体" w:eastAsia="宋体" w:cs="宋体"/>
                <w:color w:val="auto"/>
                <w:sz w:val="21"/>
                <w:highlight w:val="none"/>
              </w:rPr>
            </w:pPr>
            <w:r>
              <w:rPr>
                <w:rFonts w:ascii="宋体" w:hAnsi="宋体" w:eastAsia="宋体" w:cs="宋体"/>
                <w:color w:val="auto"/>
                <w:sz w:val="21"/>
                <w:highlight w:val="none"/>
              </w:rPr>
              <w:t>分值</w:t>
            </w:r>
          </w:p>
        </w:tc>
      </w:tr>
      <w:tr w14:paraId="170F9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48" w:type="dxa"/>
            <w:gridSpan w:val="3"/>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6544395">
            <w:pPr>
              <w:pStyle w:val="257"/>
              <w:jc w:val="center"/>
              <w:rPr>
                <w:rFonts w:ascii="宋体" w:hAnsi="宋体" w:eastAsia="宋体" w:cs="宋体"/>
                <w:color w:val="auto"/>
                <w:sz w:val="21"/>
                <w:highlight w:val="none"/>
              </w:rPr>
            </w:pPr>
            <w:r>
              <w:rPr>
                <w:rFonts w:ascii="宋体" w:hAnsi="宋体" w:eastAsia="宋体" w:cs="宋体"/>
                <w:color w:val="auto"/>
                <w:sz w:val="21"/>
                <w:highlight w:val="none"/>
              </w:rPr>
              <w:t>履约能力评价</w:t>
            </w:r>
          </w:p>
        </w:tc>
        <w:tc>
          <w:tcPr>
            <w:tcW w:w="63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C4F5655">
            <w:pPr>
              <w:pStyle w:val="257"/>
              <w:jc w:val="center"/>
              <w:rPr>
                <w:rFonts w:hint="default" w:ascii="宋体" w:hAnsi="宋体" w:eastAsia="宋体" w:cs="宋体"/>
                <w:color w:val="auto"/>
                <w:sz w:val="21"/>
                <w:highlight w:val="none"/>
                <w:lang w:val="en-US"/>
              </w:rPr>
            </w:pPr>
            <w:r>
              <w:rPr>
                <w:rFonts w:hint="eastAsia" w:ascii="宋体" w:hAnsi="宋体" w:eastAsia="宋体" w:cs="宋体"/>
                <w:color w:val="auto"/>
                <w:sz w:val="21"/>
                <w:highlight w:val="none"/>
                <w:lang w:val="en-US" w:eastAsia="zh-CN"/>
              </w:rPr>
              <w:t>20</w:t>
            </w:r>
          </w:p>
        </w:tc>
      </w:tr>
      <w:tr w14:paraId="33843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7" w:hRule="atLeast"/>
        </w:trPr>
        <w:tc>
          <w:tcPr>
            <w:tcW w:w="560"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2288543">
            <w:pPr>
              <w:pStyle w:val="257"/>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1.1</w:t>
            </w:r>
          </w:p>
        </w:tc>
        <w:tc>
          <w:tcPr>
            <w:tcW w:w="89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1EE832E">
            <w:pPr>
              <w:pStyle w:val="257"/>
              <w:spacing w:line="276" w:lineRule="auto"/>
              <w:jc w:val="center"/>
              <w:rPr>
                <w:rFonts w:ascii="宋体" w:hAnsi="宋体" w:eastAsia="宋体" w:cs="宋体"/>
                <w:color w:val="auto"/>
                <w:sz w:val="21"/>
                <w:highlight w:val="none"/>
              </w:rPr>
            </w:pPr>
            <w:r>
              <w:rPr>
                <w:rFonts w:hint="eastAsia" w:ascii="宋体" w:hAnsi="宋体" w:eastAsia="宋体" w:cs="宋体"/>
                <w:color w:val="auto"/>
                <w:sz w:val="21"/>
                <w:highlight w:val="none"/>
              </w:rPr>
              <w:t>经验业绩</w:t>
            </w:r>
          </w:p>
        </w:tc>
        <w:tc>
          <w:tcPr>
            <w:tcW w:w="748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17F749A">
            <w:pPr>
              <w:pStyle w:val="257"/>
              <w:spacing w:line="276" w:lineRule="auto"/>
              <w:jc w:val="left"/>
              <w:rPr>
                <w:rFonts w:ascii="宋体" w:hAnsi="宋体" w:eastAsia="宋体" w:cs="宋体"/>
                <w:b/>
                <w:color w:val="auto"/>
                <w:sz w:val="21"/>
                <w:highlight w:val="none"/>
              </w:rPr>
            </w:pPr>
            <w:r>
              <w:rPr>
                <w:rFonts w:hint="eastAsia" w:ascii="宋体" w:hAnsi="宋体" w:eastAsia="宋体" w:cs="宋体"/>
                <w:color w:val="auto"/>
                <w:sz w:val="21"/>
                <w:highlight w:val="none"/>
              </w:rPr>
              <w:t>供应商承担过类似工程项目的，有一项得</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分，最高得</w:t>
            </w:r>
            <w:r>
              <w:rPr>
                <w:rFonts w:hint="eastAsia" w:ascii="宋体" w:hAnsi="宋体" w:eastAsia="宋体" w:cs="宋体"/>
                <w:color w:val="auto"/>
                <w:sz w:val="21"/>
                <w:highlight w:val="none"/>
                <w:lang w:val="en-US" w:eastAsia="zh-CN"/>
              </w:rPr>
              <w:t>6</w:t>
            </w:r>
            <w:r>
              <w:rPr>
                <w:rFonts w:hint="eastAsia" w:ascii="宋体" w:hAnsi="宋体" w:eastAsia="宋体" w:cs="宋体"/>
                <w:color w:val="auto"/>
                <w:sz w:val="21"/>
                <w:highlight w:val="none"/>
              </w:rPr>
              <w:t>分。注:1、本项目类似工程是指建筑工程类施工项目;2、须提供中标通知书(直接发包的项目提供直接发包的证明材料)、合同、竣工验收证明(三者缺一不得分)原件扫描件，未提供或提供的资料不能反映上述数据的不得分。</w:t>
            </w:r>
          </w:p>
        </w:tc>
        <w:tc>
          <w:tcPr>
            <w:tcW w:w="63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FACE617">
            <w:pPr>
              <w:pStyle w:val="257"/>
              <w:jc w:val="center"/>
              <w:rPr>
                <w:rFonts w:ascii="宋体" w:hAnsi="宋体" w:eastAsia="宋体" w:cs="宋体"/>
                <w:color w:val="auto"/>
                <w:sz w:val="21"/>
                <w:highlight w:val="none"/>
              </w:rPr>
            </w:pPr>
            <w:r>
              <w:rPr>
                <w:rFonts w:hint="eastAsia" w:ascii="宋体" w:hAnsi="宋体" w:eastAsia="宋体" w:cs="宋体"/>
                <w:color w:val="auto"/>
                <w:sz w:val="21"/>
                <w:highlight w:val="none"/>
                <w:lang w:val="en-US" w:eastAsia="zh-CN"/>
              </w:rPr>
              <w:t>6</w:t>
            </w:r>
          </w:p>
        </w:tc>
      </w:tr>
      <w:tr w14:paraId="28E8B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4" w:hRule="atLeast"/>
        </w:trPr>
        <w:tc>
          <w:tcPr>
            <w:tcW w:w="560"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7636B9E">
            <w:pPr>
              <w:pStyle w:val="257"/>
              <w:jc w:val="center"/>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1.2</w:t>
            </w:r>
          </w:p>
        </w:tc>
        <w:tc>
          <w:tcPr>
            <w:tcW w:w="89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7048D5C">
            <w:pPr>
              <w:pStyle w:val="257"/>
              <w:spacing w:line="276" w:lineRule="auto"/>
              <w:jc w:val="center"/>
              <w:rPr>
                <w:rFonts w:ascii="宋体" w:hAnsi="宋体" w:eastAsia="宋体" w:cs="宋体"/>
                <w:color w:val="auto"/>
                <w:sz w:val="21"/>
                <w:highlight w:val="none"/>
              </w:rPr>
            </w:pPr>
            <w:r>
              <w:rPr>
                <w:rFonts w:hint="eastAsia" w:ascii="宋体" w:hAnsi="宋体" w:eastAsia="宋体" w:cs="宋体"/>
                <w:color w:val="auto"/>
                <w:sz w:val="21"/>
                <w:highlight w:val="none"/>
              </w:rPr>
              <w:t>供应商奖项</w:t>
            </w:r>
          </w:p>
        </w:tc>
        <w:tc>
          <w:tcPr>
            <w:tcW w:w="748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A0A7932">
            <w:pPr>
              <w:pStyle w:val="257"/>
              <w:spacing w:line="276" w:lineRule="auto"/>
              <w:jc w:val="left"/>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val="en-US" w:eastAsia="zh-CN"/>
              </w:rPr>
              <w:t>1、</w:t>
            </w:r>
            <w:r>
              <w:rPr>
                <w:rFonts w:hint="eastAsia" w:ascii="宋体" w:hAnsi="宋体" w:eastAsia="宋体" w:cs="宋体"/>
                <w:color w:val="auto"/>
                <w:sz w:val="21"/>
                <w:highlight w:val="none"/>
              </w:rPr>
              <w:t>供应商获得过省级及以上人民政府颁发“安全生产管理先进单位”表彰证书的得</w:t>
            </w:r>
            <w:r>
              <w:rPr>
                <w:rFonts w:hint="eastAsia" w:ascii="宋体" w:hAnsi="宋体" w:eastAsia="宋体" w:cs="宋体"/>
                <w:color w:val="auto"/>
                <w:sz w:val="21"/>
                <w:highlight w:val="none"/>
                <w:lang w:val="en-US" w:eastAsia="zh-CN"/>
              </w:rPr>
              <w:t>3</w:t>
            </w:r>
            <w:r>
              <w:rPr>
                <w:rFonts w:hint="eastAsia" w:ascii="宋体" w:hAnsi="宋体" w:eastAsia="宋体" w:cs="宋体"/>
                <w:color w:val="auto"/>
                <w:sz w:val="21"/>
                <w:highlight w:val="none"/>
              </w:rPr>
              <w:t>分</w:t>
            </w:r>
            <w:r>
              <w:rPr>
                <w:rFonts w:hint="eastAsia" w:ascii="宋体" w:hAnsi="宋体" w:eastAsia="宋体" w:cs="宋体"/>
                <w:color w:val="auto"/>
                <w:sz w:val="21"/>
                <w:highlight w:val="none"/>
                <w:lang w:eastAsia="zh-CN"/>
              </w:rPr>
              <w:t>。</w:t>
            </w:r>
          </w:p>
          <w:p w14:paraId="7D9CFAF5">
            <w:pPr>
              <w:pStyle w:val="257"/>
              <w:spacing w:line="276" w:lineRule="auto"/>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lang w:eastAsia="zh-CN"/>
              </w:rPr>
              <w:t>供应商承建项目获得过建设行政主管部门评选的</w:t>
            </w:r>
            <w:r>
              <w:rPr>
                <w:rFonts w:hint="eastAsia" w:ascii="宋体" w:hAnsi="宋体" w:eastAsia="宋体" w:cs="宋体"/>
                <w:color w:val="auto"/>
                <w:sz w:val="21"/>
                <w:highlight w:val="none"/>
                <w:lang w:val="en-US" w:eastAsia="zh-CN"/>
              </w:rPr>
              <w:t>省</w:t>
            </w:r>
            <w:r>
              <w:rPr>
                <w:rFonts w:hint="eastAsia" w:ascii="宋体" w:hAnsi="宋体" w:eastAsia="宋体" w:cs="宋体"/>
                <w:color w:val="auto"/>
                <w:sz w:val="21"/>
                <w:highlight w:val="none"/>
                <w:lang w:eastAsia="zh-CN"/>
              </w:rPr>
              <w:t>级及以上</w:t>
            </w:r>
            <w:r>
              <w:rPr>
                <w:rFonts w:hint="eastAsia" w:ascii="宋体" w:hAnsi="宋体" w:eastAsia="宋体" w:cs="宋体"/>
                <w:color w:val="auto"/>
                <w:sz w:val="21"/>
                <w:highlight w:val="none"/>
                <w:lang w:val="en-US" w:eastAsia="zh-CN"/>
              </w:rPr>
              <w:t>建设施工标准化星级工地奖得3分，</w:t>
            </w:r>
            <w:r>
              <w:rPr>
                <w:rFonts w:hint="eastAsia" w:ascii="宋体" w:hAnsi="宋体" w:eastAsia="宋体" w:cs="宋体"/>
                <w:color w:val="auto"/>
                <w:sz w:val="21"/>
                <w:highlight w:val="none"/>
                <w:lang w:eastAsia="zh-CN"/>
              </w:rPr>
              <w:t>获得过建设行政主管部门评选的</w:t>
            </w:r>
            <w:r>
              <w:rPr>
                <w:rFonts w:hint="eastAsia" w:ascii="宋体" w:hAnsi="宋体" w:eastAsia="宋体" w:cs="宋体"/>
                <w:color w:val="auto"/>
                <w:sz w:val="21"/>
                <w:highlight w:val="none"/>
                <w:lang w:val="en-US" w:eastAsia="zh-CN"/>
              </w:rPr>
              <w:t>市级建设施工标准化文明示范工地奖</w:t>
            </w:r>
            <w:r>
              <w:rPr>
                <w:rFonts w:hint="eastAsia" w:ascii="宋体" w:hAnsi="宋体" w:eastAsia="宋体" w:cs="宋体"/>
                <w:color w:val="auto"/>
                <w:sz w:val="21"/>
                <w:highlight w:val="none"/>
                <w:lang w:eastAsia="zh-CN"/>
              </w:rPr>
              <w:t>得2分。</w:t>
            </w:r>
            <w:r>
              <w:rPr>
                <w:rFonts w:hint="eastAsia" w:ascii="宋体" w:hAnsi="宋体" w:eastAsia="宋体" w:cs="宋体"/>
                <w:color w:val="auto"/>
                <w:sz w:val="21"/>
                <w:highlight w:val="none"/>
                <w:lang w:val="en-US" w:eastAsia="zh-CN"/>
              </w:rPr>
              <w:t>提供相关证明材料复印件加盖公章。</w:t>
            </w:r>
          </w:p>
        </w:tc>
        <w:tc>
          <w:tcPr>
            <w:tcW w:w="63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78EFFC7">
            <w:pPr>
              <w:pStyle w:val="257"/>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6</w:t>
            </w:r>
          </w:p>
        </w:tc>
      </w:tr>
      <w:tr w14:paraId="5A4E1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4" w:hRule="atLeast"/>
        </w:trPr>
        <w:tc>
          <w:tcPr>
            <w:tcW w:w="560"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978AA78">
            <w:pPr>
              <w:pStyle w:val="257"/>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1.3</w:t>
            </w:r>
          </w:p>
        </w:tc>
        <w:tc>
          <w:tcPr>
            <w:tcW w:w="89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0671077">
            <w:pPr>
              <w:pStyle w:val="257"/>
              <w:spacing w:line="276" w:lineRule="auto"/>
              <w:jc w:val="center"/>
              <w:rPr>
                <w:rFonts w:hint="eastAsia" w:ascii="宋体" w:hAnsi="宋体" w:eastAsia="宋体" w:cs="宋体"/>
                <w:color w:val="auto"/>
                <w:sz w:val="21"/>
                <w:highlight w:val="none"/>
              </w:rPr>
            </w:pPr>
            <w:r>
              <w:rPr>
                <w:rFonts w:hint="eastAsia" w:ascii="宋体" w:hAnsi="宋体" w:eastAsia="宋体" w:cs="宋体"/>
                <w:color w:val="auto"/>
                <w:sz w:val="21"/>
                <w:highlight w:val="none"/>
              </w:rPr>
              <w:t>人员</w:t>
            </w:r>
            <w:r>
              <w:rPr>
                <w:rFonts w:hint="eastAsia" w:ascii="宋体" w:hAnsi="宋体" w:eastAsia="宋体" w:cs="宋体"/>
                <w:color w:val="auto"/>
                <w:sz w:val="21"/>
                <w:highlight w:val="none"/>
                <w:lang w:eastAsia="zh-CN"/>
              </w:rPr>
              <w:t>配置</w:t>
            </w:r>
          </w:p>
        </w:tc>
        <w:tc>
          <w:tcPr>
            <w:tcW w:w="748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6DB2A527">
            <w:pPr>
              <w:pStyle w:val="257"/>
              <w:numPr>
                <w:ilvl w:val="0"/>
                <w:numId w:val="6"/>
              </w:numPr>
              <w:spacing w:line="276" w:lineRule="auto"/>
              <w:jc w:val="left"/>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供应商为本项目配备项目负责人，项目负责人具有一级建筑工程建造师证书的得3分，项目负责人具有</w:t>
            </w:r>
            <w:r>
              <w:rPr>
                <w:rFonts w:hint="eastAsia" w:ascii="宋体" w:hAnsi="宋体" w:eastAsia="宋体" w:cs="宋体"/>
                <w:color w:val="auto"/>
                <w:sz w:val="21"/>
                <w:highlight w:val="none"/>
                <w:lang w:val="en-US" w:eastAsia="zh-CN"/>
              </w:rPr>
              <w:t>二</w:t>
            </w:r>
            <w:r>
              <w:rPr>
                <w:rFonts w:hint="eastAsia" w:ascii="宋体" w:hAnsi="宋体" w:eastAsia="宋体" w:cs="宋体"/>
                <w:color w:val="auto"/>
                <w:sz w:val="21"/>
                <w:highlight w:val="none"/>
                <w:lang w:eastAsia="zh-CN"/>
              </w:rPr>
              <w:t>级建筑工程建造师证书的得</w:t>
            </w:r>
            <w:r>
              <w:rPr>
                <w:rFonts w:hint="eastAsia" w:ascii="宋体" w:hAnsi="宋体" w:eastAsia="宋体" w:cs="宋体"/>
                <w:color w:val="auto"/>
                <w:sz w:val="21"/>
                <w:highlight w:val="none"/>
                <w:lang w:val="en-US" w:eastAsia="zh-CN"/>
              </w:rPr>
              <w:t>1</w:t>
            </w:r>
            <w:r>
              <w:rPr>
                <w:rFonts w:hint="eastAsia" w:ascii="宋体" w:hAnsi="宋体" w:eastAsia="宋体" w:cs="宋体"/>
                <w:color w:val="auto"/>
                <w:sz w:val="21"/>
                <w:highlight w:val="none"/>
                <w:lang w:eastAsia="zh-CN"/>
              </w:rPr>
              <w:t>分。</w:t>
            </w:r>
          </w:p>
          <w:p w14:paraId="1D5DC075">
            <w:pPr>
              <w:pStyle w:val="257"/>
              <w:numPr>
                <w:ilvl w:val="0"/>
                <w:numId w:val="0"/>
              </w:numPr>
              <w:spacing w:line="276" w:lineRule="auto"/>
              <w:jc w:val="left"/>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lang w:eastAsia="zh-CN"/>
              </w:rPr>
              <w:t>项目负责人具有工程类高级及以上职称的,得3分；项目负责人具有工程类</w:t>
            </w:r>
            <w:r>
              <w:rPr>
                <w:rFonts w:hint="eastAsia" w:ascii="宋体" w:hAnsi="宋体" w:eastAsia="宋体" w:cs="宋体"/>
                <w:color w:val="auto"/>
                <w:sz w:val="21"/>
                <w:highlight w:val="none"/>
                <w:lang w:val="en-US" w:eastAsia="zh-CN"/>
              </w:rPr>
              <w:t>中</w:t>
            </w:r>
            <w:r>
              <w:rPr>
                <w:rFonts w:hint="eastAsia" w:ascii="宋体" w:hAnsi="宋体" w:eastAsia="宋体" w:cs="宋体"/>
                <w:color w:val="auto"/>
                <w:sz w:val="21"/>
                <w:highlight w:val="none"/>
                <w:lang w:eastAsia="zh-CN"/>
              </w:rPr>
              <w:t>级及以上职称的,得</w:t>
            </w:r>
            <w:r>
              <w:rPr>
                <w:rFonts w:hint="eastAsia" w:ascii="宋体" w:hAnsi="宋体" w:eastAsia="宋体" w:cs="宋体"/>
                <w:color w:val="auto"/>
                <w:sz w:val="21"/>
                <w:highlight w:val="none"/>
                <w:lang w:val="en-US" w:eastAsia="zh-CN"/>
              </w:rPr>
              <w:t>1</w:t>
            </w:r>
            <w:r>
              <w:rPr>
                <w:rFonts w:hint="eastAsia" w:ascii="宋体" w:hAnsi="宋体" w:eastAsia="宋体" w:cs="宋体"/>
                <w:color w:val="auto"/>
                <w:sz w:val="21"/>
                <w:highlight w:val="none"/>
                <w:lang w:eastAsia="zh-CN"/>
              </w:rPr>
              <w:t>分。</w:t>
            </w:r>
          </w:p>
          <w:p w14:paraId="3E640DF4">
            <w:pPr>
              <w:pStyle w:val="257"/>
              <w:numPr>
                <w:ilvl w:val="0"/>
                <w:numId w:val="0"/>
              </w:numPr>
              <w:spacing w:line="276" w:lineRule="auto"/>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w:t>
            </w:r>
            <w:r>
              <w:rPr>
                <w:rFonts w:hint="eastAsia" w:ascii="宋体" w:hAnsi="宋体" w:eastAsia="宋体" w:cs="宋体"/>
                <w:color w:val="auto"/>
                <w:sz w:val="21"/>
                <w:highlight w:val="none"/>
                <w:lang w:eastAsia="zh-CN"/>
              </w:rPr>
              <w:t>供应商为本项目配备技术负责人，且技术负责人具有</w:t>
            </w:r>
            <w:r>
              <w:rPr>
                <w:rFonts w:hint="eastAsia" w:ascii="宋体" w:hAnsi="宋体" w:eastAsia="宋体" w:cs="宋体"/>
                <w:color w:val="auto"/>
                <w:sz w:val="21"/>
                <w:highlight w:val="none"/>
                <w:lang w:val="en-US" w:eastAsia="zh-CN"/>
              </w:rPr>
              <w:t>高</w:t>
            </w:r>
            <w:r>
              <w:rPr>
                <w:rFonts w:hint="eastAsia" w:ascii="宋体" w:hAnsi="宋体" w:eastAsia="宋体" w:cs="宋体"/>
                <w:color w:val="auto"/>
                <w:sz w:val="21"/>
                <w:highlight w:val="none"/>
                <w:lang w:eastAsia="zh-CN"/>
              </w:rPr>
              <w:t>级及以上职称的，得2分，</w:t>
            </w:r>
            <w:r>
              <w:rPr>
                <w:rFonts w:hint="eastAsia" w:ascii="宋体" w:hAnsi="宋体" w:eastAsia="宋体" w:cs="宋体"/>
                <w:color w:val="auto"/>
                <w:sz w:val="21"/>
                <w:highlight w:val="none"/>
                <w:lang w:val="en-US" w:eastAsia="zh-CN"/>
              </w:rPr>
              <w:t>中级</w:t>
            </w:r>
            <w:r>
              <w:rPr>
                <w:rFonts w:hint="eastAsia" w:ascii="宋体" w:hAnsi="宋体" w:eastAsia="宋体" w:cs="宋体"/>
                <w:color w:val="auto"/>
                <w:sz w:val="21"/>
                <w:highlight w:val="none"/>
                <w:lang w:eastAsia="zh-CN"/>
              </w:rPr>
              <w:t>职称的得</w:t>
            </w:r>
            <w:r>
              <w:rPr>
                <w:rFonts w:hint="eastAsia" w:ascii="宋体" w:hAnsi="宋体" w:eastAsia="宋体" w:cs="宋体"/>
                <w:color w:val="auto"/>
                <w:sz w:val="21"/>
                <w:highlight w:val="none"/>
                <w:lang w:val="en-US" w:eastAsia="zh-CN"/>
              </w:rPr>
              <w:t>1</w:t>
            </w:r>
            <w:r>
              <w:rPr>
                <w:rFonts w:hint="eastAsia" w:ascii="宋体" w:hAnsi="宋体" w:eastAsia="宋体" w:cs="宋体"/>
                <w:color w:val="auto"/>
                <w:sz w:val="21"/>
                <w:highlight w:val="none"/>
                <w:lang w:eastAsia="zh-CN"/>
              </w:rPr>
              <w:t>分。</w:t>
            </w:r>
          </w:p>
          <w:p w14:paraId="3558A475">
            <w:pPr>
              <w:pStyle w:val="257"/>
              <w:numPr>
                <w:ilvl w:val="0"/>
                <w:numId w:val="0"/>
              </w:numPr>
              <w:spacing w:line="276" w:lineRule="auto"/>
              <w:jc w:val="left"/>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注:以上人员不得兼任，须提供以上证书原件扫描件，供应商为其缴纳的近一个月的社保证明材料，未按要求提供的不得分。</w:t>
            </w:r>
          </w:p>
        </w:tc>
        <w:tc>
          <w:tcPr>
            <w:tcW w:w="634"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7E73B77C">
            <w:pPr>
              <w:pStyle w:val="257"/>
              <w:jc w:val="center"/>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8</w:t>
            </w:r>
          </w:p>
        </w:tc>
      </w:tr>
    </w:tbl>
    <w:p w14:paraId="65B69F4B">
      <w:pPr>
        <w:rPr>
          <w:rFonts w:hint="eastAsia"/>
          <w:color w:val="auto"/>
          <w:sz w:val="20"/>
          <w:highlight w:val="none"/>
        </w:rPr>
      </w:pPr>
      <w:r>
        <w:rPr>
          <w:rFonts w:hint="eastAsia"/>
          <w:color w:val="auto"/>
          <w:sz w:val="20"/>
          <w:highlight w:val="none"/>
        </w:rPr>
        <w:t xml:space="preserve"> </w:t>
      </w:r>
      <w:bookmarkEnd w:id="487"/>
    </w:p>
    <w:p w14:paraId="56D4DCC0">
      <w:pPr>
        <w:widowControl/>
        <w:numPr>
          <w:ilvl w:val="0"/>
          <w:numId w:val="5"/>
        </w:numPr>
        <w:spacing w:line="360" w:lineRule="auto"/>
        <w:jc w:val="left"/>
        <w:rPr>
          <w:rFonts w:hint="eastAsia" w:ascii="宋体" w:hAnsi="宋体"/>
          <w:b/>
          <w:color w:val="auto"/>
          <w:sz w:val="24"/>
          <w:highlight w:val="none"/>
        </w:rPr>
      </w:pPr>
      <w:r>
        <w:rPr>
          <w:rFonts w:hint="eastAsia" w:ascii="宋体" w:hAnsi="宋体"/>
          <w:b/>
          <w:color w:val="auto"/>
          <w:sz w:val="24"/>
          <w:highlight w:val="none"/>
        </w:rPr>
        <w:t>价格评估</w:t>
      </w:r>
    </w:p>
    <w:p w14:paraId="3ED3E306">
      <w:pPr>
        <w:rPr>
          <w:rFonts w:hint="eastAsia"/>
          <w:color w:val="auto"/>
          <w:highlight w:val="none"/>
        </w:rPr>
      </w:pPr>
      <w:bookmarkStart w:id="488" w:name="EB00ed059341e447b48aa4c095e09e7fc2"/>
    </w:p>
    <w:tbl>
      <w:tblPr>
        <w:tblStyle w:val="2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09"/>
        <w:gridCol w:w="730"/>
        <w:gridCol w:w="7660"/>
        <w:gridCol w:w="583"/>
      </w:tblGrid>
      <w:tr w14:paraId="14195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C950613">
            <w:pPr>
              <w:pStyle w:val="252"/>
              <w:jc w:val="center"/>
              <w:rPr>
                <w:rFonts w:ascii="宋体" w:hAnsi="宋体" w:eastAsia="宋体" w:cs="宋体"/>
                <w:color w:val="auto"/>
                <w:sz w:val="21"/>
                <w:highlight w:val="none"/>
              </w:rPr>
            </w:pPr>
            <w:r>
              <w:rPr>
                <w:rFonts w:ascii="宋体" w:hAnsi="宋体" w:eastAsia="宋体" w:cs="宋体"/>
                <w:color w:val="auto"/>
                <w:sz w:val="21"/>
                <w:highlight w:val="none"/>
              </w:rPr>
              <w:t>序号</w:t>
            </w:r>
          </w:p>
        </w:tc>
        <w:tc>
          <w:tcPr>
            <w:tcW w:w="730"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09E32DC8">
            <w:pPr>
              <w:pStyle w:val="252"/>
              <w:jc w:val="center"/>
              <w:rPr>
                <w:rFonts w:ascii="宋体" w:hAnsi="宋体" w:eastAsia="宋体" w:cs="宋体"/>
                <w:color w:val="auto"/>
                <w:sz w:val="21"/>
                <w:highlight w:val="none"/>
              </w:rPr>
            </w:pPr>
            <w:r>
              <w:rPr>
                <w:rFonts w:ascii="宋体" w:hAnsi="宋体" w:eastAsia="宋体" w:cs="宋体"/>
                <w:color w:val="auto"/>
                <w:sz w:val="21"/>
                <w:highlight w:val="none"/>
              </w:rPr>
              <w:t>评审因素</w:t>
            </w:r>
          </w:p>
        </w:tc>
        <w:tc>
          <w:tcPr>
            <w:tcW w:w="7660"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496F123E">
            <w:pPr>
              <w:pStyle w:val="252"/>
              <w:jc w:val="center"/>
              <w:rPr>
                <w:rFonts w:ascii="宋体" w:hAnsi="宋体" w:eastAsia="宋体" w:cs="宋体"/>
                <w:color w:val="auto"/>
                <w:sz w:val="21"/>
                <w:highlight w:val="none"/>
              </w:rPr>
            </w:pPr>
            <w:r>
              <w:rPr>
                <w:rFonts w:ascii="宋体" w:hAnsi="宋体" w:eastAsia="宋体" w:cs="宋体"/>
                <w:color w:val="auto"/>
                <w:sz w:val="21"/>
                <w:highlight w:val="none"/>
              </w:rPr>
              <w:t>评审细则</w:t>
            </w:r>
          </w:p>
        </w:tc>
        <w:tc>
          <w:tcPr>
            <w:tcW w:w="583"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FD3EAF6">
            <w:pPr>
              <w:pStyle w:val="252"/>
              <w:jc w:val="center"/>
              <w:rPr>
                <w:rFonts w:ascii="宋体" w:hAnsi="宋体" w:eastAsia="宋体" w:cs="宋体"/>
                <w:color w:val="auto"/>
                <w:sz w:val="21"/>
                <w:highlight w:val="none"/>
              </w:rPr>
            </w:pPr>
            <w:r>
              <w:rPr>
                <w:rFonts w:ascii="宋体" w:hAnsi="宋体" w:eastAsia="宋体" w:cs="宋体"/>
                <w:color w:val="auto"/>
                <w:sz w:val="21"/>
                <w:highlight w:val="none"/>
              </w:rPr>
              <w:t>分值</w:t>
            </w:r>
          </w:p>
        </w:tc>
      </w:tr>
      <w:tr w14:paraId="2B513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99" w:type="dxa"/>
            <w:gridSpan w:val="3"/>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38B612E">
            <w:pPr>
              <w:pStyle w:val="252"/>
              <w:jc w:val="center"/>
              <w:rPr>
                <w:rFonts w:ascii="宋体" w:hAnsi="宋体" w:eastAsia="宋体" w:cs="宋体"/>
                <w:color w:val="auto"/>
                <w:sz w:val="21"/>
                <w:highlight w:val="none"/>
              </w:rPr>
            </w:pPr>
            <w:r>
              <w:rPr>
                <w:rFonts w:ascii="宋体" w:hAnsi="宋体" w:eastAsia="宋体" w:cs="宋体"/>
                <w:color w:val="auto"/>
                <w:sz w:val="21"/>
                <w:highlight w:val="none"/>
              </w:rPr>
              <w:t>报价评价</w:t>
            </w:r>
          </w:p>
        </w:tc>
        <w:tc>
          <w:tcPr>
            <w:tcW w:w="583"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3DE70FD6">
            <w:pPr>
              <w:pStyle w:val="252"/>
              <w:jc w:val="center"/>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val="en-US" w:eastAsia="zh-CN"/>
              </w:rPr>
              <w:t>50</w:t>
            </w:r>
          </w:p>
        </w:tc>
      </w:tr>
      <w:tr w14:paraId="721C1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0" w:hRule="atLeast"/>
        </w:trPr>
        <w:tc>
          <w:tcPr>
            <w:tcW w:w="609"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0073665">
            <w:pPr>
              <w:pStyle w:val="252"/>
              <w:jc w:val="center"/>
              <w:rPr>
                <w:rFonts w:ascii="宋体" w:hAnsi="宋体" w:eastAsia="宋体" w:cs="宋体"/>
                <w:color w:val="auto"/>
                <w:sz w:val="21"/>
                <w:highlight w:val="none"/>
              </w:rPr>
            </w:pPr>
            <w:r>
              <w:rPr>
                <w:rFonts w:ascii="宋体" w:hAnsi="宋体" w:eastAsia="宋体" w:cs="宋体"/>
                <w:color w:val="auto"/>
                <w:sz w:val="21"/>
                <w:highlight w:val="none"/>
              </w:rPr>
              <w:t>1.1</w:t>
            </w:r>
          </w:p>
        </w:tc>
        <w:tc>
          <w:tcPr>
            <w:tcW w:w="730"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2E6303BB">
            <w:pPr>
              <w:pStyle w:val="252"/>
              <w:jc w:val="center"/>
              <w:rPr>
                <w:rFonts w:ascii="宋体" w:hAnsi="宋体" w:eastAsia="宋体" w:cs="宋体"/>
                <w:color w:val="auto"/>
                <w:sz w:val="21"/>
                <w:highlight w:val="none"/>
              </w:rPr>
            </w:pPr>
            <w:r>
              <w:rPr>
                <w:rFonts w:ascii="宋体" w:hAnsi="宋体" w:eastAsia="宋体" w:cs="宋体"/>
                <w:color w:val="auto"/>
                <w:sz w:val="21"/>
                <w:highlight w:val="none"/>
              </w:rPr>
              <w:t>报价得分</w:t>
            </w:r>
          </w:p>
        </w:tc>
        <w:tc>
          <w:tcPr>
            <w:tcW w:w="7660"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59DB6498">
            <w:pPr>
              <w:pStyle w:val="252"/>
              <w:jc w:val="both"/>
              <w:rPr>
                <w:rFonts w:ascii="宋体" w:hAnsi="宋体" w:eastAsia="宋体" w:cs="宋体"/>
                <w:color w:val="auto"/>
                <w:sz w:val="21"/>
                <w:highlight w:val="none"/>
                <w:lang w:eastAsia="zh-CN"/>
              </w:rPr>
            </w:pPr>
            <w:r>
              <w:rPr>
                <w:rFonts w:hint="eastAsia" w:ascii="宋体" w:hAnsi="宋体" w:eastAsia="宋体" w:cs="宋体"/>
                <w:color w:val="auto"/>
                <w:sz w:val="21"/>
                <w:highlight w:val="none"/>
              </w:rPr>
              <w:t>综合评分法中的价格分采用低价优先法计算，即满足磋商文件要求且最后报价最低的供应商的价格为磋商基准价，其价格分为满分</w:t>
            </w:r>
            <w:r>
              <w:rPr>
                <w:rFonts w:hint="eastAsia" w:ascii="宋体" w:hAnsi="宋体" w:eastAsia="宋体" w:cs="宋体"/>
                <w:color w:val="auto"/>
                <w:sz w:val="21"/>
                <w:highlight w:val="none"/>
                <w:lang w:val="en-US" w:eastAsia="zh-CN"/>
              </w:rPr>
              <w:t>50</w:t>
            </w:r>
            <w:r>
              <w:rPr>
                <w:rFonts w:hint="eastAsia" w:ascii="宋体" w:hAnsi="宋体" w:eastAsia="宋体" w:cs="宋体"/>
                <w:color w:val="auto"/>
                <w:sz w:val="21"/>
                <w:highlight w:val="none"/>
              </w:rPr>
              <w:t>分。其他供应商的价格分统一按照下列公式计算：磋商报价得分= (磋商基准价／最后磋商报价)×</w:t>
            </w:r>
            <w:r>
              <w:rPr>
                <w:rFonts w:hint="eastAsia" w:ascii="宋体" w:hAnsi="宋体" w:eastAsia="宋体" w:cs="宋体"/>
                <w:color w:val="auto"/>
                <w:sz w:val="21"/>
                <w:highlight w:val="none"/>
                <w:lang w:val="en-US" w:eastAsia="zh-CN"/>
              </w:rPr>
              <w:t>5</w:t>
            </w:r>
            <w:r>
              <w:rPr>
                <w:rFonts w:hint="eastAsia" w:ascii="宋体" w:hAnsi="宋体" w:eastAsia="宋体" w:cs="宋体"/>
                <w:color w:val="auto"/>
                <w:sz w:val="21"/>
                <w:highlight w:val="none"/>
                <w:lang w:eastAsia="zh-CN"/>
              </w:rPr>
              <w:t>0</w:t>
            </w:r>
            <w:r>
              <w:rPr>
                <w:rFonts w:hint="eastAsia" w:ascii="宋体" w:hAnsi="宋体" w:eastAsia="宋体" w:cs="宋体"/>
                <w:color w:val="auto"/>
                <w:sz w:val="21"/>
                <w:highlight w:val="none"/>
              </w:rPr>
              <w:t xml:space="preserve">。 </w:t>
            </w:r>
          </w:p>
        </w:tc>
        <w:tc>
          <w:tcPr>
            <w:tcW w:w="583" w:type="dxa"/>
            <w:tcBorders>
              <w:top w:val="single" w:color="000000" w:sz="2" w:space="0"/>
              <w:left w:val="single" w:color="000000" w:sz="2" w:space="0"/>
              <w:bottom w:val="single" w:color="000000" w:sz="2" w:space="0"/>
              <w:right w:val="single" w:color="000000" w:sz="2" w:space="0"/>
            </w:tcBorders>
            <w:noWrap w:val="0"/>
            <w:tcMar>
              <w:top w:w="100" w:type="dxa"/>
              <w:bottom w:w="100" w:type="dxa"/>
            </w:tcMar>
            <w:vAlign w:val="center"/>
          </w:tcPr>
          <w:p w14:paraId="1AE4FA5A">
            <w:pPr>
              <w:pStyle w:val="252"/>
              <w:jc w:val="center"/>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val="en-US" w:eastAsia="zh-CN"/>
              </w:rPr>
              <w:t>50</w:t>
            </w:r>
          </w:p>
        </w:tc>
      </w:tr>
      <w:bookmarkEnd w:id="488"/>
    </w:tbl>
    <w:p w14:paraId="2094404C">
      <w:pPr>
        <w:rPr>
          <w:rFonts w:hint="eastAsia"/>
          <w:color w:val="auto"/>
          <w:highlight w:val="none"/>
        </w:rPr>
      </w:pPr>
    </w:p>
    <w:p w14:paraId="67DE9724">
      <w:pPr>
        <w:pStyle w:val="192"/>
        <w:spacing w:line="400" w:lineRule="exact"/>
        <w:ind w:firstLine="321"/>
        <w:jc w:val="left"/>
        <w:rPr>
          <w:rFonts w:ascii="宋体" w:hAnsi="宋体" w:eastAsia="宋体"/>
          <w:color w:val="auto"/>
          <w:sz w:val="32"/>
          <w:highlight w:val="none"/>
        </w:rPr>
      </w:pPr>
      <w:bookmarkStart w:id="489" w:name="_Toc73364907"/>
      <w:bookmarkStart w:id="490" w:name="_Toc73365520"/>
      <w:bookmarkStart w:id="491" w:name="_Toc256000064"/>
      <w:r>
        <w:rPr>
          <w:rFonts w:hint="eastAsia" w:ascii="宋体" w:hAnsi="宋体" w:eastAsia="宋体"/>
          <w:color w:val="auto"/>
          <w:sz w:val="32"/>
          <w:highlight w:val="none"/>
        </w:rPr>
        <w:t>7．推荐成交供应商</w:t>
      </w:r>
      <w:bookmarkEnd w:id="489"/>
      <w:bookmarkEnd w:id="490"/>
      <w:bookmarkEnd w:id="491"/>
    </w:p>
    <w:p w14:paraId="15ECE3E3">
      <w:pPr>
        <w:spacing w:line="360" w:lineRule="auto"/>
        <w:ind w:firstLine="480"/>
        <w:rPr>
          <w:rFonts w:hint="eastAsia" w:ascii="宋体" w:hAnsi="宋体"/>
          <w:color w:val="auto"/>
          <w:sz w:val="24"/>
          <w:highlight w:val="none"/>
        </w:rPr>
      </w:pPr>
      <w:bookmarkStart w:id="492" w:name="EBf60c0b78baae4cd4941a83c86b937dfd"/>
      <w:r>
        <w:rPr>
          <w:rFonts w:hint="eastAsia" w:ascii="宋体" w:hAnsi="宋体"/>
          <w:color w:val="auto"/>
          <w:sz w:val="24"/>
          <w:highlight w:val="none"/>
        </w:rPr>
        <w:t>磋商小组应当根据综合评分情况，按照评审得分由高到低顺序推荐3名以上成交候选供应商，并编写评审报告。符合《政府采购竞争性磋商采购方式管理暂行办法》第二十一条第三款、《财政部关于政府采购竞争性磋商采购方式管理暂行办法有关问题的补充通知》规定情形的，可以推荐2家成交候选供应商。评审得分相同的，按照最后报价由低到高的顺序推荐。评审得分且最后报价相同的，按照技术指标优劣顺序推荐。</w:t>
      </w:r>
      <w:bookmarkEnd w:id="492"/>
    </w:p>
    <w:p w14:paraId="310A8DFA">
      <w:pPr>
        <w:spacing w:line="360" w:lineRule="auto"/>
        <w:ind w:firstLine="480"/>
        <w:rPr>
          <w:rFonts w:hint="eastAsia" w:ascii="宋体" w:hAnsi="宋体"/>
          <w:color w:val="auto"/>
          <w:sz w:val="24"/>
          <w:highlight w:val="none"/>
        </w:rPr>
      </w:pPr>
    </w:p>
    <w:p w14:paraId="68ABA1A8">
      <w:pPr>
        <w:spacing w:line="360" w:lineRule="auto"/>
        <w:ind w:firstLine="480"/>
        <w:rPr>
          <w:rFonts w:hint="eastAsia" w:ascii="宋体" w:hAnsi="宋体"/>
          <w:color w:val="auto"/>
          <w:sz w:val="24"/>
          <w:highlight w:val="none"/>
        </w:rPr>
      </w:pPr>
      <w:bookmarkStart w:id="493" w:name="EB33162866c0454b07a982cbc9df098632"/>
    </w:p>
    <w:p w14:paraId="51A5BCDA">
      <w:pPr>
        <w:spacing w:line="360" w:lineRule="auto"/>
        <w:ind w:firstLine="480"/>
        <w:rPr>
          <w:rFonts w:hint="eastAsia" w:ascii="宋体" w:hAnsi="宋体"/>
          <w:color w:val="auto"/>
          <w:sz w:val="24"/>
          <w:highlight w:val="none"/>
        </w:rPr>
      </w:pPr>
    </w:p>
    <w:bookmarkEnd w:id="493"/>
    <w:p w14:paraId="360C2B02">
      <w:pPr>
        <w:pStyle w:val="41"/>
        <w:rPr>
          <w:color w:val="auto"/>
          <w:highlight w:val="none"/>
          <w:lang w:val="en-US"/>
        </w:rPr>
        <w:sectPr>
          <w:pgSz w:w="11906" w:h="16838"/>
          <w:pgMar w:top="1440" w:right="1270" w:bottom="1440" w:left="1270" w:header="851" w:footer="992" w:gutter="0"/>
          <w:pgNumType w:fmt="decimal"/>
          <w:cols w:space="720" w:num="1"/>
          <w:titlePg/>
          <w:docGrid w:linePitch="360" w:charSpace="0"/>
        </w:sectPr>
      </w:pPr>
      <w:bookmarkStart w:id="494" w:name="_Toc256000066"/>
      <w:bookmarkStart w:id="495" w:name="_Toc73365521"/>
      <w:bookmarkStart w:id="496" w:name="_Toc73364908"/>
    </w:p>
    <w:p w14:paraId="6410A453">
      <w:pPr>
        <w:pStyle w:val="191"/>
        <w:jc w:val="center"/>
        <w:rPr>
          <w:rFonts w:ascii="宋体" w:hAnsi="宋体"/>
          <w:color w:val="auto"/>
          <w:sz w:val="36"/>
          <w:highlight w:val="none"/>
        </w:rPr>
      </w:pPr>
      <w:r>
        <w:rPr>
          <w:rFonts w:hint="eastAsia" w:ascii="宋体" w:hAnsi="宋体"/>
          <w:color w:val="auto"/>
          <w:sz w:val="36"/>
          <w:highlight w:val="none"/>
        </w:rPr>
        <w:t>第六部分  磋商响应文件（格式）</w:t>
      </w:r>
      <w:bookmarkEnd w:id="494"/>
      <w:bookmarkEnd w:id="495"/>
      <w:bookmarkEnd w:id="496"/>
    </w:p>
    <w:p w14:paraId="182E2850">
      <w:pPr>
        <w:rPr>
          <w:color w:val="auto"/>
          <w:highlight w:val="none"/>
        </w:rPr>
      </w:pPr>
      <w:bookmarkStart w:id="497" w:name="EB491a073be94b40b3b791bdad326531a2"/>
    </w:p>
    <w:p w14:paraId="75324772">
      <w:pPr>
        <w:pStyle w:val="258"/>
        <w:rPr>
          <w:rFonts w:hint="eastAsia"/>
          <w:color w:val="auto"/>
          <w:highlight w:val="none"/>
          <w:lang w:eastAsia="zh-CN"/>
        </w:rPr>
      </w:pPr>
      <w:r>
        <w:rPr>
          <w:rFonts w:ascii="宋体" w:hAnsi="宋体" w:eastAsia="宋体" w:cs="宋体"/>
          <w:color w:val="auto"/>
          <w:highlight w:val="none"/>
        </w:rPr>
        <w:t>﻿</w:t>
      </w:r>
    </w:p>
    <w:p w14:paraId="6C039663">
      <w:pPr>
        <w:pStyle w:val="258"/>
        <w:spacing w:before="540" w:after="540"/>
        <w:jc w:val="center"/>
        <w:rPr>
          <w:rFonts w:ascii="宋体" w:hAnsi="宋体" w:eastAsia="宋体" w:cs="宋体"/>
          <w:b/>
          <w:bCs/>
          <w:color w:val="auto"/>
          <w:sz w:val="54"/>
          <w:szCs w:val="54"/>
          <w:highlight w:val="none"/>
        </w:rPr>
      </w:pPr>
      <w:r>
        <w:rPr>
          <w:rFonts w:ascii="宋体" w:hAnsi="宋体" w:eastAsia="宋体" w:cs="宋体"/>
          <w:b/>
          <w:bCs/>
          <w:color w:val="auto"/>
          <w:sz w:val="54"/>
          <w:szCs w:val="54"/>
          <w:highlight w:val="none"/>
        </w:rPr>
        <w:t>磋 商 响 应 文 件</w:t>
      </w:r>
    </w:p>
    <w:p w14:paraId="69F41033">
      <w:pPr>
        <w:pStyle w:val="258"/>
        <w:spacing w:before="240" w:after="240"/>
        <w:rPr>
          <w:rFonts w:ascii="宋体" w:hAnsi="宋体" w:eastAsia="宋体" w:cs="宋体"/>
          <w:color w:val="auto"/>
          <w:highlight w:val="none"/>
        </w:rPr>
      </w:pPr>
      <w:r>
        <w:rPr>
          <w:rFonts w:ascii="宋体" w:hAnsi="宋体" w:eastAsia="宋体" w:cs="宋体"/>
          <w:color w:val="auto"/>
          <w:highlight w:val="none"/>
        </w:rPr>
        <w:t> </w:t>
      </w:r>
    </w:p>
    <w:p w14:paraId="24F3B090">
      <w:pPr>
        <w:pStyle w:val="258"/>
        <w:spacing w:before="320" w:after="320"/>
        <w:jc w:val="center"/>
        <w:rPr>
          <w:rFonts w:ascii="宋体" w:hAnsi="宋体" w:eastAsia="宋体" w:cs="宋体"/>
          <w:b/>
          <w:bCs/>
          <w:color w:val="auto"/>
          <w:sz w:val="32"/>
          <w:szCs w:val="32"/>
          <w:highlight w:val="none"/>
        </w:rPr>
      </w:pPr>
      <w:r>
        <w:rPr>
          <w:rFonts w:ascii="宋体" w:hAnsi="宋体" w:eastAsia="宋体" w:cs="宋体"/>
          <w:b/>
          <w:bCs/>
          <w:color w:val="auto"/>
          <w:sz w:val="32"/>
          <w:szCs w:val="32"/>
          <w:highlight w:val="none"/>
        </w:rPr>
        <w:t xml:space="preserve">项目编号：     </w:t>
      </w:r>
    </w:p>
    <w:p w14:paraId="74846B3D">
      <w:pPr>
        <w:pStyle w:val="258"/>
        <w:spacing w:before="240" w:after="240"/>
        <w:rPr>
          <w:rFonts w:ascii="宋体" w:hAnsi="宋体" w:eastAsia="宋体" w:cs="宋体"/>
          <w:color w:val="auto"/>
          <w:highlight w:val="none"/>
        </w:rPr>
      </w:pPr>
      <w:r>
        <w:rPr>
          <w:rFonts w:ascii="宋体" w:hAnsi="宋体" w:eastAsia="宋体" w:cs="宋体"/>
          <w:color w:val="auto"/>
          <w:highlight w:val="none"/>
        </w:rPr>
        <w:t> </w:t>
      </w:r>
    </w:p>
    <w:p w14:paraId="6F638D09">
      <w:pPr>
        <w:pStyle w:val="258"/>
        <w:spacing w:before="240" w:after="240"/>
        <w:rPr>
          <w:rFonts w:ascii="宋体" w:hAnsi="宋体" w:eastAsia="宋体" w:cs="宋体"/>
          <w:color w:val="auto"/>
          <w:highlight w:val="none"/>
        </w:rPr>
      </w:pPr>
      <w:r>
        <w:rPr>
          <w:rFonts w:ascii="宋体" w:hAnsi="宋体" w:eastAsia="宋体" w:cs="宋体"/>
          <w:color w:val="auto"/>
          <w:highlight w:val="none"/>
        </w:rPr>
        <w:t> </w:t>
      </w:r>
    </w:p>
    <w:p w14:paraId="7537FD4A">
      <w:pPr>
        <w:pStyle w:val="258"/>
        <w:spacing w:before="320" w:after="320"/>
        <w:jc w:val="center"/>
        <w:rPr>
          <w:rFonts w:ascii="宋体" w:hAnsi="宋体" w:eastAsia="宋体" w:cs="宋体"/>
          <w:b/>
          <w:bCs/>
          <w:color w:val="auto"/>
          <w:sz w:val="32"/>
          <w:szCs w:val="32"/>
          <w:highlight w:val="none"/>
        </w:rPr>
      </w:pPr>
      <w:r>
        <w:rPr>
          <w:rFonts w:ascii="宋体" w:hAnsi="宋体" w:eastAsia="宋体" w:cs="宋体"/>
          <w:b/>
          <w:bCs/>
          <w:color w:val="auto"/>
          <w:sz w:val="32"/>
          <w:szCs w:val="32"/>
          <w:highlight w:val="none"/>
        </w:rPr>
        <w:t xml:space="preserve">项目名称：     </w:t>
      </w:r>
    </w:p>
    <w:p w14:paraId="363ABFF8">
      <w:pPr>
        <w:pStyle w:val="258"/>
        <w:spacing w:before="240" w:after="240"/>
        <w:rPr>
          <w:rFonts w:ascii="宋体" w:hAnsi="宋体" w:eastAsia="宋体" w:cs="宋体"/>
          <w:color w:val="auto"/>
          <w:highlight w:val="none"/>
        </w:rPr>
      </w:pPr>
      <w:r>
        <w:rPr>
          <w:rFonts w:ascii="宋体" w:hAnsi="宋体" w:eastAsia="宋体" w:cs="宋体"/>
          <w:color w:val="auto"/>
          <w:highlight w:val="none"/>
        </w:rPr>
        <w:t> </w:t>
      </w:r>
    </w:p>
    <w:p w14:paraId="648BE02D">
      <w:pPr>
        <w:pStyle w:val="258"/>
        <w:spacing w:before="240" w:after="240"/>
        <w:rPr>
          <w:rFonts w:hint="eastAsia" w:ascii="宋体" w:hAnsi="宋体" w:eastAsia="宋体" w:cs="宋体"/>
          <w:color w:val="auto"/>
          <w:highlight w:val="none"/>
          <w:lang w:eastAsia="zh-CN"/>
        </w:rPr>
      </w:pPr>
      <w:r>
        <w:rPr>
          <w:rFonts w:ascii="宋体" w:hAnsi="宋体" w:eastAsia="宋体" w:cs="宋体"/>
          <w:color w:val="auto"/>
          <w:highlight w:val="none"/>
        </w:rPr>
        <w:t> </w:t>
      </w:r>
    </w:p>
    <w:p w14:paraId="79B3D733">
      <w:pPr>
        <w:pStyle w:val="258"/>
        <w:spacing w:before="240" w:after="240"/>
        <w:rPr>
          <w:rFonts w:hint="eastAsia" w:ascii="宋体" w:hAnsi="宋体" w:eastAsia="宋体" w:cs="宋体"/>
          <w:color w:val="auto"/>
          <w:highlight w:val="none"/>
          <w:lang w:eastAsia="zh-CN"/>
        </w:rPr>
      </w:pPr>
    </w:p>
    <w:p w14:paraId="707E5916">
      <w:pPr>
        <w:pStyle w:val="258"/>
        <w:spacing w:before="240" w:after="240"/>
        <w:rPr>
          <w:rFonts w:hint="eastAsia" w:ascii="宋体" w:hAnsi="宋体" w:eastAsia="宋体" w:cs="宋体"/>
          <w:color w:val="auto"/>
          <w:highlight w:val="none"/>
          <w:lang w:eastAsia="zh-CN"/>
        </w:rPr>
      </w:pPr>
    </w:p>
    <w:p w14:paraId="1874E2D5">
      <w:pPr>
        <w:pStyle w:val="258"/>
        <w:spacing w:before="320" w:after="320"/>
        <w:jc w:val="center"/>
        <w:rPr>
          <w:rFonts w:ascii="宋体" w:hAnsi="宋体" w:eastAsia="宋体" w:cs="宋体"/>
          <w:b/>
          <w:bCs/>
          <w:color w:val="auto"/>
          <w:sz w:val="32"/>
          <w:szCs w:val="32"/>
          <w:highlight w:val="none"/>
        </w:rPr>
      </w:pPr>
      <w:r>
        <w:rPr>
          <w:rFonts w:ascii="宋体" w:hAnsi="宋体" w:eastAsia="宋体" w:cs="宋体"/>
          <w:b/>
          <w:bCs/>
          <w:color w:val="auto"/>
          <w:sz w:val="32"/>
          <w:szCs w:val="32"/>
          <w:highlight w:val="none"/>
        </w:rPr>
        <w:t xml:space="preserve">供应商（加盖公章）：     </w:t>
      </w:r>
    </w:p>
    <w:p w14:paraId="502E0597">
      <w:pPr>
        <w:pStyle w:val="258"/>
        <w:spacing w:before="320" w:after="320"/>
        <w:jc w:val="center"/>
        <w:rPr>
          <w:rFonts w:ascii="宋体" w:hAnsi="宋体" w:eastAsia="宋体" w:cs="宋体"/>
          <w:b/>
          <w:bCs/>
          <w:color w:val="auto"/>
          <w:sz w:val="32"/>
          <w:szCs w:val="32"/>
          <w:highlight w:val="none"/>
        </w:rPr>
      </w:pPr>
      <w:r>
        <w:rPr>
          <w:rFonts w:ascii="宋体" w:hAnsi="宋体" w:eastAsia="宋体" w:cs="宋体"/>
          <w:b/>
          <w:bCs/>
          <w:color w:val="auto"/>
          <w:sz w:val="32"/>
          <w:szCs w:val="32"/>
          <w:highlight w:val="none"/>
        </w:rPr>
        <w:t> </w:t>
      </w:r>
    </w:p>
    <w:p w14:paraId="01A327CF">
      <w:pPr>
        <w:pStyle w:val="258"/>
        <w:spacing w:before="320" w:after="320" w:line="360" w:lineRule="auto"/>
        <w:jc w:val="center"/>
        <w:rPr>
          <w:rFonts w:ascii="宋体" w:hAnsi="宋体" w:eastAsia="宋体" w:cs="宋体"/>
          <w:color w:val="auto"/>
          <w:sz w:val="32"/>
          <w:szCs w:val="32"/>
          <w:highlight w:val="none"/>
        </w:rPr>
      </w:pPr>
      <w:r>
        <w:rPr>
          <w:rFonts w:ascii="宋体" w:hAnsi="宋体" w:eastAsia="宋体" w:cs="宋体"/>
          <w:color w:val="auto"/>
          <w:sz w:val="32"/>
          <w:szCs w:val="32"/>
          <w:highlight w:val="none"/>
        </w:rPr>
        <w:t>日期：   </w:t>
      </w:r>
    </w:p>
    <w:p w14:paraId="637856DF">
      <w:pPr>
        <w:pStyle w:val="259"/>
        <w:jc w:val="center"/>
        <w:outlineLvl w:val="1"/>
        <w:rPr>
          <w:color w:val="auto"/>
          <w:highlight w:val="none"/>
        </w:rPr>
      </w:pPr>
      <w:r>
        <w:rPr>
          <w:color w:val="auto"/>
          <w:highlight w:val="none"/>
        </w:rPr>
        <w:br w:type="page" w:clear="all"/>
      </w:r>
      <w:bookmarkStart w:id="498" w:name="_Toc256000067"/>
      <w:r>
        <w:rPr>
          <w:rFonts w:ascii="宋体" w:hAnsi="宋体" w:eastAsia="宋体" w:cs="宋体"/>
          <w:color w:val="auto"/>
          <w:sz w:val="32"/>
          <w:highlight w:val="none"/>
        </w:rPr>
        <w:t>一、资格部分</w:t>
      </w:r>
      <w:bookmarkEnd w:id="498"/>
    </w:p>
    <w:p w14:paraId="413DB0E9">
      <w:pPr>
        <w:pStyle w:val="260"/>
        <w:jc w:val="center"/>
        <w:outlineLvl w:val="2"/>
        <w:rPr>
          <w:color w:val="auto"/>
          <w:highlight w:val="none"/>
        </w:rPr>
      </w:pPr>
      <w:r>
        <w:rPr>
          <w:color w:val="auto"/>
          <w:highlight w:val="none"/>
        </w:rPr>
        <w:br w:type="page" w:clear="all"/>
      </w:r>
      <w:bookmarkStart w:id="499" w:name="_Toc256000068"/>
      <w:r>
        <w:rPr>
          <w:rFonts w:ascii="宋体" w:hAnsi="宋体" w:eastAsia="宋体" w:cs="宋体"/>
          <w:color w:val="auto"/>
          <w:sz w:val="28"/>
          <w:highlight w:val="none"/>
        </w:rPr>
        <w:t>(一)磋商承诺函</w:t>
      </w:r>
      <w:bookmarkEnd w:id="499"/>
    </w:p>
    <w:p w14:paraId="16AA1C1E">
      <w:pPr>
        <w:pStyle w:val="261"/>
        <w:rPr>
          <w:color w:val="auto"/>
          <w:highlight w:val="none"/>
        </w:rPr>
      </w:pPr>
      <w:r>
        <w:rPr>
          <w:rFonts w:ascii="宋体" w:hAnsi="宋体" w:eastAsia="宋体" w:cs="宋体"/>
          <w:color w:val="auto"/>
          <w:highlight w:val="none"/>
        </w:rPr>
        <w:t xml:space="preserve">﻿ </w:t>
      </w:r>
    </w:p>
    <w:p w14:paraId="78C33041">
      <w:pPr>
        <w:pStyle w:val="261"/>
        <w:spacing w:before="240" w:after="240" w:line="276" w:lineRule="auto"/>
        <w:rPr>
          <w:rFonts w:ascii="宋体" w:hAnsi="宋体" w:eastAsia="宋体" w:cs="宋体"/>
          <w:color w:val="auto"/>
          <w:highlight w:val="none"/>
        </w:rPr>
      </w:pPr>
      <w:r>
        <w:rPr>
          <w:rFonts w:ascii="宋体" w:hAnsi="宋体" w:eastAsia="宋体" w:cs="宋体"/>
          <w:color w:val="auto"/>
          <w:highlight w:val="none"/>
        </w:rPr>
        <w:t xml:space="preserve">致：（磋商组织方） </w:t>
      </w:r>
    </w:p>
    <w:p w14:paraId="264F4CA7">
      <w:pPr>
        <w:pStyle w:val="261"/>
        <w:spacing w:before="240" w:after="240" w:line="276" w:lineRule="auto"/>
        <w:ind w:firstLine="420"/>
        <w:rPr>
          <w:rFonts w:ascii="宋体" w:hAnsi="宋体" w:eastAsia="宋体" w:cs="宋体"/>
          <w:color w:val="auto"/>
          <w:highlight w:val="none"/>
        </w:rPr>
      </w:pPr>
      <w:r>
        <w:rPr>
          <w:rFonts w:ascii="宋体" w:hAnsi="宋体" w:eastAsia="宋体" w:cs="宋体"/>
          <w:color w:val="auto"/>
          <w:highlight w:val="none"/>
        </w:rPr>
        <w:t>根据贵方关于</w:t>
      </w:r>
      <w:r>
        <w:rPr>
          <w:rFonts w:ascii="宋体" w:hAnsi="宋体" w:eastAsia="宋体" w:cs="宋体"/>
          <w:color w:val="auto"/>
          <w:highlight w:val="none"/>
          <w:u w:val="single"/>
        </w:rPr>
        <w:t>  </w:t>
      </w:r>
      <w:r>
        <w:rPr>
          <w:rFonts w:hint="eastAsia" w:ascii="宋体" w:hAnsi="宋体" w:eastAsia="宋体" w:cs="宋体"/>
          <w:color w:val="auto"/>
          <w:highlight w:val="none"/>
          <w:u w:val="single"/>
          <w:lang w:eastAsia="zh-CN"/>
        </w:rPr>
        <w:t xml:space="preserve">     </w:t>
      </w:r>
      <w:r>
        <w:rPr>
          <w:rFonts w:ascii="宋体" w:hAnsi="宋体" w:eastAsia="宋体" w:cs="宋体"/>
          <w:color w:val="auto"/>
          <w:highlight w:val="none"/>
          <w:u w:val="single"/>
        </w:rPr>
        <w:t> </w:t>
      </w:r>
      <w:r>
        <w:rPr>
          <w:rFonts w:ascii="宋体" w:hAnsi="宋体" w:eastAsia="宋体" w:cs="宋体"/>
          <w:color w:val="auto"/>
          <w:highlight w:val="none"/>
        </w:rPr>
        <w:t xml:space="preserve">的磋商邀请，我方已完全理解磋商文件的所有内容。 </w:t>
      </w:r>
    </w:p>
    <w:p w14:paraId="6F9438B6">
      <w:pPr>
        <w:pStyle w:val="261"/>
        <w:spacing w:before="240" w:after="240" w:line="276" w:lineRule="auto"/>
        <w:ind w:firstLine="420"/>
        <w:rPr>
          <w:rFonts w:ascii="宋体" w:hAnsi="宋体" w:eastAsia="宋体" w:cs="宋体"/>
          <w:color w:val="auto"/>
          <w:highlight w:val="none"/>
        </w:rPr>
      </w:pPr>
      <w:r>
        <w:rPr>
          <w:rFonts w:ascii="宋体" w:hAnsi="宋体" w:eastAsia="宋体" w:cs="宋体"/>
          <w:color w:val="auto"/>
          <w:highlight w:val="none"/>
        </w:rPr>
        <w:t xml:space="preserve">据此函，我方兹宣布同意如下： </w:t>
      </w:r>
    </w:p>
    <w:p w14:paraId="41F82BD7">
      <w:pPr>
        <w:pStyle w:val="261"/>
        <w:spacing w:before="240" w:after="240" w:line="276" w:lineRule="auto"/>
        <w:ind w:firstLine="420"/>
        <w:rPr>
          <w:rFonts w:ascii="宋体" w:hAnsi="宋体" w:eastAsia="宋体" w:cs="宋体"/>
          <w:color w:val="auto"/>
          <w:highlight w:val="none"/>
        </w:rPr>
      </w:pPr>
      <w:r>
        <w:rPr>
          <w:rFonts w:ascii="宋体" w:hAnsi="宋体" w:eastAsia="宋体" w:cs="宋体"/>
          <w:color w:val="auto"/>
          <w:highlight w:val="none"/>
        </w:rPr>
        <w:t xml:space="preserve">1.我方承诺：我方完全具备《政府采购法》第二十二条第一款规定的条件以及本项目磋商文件规定的参加磋商供应商须满足的特定条件。 </w:t>
      </w:r>
    </w:p>
    <w:p w14:paraId="6EFBB83E">
      <w:pPr>
        <w:pStyle w:val="261"/>
        <w:spacing w:before="240" w:after="240" w:line="276" w:lineRule="auto"/>
        <w:ind w:firstLine="420"/>
        <w:rPr>
          <w:rFonts w:ascii="宋体" w:hAnsi="宋体" w:eastAsia="宋体" w:cs="宋体"/>
          <w:color w:val="auto"/>
          <w:highlight w:val="none"/>
        </w:rPr>
      </w:pPr>
      <w:r>
        <w:rPr>
          <w:rFonts w:ascii="宋体" w:hAnsi="宋体" w:eastAsia="宋体" w:cs="宋体"/>
          <w:color w:val="auto"/>
          <w:highlight w:val="none"/>
        </w:rPr>
        <w:t xml:space="preserve">2.我方承诺：参加本次采购活动前三年内，在经营活动中没有重大违法记录。 </w:t>
      </w:r>
    </w:p>
    <w:p w14:paraId="646C778B">
      <w:pPr>
        <w:pStyle w:val="261"/>
        <w:spacing w:before="240" w:after="240" w:line="276" w:lineRule="auto"/>
        <w:ind w:firstLine="420"/>
        <w:rPr>
          <w:rFonts w:ascii="宋体" w:hAnsi="宋体" w:eastAsia="宋体" w:cs="宋体"/>
          <w:color w:val="auto"/>
          <w:highlight w:val="none"/>
        </w:rPr>
      </w:pPr>
      <w:r>
        <w:rPr>
          <w:rFonts w:ascii="宋体" w:hAnsi="宋体" w:eastAsia="宋体" w:cs="宋体"/>
          <w:color w:val="auto"/>
          <w:highlight w:val="none"/>
        </w:rPr>
        <w:t xml:space="preserve">3.我方承诺：我方信用记录中没有被列入失信被执行人、没有被列入重大税收违法案件名单、没有被列入政府采购违法失信行为记录名单。 </w:t>
      </w:r>
    </w:p>
    <w:p w14:paraId="4837BDC2">
      <w:pPr>
        <w:pStyle w:val="261"/>
        <w:spacing w:before="240" w:after="240" w:line="276" w:lineRule="auto"/>
        <w:ind w:firstLine="420"/>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w:t>
      </w:r>
      <w:r>
        <w:rPr>
          <w:rFonts w:ascii="宋体" w:hAnsi="宋体" w:eastAsia="宋体" w:cs="宋体"/>
          <w:color w:val="auto"/>
          <w:highlight w:val="none"/>
        </w:rPr>
        <w:t>.我方承诺：</w:t>
      </w:r>
      <w:r>
        <w:rPr>
          <w:rFonts w:hint="eastAsia" w:ascii="宋体" w:hAnsi="宋体" w:eastAsia="宋体" w:cs="宋体"/>
          <w:color w:val="auto"/>
          <w:highlight w:val="none"/>
          <w:lang w:val="en-US" w:eastAsia="zh-CN"/>
        </w:rPr>
        <w:t>不存在下列情形之一</w:t>
      </w:r>
    </w:p>
    <w:p w14:paraId="3FE82075">
      <w:pPr>
        <w:pStyle w:val="261"/>
        <w:spacing w:before="240" w:after="240" w:line="276" w:lineRule="auto"/>
        <w:ind w:firstLine="420"/>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单位负责人为同一人或者存在直接控股、管理关系的不同供应商，参加同一合同项下的政府采购活动； </w:t>
      </w:r>
    </w:p>
    <w:p w14:paraId="0CAD8E8E">
      <w:pPr>
        <w:pStyle w:val="261"/>
        <w:spacing w:before="240" w:after="240" w:line="276" w:lineRule="auto"/>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为采购项目提供整体设计、规范编制或者项目管理、监理、检测等服务的供应商，参加本项目的采购活动； </w:t>
      </w:r>
    </w:p>
    <w:p w14:paraId="74938BCF">
      <w:pPr>
        <w:pStyle w:val="261"/>
        <w:spacing w:before="240" w:after="240" w:line="276" w:lineRule="auto"/>
        <w:ind w:firstLine="420"/>
        <w:rPr>
          <w:rFonts w:ascii="宋体" w:hAnsi="宋体" w:eastAsia="宋体" w:cs="宋体"/>
          <w:color w:val="auto"/>
          <w:highlight w:val="none"/>
        </w:rPr>
      </w:pPr>
      <w:r>
        <w:rPr>
          <w:rFonts w:hint="eastAsia" w:ascii="宋体" w:hAnsi="宋体" w:eastAsia="宋体" w:cs="宋体"/>
          <w:color w:val="auto"/>
          <w:highlight w:val="none"/>
        </w:rPr>
        <w:t>（3）被“信用中国”网站（www.creditchina.gov.cn）、“中国政府采购网”(www.ccgp.gov.cn)列入失信被执行人、重大税收违法案件当事人名单、政府采购严重违法失信行为记录名单。</w:t>
      </w:r>
    </w:p>
    <w:p w14:paraId="3611F6AD">
      <w:pPr>
        <w:pStyle w:val="261"/>
        <w:spacing w:before="240" w:after="240" w:line="276" w:lineRule="auto"/>
        <w:ind w:firstLine="420"/>
        <w:rPr>
          <w:rFonts w:ascii="宋体" w:hAnsi="宋体" w:eastAsia="宋体" w:cs="宋体"/>
          <w:color w:val="auto"/>
          <w:highlight w:val="none"/>
        </w:rPr>
      </w:pPr>
      <w:r>
        <w:rPr>
          <w:rFonts w:hint="eastAsia" w:ascii="宋体" w:hAnsi="宋体" w:eastAsia="宋体" w:cs="宋体"/>
          <w:color w:val="auto"/>
          <w:highlight w:val="none"/>
          <w:lang w:val="en-US" w:eastAsia="zh-CN"/>
        </w:rPr>
        <w:t>5</w:t>
      </w:r>
      <w:r>
        <w:rPr>
          <w:rFonts w:ascii="宋体" w:hAnsi="宋体" w:eastAsia="宋体" w:cs="宋体"/>
          <w:color w:val="auto"/>
          <w:highlight w:val="none"/>
        </w:rPr>
        <w:t>.我方承诺按磋商文件要求提供的</w:t>
      </w:r>
      <w:r>
        <w:rPr>
          <w:rFonts w:hint="eastAsia" w:ascii="宋体" w:hAnsi="宋体" w:eastAsia="宋体" w:cs="宋体"/>
          <w:color w:val="auto"/>
          <w:highlight w:val="none"/>
          <w:lang w:eastAsia="zh-CN"/>
        </w:rPr>
        <w:t>工程</w:t>
      </w:r>
      <w:r>
        <w:rPr>
          <w:rFonts w:ascii="宋体" w:hAnsi="宋体" w:eastAsia="宋体" w:cs="宋体"/>
          <w:color w:val="auto"/>
          <w:highlight w:val="none"/>
        </w:rPr>
        <w:t xml:space="preserve">磋商报价见报价一览表。 </w:t>
      </w:r>
    </w:p>
    <w:p w14:paraId="7BE329DB">
      <w:pPr>
        <w:pStyle w:val="261"/>
        <w:spacing w:before="240" w:after="240" w:line="276" w:lineRule="auto"/>
        <w:ind w:firstLine="420"/>
        <w:rPr>
          <w:rFonts w:ascii="宋体" w:hAnsi="宋体" w:eastAsia="宋体" w:cs="宋体"/>
          <w:color w:val="auto"/>
          <w:highlight w:val="none"/>
        </w:rPr>
      </w:pPr>
      <w:r>
        <w:rPr>
          <w:rFonts w:hint="eastAsia" w:ascii="宋体" w:hAnsi="宋体" w:eastAsia="宋体" w:cs="宋体"/>
          <w:color w:val="auto"/>
          <w:highlight w:val="none"/>
          <w:lang w:val="en-US" w:eastAsia="zh-CN"/>
        </w:rPr>
        <w:t>6</w:t>
      </w:r>
      <w:r>
        <w:rPr>
          <w:rFonts w:ascii="宋体" w:hAnsi="宋体" w:eastAsia="宋体" w:cs="宋体"/>
          <w:color w:val="auto"/>
          <w:highlight w:val="none"/>
        </w:rPr>
        <w:t xml:space="preserve">．我方承诺根据磋商文件的规定，完成合同义务，并承担责任（如有偏离，在响应文件中另作说明）。 </w:t>
      </w:r>
    </w:p>
    <w:p w14:paraId="3963CFAF">
      <w:pPr>
        <w:pStyle w:val="261"/>
        <w:spacing w:before="240" w:after="240" w:line="276" w:lineRule="auto"/>
        <w:ind w:firstLine="420"/>
        <w:rPr>
          <w:rFonts w:ascii="宋体" w:hAnsi="宋体" w:eastAsia="宋体" w:cs="宋体"/>
          <w:color w:val="auto"/>
          <w:highlight w:val="none"/>
        </w:rPr>
      </w:pPr>
      <w:r>
        <w:rPr>
          <w:rFonts w:hint="eastAsia" w:ascii="宋体" w:hAnsi="宋体" w:eastAsia="宋体" w:cs="宋体"/>
          <w:color w:val="auto"/>
          <w:highlight w:val="none"/>
          <w:lang w:val="en-US" w:eastAsia="zh-CN"/>
        </w:rPr>
        <w:t>7</w:t>
      </w:r>
      <w:r>
        <w:rPr>
          <w:rFonts w:ascii="宋体" w:hAnsi="宋体" w:eastAsia="宋体" w:cs="宋体"/>
          <w:color w:val="auto"/>
          <w:highlight w:val="none"/>
        </w:rPr>
        <w:t>．我方已详读全部磋商文件，包括磋商文件书面修改通知（如有），我方完全理解并同意放弃对这方面不明及误解的权利。</w:t>
      </w:r>
    </w:p>
    <w:p w14:paraId="22EAA660">
      <w:pPr>
        <w:pStyle w:val="261"/>
        <w:spacing w:before="240" w:after="240" w:line="276" w:lineRule="auto"/>
        <w:ind w:firstLine="420"/>
        <w:rPr>
          <w:rFonts w:ascii="宋体" w:hAnsi="宋体" w:eastAsia="宋体" w:cs="宋体"/>
          <w:color w:val="auto"/>
          <w:highlight w:val="none"/>
        </w:rPr>
      </w:pPr>
      <w:r>
        <w:rPr>
          <w:rFonts w:hint="eastAsia" w:ascii="宋体" w:hAnsi="宋体" w:eastAsia="宋体" w:cs="宋体"/>
          <w:color w:val="auto"/>
          <w:highlight w:val="none"/>
          <w:lang w:val="en-US" w:eastAsia="zh-CN"/>
        </w:rPr>
        <w:t>8</w:t>
      </w:r>
      <w:r>
        <w:rPr>
          <w:rFonts w:ascii="宋体" w:hAnsi="宋体" w:eastAsia="宋体" w:cs="宋体"/>
          <w:color w:val="auto"/>
          <w:highlight w:val="none"/>
        </w:rPr>
        <w:t>．我方承诺响应文件及所有材料的完整、真实、合法、有效，并对其负责。承诺在磋商期间，如磋商小组对我方提出澄清要求，将及时作出响应，否则自行承担后果。</w:t>
      </w:r>
    </w:p>
    <w:p w14:paraId="6209C1A6">
      <w:pPr>
        <w:pStyle w:val="261"/>
        <w:spacing w:before="240" w:after="240" w:line="276" w:lineRule="auto"/>
        <w:ind w:firstLine="420"/>
        <w:rPr>
          <w:rFonts w:ascii="宋体" w:hAnsi="宋体" w:eastAsia="宋体" w:cs="宋体"/>
          <w:color w:val="auto"/>
          <w:highlight w:val="none"/>
        </w:rPr>
      </w:pPr>
      <w:r>
        <w:rPr>
          <w:rFonts w:hint="eastAsia" w:ascii="宋体" w:hAnsi="宋体" w:eastAsia="宋体" w:cs="宋体"/>
          <w:color w:val="auto"/>
          <w:highlight w:val="none"/>
          <w:lang w:val="en-US" w:eastAsia="zh-CN"/>
        </w:rPr>
        <w:t>9</w:t>
      </w:r>
      <w:r>
        <w:rPr>
          <w:rFonts w:ascii="宋体" w:hAnsi="宋体" w:eastAsia="宋体" w:cs="宋体"/>
          <w:color w:val="auto"/>
          <w:highlight w:val="none"/>
        </w:rPr>
        <w:t>．我方同意从规定的磋商日期起遵循本磋商文件，并在规定的磋商有效期期满之前均具有约束力。</w:t>
      </w:r>
    </w:p>
    <w:p w14:paraId="358AC7A3">
      <w:pPr>
        <w:pStyle w:val="261"/>
        <w:spacing w:before="240" w:after="240" w:line="276" w:lineRule="auto"/>
        <w:ind w:firstLine="420"/>
        <w:rPr>
          <w:rFonts w:ascii="宋体" w:hAnsi="宋体" w:eastAsia="宋体" w:cs="宋体"/>
          <w:color w:val="auto"/>
          <w:highlight w:val="none"/>
        </w:rPr>
      </w:pPr>
      <w:r>
        <w:rPr>
          <w:rFonts w:hint="eastAsia" w:ascii="宋体" w:hAnsi="宋体" w:eastAsia="宋体" w:cs="宋体"/>
          <w:color w:val="auto"/>
          <w:highlight w:val="none"/>
          <w:lang w:val="en-US" w:eastAsia="zh-CN"/>
        </w:rPr>
        <w:t>10</w:t>
      </w:r>
      <w:r>
        <w:rPr>
          <w:rFonts w:ascii="宋体" w:hAnsi="宋体" w:eastAsia="宋体" w:cs="宋体"/>
          <w:color w:val="auto"/>
          <w:highlight w:val="none"/>
        </w:rPr>
        <w:t>．我方同意向贵方提供贵方可能要求的与本磋商有关的任何证据或资料。</w:t>
      </w:r>
    </w:p>
    <w:p w14:paraId="7F864199">
      <w:pPr>
        <w:pStyle w:val="261"/>
        <w:spacing w:before="240" w:after="240" w:line="276" w:lineRule="auto"/>
        <w:ind w:firstLine="420"/>
        <w:rPr>
          <w:rFonts w:ascii="宋体" w:hAnsi="宋体" w:eastAsia="宋体" w:cs="宋体"/>
          <w:color w:val="auto"/>
          <w:highlight w:val="none"/>
        </w:rPr>
      </w:pPr>
      <w:r>
        <w:rPr>
          <w:rFonts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ascii="宋体" w:hAnsi="宋体" w:eastAsia="宋体" w:cs="宋体"/>
          <w:color w:val="auto"/>
          <w:highlight w:val="none"/>
        </w:rPr>
        <w:t>.我方知道如用虚假材料或恶意方式向贵方提出质疑，将承担相应的法律责任。同时承诺：我方如果有上述行为，将无条件承担贵方相关的调查论证费用。</w:t>
      </w:r>
    </w:p>
    <w:p w14:paraId="1AF2BBA6">
      <w:pPr>
        <w:pStyle w:val="261"/>
        <w:spacing w:before="240" w:after="240" w:line="276" w:lineRule="auto"/>
        <w:ind w:firstLine="420"/>
        <w:rPr>
          <w:rFonts w:ascii="宋体" w:hAnsi="宋体" w:eastAsia="宋体" w:cs="宋体"/>
          <w:color w:val="auto"/>
          <w:highlight w:val="none"/>
        </w:rPr>
      </w:pPr>
      <w:r>
        <w:rPr>
          <w:rFonts w:ascii="宋体" w:hAnsi="宋体" w:eastAsia="宋体" w:cs="宋体"/>
          <w:color w:val="auto"/>
          <w:highlight w:val="none"/>
        </w:rPr>
        <w:t>1</w:t>
      </w:r>
      <w:r>
        <w:rPr>
          <w:rFonts w:hint="eastAsia" w:ascii="宋体" w:hAnsi="宋体" w:eastAsia="宋体" w:cs="宋体"/>
          <w:color w:val="auto"/>
          <w:highlight w:val="none"/>
          <w:lang w:val="en-US" w:eastAsia="zh-CN"/>
        </w:rPr>
        <w:t>2</w:t>
      </w:r>
      <w:r>
        <w:rPr>
          <w:rFonts w:ascii="宋体" w:hAnsi="宋体" w:eastAsia="宋体" w:cs="宋体"/>
          <w:color w:val="auto"/>
          <w:highlight w:val="none"/>
        </w:rPr>
        <w:t>．本次响应文件内容与磋商文件内容偏离见磋商偏离表（如果有）。</w:t>
      </w:r>
    </w:p>
    <w:p w14:paraId="56FAE706">
      <w:pPr>
        <w:pStyle w:val="261"/>
        <w:spacing w:before="240" w:after="240" w:line="276" w:lineRule="auto"/>
        <w:ind w:firstLine="420"/>
        <w:rPr>
          <w:rFonts w:ascii="宋体" w:hAnsi="宋体" w:eastAsia="宋体" w:cs="宋体"/>
          <w:color w:val="auto"/>
          <w:highlight w:val="none"/>
        </w:rPr>
      </w:pPr>
      <w:r>
        <w:rPr>
          <w:rFonts w:ascii="宋体" w:hAnsi="宋体" w:eastAsia="宋体" w:cs="宋体"/>
          <w:color w:val="auto"/>
          <w:highlight w:val="none"/>
        </w:rPr>
        <w:t>1</w:t>
      </w:r>
      <w:r>
        <w:rPr>
          <w:rFonts w:hint="eastAsia" w:ascii="宋体" w:hAnsi="宋体" w:eastAsia="宋体" w:cs="宋体"/>
          <w:color w:val="auto"/>
          <w:highlight w:val="none"/>
          <w:lang w:val="en-US" w:eastAsia="zh-CN"/>
        </w:rPr>
        <w:t>3</w:t>
      </w:r>
      <w:r>
        <w:rPr>
          <w:rFonts w:ascii="宋体" w:hAnsi="宋体" w:eastAsia="宋体" w:cs="宋体"/>
          <w:color w:val="auto"/>
          <w:highlight w:val="none"/>
        </w:rPr>
        <w:t>．遵守磋商文件中要求的收费项目和标准。</w:t>
      </w:r>
    </w:p>
    <w:p w14:paraId="7CD8F70A">
      <w:pPr>
        <w:pStyle w:val="261"/>
        <w:spacing w:before="240" w:after="240" w:line="276" w:lineRule="auto"/>
        <w:ind w:firstLine="420"/>
        <w:rPr>
          <w:rFonts w:ascii="宋体" w:hAnsi="宋体" w:eastAsia="宋体" w:cs="宋体"/>
          <w:color w:val="auto"/>
          <w:highlight w:val="none"/>
        </w:rPr>
      </w:pPr>
      <w:r>
        <w:rPr>
          <w:rFonts w:ascii="宋体" w:hAnsi="宋体" w:eastAsia="宋体" w:cs="宋体"/>
          <w:color w:val="auto"/>
          <w:highlight w:val="none"/>
        </w:rPr>
        <w:t>1</w:t>
      </w:r>
      <w:r>
        <w:rPr>
          <w:rFonts w:hint="eastAsia" w:ascii="宋体" w:hAnsi="宋体" w:eastAsia="宋体" w:cs="宋体"/>
          <w:color w:val="auto"/>
          <w:highlight w:val="none"/>
          <w:lang w:val="en-US" w:eastAsia="zh-CN"/>
        </w:rPr>
        <w:t>4</w:t>
      </w:r>
      <w:r>
        <w:rPr>
          <w:rFonts w:ascii="宋体" w:hAnsi="宋体" w:eastAsia="宋体" w:cs="宋体"/>
          <w:color w:val="auto"/>
          <w:highlight w:val="none"/>
        </w:rPr>
        <w:t>．我方将严格遵守《中华人民共和国政府采购法》，若存在违法违规行为，自愿承担相应的法律后果。</w:t>
      </w:r>
    </w:p>
    <w:p w14:paraId="2EF94DF1">
      <w:pPr>
        <w:pStyle w:val="261"/>
        <w:spacing w:before="240" w:after="240" w:line="276" w:lineRule="auto"/>
        <w:ind w:firstLine="420"/>
        <w:rPr>
          <w:rFonts w:ascii="宋体" w:hAnsi="宋体" w:eastAsia="宋体" w:cs="宋体"/>
          <w:color w:val="auto"/>
          <w:highlight w:val="none"/>
        </w:rPr>
      </w:pPr>
      <w:r>
        <w:rPr>
          <w:rFonts w:ascii="宋体" w:hAnsi="宋体" w:eastAsia="宋体" w:cs="宋体"/>
          <w:color w:val="auto"/>
          <w:highlight w:val="none"/>
        </w:rPr>
        <w:t>1</w:t>
      </w:r>
      <w:r>
        <w:rPr>
          <w:rFonts w:hint="eastAsia" w:ascii="宋体" w:hAnsi="宋体" w:eastAsia="宋体" w:cs="宋体"/>
          <w:color w:val="auto"/>
          <w:highlight w:val="none"/>
          <w:lang w:val="en-US" w:eastAsia="zh-CN"/>
        </w:rPr>
        <w:t>5</w:t>
      </w:r>
      <w:r>
        <w:rPr>
          <w:rFonts w:ascii="宋体" w:hAnsi="宋体" w:eastAsia="宋体" w:cs="宋体"/>
          <w:color w:val="auto"/>
          <w:highlight w:val="none"/>
        </w:rPr>
        <w:t>．与本磋商有关的一切正式往来通讯请寄：</w:t>
      </w:r>
    </w:p>
    <w:p w14:paraId="46FD80F8">
      <w:pPr>
        <w:pStyle w:val="261"/>
        <w:spacing w:before="240" w:after="240" w:line="276" w:lineRule="auto"/>
        <w:ind w:firstLine="960"/>
        <w:rPr>
          <w:rFonts w:ascii="宋体" w:hAnsi="宋体" w:eastAsia="宋体" w:cs="宋体"/>
          <w:color w:val="auto"/>
          <w:highlight w:val="none"/>
        </w:rPr>
      </w:pPr>
      <w:r>
        <w:rPr>
          <w:rFonts w:ascii="宋体" w:hAnsi="宋体" w:eastAsia="宋体" w:cs="宋体"/>
          <w:color w:val="auto"/>
          <w:highlight w:val="none"/>
        </w:rPr>
        <w:t xml:space="preserve">地址：    </w:t>
      </w:r>
      <w:r>
        <w:rPr>
          <w:rFonts w:hint="eastAsia" w:ascii="宋体" w:hAnsi="宋体" w:eastAsia="宋体" w:cs="宋体"/>
          <w:color w:val="auto"/>
          <w:highlight w:val="none"/>
          <w:lang w:eastAsia="zh-CN"/>
        </w:rPr>
        <w:t xml:space="preserve">         </w:t>
      </w:r>
      <w:r>
        <w:rPr>
          <w:rFonts w:ascii="宋体" w:hAnsi="宋体" w:eastAsia="宋体" w:cs="宋体"/>
          <w:color w:val="auto"/>
          <w:highlight w:val="none"/>
        </w:rPr>
        <w:t>电话：   </w:t>
      </w:r>
    </w:p>
    <w:p w14:paraId="7632D288">
      <w:pPr>
        <w:pStyle w:val="261"/>
        <w:spacing w:before="240" w:after="240" w:line="276" w:lineRule="auto"/>
        <w:ind w:firstLine="960"/>
        <w:rPr>
          <w:rFonts w:ascii="宋体" w:hAnsi="宋体" w:eastAsia="宋体" w:cs="宋体"/>
          <w:color w:val="auto"/>
          <w:highlight w:val="none"/>
        </w:rPr>
      </w:pPr>
      <w:r>
        <w:rPr>
          <w:rFonts w:ascii="宋体" w:hAnsi="宋体" w:eastAsia="宋体" w:cs="宋体"/>
          <w:color w:val="auto"/>
          <w:highlight w:val="none"/>
        </w:rPr>
        <w:t>传真： </w:t>
      </w:r>
      <w:r>
        <w:rPr>
          <w:rFonts w:hint="eastAsia" w:ascii="宋体" w:hAnsi="宋体" w:eastAsia="宋体" w:cs="宋体"/>
          <w:color w:val="auto"/>
          <w:highlight w:val="none"/>
          <w:lang w:eastAsia="zh-CN"/>
        </w:rPr>
        <w:t xml:space="preserve">         </w:t>
      </w:r>
      <w:r>
        <w:rPr>
          <w:rFonts w:ascii="宋体" w:hAnsi="宋体" w:eastAsia="宋体" w:cs="宋体"/>
          <w:color w:val="auto"/>
          <w:highlight w:val="none"/>
        </w:rPr>
        <w:t xml:space="preserve">   邮政编码：    </w:t>
      </w:r>
    </w:p>
    <w:p w14:paraId="61B30CA1">
      <w:pPr>
        <w:pStyle w:val="261"/>
        <w:spacing w:before="240" w:after="240" w:line="276" w:lineRule="auto"/>
        <w:ind w:firstLine="960"/>
        <w:rPr>
          <w:rFonts w:ascii="宋体" w:hAnsi="宋体" w:eastAsia="宋体" w:cs="宋体"/>
          <w:color w:val="auto"/>
          <w:highlight w:val="none"/>
        </w:rPr>
      </w:pPr>
      <w:r>
        <w:rPr>
          <w:rFonts w:ascii="宋体" w:hAnsi="宋体" w:eastAsia="宋体" w:cs="宋体"/>
          <w:color w:val="auto"/>
          <w:highlight w:val="none"/>
        </w:rPr>
        <w:t>供应商（公章）：   </w:t>
      </w:r>
    </w:p>
    <w:p w14:paraId="3E58B1BC">
      <w:pPr>
        <w:pStyle w:val="261"/>
        <w:spacing w:before="240" w:after="240" w:line="276" w:lineRule="auto"/>
        <w:ind w:firstLine="960"/>
        <w:rPr>
          <w:rFonts w:ascii="宋体" w:hAnsi="宋体" w:eastAsia="宋体" w:cs="宋体"/>
          <w:color w:val="auto"/>
          <w:highlight w:val="none"/>
        </w:rPr>
      </w:pPr>
      <w:r>
        <w:rPr>
          <w:rFonts w:ascii="宋体" w:hAnsi="宋体" w:eastAsia="宋体" w:cs="宋体"/>
          <w:color w:val="auto"/>
          <w:highlight w:val="none"/>
        </w:rPr>
        <w:t>法定代表人签章：   </w:t>
      </w:r>
    </w:p>
    <w:p w14:paraId="155B9359">
      <w:pPr>
        <w:pStyle w:val="261"/>
        <w:spacing w:before="240" w:after="240" w:line="276" w:lineRule="auto"/>
        <w:ind w:firstLine="960"/>
        <w:rPr>
          <w:rFonts w:ascii="宋体" w:hAnsi="宋体" w:eastAsia="宋体" w:cs="宋体"/>
          <w:color w:val="auto"/>
          <w:highlight w:val="none"/>
        </w:rPr>
      </w:pPr>
      <w:r>
        <w:rPr>
          <w:rFonts w:ascii="宋体" w:hAnsi="宋体" w:eastAsia="宋体" w:cs="宋体"/>
          <w:color w:val="auto"/>
          <w:highlight w:val="none"/>
        </w:rPr>
        <w:t>日 期：   </w:t>
      </w:r>
    </w:p>
    <w:p w14:paraId="07810F2F">
      <w:pPr>
        <w:pStyle w:val="262"/>
        <w:jc w:val="center"/>
        <w:outlineLvl w:val="2"/>
        <w:rPr>
          <w:color w:val="auto"/>
          <w:highlight w:val="none"/>
        </w:rPr>
      </w:pPr>
      <w:r>
        <w:rPr>
          <w:color w:val="auto"/>
          <w:highlight w:val="none"/>
        </w:rPr>
        <w:br w:type="page" w:clear="all"/>
      </w:r>
      <w:bookmarkStart w:id="500" w:name="_Toc256000069"/>
      <w:r>
        <w:rPr>
          <w:rFonts w:ascii="宋体" w:hAnsi="宋体" w:eastAsia="宋体" w:cs="宋体"/>
          <w:color w:val="auto"/>
          <w:sz w:val="28"/>
          <w:highlight w:val="none"/>
        </w:rPr>
        <w:t>(二)独立承担民事责任的能力</w:t>
      </w:r>
      <w:bookmarkEnd w:id="500"/>
    </w:p>
    <w:p w14:paraId="25CE3894">
      <w:pPr>
        <w:pStyle w:val="263"/>
        <w:jc w:val="center"/>
        <w:outlineLvl w:val="2"/>
        <w:rPr>
          <w:color w:val="auto"/>
          <w:highlight w:val="none"/>
        </w:rPr>
      </w:pPr>
      <w:r>
        <w:rPr>
          <w:color w:val="auto"/>
          <w:highlight w:val="none"/>
        </w:rPr>
        <w:br w:type="page" w:clear="all"/>
      </w:r>
      <w:bookmarkStart w:id="501" w:name="_Toc256000070"/>
      <w:r>
        <w:rPr>
          <w:rFonts w:ascii="宋体" w:hAnsi="宋体" w:eastAsia="宋体" w:cs="宋体"/>
          <w:color w:val="auto"/>
          <w:sz w:val="28"/>
          <w:highlight w:val="none"/>
        </w:rPr>
        <w:t>(三)良好的商业信誉和健全的财务会计制度</w:t>
      </w:r>
      <w:bookmarkEnd w:id="501"/>
    </w:p>
    <w:p w14:paraId="7F08C139">
      <w:pPr>
        <w:pStyle w:val="264"/>
        <w:jc w:val="center"/>
        <w:outlineLvl w:val="2"/>
        <w:rPr>
          <w:color w:val="auto"/>
          <w:highlight w:val="none"/>
        </w:rPr>
      </w:pPr>
      <w:r>
        <w:rPr>
          <w:color w:val="auto"/>
          <w:highlight w:val="none"/>
        </w:rPr>
        <w:br w:type="page" w:clear="all"/>
      </w:r>
      <w:bookmarkStart w:id="502" w:name="_Toc256000071"/>
      <w:r>
        <w:rPr>
          <w:rFonts w:ascii="宋体" w:hAnsi="宋体" w:eastAsia="宋体" w:cs="宋体"/>
          <w:color w:val="auto"/>
          <w:sz w:val="28"/>
          <w:highlight w:val="none"/>
        </w:rPr>
        <w:t>(四)履行合同所必需的设备和专业技术能力</w:t>
      </w:r>
      <w:bookmarkEnd w:id="502"/>
    </w:p>
    <w:p w14:paraId="4DFE3CCA">
      <w:pPr>
        <w:pStyle w:val="265"/>
        <w:spacing w:line="360" w:lineRule="auto"/>
        <w:jc w:val="center"/>
        <w:rPr>
          <w:rFonts w:ascii="宋体" w:hAnsi="宋体" w:cs="宋体"/>
          <w:color w:val="auto"/>
          <w:sz w:val="24"/>
          <w:szCs w:val="24"/>
          <w:highlight w:val="none"/>
        </w:rPr>
      </w:pPr>
    </w:p>
    <w:p w14:paraId="486928B3">
      <w:pPr>
        <w:pStyle w:val="265"/>
        <w:spacing w:line="360" w:lineRule="auto"/>
        <w:jc w:val="center"/>
        <w:rPr>
          <w:rFonts w:ascii="宋体" w:hAnsi="宋体" w:cs="宋体"/>
          <w:color w:val="auto"/>
          <w:sz w:val="24"/>
          <w:szCs w:val="24"/>
          <w:highlight w:val="none"/>
        </w:rPr>
      </w:pPr>
    </w:p>
    <w:p w14:paraId="014CF220">
      <w:pPr>
        <w:pStyle w:val="265"/>
        <w:spacing w:line="360" w:lineRule="auto"/>
        <w:jc w:val="center"/>
        <w:rPr>
          <w:rFonts w:ascii="宋体" w:hAnsi="宋体" w:cs="宋体"/>
          <w:color w:val="auto"/>
          <w:sz w:val="24"/>
          <w:szCs w:val="24"/>
          <w:highlight w:val="none"/>
        </w:rPr>
      </w:pPr>
      <w:r>
        <w:rPr>
          <w:rFonts w:ascii="宋体" w:hAnsi="宋体" w:cs="宋体"/>
          <w:color w:val="auto"/>
          <w:sz w:val="24"/>
          <w:szCs w:val="24"/>
          <w:highlight w:val="none"/>
        </w:rPr>
        <w:t>具备履行合同所必需的设备和专业技术能力的书面声明</w:t>
      </w:r>
    </w:p>
    <w:p w14:paraId="3BE136FB">
      <w:pPr>
        <w:pStyle w:val="265"/>
        <w:spacing w:line="360" w:lineRule="auto"/>
        <w:ind w:firstLine="480"/>
        <w:rPr>
          <w:rFonts w:ascii="宋体" w:hAnsi="宋体" w:cs="宋体"/>
          <w:color w:val="auto"/>
          <w:sz w:val="24"/>
          <w:szCs w:val="24"/>
          <w:highlight w:val="none"/>
        </w:rPr>
      </w:pPr>
    </w:p>
    <w:p w14:paraId="5362B5BF">
      <w:pPr>
        <w:pStyle w:val="265"/>
        <w:spacing w:line="360" w:lineRule="auto"/>
        <w:ind w:firstLine="480"/>
        <w:rPr>
          <w:rFonts w:ascii="宋体" w:hAnsi="宋体" w:cs="宋体"/>
          <w:color w:val="auto"/>
          <w:sz w:val="24"/>
          <w:szCs w:val="24"/>
          <w:highlight w:val="none"/>
        </w:rPr>
      </w:pPr>
      <w:r>
        <w:rPr>
          <w:rFonts w:ascii="宋体" w:hAnsi="宋体" w:cs="宋体"/>
          <w:color w:val="auto"/>
          <w:sz w:val="24"/>
          <w:szCs w:val="24"/>
          <w:highlight w:val="none"/>
        </w:rPr>
        <w:t xml:space="preserve">我单位郑重声明：我单位具备履行本项采购合同所必需的设备和专业技术能力，为履行本项采购合同我公司具备如下主要设备和主要专业技术能力： </w:t>
      </w:r>
    </w:p>
    <w:p w14:paraId="763A72A6">
      <w:pPr>
        <w:pStyle w:val="265"/>
        <w:spacing w:line="360" w:lineRule="auto"/>
        <w:ind w:firstLine="480"/>
        <w:rPr>
          <w:rFonts w:ascii="宋体" w:hAnsi="宋体" w:cs="宋体"/>
          <w:color w:val="auto"/>
          <w:sz w:val="24"/>
          <w:szCs w:val="24"/>
          <w:highlight w:val="none"/>
        </w:rPr>
      </w:pPr>
      <w:r>
        <w:rPr>
          <w:rFonts w:ascii="宋体" w:hAnsi="宋体" w:cs="宋体"/>
          <w:color w:val="auto"/>
          <w:sz w:val="24"/>
          <w:szCs w:val="24"/>
          <w:highlight w:val="none"/>
        </w:rPr>
        <w:t xml:space="preserve">主要设备有： </w:t>
      </w:r>
    </w:p>
    <w:p w14:paraId="15A8D05F">
      <w:pPr>
        <w:pStyle w:val="265"/>
        <w:spacing w:line="360" w:lineRule="auto"/>
        <w:ind w:firstLine="480"/>
        <w:rPr>
          <w:rFonts w:ascii="宋体" w:hAnsi="宋体" w:cs="宋体"/>
          <w:color w:val="auto"/>
          <w:sz w:val="24"/>
          <w:szCs w:val="24"/>
          <w:highlight w:val="none"/>
        </w:rPr>
      </w:pPr>
      <w:r>
        <w:rPr>
          <w:rFonts w:ascii="宋体" w:hAnsi="宋体" w:cs="宋体"/>
          <w:color w:val="auto"/>
          <w:sz w:val="24"/>
          <w:szCs w:val="24"/>
          <w:highlight w:val="none"/>
        </w:rPr>
        <w:t>主要专业技术能力有：</w:t>
      </w:r>
    </w:p>
    <w:p w14:paraId="3D11ABA3">
      <w:pPr>
        <w:pStyle w:val="265"/>
        <w:spacing w:line="360" w:lineRule="auto"/>
        <w:ind w:firstLine="480"/>
        <w:rPr>
          <w:rFonts w:ascii="宋体" w:hAnsi="宋体" w:cs="宋体"/>
          <w:color w:val="auto"/>
          <w:sz w:val="24"/>
          <w:szCs w:val="24"/>
          <w:highlight w:val="none"/>
        </w:rPr>
      </w:pPr>
    </w:p>
    <w:p w14:paraId="599AE66B">
      <w:pPr>
        <w:pStyle w:val="265"/>
        <w:spacing w:line="360" w:lineRule="auto"/>
        <w:ind w:firstLine="480"/>
        <w:rPr>
          <w:rFonts w:ascii="宋体" w:hAnsi="宋体" w:cs="宋体"/>
          <w:color w:val="auto"/>
          <w:sz w:val="24"/>
          <w:szCs w:val="24"/>
          <w:highlight w:val="none"/>
        </w:rPr>
      </w:pPr>
    </w:p>
    <w:p w14:paraId="797F88FF">
      <w:pPr>
        <w:pStyle w:val="265"/>
        <w:spacing w:line="360" w:lineRule="auto"/>
        <w:ind w:firstLine="480"/>
        <w:jc w:val="right"/>
        <w:rPr>
          <w:rFonts w:ascii="宋体" w:hAnsi="宋体" w:cs="宋体"/>
          <w:color w:val="auto"/>
          <w:sz w:val="24"/>
          <w:szCs w:val="24"/>
          <w:highlight w:val="none"/>
        </w:rPr>
      </w:pPr>
      <w:r>
        <w:rPr>
          <w:rFonts w:hint="eastAsia" w:ascii="宋体" w:hAnsi="宋体" w:cs="宋体"/>
          <w:color w:val="auto"/>
          <w:sz w:val="24"/>
          <w:szCs w:val="24"/>
          <w:highlight w:val="none"/>
        </w:rPr>
        <w:t>供应商</w:t>
      </w:r>
      <w:r>
        <w:rPr>
          <w:rFonts w:ascii="宋体" w:hAnsi="宋体" w:cs="宋体"/>
          <w:color w:val="auto"/>
          <w:sz w:val="24"/>
          <w:szCs w:val="24"/>
          <w:highlight w:val="none"/>
        </w:rPr>
        <w:t xml:space="preserve">名称(公章)： </w:t>
      </w:r>
    </w:p>
    <w:p w14:paraId="63425E05">
      <w:pPr>
        <w:pStyle w:val="265"/>
        <w:spacing w:line="360" w:lineRule="auto"/>
        <w:ind w:firstLine="720"/>
        <w:jc w:val="center"/>
        <w:rPr>
          <w:rFonts w:ascii="宋体" w:hAnsi="宋体"/>
          <w:color w:val="auto"/>
          <w:sz w:val="24"/>
          <w:highlight w:val="none"/>
          <w:u w:val="single"/>
        </w:rPr>
      </w:pPr>
      <w:r>
        <w:rPr>
          <w:rFonts w:hint="eastAsia" w:ascii="宋体" w:hAnsi="宋体" w:cs="宋体"/>
          <w:color w:val="auto"/>
          <w:sz w:val="24"/>
          <w:szCs w:val="24"/>
          <w:highlight w:val="none"/>
        </w:rPr>
        <w:t xml:space="preserve">                                                       </w:t>
      </w:r>
      <w:r>
        <w:rPr>
          <w:rFonts w:ascii="宋体" w:hAnsi="宋体" w:cs="宋体"/>
          <w:color w:val="auto"/>
          <w:sz w:val="24"/>
          <w:szCs w:val="24"/>
          <w:highlight w:val="none"/>
        </w:rPr>
        <w:t>日期： 年 月 日</w:t>
      </w:r>
    </w:p>
    <w:p w14:paraId="2EF637F2">
      <w:pPr>
        <w:pStyle w:val="266"/>
        <w:jc w:val="center"/>
        <w:outlineLvl w:val="2"/>
        <w:rPr>
          <w:color w:val="auto"/>
          <w:highlight w:val="none"/>
        </w:rPr>
      </w:pPr>
      <w:r>
        <w:rPr>
          <w:color w:val="auto"/>
          <w:highlight w:val="none"/>
        </w:rPr>
        <w:br w:type="page" w:clear="all"/>
      </w:r>
      <w:bookmarkStart w:id="503" w:name="_Toc256000072"/>
      <w:r>
        <w:rPr>
          <w:rFonts w:ascii="宋体" w:hAnsi="宋体" w:eastAsia="宋体" w:cs="宋体"/>
          <w:color w:val="auto"/>
          <w:sz w:val="28"/>
          <w:highlight w:val="none"/>
        </w:rPr>
        <w:t>(五)依法缴纳税收和社会保障资金的良好记录</w:t>
      </w:r>
      <w:bookmarkEnd w:id="503"/>
    </w:p>
    <w:p w14:paraId="698F44C0">
      <w:pPr>
        <w:pStyle w:val="267"/>
        <w:outlineLvl w:val="2"/>
        <w:rPr>
          <w:rFonts w:hint="eastAsia"/>
          <w:color w:val="auto"/>
          <w:highlight w:val="none"/>
          <w:lang w:eastAsia="zh-CN"/>
        </w:rPr>
      </w:pPr>
    </w:p>
    <w:p w14:paraId="23759F56">
      <w:pPr>
        <w:pStyle w:val="268"/>
        <w:jc w:val="center"/>
        <w:outlineLvl w:val="2"/>
        <w:rPr>
          <w:color w:val="auto"/>
          <w:highlight w:val="none"/>
        </w:rPr>
      </w:pPr>
      <w:r>
        <w:rPr>
          <w:color w:val="auto"/>
          <w:highlight w:val="none"/>
        </w:rPr>
        <w:br w:type="page" w:clear="all"/>
      </w:r>
      <w:bookmarkStart w:id="504" w:name="_Toc256000074"/>
    </w:p>
    <w:p w14:paraId="5699250F">
      <w:pPr>
        <w:pStyle w:val="268"/>
        <w:jc w:val="center"/>
        <w:outlineLvl w:val="2"/>
        <w:rPr>
          <w:color w:val="auto"/>
          <w:highlight w:val="none"/>
        </w:rPr>
      </w:pPr>
    </w:p>
    <w:p w14:paraId="7A7CDF48">
      <w:pPr>
        <w:pStyle w:val="268"/>
        <w:jc w:val="center"/>
        <w:outlineLvl w:val="2"/>
        <w:rPr>
          <w:color w:val="auto"/>
          <w:highlight w:val="none"/>
        </w:rPr>
      </w:pPr>
      <w:r>
        <w:rPr>
          <w:rFonts w:ascii="宋体" w:hAnsi="宋体" w:eastAsia="宋体" w:cs="宋体"/>
          <w:color w:val="auto"/>
          <w:sz w:val="28"/>
          <w:highlight w:val="none"/>
        </w:rPr>
        <w:t>(</w:t>
      </w:r>
      <w:r>
        <w:rPr>
          <w:rFonts w:hint="eastAsia" w:ascii="宋体" w:hAnsi="宋体" w:eastAsia="宋体" w:cs="宋体"/>
          <w:color w:val="auto"/>
          <w:sz w:val="28"/>
          <w:highlight w:val="none"/>
          <w:lang w:eastAsia="zh-CN"/>
        </w:rPr>
        <w:t>六</w:t>
      </w:r>
      <w:r>
        <w:rPr>
          <w:rFonts w:ascii="宋体" w:hAnsi="宋体" w:eastAsia="宋体" w:cs="宋体"/>
          <w:color w:val="auto"/>
          <w:sz w:val="28"/>
          <w:highlight w:val="none"/>
        </w:rPr>
        <w:t>)本项目</w:t>
      </w:r>
      <w:r>
        <w:rPr>
          <w:rFonts w:hint="eastAsia" w:ascii="宋体" w:hAnsi="宋体" w:eastAsia="宋体" w:cs="宋体"/>
          <w:color w:val="auto"/>
          <w:sz w:val="28"/>
          <w:highlight w:val="none"/>
          <w:lang w:eastAsia="zh-CN"/>
        </w:rPr>
        <w:t>特定</w:t>
      </w:r>
      <w:r>
        <w:rPr>
          <w:rFonts w:ascii="宋体" w:hAnsi="宋体" w:eastAsia="宋体" w:cs="宋体"/>
          <w:color w:val="auto"/>
          <w:sz w:val="28"/>
          <w:highlight w:val="none"/>
        </w:rPr>
        <w:t>资格要求</w:t>
      </w:r>
    </w:p>
    <w:p w14:paraId="75E0E0F2">
      <w:pPr>
        <w:pStyle w:val="267"/>
        <w:outlineLvl w:val="2"/>
        <w:rPr>
          <w:rFonts w:hint="eastAsia"/>
          <w:color w:val="auto"/>
          <w:highlight w:val="none"/>
          <w:lang w:eastAsia="zh-CN"/>
        </w:rPr>
      </w:pPr>
    </w:p>
    <w:p w14:paraId="332B85AD">
      <w:pPr>
        <w:pStyle w:val="26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2"/>
        <w:rPr>
          <w:rFonts w:hint="eastAsia"/>
          <w:color w:val="auto"/>
          <w:highlight w:val="none"/>
          <w:lang w:val="en-US" w:eastAsia="zh-CN"/>
        </w:rPr>
      </w:pPr>
      <w:r>
        <w:rPr>
          <w:rFonts w:hint="eastAsia"/>
          <w:color w:val="auto"/>
          <w:highlight w:val="none"/>
          <w:lang w:val="en-US" w:eastAsia="zh-CN"/>
        </w:rPr>
        <w:t>（1）供应商须具有有效期内建筑工程施工总承包三级及以上资质，并取得有效期内安全生产许可证（提供相关证明材料扫描件）。</w:t>
      </w:r>
    </w:p>
    <w:p w14:paraId="350B5843">
      <w:pPr>
        <w:pStyle w:val="26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2"/>
        <w:rPr>
          <w:rFonts w:hint="eastAsia"/>
          <w:color w:val="auto"/>
          <w:highlight w:val="none"/>
          <w:lang w:val="en-US" w:eastAsia="zh-CN"/>
        </w:rPr>
      </w:pPr>
      <w:r>
        <w:rPr>
          <w:rFonts w:hint="eastAsia"/>
          <w:color w:val="auto"/>
          <w:highlight w:val="none"/>
          <w:lang w:val="en-US" w:eastAsia="zh-CN"/>
        </w:rPr>
        <w:t>（2）供应商拟派项目负责人须为本单位正式员工(供应商为其缴纳的2024年8月-2025年1月内任意一个月的社保证明材料加盖公章)，具备建筑工程专业二级及以上注册建造师资格，并具备有效的安全生产考核合格证 B 类证（提供相关证书及上述社会保险证明材料扫描件）。</w:t>
      </w:r>
    </w:p>
    <w:p w14:paraId="061B301F">
      <w:pPr>
        <w:pStyle w:val="26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outlineLvl w:val="2"/>
        <w:rPr>
          <w:rFonts w:hint="eastAsia"/>
          <w:color w:val="auto"/>
          <w:highlight w:val="none"/>
          <w:lang w:val="en-US" w:eastAsia="zh-CN"/>
        </w:rPr>
      </w:pPr>
      <w:r>
        <w:rPr>
          <w:rFonts w:hint="eastAsia"/>
          <w:color w:val="auto"/>
          <w:highlight w:val="none"/>
          <w:lang w:val="en-US" w:eastAsia="zh-CN"/>
        </w:rPr>
        <w:t>（3）供应商承诺项目负责人无在建工程 (提供书面承诺书，格式自拟)。</w:t>
      </w:r>
    </w:p>
    <w:p w14:paraId="361F17F4">
      <w:pPr>
        <w:pStyle w:val="267"/>
        <w:outlineLvl w:val="2"/>
        <w:rPr>
          <w:rFonts w:hint="eastAsia"/>
          <w:color w:val="auto"/>
          <w:highlight w:val="none"/>
          <w:lang w:eastAsia="zh-CN"/>
        </w:rPr>
      </w:pPr>
    </w:p>
    <w:p w14:paraId="4E909501">
      <w:pPr>
        <w:pStyle w:val="267"/>
        <w:outlineLvl w:val="2"/>
        <w:rPr>
          <w:rFonts w:hint="eastAsia"/>
          <w:color w:val="auto"/>
          <w:highlight w:val="none"/>
          <w:lang w:eastAsia="zh-CN"/>
        </w:rPr>
      </w:pPr>
    </w:p>
    <w:p w14:paraId="19B1BF20">
      <w:pPr>
        <w:pStyle w:val="267"/>
        <w:outlineLvl w:val="2"/>
        <w:rPr>
          <w:rFonts w:hint="eastAsia"/>
          <w:color w:val="auto"/>
          <w:highlight w:val="none"/>
          <w:lang w:eastAsia="zh-CN"/>
        </w:rPr>
      </w:pPr>
    </w:p>
    <w:p w14:paraId="56618158">
      <w:pPr>
        <w:pStyle w:val="267"/>
        <w:outlineLvl w:val="2"/>
        <w:rPr>
          <w:rFonts w:hint="eastAsia"/>
          <w:color w:val="auto"/>
          <w:highlight w:val="none"/>
          <w:lang w:eastAsia="zh-CN"/>
        </w:rPr>
      </w:pPr>
    </w:p>
    <w:p w14:paraId="5879EC1B">
      <w:pPr>
        <w:pStyle w:val="267"/>
        <w:outlineLvl w:val="2"/>
        <w:rPr>
          <w:rFonts w:hint="eastAsia"/>
          <w:color w:val="auto"/>
          <w:highlight w:val="none"/>
          <w:lang w:eastAsia="zh-CN"/>
        </w:rPr>
      </w:pPr>
    </w:p>
    <w:p w14:paraId="666F9887">
      <w:pPr>
        <w:pStyle w:val="267"/>
        <w:outlineLvl w:val="2"/>
        <w:rPr>
          <w:rFonts w:hint="eastAsia"/>
          <w:color w:val="auto"/>
          <w:highlight w:val="none"/>
          <w:lang w:eastAsia="zh-CN"/>
        </w:rPr>
      </w:pPr>
    </w:p>
    <w:p w14:paraId="002DD4CD">
      <w:pPr>
        <w:pStyle w:val="267"/>
        <w:outlineLvl w:val="2"/>
        <w:rPr>
          <w:rFonts w:hint="eastAsia"/>
          <w:color w:val="auto"/>
          <w:highlight w:val="none"/>
          <w:lang w:eastAsia="zh-CN"/>
        </w:rPr>
      </w:pPr>
    </w:p>
    <w:p w14:paraId="6E6C541F">
      <w:pPr>
        <w:pStyle w:val="267"/>
        <w:outlineLvl w:val="2"/>
        <w:rPr>
          <w:rFonts w:hint="eastAsia"/>
          <w:color w:val="auto"/>
          <w:highlight w:val="none"/>
          <w:lang w:eastAsia="zh-CN"/>
        </w:rPr>
      </w:pPr>
    </w:p>
    <w:p w14:paraId="4218BD2C">
      <w:pPr>
        <w:pStyle w:val="267"/>
        <w:outlineLvl w:val="2"/>
        <w:rPr>
          <w:rFonts w:hint="eastAsia"/>
          <w:color w:val="auto"/>
          <w:highlight w:val="none"/>
          <w:lang w:eastAsia="zh-CN"/>
        </w:rPr>
      </w:pPr>
    </w:p>
    <w:p w14:paraId="3A923B44">
      <w:pPr>
        <w:pStyle w:val="267"/>
        <w:outlineLvl w:val="2"/>
        <w:rPr>
          <w:rFonts w:hint="eastAsia"/>
          <w:color w:val="auto"/>
          <w:highlight w:val="none"/>
          <w:lang w:eastAsia="zh-CN"/>
        </w:rPr>
      </w:pPr>
    </w:p>
    <w:p w14:paraId="13BB18E2">
      <w:pPr>
        <w:pStyle w:val="267"/>
        <w:outlineLvl w:val="2"/>
        <w:rPr>
          <w:rFonts w:hint="eastAsia"/>
          <w:color w:val="auto"/>
          <w:highlight w:val="none"/>
          <w:lang w:eastAsia="zh-CN"/>
        </w:rPr>
      </w:pPr>
    </w:p>
    <w:p w14:paraId="2909F742">
      <w:pPr>
        <w:pStyle w:val="267"/>
        <w:outlineLvl w:val="2"/>
        <w:rPr>
          <w:rFonts w:hint="eastAsia"/>
          <w:color w:val="auto"/>
          <w:highlight w:val="none"/>
          <w:lang w:eastAsia="zh-CN"/>
        </w:rPr>
      </w:pPr>
    </w:p>
    <w:p w14:paraId="13438167">
      <w:pPr>
        <w:pStyle w:val="267"/>
        <w:outlineLvl w:val="2"/>
        <w:rPr>
          <w:rFonts w:hint="eastAsia"/>
          <w:color w:val="auto"/>
          <w:highlight w:val="none"/>
          <w:lang w:eastAsia="zh-CN"/>
        </w:rPr>
      </w:pPr>
    </w:p>
    <w:p w14:paraId="57FAF392">
      <w:pPr>
        <w:pStyle w:val="267"/>
        <w:outlineLvl w:val="2"/>
        <w:rPr>
          <w:rFonts w:hint="eastAsia"/>
          <w:color w:val="auto"/>
          <w:highlight w:val="none"/>
          <w:lang w:eastAsia="zh-CN"/>
        </w:rPr>
      </w:pPr>
    </w:p>
    <w:p w14:paraId="22B31CE1">
      <w:pPr>
        <w:pStyle w:val="267"/>
        <w:outlineLvl w:val="2"/>
        <w:rPr>
          <w:rFonts w:hint="eastAsia"/>
          <w:color w:val="auto"/>
          <w:highlight w:val="none"/>
          <w:lang w:eastAsia="zh-CN"/>
        </w:rPr>
      </w:pPr>
    </w:p>
    <w:p w14:paraId="0778082E">
      <w:pPr>
        <w:pStyle w:val="267"/>
        <w:outlineLvl w:val="2"/>
        <w:rPr>
          <w:rFonts w:hint="eastAsia"/>
          <w:color w:val="auto"/>
          <w:highlight w:val="none"/>
          <w:lang w:eastAsia="zh-CN"/>
        </w:rPr>
      </w:pPr>
    </w:p>
    <w:p w14:paraId="7ED0A904">
      <w:pPr>
        <w:pStyle w:val="267"/>
        <w:outlineLvl w:val="2"/>
        <w:rPr>
          <w:rFonts w:hint="eastAsia"/>
          <w:color w:val="auto"/>
          <w:highlight w:val="none"/>
          <w:lang w:eastAsia="zh-CN"/>
        </w:rPr>
      </w:pPr>
    </w:p>
    <w:p w14:paraId="3FD0CEE2">
      <w:pPr>
        <w:pStyle w:val="267"/>
        <w:outlineLvl w:val="2"/>
        <w:rPr>
          <w:rFonts w:hint="eastAsia"/>
          <w:color w:val="auto"/>
          <w:highlight w:val="none"/>
          <w:lang w:eastAsia="zh-CN"/>
        </w:rPr>
      </w:pPr>
    </w:p>
    <w:p w14:paraId="7EC20C02">
      <w:pPr>
        <w:pStyle w:val="267"/>
        <w:outlineLvl w:val="2"/>
        <w:rPr>
          <w:rFonts w:hint="eastAsia"/>
          <w:color w:val="auto"/>
          <w:highlight w:val="none"/>
          <w:lang w:eastAsia="zh-CN"/>
        </w:rPr>
      </w:pPr>
    </w:p>
    <w:p w14:paraId="66C12A23">
      <w:pPr>
        <w:pStyle w:val="267"/>
        <w:outlineLvl w:val="2"/>
        <w:rPr>
          <w:rFonts w:hint="eastAsia"/>
          <w:color w:val="auto"/>
          <w:highlight w:val="none"/>
          <w:lang w:eastAsia="zh-CN"/>
        </w:rPr>
      </w:pPr>
    </w:p>
    <w:p w14:paraId="21082B18">
      <w:pPr>
        <w:pStyle w:val="267"/>
        <w:outlineLvl w:val="2"/>
        <w:rPr>
          <w:rFonts w:hint="eastAsia"/>
          <w:color w:val="auto"/>
          <w:highlight w:val="none"/>
          <w:lang w:eastAsia="zh-CN"/>
        </w:rPr>
      </w:pPr>
    </w:p>
    <w:p w14:paraId="63512A9E">
      <w:pPr>
        <w:pStyle w:val="267"/>
        <w:outlineLvl w:val="2"/>
        <w:rPr>
          <w:rFonts w:hint="eastAsia"/>
          <w:color w:val="auto"/>
          <w:highlight w:val="none"/>
          <w:lang w:eastAsia="zh-CN"/>
        </w:rPr>
      </w:pPr>
    </w:p>
    <w:p w14:paraId="6DBEF5E8">
      <w:pPr>
        <w:pStyle w:val="267"/>
        <w:outlineLvl w:val="2"/>
        <w:rPr>
          <w:rFonts w:hint="eastAsia"/>
          <w:color w:val="auto"/>
          <w:highlight w:val="none"/>
          <w:lang w:eastAsia="zh-CN"/>
        </w:rPr>
      </w:pPr>
    </w:p>
    <w:p w14:paraId="3BCA80A7">
      <w:pPr>
        <w:pStyle w:val="267"/>
        <w:outlineLvl w:val="2"/>
        <w:rPr>
          <w:rFonts w:hint="eastAsia"/>
          <w:color w:val="auto"/>
          <w:highlight w:val="none"/>
          <w:lang w:eastAsia="zh-CN"/>
        </w:rPr>
      </w:pPr>
    </w:p>
    <w:p w14:paraId="210E395C">
      <w:pPr>
        <w:pStyle w:val="267"/>
        <w:outlineLvl w:val="2"/>
        <w:rPr>
          <w:rFonts w:hint="eastAsia"/>
          <w:color w:val="auto"/>
          <w:highlight w:val="none"/>
          <w:lang w:eastAsia="zh-CN"/>
        </w:rPr>
      </w:pPr>
    </w:p>
    <w:p w14:paraId="68D6517F">
      <w:pPr>
        <w:pStyle w:val="267"/>
        <w:outlineLvl w:val="2"/>
        <w:rPr>
          <w:rFonts w:hint="eastAsia"/>
          <w:color w:val="auto"/>
          <w:highlight w:val="none"/>
          <w:lang w:eastAsia="zh-CN"/>
        </w:rPr>
      </w:pPr>
    </w:p>
    <w:p w14:paraId="1A6E3602">
      <w:pPr>
        <w:pStyle w:val="267"/>
        <w:outlineLvl w:val="2"/>
        <w:rPr>
          <w:rFonts w:hint="eastAsia"/>
          <w:color w:val="auto"/>
          <w:highlight w:val="none"/>
          <w:lang w:eastAsia="zh-CN"/>
        </w:rPr>
      </w:pPr>
    </w:p>
    <w:p w14:paraId="098C336B">
      <w:pPr>
        <w:pStyle w:val="267"/>
        <w:outlineLvl w:val="2"/>
        <w:rPr>
          <w:rFonts w:hint="eastAsia"/>
          <w:color w:val="auto"/>
          <w:highlight w:val="none"/>
          <w:lang w:eastAsia="zh-CN"/>
        </w:rPr>
      </w:pPr>
    </w:p>
    <w:p w14:paraId="3523954E">
      <w:pPr>
        <w:pStyle w:val="267"/>
        <w:outlineLvl w:val="2"/>
        <w:rPr>
          <w:rFonts w:hint="eastAsia"/>
          <w:color w:val="auto"/>
          <w:highlight w:val="none"/>
          <w:lang w:eastAsia="zh-CN"/>
        </w:rPr>
      </w:pPr>
    </w:p>
    <w:p w14:paraId="25F5E1B0">
      <w:pPr>
        <w:pStyle w:val="267"/>
        <w:outlineLvl w:val="2"/>
        <w:rPr>
          <w:rFonts w:hint="eastAsia"/>
          <w:color w:val="auto"/>
          <w:highlight w:val="none"/>
          <w:lang w:eastAsia="zh-CN"/>
        </w:rPr>
      </w:pPr>
    </w:p>
    <w:p w14:paraId="4A647857">
      <w:pPr>
        <w:pStyle w:val="267"/>
        <w:outlineLvl w:val="2"/>
        <w:rPr>
          <w:rFonts w:hint="eastAsia"/>
          <w:color w:val="auto"/>
          <w:highlight w:val="none"/>
          <w:lang w:eastAsia="zh-CN"/>
        </w:rPr>
      </w:pPr>
    </w:p>
    <w:p w14:paraId="748FB4DF">
      <w:pPr>
        <w:pStyle w:val="267"/>
        <w:outlineLvl w:val="2"/>
        <w:rPr>
          <w:rFonts w:hint="eastAsia"/>
          <w:color w:val="auto"/>
          <w:highlight w:val="none"/>
          <w:lang w:eastAsia="zh-CN"/>
        </w:rPr>
      </w:pPr>
    </w:p>
    <w:p w14:paraId="356F7D19">
      <w:pPr>
        <w:pStyle w:val="267"/>
        <w:outlineLvl w:val="2"/>
        <w:rPr>
          <w:rFonts w:hint="eastAsia"/>
          <w:color w:val="auto"/>
          <w:highlight w:val="none"/>
          <w:lang w:eastAsia="zh-CN"/>
        </w:rPr>
      </w:pPr>
    </w:p>
    <w:p w14:paraId="1E094829">
      <w:pPr>
        <w:pStyle w:val="267"/>
        <w:outlineLvl w:val="2"/>
        <w:rPr>
          <w:rFonts w:hint="eastAsia"/>
          <w:color w:val="auto"/>
          <w:highlight w:val="none"/>
          <w:lang w:eastAsia="zh-CN"/>
        </w:rPr>
      </w:pPr>
    </w:p>
    <w:p w14:paraId="616DEC51">
      <w:pPr>
        <w:pStyle w:val="267"/>
        <w:outlineLvl w:val="2"/>
        <w:rPr>
          <w:rFonts w:hint="eastAsia"/>
          <w:color w:val="auto"/>
          <w:highlight w:val="none"/>
          <w:lang w:eastAsia="zh-CN"/>
        </w:rPr>
      </w:pPr>
    </w:p>
    <w:p w14:paraId="04523836">
      <w:pPr>
        <w:pStyle w:val="267"/>
        <w:outlineLvl w:val="2"/>
        <w:rPr>
          <w:rFonts w:hint="eastAsia" w:eastAsia="宋体"/>
          <w:color w:val="auto"/>
          <w:highlight w:val="none"/>
          <w:lang w:eastAsia="zh-CN"/>
        </w:rPr>
      </w:pPr>
    </w:p>
    <w:p w14:paraId="01F6AF7A">
      <w:pPr>
        <w:pStyle w:val="268"/>
        <w:jc w:val="center"/>
        <w:outlineLvl w:val="2"/>
        <w:rPr>
          <w:rFonts w:hint="eastAsia" w:eastAsia="宋体"/>
          <w:color w:val="auto"/>
          <w:highlight w:val="none"/>
          <w:lang w:eastAsia="zh-CN"/>
        </w:rPr>
      </w:pPr>
    </w:p>
    <w:p w14:paraId="17EAB35B">
      <w:pPr>
        <w:pStyle w:val="268"/>
        <w:jc w:val="center"/>
        <w:outlineLvl w:val="2"/>
        <w:rPr>
          <w:color w:val="auto"/>
          <w:highlight w:val="none"/>
        </w:rPr>
      </w:pPr>
      <w:r>
        <w:rPr>
          <w:rFonts w:ascii="宋体" w:hAnsi="宋体" w:eastAsia="宋体" w:cs="宋体"/>
          <w:color w:val="auto"/>
          <w:sz w:val="28"/>
          <w:highlight w:val="none"/>
        </w:rPr>
        <w:t>(</w:t>
      </w:r>
      <w:r>
        <w:rPr>
          <w:rFonts w:hint="eastAsia" w:ascii="宋体" w:hAnsi="宋体" w:eastAsia="宋体" w:cs="宋体"/>
          <w:color w:val="auto"/>
          <w:sz w:val="28"/>
          <w:highlight w:val="none"/>
          <w:lang w:eastAsia="zh-CN"/>
        </w:rPr>
        <w:t>七</w:t>
      </w:r>
      <w:r>
        <w:rPr>
          <w:rFonts w:ascii="宋体" w:hAnsi="宋体" w:eastAsia="宋体" w:cs="宋体"/>
          <w:color w:val="auto"/>
          <w:sz w:val="28"/>
          <w:highlight w:val="none"/>
        </w:rPr>
        <w:t>)落实政府采购政策需满足的资格要求</w:t>
      </w:r>
      <w:bookmarkEnd w:id="504"/>
    </w:p>
    <w:p w14:paraId="7011E8C0">
      <w:pPr>
        <w:pStyle w:val="229"/>
        <w:spacing w:before="240" w:beforeAutospacing="0" w:after="240" w:afterAutospacing="0"/>
        <w:jc w:val="center"/>
        <w:rPr>
          <w:color w:val="auto"/>
          <w:highlight w:val="none"/>
        </w:rPr>
      </w:pPr>
      <w:r>
        <w:rPr>
          <w:rFonts w:cs="宋体"/>
          <w:color w:val="auto"/>
          <w:sz w:val="28"/>
          <w:szCs w:val="28"/>
          <w:highlight w:val="none"/>
        </w:rPr>
        <w:t>中小企业声明函</w:t>
      </w:r>
    </w:p>
    <w:p w14:paraId="4F1CA957">
      <w:pPr>
        <w:pStyle w:val="229"/>
        <w:spacing w:before="240" w:beforeAutospacing="0" w:after="240" w:afterAutospacing="0" w:line="360" w:lineRule="auto"/>
        <w:ind w:firstLine="560"/>
        <w:rPr>
          <w:color w:val="auto"/>
          <w:highlight w:val="none"/>
        </w:rPr>
      </w:pPr>
      <w:r>
        <w:rPr>
          <w:rFonts w:cs="宋体"/>
          <w:color w:val="auto"/>
          <w:highlight w:val="none"/>
        </w:rPr>
        <w:t>本公司（联合体）郑重声明，根据《政府采购促进中小企业发展管理办法》（财库﹝2020﹞46号）的规定，本公司（联合体）参加</w:t>
      </w:r>
      <w:r>
        <w:rPr>
          <w:rFonts w:cs="宋体"/>
          <w:color w:val="auto"/>
          <w:highlight w:val="none"/>
          <w:u w:val="single"/>
        </w:rPr>
        <w:t>（单位名称）</w:t>
      </w:r>
      <w:r>
        <w:rPr>
          <w:rFonts w:cs="宋体"/>
          <w:color w:val="auto"/>
          <w:highlight w:val="none"/>
        </w:rPr>
        <w:t>的</w:t>
      </w:r>
      <w:r>
        <w:rPr>
          <w:rFonts w:cs="宋体"/>
          <w:color w:val="auto"/>
          <w:highlight w:val="none"/>
          <w:u w:val="single"/>
        </w:rPr>
        <w:t>（项目名称）</w:t>
      </w:r>
      <w:r>
        <w:rPr>
          <w:rFonts w:cs="宋体"/>
          <w:color w:val="auto"/>
          <w:highlight w:val="none"/>
        </w:rPr>
        <w:t>采购活动，</w:t>
      </w:r>
      <w:r>
        <w:rPr>
          <w:rFonts w:cs="宋体"/>
          <w:color w:val="auto"/>
          <w:highlight w:val="none"/>
          <w:lang w:eastAsia="zh-CN"/>
        </w:rPr>
        <w:t>工程</w:t>
      </w:r>
      <w:r>
        <w:rPr>
          <w:rFonts w:hint="eastAsia" w:cs="宋体"/>
          <w:color w:val="auto"/>
          <w:highlight w:val="none"/>
          <w:lang w:eastAsia="zh-CN"/>
        </w:rPr>
        <w:t>的施工单位</w:t>
      </w:r>
      <w:r>
        <w:rPr>
          <w:rFonts w:cs="宋体"/>
          <w:color w:val="auto"/>
          <w:highlight w:val="none"/>
        </w:rPr>
        <w:t>全部由符合政策要求的中小企业承接。相关企业（含联合体中的中小企业、签订分包意向协议的中小企业）的具体情况如下：</w:t>
      </w:r>
    </w:p>
    <w:p w14:paraId="1AECE11F">
      <w:pPr>
        <w:pStyle w:val="229"/>
        <w:spacing w:before="240" w:beforeAutospacing="0" w:after="240" w:afterAutospacing="0" w:line="360" w:lineRule="auto"/>
        <w:ind w:firstLine="480"/>
        <w:rPr>
          <w:color w:val="auto"/>
          <w:highlight w:val="none"/>
        </w:rPr>
      </w:pPr>
      <w:r>
        <w:rPr>
          <w:rFonts w:cs="宋体"/>
          <w:color w:val="auto"/>
          <w:highlight w:val="none"/>
        </w:rPr>
        <w:t>1.</w:t>
      </w:r>
      <w:r>
        <w:rPr>
          <w:rFonts w:cs="宋体"/>
          <w:color w:val="auto"/>
          <w:highlight w:val="none"/>
          <w:u w:val="single"/>
        </w:rPr>
        <w:t xml:space="preserve"> （标的名称） </w:t>
      </w:r>
      <w:r>
        <w:rPr>
          <w:rFonts w:cs="宋体"/>
          <w:color w:val="auto"/>
          <w:highlight w:val="none"/>
        </w:rPr>
        <w:t>，属于</w:t>
      </w:r>
      <w:r>
        <w:rPr>
          <w:rFonts w:cs="宋体"/>
          <w:color w:val="auto"/>
          <w:highlight w:val="none"/>
          <w:u w:val="single"/>
        </w:rPr>
        <w:t>（采购文件中明确的所属行业）</w:t>
      </w:r>
      <w:r>
        <w:rPr>
          <w:rFonts w:cs="宋体"/>
          <w:color w:val="auto"/>
          <w:highlight w:val="none"/>
        </w:rPr>
        <w:t>；承接企业为</w:t>
      </w:r>
      <w:r>
        <w:rPr>
          <w:rFonts w:cs="宋体"/>
          <w:color w:val="auto"/>
          <w:highlight w:val="none"/>
          <w:u w:val="single"/>
        </w:rPr>
        <w:t>（企业名称）</w:t>
      </w:r>
      <w:r>
        <w:rPr>
          <w:rFonts w:cs="宋体"/>
          <w:color w:val="auto"/>
          <w:highlight w:val="none"/>
        </w:rPr>
        <w:t>，从业人员</w:t>
      </w:r>
      <w:r>
        <w:rPr>
          <w:rFonts w:cs="宋体"/>
          <w:color w:val="auto"/>
          <w:highlight w:val="none"/>
          <w:u w:val="single"/>
        </w:rPr>
        <w:t>    </w:t>
      </w:r>
      <w:r>
        <w:rPr>
          <w:rFonts w:cs="宋体"/>
          <w:color w:val="auto"/>
          <w:highlight w:val="none"/>
        </w:rPr>
        <w:t>人，营业 收入为</w:t>
      </w:r>
      <w:r>
        <w:rPr>
          <w:rFonts w:cs="宋体"/>
          <w:color w:val="auto"/>
          <w:highlight w:val="none"/>
          <w:u w:val="single"/>
        </w:rPr>
        <w:t>    </w:t>
      </w:r>
      <w:r>
        <w:rPr>
          <w:rFonts w:cs="宋体"/>
          <w:color w:val="auto"/>
          <w:highlight w:val="none"/>
        </w:rPr>
        <w:t>万元，资产总额为</w:t>
      </w:r>
      <w:r>
        <w:rPr>
          <w:rFonts w:cs="宋体"/>
          <w:color w:val="auto"/>
          <w:highlight w:val="none"/>
          <w:u w:val="single"/>
        </w:rPr>
        <w:t>    </w:t>
      </w:r>
      <w:r>
        <w:rPr>
          <w:rFonts w:cs="宋体"/>
          <w:color w:val="auto"/>
          <w:highlight w:val="none"/>
        </w:rPr>
        <w:t>万元，属于</w:t>
      </w:r>
      <w:r>
        <w:rPr>
          <w:rFonts w:cs="宋体"/>
          <w:color w:val="auto"/>
          <w:highlight w:val="none"/>
          <w:u w:val="single"/>
        </w:rPr>
        <w:t>（中型企业、 小型企业、微型企业）</w:t>
      </w:r>
      <w:r>
        <w:rPr>
          <w:rFonts w:cs="宋体"/>
          <w:color w:val="auto"/>
          <w:highlight w:val="none"/>
        </w:rPr>
        <w:t xml:space="preserve">； </w:t>
      </w:r>
    </w:p>
    <w:p w14:paraId="20CFA879">
      <w:pPr>
        <w:pStyle w:val="229"/>
        <w:spacing w:before="240" w:beforeAutospacing="0" w:after="240" w:afterAutospacing="0" w:line="360" w:lineRule="auto"/>
        <w:ind w:firstLine="480"/>
        <w:rPr>
          <w:color w:val="auto"/>
          <w:highlight w:val="none"/>
        </w:rPr>
      </w:pPr>
      <w:r>
        <w:rPr>
          <w:rFonts w:hint="eastAsia" w:cs="宋体"/>
          <w:color w:val="auto"/>
          <w:highlight w:val="none"/>
          <w:lang w:eastAsia="zh-CN"/>
        </w:rPr>
        <w:t>2</w:t>
      </w:r>
      <w:r>
        <w:rPr>
          <w:rFonts w:cs="宋体"/>
          <w:color w:val="auto"/>
          <w:highlight w:val="none"/>
        </w:rPr>
        <w:t>.</w:t>
      </w:r>
      <w:r>
        <w:rPr>
          <w:rFonts w:cs="宋体"/>
          <w:color w:val="auto"/>
          <w:highlight w:val="none"/>
          <w:u w:val="single"/>
        </w:rPr>
        <w:t xml:space="preserve"> （标的名称） </w:t>
      </w:r>
      <w:r>
        <w:rPr>
          <w:rFonts w:cs="宋体"/>
          <w:color w:val="auto"/>
          <w:highlight w:val="none"/>
        </w:rPr>
        <w:t>，属于</w:t>
      </w:r>
      <w:r>
        <w:rPr>
          <w:rFonts w:cs="宋体"/>
          <w:color w:val="auto"/>
          <w:highlight w:val="none"/>
          <w:u w:val="single"/>
        </w:rPr>
        <w:t>（采购文件中明确的所属行业）</w:t>
      </w:r>
      <w:r>
        <w:rPr>
          <w:rFonts w:cs="宋体"/>
          <w:color w:val="auto"/>
          <w:highlight w:val="none"/>
        </w:rPr>
        <w:t>；承接企业为</w:t>
      </w:r>
      <w:r>
        <w:rPr>
          <w:rFonts w:cs="宋体"/>
          <w:color w:val="auto"/>
          <w:highlight w:val="none"/>
          <w:u w:val="single"/>
        </w:rPr>
        <w:t>（企业名称）</w:t>
      </w:r>
      <w:r>
        <w:rPr>
          <w:rFonts w:cs="宋体"/>
          <w:color w:val="auto"/>
          <w:highlight w:val="none"/>
        </w:rPr>
        <w:t>，从业人员</w:t>
      </w:r>
      <w:r>
        <w:rPr>
          <w:rFonts w:cs="宋体"/>
          <w:color w:val="auto"/>
          <w:highlight w:val="none"/>
          <w:u w:val="single"/>
        </w:rPr>
        <w:t>    </w:t>
      </w:r>
      <w:r>
        <w:rPr>
          <w:rFonts w:cs="宋体"/>
          <w:color w:val="auto"/>
          <w:highlight w:val="none"/>
        </w:rPr>
        <w:t>人，营业 收入为</w:t>
      </w:r>
      <w:r>
        <w:rPr>
          <w:rFonts w:cs="宋体"/>
          <w:color w:val="auto"/>
          <w:highlight w:val="none"/>
          <w:u w:val="single"/>
        </w:rPr>
        <w:t>    </w:t>
      </w:r>
      <w:r>
        <w:rPr>
          <w:rFonts w:cs="宋体"/>
          <w:color w:val="auto"/>
          <w:highlight w:val="none"/>
        </w:rPr>
        <w:t>万元，资产总额为</w:t>
      </w:r>
      <w:r>
        <w:rPr>
          <w:rFonts w:cs="宋体"/>
          <w:color w:val="auto"/>
          <w:highlight w:val="none"/>
          <w:u w:val="single"/>
        </w:rPr>
        <w:t>    </w:t>
      </w:r>
      <w:r>
        <w:rPr>
          <w:rFonts w:cs="宋体"/>
          <w:color w:val="auto"/>
          <w:highlight w:val="none"/>
        </w:rPr>
        <w:t>万元，属于</w:t>
      </w:r>
      <w:r>
        <w:rPr>
          <w:rFonts w:cs="宋体"/>
          <w:color w:val="auto"/>
          <w:highlight w:val="none"/>
          <w:u w:val="single"/>
        </w:rPr>
        <w:t>（中型企业、 小型企业、微型企业）</w:t>
      </w:r>
      <w:r>
        <w:rPr>
          <w:rFonts w:cs="宋体"/>
          <w:color w:val="auto"/>
          <w:highlight w:val="none"/>
        </w:rPr>
        <w:t xml:space="preserve">； </w:t>
      </w:r>
    </w:p>
    <w:p w14:paraId="6C29341F">
      <w:pPr>
        <w:pStyle w:val="229"/>
        <w:spacing w:before="240" w:beforeAutospacing="0" w:after="240" w:afterAutospacing="0" w:line="360" w:lineRule="auto"/>
        <w:ind w:firstLine="560"/>
        <w:rPr>
          <w:color w:val="auto"/>
          <w:highlight w:val="none"/>
        </w:rPr>
      </w:pPr>
      <w:r>
        <w:rPr>
          <w:rFonts w:cs="宋体"/>
          <w:color w:val="auto"/>
          <w:highlight w:val="none"/>
        </w:rPr>
        <w:t xml:space="preserve">…… </w:t>
      </w:r>
    </w:p>
    <w:p w14:paraId="2FAE1807">
      <w:pPr>
        <w:pStyle w:val="229"/>
        <w:spacing w:before="240" w:beforeAutospacing="0" w:after="240" w:afterAutospacing="0" w:line="360" w:lineRule="auto"/>
        <w:ind w:firstLine="482"/>
        <w:rPr>
          <w:b/>
          <w:color w:val="auto"/>
          <w:highlight w:val="none"/>
        </w:rPr>
      </w:pPr>
      <w:r>
        <w:rPr>
          <w:rFonts w:cs="宋体"/>
          <w:b/>
          <w:color w:val="auto"/>
          <w:highlight w:val="none"/>
        </w:rPr>
        <w:t xml:space="preserve">以上企业，不属于大企业的分支机构，不存在控股股东为大企业的情形，也不存在与大企业的负责人为同一人的情形。本企业对上述声明内容的真实性负责。如有虚假将依法承担相应责任。 </w:t>
      </w:r>
    </w:p>
    <w:p w14:paraId="5FE6EEFA">
      <w:pPr>
        <w:pStyle w:val="229"/>
        <w:spacing w:before="240" w:beforeAutospacing="0" w:after="240" w:afterAutospacing="0" w:line="360" w:lineRule="auto"/>
        <w:ind w:firstLine="560"/>
        <w:rPr>
          <w:rFonts w:hint="eastAsia" w:cs="宋体"/>
          <w:color w:val="auto"/>
          <w:highlight w:val="none"/>
          <w:lang w:eastAsia="zh-CN"/>
        </w:rPr>
      </w:pPr>
      <w:r>
        <w:rPr>
          <w:rFonts w:cs="宋体"/>
          <w:color w:val="auto"/>
          <w:highlight w:val="none"/>
        </w:rPr>
        <w:t>企业名称（盖章）：</w:t>
      </w:r>
    </w:p>
    <w:p w14:paraId="1ABA4CC0">
      <w:pPr>
        <w:pStyle w:val="229"/>
        <w:spacing w:before="240" w:beforeAutospacing="0" w:after="240" w:afterAutospacing="0" w:line="360" w:lineRule="auto"/>
        <w:ind w:firstLine="560"/>
        <w:rPr>
          <w:rFonts w:hint="eastAsia" w:cs="宋体"/>
          <w:color w:val="auto"/>
          <w:highlight w:val="none"/>
          <w:lang w:eastAsia="zh-CN"/>
        </w:rPr>
      </w:pPr>
      <w:r>
        <w:rPr>
          <w:rFonts w:cs="宋体"/>
          <w:color w:val="auto"/>
          <w:highlight w:val="none"/>
        </w:rPr>
        <w:t>日 期：</w:t>
      </w:r>
    </w:p>
    <w:p w14:paraId="2F14E5B3">
      <w:pPr>
        <w:pStyle w:val="273"/>
        <w:spacing w:line="360" w:lineRule="auto"/>
        <w:jc w:val="both"/>
        <w:outlineLvl w:val="1"/>
        <w:rPr>
          <w:rFonts w:ascii="宋体" w:hAnsi="宋体" w:eastAsia="宋体" w:cs="宋体"/>
          <w:b/>
          <w:color w:val="auto"/>
          <w:sz w:val="21"/>
          <w:szCs w:val="21"/>
          <w:highlight w:val="none"/>
          <w:u w:val="single"/>
          <w:lang w:val="en-US" w:eastAsia="zh-CN"/>
        </w:rPr>
      </w:pPr>
      <w:r>
        <w:rPr>
          <w:rFonts w:ascii="宋体" w:hAnsi="宋体" w:eastAsia="宋体" w:cs="宋体"/>
          <w:b/>
          <w:color w:val="auto"/>
          <w:sz w:val="21"/>
          <w:szCs w:val="21"/>
          <w:highlight w:val="none"/>
          <w:u w:val="single"/>
          <w:lang w:val="en-US" w:eastAsia="zh-CN"/>
        </w:rPr>
        <w:t>注：</w:t>
      </w:r>
      <w:r>
        <w:rPr>
          <w:rFonts w:hint="eastAsia" w:ascii="宋体" w:hAnsi="宋体" w:eastAsia="宋体" w:cs="宋体"/>
          <w:b/>
          <w:color w:val="auto"/>
          <w:sz w:val="21"/>
          <w:szCs w:val="21"/>
          <w:highlight w:val="none"/>
          <w:u w:val="single"/>
          <w:lang w:val="en-US" w:eastAsia="zh-CN"/>
        </w:rPr>
        <w:t>1.</w:t>
      </w:r>
      <w:r>
        <w:rPr>
          <w:rFonts w:ascii="宋体" w:hAnsi="宋体" w:eastAsia="宋体" w:cs="宋体"/>
          <w:b/>
          <w:color w:val="auto"/>
          <w:sz w:val="21"/>
          <w:szCs w:val="21"/>
          <w:highlight w:val="none"/>
          <w:u w:val="single"/>
          <w:lang w:val="en-US" w:eastAsia="zh-CN"/>
        </w:rPr>
        <w:t>从业人员、营业收入、资产总额填报上一年度数据，无上一年度数据的新成立企业可不填报。</w:t>
      </w:r>
    </w:p>
    <w:p w14:paraId="1E52E90A">
      <w:pPr>
        <w:pStyle w:val="273"/>
        <w:spacing w:line="360" w:lineRule="auto"/>
        <w:ind w:firstLine="422"/>
        <w:jc w:val="both"/>
        <w:outlineLvl w:val="1"/>
        <w:rPr>
          <w:rFonts w:hint="eastAsia" w:ascii="宋体" w:hAnsi="宋体" w:eastAsia="宋体" w:cs="宋体"/>
          <w:b/>
          <w:color w:val="auto"/>
          <w:sz w:val="21"/>
          <w:szCs w:val="21"/>
          <w:highlight w:val="none"/>
          <w:u w:val="single"/>
          <w:lang w:val="en-US" w:eastAsia="zh-CN"/>
        </w:rPr>
      </w:pPr>
      <w:r>
        <w:rPr>
          <w:rFonts w:hint="eastAsia" w:ascii="宋体" w:hAnsi="宋体" w:eastAsia="宋体" w:cs="宋体"/>
          <w:b/>
          <w:color w:val="auto"/>
          <w:sz w:val="21"/>
          <w:szCs w:val="21"/>
          <w:highlight w:val="none"/>
          <w:u w:val="single"/>
          <w:lang w:val="en-US" w:eastAsia="zh-CN"/>
        </w:rPr>
        <w:t>2</w:t>
      </w:r>
      <w:r>
        <w:rPr>
          <w:rFonts w:ascii="宋体" w:hAnsi="宋体" w:eastAsia="宋体" w:cs="宋体"/>
          <w:b/>
          <w:color w:val="auto"/>
          <w:sz w:val="21"/>
          <w:szCs w:val="21"/>
          <w:highlight w:val="none"/>
          <w:u w:val="single"/>
          <w:lang w:val="en-US" w:eastAsia="zh-CN"/>
        </w:rPr>
        <w:t>.</w:t>
      </w:r>
      <w:r>
        <w:rPr>
          <w:rFonts w:hint="eastAsia" w:ascii="宋体" w:hAnsi="宋体" w:eastAsia="宋体" w:cs="宋体"/>
          <w:b/>
          <w:color w:val="auto"/>
          <w:sz w:val="21"/>
          <w:szCs w:val="21"/>
          <w:highlight w:val="none"/>
          <w:u w:val="single"/>
          <w:lang w:val="en-US" w:eastAsia="zh-CN"/>
        </w:rPr>
        <w:t>本声明函中“属于（中型企业、小型企业、微型企业）”的内容，必须且只能选择其中之一填写。</w:t>
      </w:r>
    </w:p>
    <w:p w14:paraId="3063FBE6">
      <w:pPr>
        <w:pStyle w:val="273"/>
        <w:spacing w:line="360" w:lineRule="auto"/>
        <w:ind w:firstLine="422"/>
        <w:jc w:val="both"/>
        <w:outlineLvl w:val="1"/>
        <w:rPr>
          <w:rFonts w:ascii="宋体" w:hAnsi="宋体" w:eastAsia="宋体" w:cs="宋体"/>
          <w:b/>
          <w:color w:val="auto"/>
          <w:sz w:val="21"/>
          <w:szCs w:val="21"/>
          <w:highlight w:val="none"/>
          <w:u w:val="single"/>
          <w:lang w:val="en-US" w:eastAsia="zh-CN"/>
        </w:rPr>
      </w:pPr>
      <w:r>
        <w:rPr>
          <w:rFonts w:ascii="宋体" w:hAnsi="宋体" w:eastAsia="宋体" w:cs="宋体"/>
          <w:b/>
          <w:color w:val="auto"/>
          <w:sz w:val="21"/>
          <w:szCs w:val="21"/>
          <w:highlight w:val="none"/>
          <w:u w:val="single"/>
          <w:lang w:val="en-US" w:eastAsia="zh-CN"/>
        </w:rPr>
        <w:t>3.供应商应当根据采购文件中明确的所属行业（供应商须知前附表），认真对照</w:t>
      </w:r>
      <w:r>
        <w:rPr>
          <w:rFonts w:hint="eastAsia" w:ascii="宋体" w:hAnsi="宋体" w:eastAsia="宋体" w:cs="宋体"/>
          <w:b/>
          <w:color w:val="auto"/>
          <w:sz w:val="21"/>
          <w:szCs w:val="21"/>
          <w:highlight w:val="none"/>
          <w:u w:val="single"/>
          <w:lang w:val="en-US" w:eastAsia="zh-CN"/>
        </w:rPr>
        <w:t>《工业和信息化部、国家统计局、国家发展和改革委员会、财政部关于印发中小企业划型标准规定的通知》</w:t>
      </w:r>
      <w:r>
        <w:rPr>
          <w:rFonts w:ascii="宋体" w:hAnsi="宋体" w:eastAsia="宋体" w:cs="宋体"/>
          <w:b/>
          <w:color w:val="auto"/>
          <w:sz w:val="21"/>
          <w:szCs w:val="21"/>
          <w:highlight w:val="none"/>
          <w:u w:val="single"/>
          <w:lang w:val="en-US" w:eastAsia="zh-CN"/>
        </w:rPr>
        <w:t>提供声明函。 供应商提供声明函内容不实的，属于提供虚假材料谋取中标、成交，依照《中华人民共和国政府采购法》等国家有关规定追究相应责任。</w:t>
      </w:r>
    </w:p>
    <w:p w14:paraId="2BDEEEF4">
      <w:pPr>
        <w:pStyle w:val="229"/>
        <w:spacing w:before="240" w:beforeAutospacing="0" w:after="240" w:afterAutospacing="0" w:line="85" w:lineRule="atLeast"/>
        <w:jc w:val="center"/>
        <w:rPr>
          <w:color w:val="auto"/>
          <w:highlight w:val="none"/>
          <w:lang w:eastAsia="zh-CN"/>
        </w:rPr>
      </w:pPr>
      <w:r>
        <w:rPr>
          <w:color w:val="auto"/>
          <w:highlight w:val="none"/>
        </w:rPr>
        <w:br w:type="page" w:clear="all"/>
      </w:r>
      <w:bookmarkStart w:id="505" w:name="_Toc256000076"/>
      <w:r>
        <w:rPr>
          <w:rFonts w:cs="宋体"/>
          <w:color w:val="auto"/>
          <w:sz w:val="28"/>
          <w:highlight w:val="none"/>
        </w:rPr>
        <w:t>(</w:t>
      </w:r>
      <w:r>
        <w:rPr>
          <w:rFonts w:hint="eastAsia" w:cs="宋体"/>
          <w:color w:val="auto"/>
          <w:sz w:val="28"/>
          <w:highlight w:val="none"/>
          <w:lang w:eastAsia="zh-CN"/>
        </w:rPr>
        <w:t>八</w:t>
      </w:r>
      <w:r>
        <w:rPr>
          <w:rFonts w:cs="宋体"/>
          <w:color w:val="auto"/>
          <w:sz w:val="28"/>
          <w:highlight w:val="none"/>
        </w:rPr>
        <w:t>)法定代表人（负责人）身份证明书</w:t>
      </w:r>
      <w:bookmarkEnd w:id="505"/>
    </w:p>
    <w:p w14:paraId="275742E1">
      <w:pPr>
        <w:pStyle w:val="271"/>
        <w:spacing w:line="360" w:lineRule="auto"/>
        <w:ind w:firstLine="560"/>
        <w:rPr>
          <w:rFonts w:hint="eastAsia" w:ascii="宋体" w:hAnsi="宋体"/>
          <w:color w:val="auto"/>
          <w:sz w:val="28"/>
          <w:szCs w:val="28"/>
          <w:highlight w:val="none"/>
        </w:rPr>
      </w:pPr>
    </w:p>
    <w:p w14:paraId="664976B6">
      <w:pPr>
        <w:pStyle w:val="271"/>
        <w:spacing w:line="360" w:lineRule="auto"/>
        <w:ind w:firstLine="560"/>
        <w:rPr>
          <w:rFonts w:ascii="宋体" w:hAnsi="宋体"/>
          <w:color w:val="auto"/>
          <w:sz w:val="28"/>
          <w:szCs w:val="28"/>
          <w:highlight w:val="none"/>
        </w:rPr>
      </w:pPr>
      <w:r>
        <w:rPr>
          <w:rFonts w:hint="eastAsia" w:ascii="宋体" w:hAnsi="宋体"/>
          <w:color w:val="auto"/>
          <w:sz w:val="28"/>
          <w:szCs w:val="28"/>
          <w:highlight w:val="none"/>
        </w:rPr>
        <w:t>兹证明</w:t>
      </w:r>
      <w:r>
        <w:rPr>
          <w:rFonts w:hint="eastAsia" w:ascii="宋体" w:hAnsi="宋体"/>
          <w:color w:val="auto"/>
          <w:sz w:val="28"/>
          <w:szCs w:val="28"/>
          <w:highlight w:val="none"/>
          <w:u w:val="single"/>
        </w:rPr>
        <w:t xml:space="preserve"> （姓名</w:t>
      </w:r>
      <w:r>
        <w:rPr>
          <w:rFonts w:hint="eastAsia" w:ascii="宋体" w:hAnsi="宋体"/>
          <w:color w:val="auto"/>
          <w:sz w:val="28"/>
          <w:highlight w:val="none"/>
          <w:u w:val="single"/>
        </w:rPr>
        <w:t xml:space="preserve">） </w:t>
      </w:r>
      <w:r>
        <w:rPr>
          <w:rFonts w:hint="eastAsia" w:ascii="宋体" w:hAnsi="宋体"/>
          <w:color w:val="auto"/>
          <w:sz w:val="28"/>
          <w:szCs w:val="28"/>
          <w:highlight w:val="none"/>
        </w:rPr>
        <w:t>同志，性别</w:t>
      </w:r>
      <w:r>
        <w:rPr>
          <w:rFonts w:hint="eastAsia" w:ascii="宋体" w:hAnsi="宋体"/>
          <w:color w:val="auto"/>
          <w:sz w:val="28"/>
          <w:szCs w:val="28"/>
          <w:highlight w:val="none"/>
          <w:u w:val="single"/>
        </w:rPr>
        <w:t xml:space="preserve"> （男/女） </w:t>
      </w:r>
      <w:r>
        <w:rPr>
          <w:rFonts w:hint="eastAsia" w:ascii="宋体" w:hAnsi="宋体"/>
          <w:color w:val="auto"/>
          <w:sz w:val="28"/>
          <w:szCs w:val="28"/>
          <w:highlight w:val="none"/>
        </w:rPr>
        <w:t>，</w:t>
      </w:r>
      <w:r>
        <w:rPr>
          <w:rFonts w:hint="eastAsia" w:ascii="宋体" w:hAnsi="宋体"/>
          <w:color w:val="auto"/>
          <w:sz w:val="28"/>
          <w:highlight w:val="none"/>
        </w:rPr>
        <w:t>居民身份证号</w:t>
      </w:r>
      <w:r>
        <w:rPr>
          <w:rFonts w:hint="eastAsia" w:ascii="宋体" w:hAnsi="宋体"/>
          <w:color w:val="auto"/>
          <w:sz w:val="28"/>
          <w:szCs w:val="28"/>
          <w:highlight w:val="none"/>
          <w:u w:val="single"/>
        </w:rPr>
        <w:t xml:space="preserve"> （身份证号码） </w:t>
      </w:r>
      <w:r>
        <w:rPr>
          <w:rFonts w:hint="eastAsia" w:ascii="宋体" w:hAnsi="宋体"/>
          <w:color w:val="auto"/>
          <w:sz w:val="28"/>
          <w:szCs w:val="28"/>
          <w:highlight w:val="none"/>
        </w:rPr>
        <w:t>，在我单位任</w:t>
      </w:r>
      <w:r>
        <w:rPr>
          <w:rFonts w:hint="eastAsia" w:ascii="宋体" w:hAnsi="宋体"/>
          <w:color w:val="auto"/>
          <w:sz w:val="28"/>
          <w:szCs w:val="28"/>
          <w:highlight w:val="none"/>
          <w:u w:val="single"/>
        </w:rPr>
        <w:t xml:space="preserve"> （职务） </w:t>
      </w:r>
      <w:r>
        <w:rPr>
          <w:rFonts w:hint="eastAsia" w:ascii="宋体" w:hAnsi="宋体"/>
          <w:color w:val="auto"/>
          <w:sz w:val="28"/>
          <w:highlight w:val="none"/>
        </w:rPr>
        <w:t>，系我单位主要负责人即法定代表人</w:t>
      </w:r>
      <w:r>
        <w:rPr>
          <w:rFonts w:hint="eastAsia" w:ascii="宋体" w:hAnsi="宋体"/>
          <w:color w:val="auto"/>
          <w:sz w:val="28"/>
          <w:szCs w:val="28"/>
          <w:highlight w:val="none"/>
        </w:rPr>
        <w:t>。</w:t>
      </w:r>
    </w:p>
    <w:p w14:paraId="379F3A23">
      <w:pPr>
        <w:pStyle w:val="271"/>
        <w:spacing w:line="360" w:lineRule="auto"/>
        <w:ind w:firstLine="560"/>
        <w:rPr>
          <w:rFonts w:ascii="宋体" w:hAnsi="宋体"/>
          <w:color w:val="auto"/>
          <w:sz w:val="28"/>
          <w:szCs w:val="28"/>
          <w:highlight w:val="none"/>
        </w:rPr>
      </w:pPr>
    </w:p>
    <w:p w14:paraId="6B56F454">
      <w:pPr>
        <w:pStyle w:val="271"/>
        <w:spacing w:line="360" w:lineRule="auto"/>
        <w:ind w:firstLine="560"/>
        <w:rPr>
          <w:rFonts w:ascii="宋体" w:hAnsi="宋体"/>
          <w:color w:val="auto"/>
          <w:sz w:val="28"/>
          <w:szCs w:val="28"/>
          <w:highlight w:val="none"/>
        </w:rPr>
      </w:pPr>
    </w:p>
    <w:p w14:paraId="669B54ED">
      <w:pPr>
        <w:pStyle w:val="271"/>
        <w:spacing w:line="360" w:lineRule="auto"/>
        <w:ind w:firstLine="560"/>
        <w:rPr>
          <w:rFonts w:ascii="宋体" w:hAnsi="宋体"/>
          <w:color w:val="auto"/>
          <w:sz w:val="28"/>
          <w:szCs w:val="28"/>
          <w:highlight w:val="none"/>
        </w:rPr>
      </w:pPr>
      <w:r>
        <w:rPr>
          <w:rFonts w:hint="eastAsia" w:ascii="宋体" w:hAnsi="宋体"/>
          <w:color w:val="auto"/>
          <w:sz w:val="28"/>
          <w:szCs w:val="28"/>
          <w:highlight w:val="none"/>
        </w:rPr>
        <w:t>单位地址：</w:t>
      </w:r>
      <w:r>
        <w:rPr>
          <w:rFonts w:hint="eastAsia" w:ascii="宋体" w:hAnsi="宋体"/>
          <w:b/>
          <w:color w:val="auto"/>
          <w:sz w:val="24"/>
          <w:highlight w:val="none"/>
          <w:u w:val="single"/>
        </w:rPr>
        <w:t>××</w:t>
      </w:r>
    </w:p>
    <w:p w14:paraId="57094C9A">
      <w:pPr>
        <w:pStyle w:val="271"/>
        <w:spacing w:line="360" w:lineRule="auto"/>
        <w:ind w:firstLine="560"/>
        <w:rPr>
          <w:rFonts w:ascii="宋体" w:hAnsi="宋体"/>
          <w:color w:val="auto"/>
          <w:sz w:val="28"/>
          <w:szCs w:val="28"/>
          <w:highlight w:val="none"/>
        </w:rPr>
      </w:pPr>
    </w:p>
    <w:p w14:paraId="363A1829">
      <w:pPr>
        <w:pStyle w:val="271"/>
        <w:spacing w:line="360" w:lineRule="auto"/>
        <w:ind w:firstLine="560"/>
        <w:rPr>
          <w:rFonts w:ascii="宋体" w:hAnsi="宋体"/>
          <w:color w:val="auto"/>
          <w:sz w:val="28"/>
          <w:szCs w:val="28"/>
          <w:highlight w:val="none"/>
        </w:rPr>
      </w:pPr>
      <w:r>
        <w:rPr>
          <w:rFonts w:hint="eastAsia" w:ascii="宋体" w:hAnsi="宋体"/>
          <w:color w:val="auto"/>
          <w:sz w:val="28"/>
          <w:szCs w:val="28"/>
          <w:highlight w:val="none"/>
        </w:rPr>
        <w:t>电    话：</w:t>
      </w:r>
      <w:r>
        <w:rPr>
          <w:rFonts w:hint="eastAsia" w:ascii="宋体" w:hAnsi="宋体"/>
          <w:b/>
          <w:color w:val="auto"/>
          <w:sz w:val="24"/>
          <w:highlight w:val="none"/>
          <w:u w:val="single"/>
        </w:rPr>
        <w:t>××</w:t>
      </w:r>
    </w:p>
    <w:p w14:paraId="03DC0E69">
      <w:pPr>
        <w:pStyle w:val="271"/>
        <w:spacing w:line="360" w:lineRule="auto"/>
        <w:ind w:firstLine="560"/>
        <w:rPr>
          <w:rFonts w:ascii="宋体" w:hAnsi="宋体"/>
          <w:color w:val="auto"/>
          <w:sz w:val="28"/>
          <w:szCs w:val="28"/>
          <w:highlight w:val="none"/>
        </w:rPr>
      </w:pPr>
    </w:p>
    <w:p w14:paraId="2D85CCCF">
      <w:pPr>
        <w:pStyle w:val="271"/>
        <w:spacing w:line="360" w:lineRule="auto"/>
        <w:ind w:firstLine="560"/>
        <w:rPr>
          <w:rFonts w:ascii="宋体" w:hAnsi="宋体"/>
          <w:color w:val="auto"/>
          <w:sz w:val="28"/>
          <w:szCs w:val="28"/>
          <w:highlight w:val="none"/>
        </w:rPr>
      </w:pPr>
      <w:r>
        <w:rPr>
          <w:rFonts w:hint="eastAsia" w:ascii="宋体" w:hAnsi="宋体"/>
          <w:color w:val="auto"/>
          <w:sz w:val="28"/>
          <w:szCs w:val="28"/>
          <w:highlight w:val="none"/>
        </w:rPr>
        <w:t xml:space="preserve">单位全称： </w:t>
      </w:r>
      <w:r>
        <w:rPr>
          <w:rFonts w:hint="eastAsia" w:ascii="宋体" w:hAnsi="宋体"/>
          <w:b/>
          <w:color w:val="auto"/>
          <w:sz w:val="24"/>
          <w:highlight w:val="none"/>
          <w:u w:val="single"/>
        </w:rPr>
        <w:t>××</w:t>
      </w:r>
    </w:p>
    <w:p w14:paraId="4E78D76C">
      <w:pPr>
        <w:pStyle w:val="271"/>
        <w:spacing w:line="360" w:lineRule="auto"/>
        <w:ind w:firstLine="560"/>
        <w:rPr>
          <w:rFonts w:ascii="宋体" w:hAnsi="宋体"/>
          <w:color w:val="auto"/>
          <w:sz w:val="28"/>
          <w:szCs w:val="28"/>
          <w:highlight w:val="none"/>
        </w:rPr>
      </w:pPr>
    </w:p>
    <w:p w14:paraId="3C66B365">
      <w:pPr>
        <w:pStyle w:val="271"/>
        <w:spacing w:line="360" w:lineRule="auto"/>
        <w:ind w:firstLine="560"/>
        <w:rPr>
          <w:rFonts w:ascii="宋体" w:hAnsi="宋体"/>
          <w:color w:val="auto"/>
          <w:sz w:val="28"/>
          <w:szCs w:val="28"/>
          <w:highlight w:val="none"/>
        </w:rPr>
      </w:pPr>
      <w:r>
        <w:rPr>
          <w:rFonts w:hint="eastAsia" w:ascii="宋体" w:hAnsi="宋体"/>
          <w:color w:val="auto"/>
          <w:sz w:val="28"/>
          <w:szCs w:val="28"/>
          <w:highlight w:val="none"/>
        </w:rPr>
        <w:t xml:space="preserve">单位盖章： </w:t>
      </w:r>
      <w:r>
        <w:rPr>
          <w:rFonts w:hint="eastAsia" w:ascii="宋体" w:hAnsi="宋体"/>
          <w:b/>
          <w:color w:val="auto"/>
          <w:sz w:val="24"/>
          <w:highlight w:val="none"/>
          <w:u w:val="single"/>
        </w:rPr>
        <w:t>××</w:t>
      </w:r>
    </w:p>
    <w:p w14:paraId="5962F6BC">
      <w:pPr>
        <w:pStyle w:val="271"/>
        <w:spacing w:line="360" w:lineRule="auto"/>
        <w:ind w:firstLine="560"/>
        <w:jc w:val="center"/>
        <w:rPr>
          <w:rFonts w:ascii="宋体" w:hAnsi="宋体"/>
          <w:color w:val="auto"/>
          <w:sz w:val="28"/>
          <w:szCs w:val="28"/>
          <w:highlight w:val="none"/>
        </w:rPr>
      </w:pPr>
    </w:p>
    <w:p w14:paraId="0DAC3F70">
      <w:pPr>
        <w:pStyle w:val="271"/>
        <w:spacing w:line="360" w:lineRule="auto"/>
        <w:ind w:firstLine="560"/>
        <w:jc w:val="right"/>
        <w:rPr>
          <w:rFonts w:ascii="宋体" w:hAnsi="宋体"/>
          <w:color w:val="auto"/>
          <w:sz w:val="28"/>
          <w:szCs w:val="28"/>
          <w:highlight w:val="none"/>
        </w:rPr>
      </w:pPr>
    </w:p>
    <w:p w14:paraId="59EA0EEB">
      <w:pPr>
        <w:pStyle w:val="271"/>
        <w:tabs>
          <w:tab w:val="left" w:pos="7290"/>
        </w:tabs>
        <w:spacing w:line="360" w:lineRule="auto"/>
        <w:ind w:firstLine="560"/>
        <w:rPr>
          <w:rFonts w:ascii="宋体" w:hAnsi="宋体"/>
          <w:color w:val="auto"/>
          <w:sz w:val="28"/>
          <w:szCs w:val="28"/>
          <w:highlight w:val="none"/>
        </w:rPr>
      </w:pPr>
      <w:r>
        <w:rPr>
          <w:rFonts w:hint="eastAsia" w:ascii="宋体" w:hAnsi="宋体"/>
          <w:color w:val="auto"/>
          <w:sz w:val="28"/>
          <w:szCs w:val="28"/>
          <w:highlight w:val="none"/>
        </w:rPr>
        <w:t xml:space="preserve">                                 年     月    日</w:t>
      </w:r>
    </w:p>
    <w:p w14:paraId="78F4F887">
      <w:pPr>
        <w:pStyle w:val="271"/>
        <w:spacing w:line="360" w:lineRule="auto"/>
        <w:ind w:firstLine="560"/>
        <w:rPr>
          <w:rFonts w:ascii="宋体" w:hAnsi="宋体"/>
          <w:color w:val="auto"/>
          <w:sz w:val="28"/>
          <w:highlight w:val="none"/>
        </w:rPr>
      </w:pPr>
    </w:p>
    <w:p w14:paraId="6EF95FD9">
      <w:pPr>
        <w:pStyle w:val="271"/>
        <w:spacing w:line="360" w:lineRule="auto"/>
        <w:ind w:firstLine="643"/>
        <w:jc w:val="left"/>
        <w:rPr>
          <w:rFonts w:ascii="宋体" w:hAnsi="宋体"/>
          <w:b/>
          <w:color w:val="auto"/>
          <w:sz w:val="32"/>
          <w:szCs w:val="32"/>
          <w:highlight w:val="none"/>
        </w:rPr>
      </w:pPr>
      <w:r>
        <w:rPr>
          <w:rFonts w:hint="eastAsia" w:ascii="宋体" w:hAnsi="宋体"/>
          <w:b/>
          <w:color w:val="auto"/>
          <w:sz w:val="32"/>
          <w:szCs w:val="32"/>
          <w:highlight w:val="none"/>
        </w:rPr>
        <w:t>附：法定代表人居民身份证扫描件</w:t>
      </w:r>
    </w:p>
    <w:p w14:paraId="20D29FC7">
      <w:pPr>
        <w:pStyle w:val="271"/>
        <w:tabs>
          <w:tab w:val="left" w:pos="7290"/>
        </w:tabs>
        <w:spacing w:line="360" w:lineRule="auto"/>
        <w:ind w:firstLine="560"/>
        <w:rPr>
          <w:rFonts w:ascii="宋体" w:hAnsi="宋体"/>
          <w:color w:val="auto"/>
          <w:sz w:val="28"/>
          <w:highlight w:val="none"/>
        </w:rPr>
      </w:pPr>
      <w:r>
        <w:rPr>
          <w:rFonts w:hint="eastAsia" w:ascii="宋体" w:hAnsi="宋体"/>
          <w:color w:val="auto"/>
          <w:sz w:val="28"/>
          <w:highlight w:val="none"/>
          <w:u w:val="single"/>
        </w:rPr>
        <w:t>注：1.“法定代表人”直接参加磋商响应活动的仅需填写本身份证明</w:t>
      </w:r>
      <w:r>
        <w:rPr>
          <w:rFonts w:hint="eastAsia" w:ascii="宋体" w:hAnsi="宋体"/>
          <w:color w:val="auto"/>
          <w:sz w:val="28"/>
          <w:highlight w:val="none"/>
        </w:rPr>
        <w:t>。</w:t>
      </w:r>
    </w:p>
    <w:p w14:paraId="4E8849EE">
      <w:pPr>
        <w:pStyle w:val="271"/>
        <w:tabs>
          <w:tab w:val="left" w:pos="7290"/>
        </w:tabs>
        <w:spacing w:line="360" w:lineRule="auto"/>
        <w:ind w:firstLine="562"/>
        <w:rPr>
          <w:rFonts w:ascii="宋体" w:hAnsi="宋体"/>
          <w:b/>
          <w:color w:val="auto"/>
          <w:sz w:val="28"/>
          <w:szCs w:val="28"/>
          <w:highlight w:val="none"/>
          <w:u w:val="single"/>
        </w:rPr>
      </w:pPr>
      <w:r>
        <w:rPr>
          <w:rFonts w:hint="eastAsia" w:ascii="宋体" w:hAnsi="宋体"/>
          <w:b/>
          <w:color w:val="auto"/>
          <w:sz w:val="28"/>
          <w:szCs w:val="28"/>
          <w:highlight w:val="none"/>
          <w:u w:val="single"/>
        </w:rPr>
        <w:t>2.供应商</w:t>
      </w:r>
      <w:r>
        <w:rPr>
          <w:rFonts w:ascii="宋体" w:hAnsi="宋体"/>
          <w:b/>
          <w:color w:val="auto"/>
          <w:sz w:val="28"/>
          <w:szCs w:val="28"/>
          <w:highlight w:val="none"/>
          <w:u w:val="single"/>
        </w:rPr>
        <w:t>属于非法人组织的，按照法律、行政法规规定能够对外代表其从事民事活动的主要负责人，如个人独资企业的投资人，代表合伙企业执行合伙企业事务的合伙人等，视同法定代表人。</w:t>
      </w:r>
    </w:p>
    <w:p w14:paraId="3A95982B">
      <w:pPr>
        <w:pStyle w:val="272"/>
        <w:jc w:val="center"/>
        <w:outlineLvl w:val="2"/>
        <w:rPr>
          <w:color w:val="auto"/>
          <w:highlight w:val="none"/>
        </w:rPr>
      </w:pPr>
      <w:r>
        <w:rPr>
          <w:color w:val="auto"/>
          <w:highlight w:val="none"/>
        </w:rPr>
        <w:br w:type="page" w:clear="all"/>
      </w:r>
      <w:bookmarkStart w:id="506" w:name="_Toc256000077"/>
      <w:r>
        <w:rPr>
          <w:rFonts w:ascii="宋体" w:hAnsi="宋体" w:eastAsia="宋体" w:cs="宋体"/>
          <w:color w:val="auto"/>
          <w:sz w:val="28"/>
          <w:highlight w:val="none"/>
        </w:rPr>
        <w:t>(</w:t>
      </w:r>
      <w:r>
        <w:rPr>
          <w:rFonts w:hint="eastAsia" w:ascii="宋体" w:hAnsi="宋体" w:eastAsia="宋体" w:cs="宋体"/>
          <w:color w:val="auto"/>
          <w:sz w:val="28"/>
          <w:highlight w:val="none"/>
          <w:lang w:eastAsia="zh-CN"/>
        </w:rPr>
        <w:t>九</w:t>
      </w:r>
      <w:r>
        <w:rPr>
          <w:rFonts w:ascii="宋体" w:hAnsi="宋体" w:eastAsia="宋体" w:cs="宋体"/>
          <w:color w:val="auto"/>
          <w:sz w:val="28"/>
          <w:highlight w:val="none"/>
        </w:rPr>
        <w:t>)法定代表人（负责人）授权委托书</w:t>
      </w:r>
      <w:bookmarkEnd w:id="506"/>
    </w:p>
    <w:p w14:paraId="1683F156">
      <w:pPr>
        <w:pStyle w:val="206"/>
        <w:spacing w:line="360" w:lineRule="auto"/>
        <w:ind w:right="420" w:firstLine="560"/>
        <w:rPr>
          <w:rFonts w:hint="eastAsia" w:ascii="宋体" w:hAnsi="宋体"/>
          <w:color w:val="auto"/>
          <w:sz w:val="28"/>
          <w:highlight w:val="none"/>
          <w:lang w:val="en-US" w:eastAsia="zh-CN"/>
        </w:rPr>
      </w:pPr>
    </w:p>
    <w:p w14:paraId="313F3C05">
      <w:pPr>
        <w:pStyle w:val="206"/>
        <w:spacing w:line="360" w:lineRule="auto"/>
        <w:ind w:right="420" w:firstLine="560"/>
        <w:rPr>
          <w:rFonts w:ascii="宋体" w:hAnsi="宋体"/>
          <w:color w:val="auto"/>
          <w:sz w:val="28"/>
          <w:highlight w:val="none"/>
          <w:lang w:val="en-US" w:eastAsia="zh-CN"/>
        </w:rPr>
      </w:pPr>
      <w:r>
        <w:rPr>
          <w:rFonts w:hint="eastAsia" w:ascii="宋体" w:hAnsi="宋体"/>
          <w:color w:val="auto"/>
          <w:sz w:val="28"/>
          <w:highlight w:val="none"/>
          <w:lang w:val="en-US" w:eastAsia="zh-CN"/>
        </w:rPr>
        <w:t>本授权书声明：</w:t>
      </w:r>
      <w:r>
        <w:rPr>
          <w:rFonts w:hint="eastAsia" w:ascii="宋体" w:hAnsi="宋体"/>
          <w:color w:val="auto"/>
          <w:sz w:val="28"/>
          <w:highlight w:val="none"/>
          <w:u w:val="single"/>
          <w:lang w:val="en-US" w:eastAsia="zh-CN"/>
        </w:rPr>
        <w:t xml:space="preserve"> （供应商名称） </w:t>
      </w:r>
      <w:r>
        <w:rPr>
          <w:rFonts w:hint="eastAsia" w:ascii="宋体" w:hAnsi="宋体"/>
          <w:color w:val="auto"/>
          <w:sz w:val="28"/>
          <w:highlight w:val="none"/>
          <w:lang w:val="en-US" w:eastAsia="zh-CN"/>
        </w:rPr>
        <w:t>法定代表人（负责人）</w:t>
      </w:r>
      <w:r>
        <w:rPr>
          <w:rFonts w:hint="eastAsia" w:ascii="宋体" w:hAnsi="宋体"/>
          <w:color w:val="auto"/>
          <w:sz w:val="28"/>
          <w:highlight w:val="none"/>
          <w:u w:val="single"/>
          <w:lang w:val="en-US" w:eastAsia="zh-CN"/>
        </w:rPr>
        <w:t xml:space="preserve"> （姓名） </w:t>
      </w:r>
      <w:r>
        <w:rPr>
          <w:rFonts w:hint="eastAsia" w:ascii="宋体" w:hAnsi="宋体"/>
          <w:color w:val="auto"/>
          <w:sz w:val="28"/>
          <w:highlight w:val="none"/>
          <w:lang w:val="en-US" w:eastAsia="zh-CN"/>
        </w:rPr>
        <w:t>授权</w:t>
      </w:r>
      <w:r>
        <w:rPr>
          <w:rFonts w:hint="eastAsia" w:ascii="宋体" w:hAnsi="宋体"/>
          <w:color w:val="auto"/>
          <w:sz w:val="28"/>
          <w:highlight w:val="none"/>
          <w:u w:val="single"/>
          <w:lang w:val="en-US" w:eastAsia="zh-CN"/>
        </w:rPr>
        <w:t>（委托代理人的姓名、职务）</w:t>
      </w:r>
      <w:r>
        <w:rPr>
          <w:rFonts w:hint="eastAsia" w:ascii="宋体" w:hAnsi="宋体"/>
          <w:color w:val="auto"/>
          <w:sz w:val="28"/>
          <w:highlight w:val="none"/>
          <w:lang w:val="en-US" w:eastAsia="zh-CN"/>
        </w:rPr>
        <w:t>为我方就</w:t>
      </w:r>
      <w:r>
        <w:rPr>
          <w:rFonts w:hint="eastAsia" w:ascii="宋体" w:hAnsi="宋体"/>
          <w:color w:val="auto"/>
          <w:sz w:val="28"/>
          <w:highlight w:val="none"/>
          <w:u w:val="single"/>
          <w:lang w:val="en-US" w:eastAsia="zh-CN"/>
        </w:rPr>
        <w:t>××××（代理机构）代理的××××（项目编号、项目名称）</w:t>
      </w:r>
      <w:r>
        <w:rPr>
          <w:rFonts w:hint="eastAsia" w:ascii="宋体" w:hAnsi="宋体"/>
          <w:bCs/>
          <w:color w:val="auto"/>
          <w:sz w:val="28"/>
          <w:highlight w:val="none"/>
          <w:lang w:val="en-US" w:eastAsia="zh-CN"/>
        </w:rPr>
        <w:t>项目</w:t>
      </w:r>
      <w:r>
        <w:rPr>
          <w:rFonts w:hint="eastAsia" w:ascii="宋体" w:hAnsi="宋体"/>
          <w:color w:val="auto"/>
          <w:sz w:val="28"/>
          <w:highlight w:val="none"/>
          <w:lang w:val="en-US" w:eastAsia="zh-CN"/>
        </w:rPr>
        <w:t>的磋商活动的合法代理人，以本单位名义全权处理一切与该项目磋商有关的事务（含合同签订）。</w:t>
      </w:r>
    </w:p>
    <w:p w14:paraId="71AD7B3E">
      <w:pPr>
        <w:pStyle w:val="206"/>
        <w:tabs>
          <w:tab w:val="left" w:pos="5560"/>
        </w:tabs>
        <w:spacing w:line="360" w:lineRule="auto"/>
        <w:ind w:firstLine="560"/>
        <w:rPr>
          <w:rFonts w:ascii="宋体" w:hAnsi="宋体"/>
          <w:color w:val="auto"/>
          <w:sz w:val="28"/>
          <w:highlight w:val="none"/>
          <w:lang w:val="en-US" w:eastAsia="zh-CN"/>
        </w:rPr>
      </w:pPr>
      <w:r>
        <w:rPr>
          <w:rFonts w:hint="eastAsia" w:ascii="宋体" w:hAnsi="宋体"/>
          <w:color w:val="auto"/>
          <w:sz w:val="28"/>
          <w:highlight w:val="none"/>
          <w:lang w:val="en-US" w:eastAsia="zh-CN"/>
        </w:rPr>
        <w:tab/>
      </w:r>
    </w:p>
    <w:p w14:paraId="5C3FF7C6">
      <w:pPr>
        <w:pStyle w:val="205"/>
        <w:rPr>
          <w:color w:val="auto"/>
          <w:highlight w:val="none"/>
          <w:lang w:val="en-US" w:eastAsia="zh-CN"/>
        </w:rPr>
      </w:pPr>
      <w:r>
        <w:rPr>
          <w:rFonts w:hint="eastAsia" w:ascii="宋体" w:hAnsi="宋体"/>
          <w:color w:val="auto"/>
          <w:sz w:val="28"/>
          <w:highlight w:val="none"/>
          <w:lang w:val="en-US" w:eastAsia="zh-CN"/>
        </w:rPr>
        <w:t>本授权委托书于</w:t>
      </w:r>
      <w:r>
        <w:rPr>
          <w:rFonts w:hint="eastAsia" w:ascii="宋体" w:hAnsi="宋体"/>
          <w:color w:val="auto"/>
          <w:sz w:val="28"/>
          <w:highlight w:val="none"/>
          <w:u w:val="single"/>
          <w:lang w:val="en-US" w:eastAsia="zh-CN"/>
        </w:rPr>
        <w:t xml:space="preserve">  </w:t>
      </w:r>
      <w:r>
        <w:rPr>
          <w:rFonts w:hint="eastAsia" w:ascii="宋体" w:hAnsi="宋体"/>
          <w:color w:val="auto"/>
          <w:sz w:val="28"/>
          <w:highlight w:val="none"/>
          <w:lang w:val="en-US" w:eastAsia="zh-CN"/>
        </w:rPr>
        <w:t>年</w:t>
      </w:r>
      <w:r>
        <w:rPr>
          <w:rFonts w:hint="eastAsia" w:ascii="宋体" w:hAnsi="宋体"/>
          <w:color w:val="auto"/>
          <w:sz w:val="28"/>
          <w:highlight w:val="none"/>
          <w:u w:val="single"/>
          <w:lang w:val="en-US" w:eastAsia="zh-CN"/>
        </w:rPr>
        <w:t xml:space="preserve">  </w:t>
      </w:r>
      <w:r>
        <w:rPr>
          <w:rFonts w:hint="eastAsia" w:ascii="宋体" w:hAnsi="宋体"/>
          <w:color w:val="auto"/>
          <w:sz w:val="28"/>
          <w:highlight w:val="none"/>
          <w:lang w:val="en-US" w:eastAsia="zh-CN"/>
        </w:rPr>
        <w:t>月</w:t>
      </w:r>
      <w:r>
        <w:rPr>
          <w:rFonts w:hint="eastAsia" w:ascii="宋体" w:hAnsi="宋体"/>
          <w:color w:val="auto"/>
          <w:sz w:val="28"/>
          <w:highlight w:val="none"/>
          <w:u w:val="single"/>
          <w:lang w:val="en-US" w:eastAsia="zh-CN"/>
        </w:rPr>
        <w:t xml:space="preserve">  </w:t>
      </w:r>
      <w:r>
        <w:rPr>
          <w:rFonts w:hint="eastAsia" w:ascii="宋体" w:hAnsi="宋体"/>
          <w:color w:val="auto"/>
          <w:sz w:val="28"/>
          <w:highlight w:val="none"/>
          <w:lang w:val="en-US" w:eastAsia="zh-CN"/>
        </w:rPr>
        <w:t>日在</w:t>
      </w:r>
      <w:r>
        <w:rPr>
          <w:rFonts w:ascii="宋体" w:hAnsi="宋体"/>
          <w:color w:val="auto"/>
          <w:sz w:val="28"/>
          <w:highlight w:val="none"/>
          <w:lang w:val="en-US" w:eastAsia="zh-CN"/>
        </w:rPr>
        <w:t>相应位置</w:t>
      </w:r>
      <w:r>
        <w:rPr>
          <w:rFonts w:hint="eastAsia" w:ascii="宋体" w:hAnsi="宋体"/>
          <w:color w:val="auto"/>
          <w:sz w:val="28"/>
          <w:highlight w:val="none"/>
          <w:lang w:val="en-US" w:eastAsia="zh-CN"/>
        </w:rPr>
        <w:t>签字或盖章</w:t>
      </w:r>
      <w:r>
        <w:rPr>
          <w:rFonts w:ascii="宋体" w:hAnsi="宋体"/>
          <w:color w:val="auto"/>
          <w:sz w:val="28"/>
          <w:highlight w:val="none"/>
          <w:lang w:val="en-US" w:eastAsia="zh-CN"/>
        </w:rPr>
        <w:t>后生效</w:t>
      </w:r>
      <w:r>
        <w:rPr>
          <w:rFonts w:hint="eastAsia" w:ascii="宋体" w:hAnsi="宋体"/>
          <w:color w:val="auto"/>
          <w:sz w:val="28"/>
          <w:highlight w:val="none"/>
          <w:lang w:val="en-US" w:eastAsia="zh-CN"/>
        </w:rPr>
        <w:t>，特此声明。</w:t>
      </w:r>
    </w:p>
    <w:p w14:paraId="536F9744">
      <w:pPr>
        <w:pStyle w:val="206"/>
        <w:spacing w:line="360" w:lineRule="auto"/>
        <w:ind w:firstLine="560"/>
        <w:rPr>
          <w:rFonts w:ascii="宋体" w:hAnsi="宋体"/>
          <w:color w:val="auto"/>
          <w:sz w:val="28"/>
          <w:highlight w:val="none"/>
          <w:lang w:val="en-US" w:eastAsia="zh-CN"/>
        </w:rPr>
      </w:pPr>
      <w:r>
        <w:rPr>
          <w:rFonts w:hint="eastAsia" w:ascii="宋体" w:hAnsi="宋体"/>
          <w:color w:val="auto"/>
          <w:sz w:val="28"/>
          <w:highlight w:val="none"/>
          <w:lang w:val="en-US" w:eastAsia="zh-CN"/>
        </w:rPr>
        <w:t>委托代理人身份证号码：</w:t>
      </w:r>
      <w:r>
        <w:rPr>
          <w:rFonts w:hint="eastAsia" w:ascii="宋体" w:hAnsi="宋体"/>
          <w:color w:val="auto"/>
          <w:sz w:val="24"/>
          <w:szCs w:val="24"/>
          <w:highlight w:val="none"/>
          <w:u w:val="single"/>
          <w:lang w:val="en-US" w:eastAsia="zh-CN"/>
        </w:rPr>
        <w:t xml:space="preserve">                              </w:t>
      </w:r>
    </w:p>
    <w:p w14:paraId="565BAA54">
      <w:pPr>
        <w:pStyle w:val="206"/>
        <w:spacing w:line="360" w:lineRule="auto"/>
        <w:ind w:firstLine="560"/>
        <w:rPr>
          <w:rFonts w:ascii="宋体" w:hAnsi="宋体"/>
          <w:color w:val="auto"/>
          <w:sz w:val="28"/>
          <w:highlight w:val="none"/>
          <w:lang w:val="en-US" w:eastAsia="zh-CN"/>
        </w:rPr>
      </w:pPr>
      <w:r>
        <w:rPr>
          <w:rFonts w:hint="eastAsia" w:ascii="宋体" w:hAnsi="宋体"/>
          <w:color w:val="auto"/>
          <w:sz w:val="28"/>
          <w:highlight w:val="none"/>
          <w:lang w:val="en-US" w:eastAsia="zh-CN"/>
        </w:rPr>
        <w:t>委托代理人联系电话：（手机）</w:t>
      </w:r>
      <w:r>
        <w:rPr>
          <w:rFonts w:hint="eastAsia" w:ascii="宋体" w:hAnsi="宋体"/>
          <w:color w:val="auto"/>
          <w:sz w:val="24"/>
          <w:szCs w:val="24"/>
          <w:highlight w:val="none"/>
          <w:u w:val="single"/>
          <w:lang w:val="en-US" w:eastAsia="zh-CN"/>
        </w:rPr>
        <w:t xml:space="preserve">                       </w:t>
      </w:r>
    </w:p>
    <w:p w14:paraId="3D0D7932">
      <w:pPr>
        <w:pStyle w:val="206"/>
        <w:spacing w:line="360" w:lineRule="auto"/>
        <w:ind w:firstLine="560"/>
        <w:rPr>
          <w:rFonts w:ascii="宋体" w:hAnsi="宋体"/>
          <w:color w:val="auto"/>
          <w:sz w:val="28"/>
          <w:highlight w:val="none"/>
          <w:u w:val="single"/>
          <w:lang w:val="en-US" w:eastAsia="zh-CN"/>
        </w:rPr>
      </w:pPr>
      <w:r>
        <w:rPr>
          <w:rFonts w:hint="eastAsia" w:ascii="宋体" w:hAnsi="宋体"/>
          <w:color w:val="auto"/>
          <w:sz w:val="28"/>
          <w:highlight w:val="none"/>
          <w:lang w:val="en-US" w:eastAsia="zh-CN"/>
        </w:rPr>
        <w:t>法定代表人（负责人）签章</w:t>
      </w:r>
      <w:r>
        <w:rPr>
          <w:rFonts w:hint="eastAsia" w:ascii="宋体" w:hAnsi="宋体"/>
          <w:color w:val="auto"/>
          <w:sz w:val="24"/>
          <w:szCs w:val="24"/>
          <w:highlight w:val="none"/>
          <w:u w:val="single"/>
          <w:lang w:val="en-US" w:eastAsia="zh-CN"/>
        </w:rPr>
        <w:t xml:space="preserve">：                          </w:t>
      </w:r>
    </w:p>
    <w:p w14:paraId="557D1E95">
      <w:pPr>
        <w:pStyle w:val="206"/>
        <w:spacing w:line="360" w:lineRule="auto"/>
        <w:ind w:firstLine="560"/>
        <w:rPr>
          <w:rFonts w:ascii="宋体" w:hAnsi="宋体"/>
          <w:color w:val="auto"/>
          <w:sz w:val="28"/>
          <w:highlight w:val="none"/>
          <w:u w:val="single"/>
          <w:lang w:val="en-US" w:eastAsia="zh-CN"/>
        </w:rPr>
      </w:pPr>
      <w:r>
        <w:rPr>
          <w:rFonts w:hint="eastAsia" w:ascii="宋体" w:hAnsi="宋体"/>
          <w:color w:val="auto"/>
          <w:sz w:val="28"/>
          <w:highlight w:val="none"/>
          <w:lang w:val="en-US" w:eastAsia="zh-CN"/>
        </w:rPr>
        <w:t xml:space="preserve">          </w:t>
      </w:r>
    </w:p>
    <w:p w14:paraId="08724F29">
      <w:pPr>
        <w:pStyle w:val="206"/>
        <w:spacing w:line="360" w:lineRule="auto"/>
        <w:ind w:firstLine="560"/>
        <w:rPr>
          <w:rFonts w:ascii="宋体" w:hAnsi="宋体"/>
          <w:color w:val="auto"/>
          <w:sz w:val="28"/>
          <w:highlight w:val="none"/>
          <w:lang w:val="en-US" w:eastAsia="zh-CN"/>
        </w:rPr>
      </w:pPr>
    </w:p>
    <w:p w14:paraId="47643EFC">
      <w:pPr>
        <w:pStyle w:val="206"/>
        <w:spacing w:line="360" w:lineRule="auto"/>
        <w:rPr>
          <w:rFonts w:ascii="宋体" w:hAnsi="宋体"/>
          <w:color w:val="auto"/>
          <w:sz w:val="28"/>
          <w:highlight w:val="none"/>
          <w:lang w:val="en-US" w:eastAsia="zh-CN"/>
        </w:rPr>
      </w:pPr>
    </w:p>
    <w:p w14:paraId="2F7B8906">
      <w:pPr>
        <w:pStyle w:val="206"/>
        <w:spacing w:line="360" w:lineRule="auto"/>
        <w:ind w:firstLine="560"/>
        <w:rPr>
          <w:rFonts w:ascii="宋体" w:hAnsi="宋体"/>
          <w:color w:val="auto"/>
          <w:sz w:val="28"/>
          <w:highlight w:val="none"/>
          <w:lang w:val="en-US" w:eastAsia="zh-CN"/>
        </w:rPr>
      </w:pPr>
      <w:r>
        <w:rPr>
          <w:rFonts w:hint="eastAsia" w:ascii="宋体" w:hAnsi="宋体"/>
          <w:color w:val="auto"/>
          <w:sz w:val="28"/>
          <w:highlight w:val="none"/>
          <w:lang w:val="en-US" w:eastAsia="zh-CN"/>
        </w:rPr>
        <w:t>供应商名称（公章）：</w:t>
      </w:r>
    </w:p>
    <w:p w14:paraId="6195488C">
      <w:pPr>
        <w:pStyle w:val="206"/>
        <w:spacing w:line="360" w:lineRule="auto"/>
        <w:ind w:firstLine="560"/>
        <w:rPr>
          <w:rFonts w:hint="eastAsia" w:ascii="宋体" w:hAnsi="宋体"/>
          <w:color w:val="auto"/>
          <w:sz w:val="28"/>
          <w:highlight w:val="none"/>
          <w:lang w:val="en-US" w:eastAsia="zh-CN"/>
        </w:rPr>
      </w:pPr>
    </w:p>
    <w:p w14:paraId="1F2152CB">
      <w:pPr>
        <w:pStyle w:val="206"/>
        <w:spacing w:line="360" w:lineRule="auto"/>
        <w:ind w:firstLine="560"/>
        <w:rPr>
          <w:rFonts w:ascii="宋体" w:hAnsi="宋体"/>
          <w:color w:val="auto"/>
          <w:sz w:val="28"/>
          <w:highlight w:val="none"/>
          <w:u w:val="single"/>
          <w:lang w:val="en-US" w:eastAsia="zh-CN"/>
        </w:rPr>
      </w:pPr>
      <w:r>
        <w:rPr>
          <w:rFonts w:hint="eastAsia" w:ascii="宋体" w:hAnsi="宋体"/>
          <w:color w:val="auto"/>
          <w:sz w:val="28"/>
          <w:highlight w:val="none"/>
          <w:lang w:val="en-US" w:eastAsia="zh-CN"/>
        </w:rPr>
        <w:t>日     期：</w:t>
      </w:r>
    </w:p>
    <w:p w14:paraId="6CD1035A">
      <w:pPr>
        <w:pStyle w:val="206"/>
        <w:spacing w:line="360" w:lineRule="auto"/>
        <w:ind w:firstLine="643"/>
        <w:rPr>
          <w:rFonts w:hint="eastAsia" w:ascii="宋体" w:hAnsi="宋体"/>
          <w:b/>
          <w:color w:val="auto"/>
          <w:sz w:val="32"/>
          <w:szCs w:val="32"/>
          <w:highlight w:val="none"/>
          <w:lang w:val="en-US" w:eastAsia="zh-CN"/>
        </w:rPr>
      </w:pPr>
    </w:p>
    <w:p w14:paraId="1900BD1A">
      <w:pPr>
        <w:pStyle w:val="206"/>
        <w:spacing w:line="360" w:lineRule="auto"/>
        <w:ind w:firstLine="643"/>
        <w:rPr>
          <w:rFonts w:ascii="宋体" w:hAnsi="宋体"/>
          <w:b/>
          <w:color w:val="auto"/>
          <w:sz w:val="32"/>
          <w:szCs w:val="32"/>
          <w:highlight w:val="none"/>
          <w:lang w:val="en-US" w:eastAsia="zh-CN"/>
        </w:rPr>
      </w:pPr>
      <w:r>
        <w:rPr>
          <w:rFonts w:hint="eastAsia" w:ascii="宋体" w:hAnsi="宋体"/>
          <w:b/>
          <w:color w:val="auto"/>
          <w:sz w:val="32"/>
          <w:szCs w:val="32"/>
          <w:highlight w:val="none"/>
          <w:lang w:val="en-US" w:eastAsia="zh-CN"/>
        </w:rPr>
        <w:t>附：委托代理人居民身份证扫描件</w:t>
      </w:r>
    </w:p>
    <w:p w14:paraId="05F7AA40">
      <w:pPr>
        <w:pStyle w:val="271"/>
        <w:tabs>
          <w:tab w:val="left" w:pos="7290"/>
        </w:tabs>
        <w:spacing w:line="360" w:lineRule="auto"/>
        <w:ind w:firstLine="560"/>
        <w:jc w:val="left"/>
        <w:rPr>
          <w:rFonts w:hint="eastAsia"/>
          <w:color w:val="auto"/>
          <w:highlight w:val="none"/>
        </w:rPr>
      </w:pPr>
      <w:r>
        <w:rPr>
          <w:rFonts w:hint="eastAsia" w:ascii="宋体" w:hAnsi="宋体"/>
          <w:color w:val="auto"/>
          <w:sz w:val="28"/>
          <w:highlight w:val="none"/>
          <w:u w:val="single"/>
        </w:rPr>
        <w:t>注：“法定代表人（负责人）”授权委托其他人（必须为供应商正式员工，证明材料：社保交纳材料附后）</w:t>
      </w:r>
      <w:r>
        <w:rPr>
          <w:rFonts w:ascii="宋体" w:hAnsi="宋体"/>
          <w:color w:val="auto"/>
          <w:sz w:val="28"/>
          <w:highlight w:val="none"/>
          <w:u w:val="single"/>
        </w:rPr>
        <w:t>磋商</w:t>
      </w:r>
      <w:r>
        <w:rPr>
          <w:rFonts w:hint="eastAsia" w:ascii="宋体" w:hAnsi="宋体"/>
          <w:color w:val="auto"/>
          <w:sz w:val="28"/>
          <w:highlight w:val="none"/>
          <w:u w:val="single"/>
        </w:rPr>
        <w:t>的，须填写法定代表人身份证明书和本授权委托书。</w:t>
      </w:r>
      <w:bookmarkStart w:id="507" w:name="_Toc256000078"/>
    </w:p>
    <w:p w14:paraId="60360399">
      <w:pPr>
        <w:pStyle w:val="271"/>
        <w:tabs>
          <w:tab w:val="left" w:pos="7290"/>
        </w:tabs>
        <w:spacing w:line="360" w:lineRule="auto"/>
        <w:ind w:firstLine="420"/>
        <w:jc w:val="left"/>
        <w:rPr>
          <w:rFonts w:hint="eastAsia"/>
          <w:color w:val="auto"/>
          <w:highlight w:val="none"/>
        </w:rPr>
      </w:pPr>
    </w:p>
    <w:p w14:paraId="6324CCDE">
      <w:pPr>
        <w:pStyle w:val="271"/>
        <w:tabs>
          <w:tab w:val="left" w:pos="7290"/>
        </w:tabs>
        <w:spacing w:line="360" w:lineRule="auto"/>
        <w:ind w:firstLine="420"/>
        <w:jc w:val="left"/>
        <w:rPr>
          <w:rFonts w:hint="eastAsia"/>
          <w:color w:val="auto"/>
          <w:highlight w:val="none"/>
        </w:rPr>
      </w:pPr>
    </w:p>
    <w:p w14:paraId="4E8340B6">
      <w:pPr>
        <w:pStyle w:val="271"/>
        <w:tabs>
          <w:tab w:val="left" w:pos="7290"/>
        </w:tabs>
        <w:spacing w:line="360" w:lineRule="auto"/>
        <w:ind w:firstLine="420"/>
        <w:jc w:val="left"/>
        <w:rPr>
          <w:rFonts w:hint="eastAsia"/>
          <w:color w:val="auto"/>
          <w:highlight w:val="none"/>
        </w:rPr>
      </w:pPr>
    </w:p>
    <w:p w14:paraId="56763F33">
      <w:pPr>
        <w:pStyle w:val="271"/>
        <w:tabs>
          <w:tab w:val="left" w:pos="7290"/>
        </w:tabs>
        <w:spacing w:line="360" w:lineRule="auto"/>
        <w:ind w:firstLine="420"/>
        <w:jc w:val="left"/>
        <w:rPr>
          <w:rFonts w:hint="eastAsia"/>
          <w:color w:val="auto"/>
          <w:highlight w:val="none"/>
        </w:rPr>
      </w:pPr>
    </w:p>
    <w:p w14:paraId="684F6E3B">
      <w:pPr>
        <w:pStyle w:val="271"/>
        <w:tabs>
          <w:tab w:val="left" w:pos="7290"/>
        </w:tabs>
        <w:spacing w:line="360" w:lineRule="auto"/>
        <w:ind w:firstLine="420"/>
        <w:jc w:val="left"/>
        <w:rPr>
          <w:rFonts w:hint="eastAsia"/>
          <w:color w:val="auto"/>
          <w:highlight w:val="none"/>
        </w:rPr>
      </w:pPr>
    </w:p>
    <w:p w14:paraId="06F90A9E">
      <w:pPr>
        <w:pStyle w:val="273"/>
        <w:spacing w:line="360" w:lineRule="auto"/>
        <w:jc w:val="center"/>
        <w:outlineLvl w:val="1"/>
        <w:rPr>
          <w:rFonts w:hint="eastAsia" w:ascii="宋体" w:hAnsi="宋体" w:eastAsia="宋体" w:cs="宋体"/>
          <w:color w:val="auto"/>
          <w:sz w:val="28"/>
          <w:szCs w:val="28"/>
          <w:highlight w:val="none"/>
        </w:rPr>
      </w:pPr>
      <w:r>
        <w:rPr>
          <w:rFonts w:ascii="宋体" w:hAnsi="宋体" w:eastAsia="宋体" w:cs="宋体"/>
          <w:color w:val="auto"/>
          <w:sz w:val="28"/>
          <w:highlight w:val="none"/>
        </w:rPr>
        <w:t>(</w:t>
      </w:r>
      <w:r>
        <w:rPr>
          <w:rFonts w:hint="eastAsia" w:ascii="宋体" w:hAnsi="宋体" w:eastAsia="宋体" w:cs="宋体"/>
          <w:color w:val="auto"/>
          <w:sz w:val="28"/>
          <w:highlight w:val="none"/>
          <w:lang w:eastAsia="zh-CN"/>
        </w:rPr>
        <w:t>十</w:t>
      </w:r>
      <w:r>
        <w:rPr>
          <w:rFonts w:ascii="宋体" w:hAnsi="宋体" w:eastAsia="宋体" w:cs="宋体"/>
          <w:color w:val="auto"/>
          <w:sz w:val="28"/>
          <w:highlight w:val="none"/>
        </w:rPr>
        <w:t>)</w:t>
      </w:r>
      <w:r>
        <w:rPr>
          <w:rFonts w:hint="eastAsia" w:ascii="宋体" w:hAnsi="宋体" w:eastAsia="宋体" w:cs="宋体"/>
          <w:color w:val="auto"/>
          <w:sz w:val="28"/>
          <w:szCs w:val="28"/>
          <w:highlight w:val="none"/>
          <w:lang w:val="en-US" w:eastAsia="zh-CN"/>
        </w:rPr>
        <w:t>资格承诺函</w:t>
      </w:r>
    </w:p>
    <w:p w14:paraId="2B042BB2">
      <w:pPr>
        <w:pStyle w:val="273"/>
        <w:spacing w:line="360" w:lineRule="auto"/>
        <w:jc w:val="both"/>
        <w:outlineLvl w:val="1"/>
        <w:rPr>
          <w:rFonts w:hint="eastAsia" w:ascii="宋体" w:hAnsi="宋体" w:eastAsia="宋体" w:cs="宋体"/>
          <w:color w:val="auto"/>
          <w:highlight w:val="none"/>
          <w:u w:val="single"/>
          <w:lang w:val="en-US" w:eastAsia="zh-CN"/>
        </w:rPr>
      </w:pPr>
    </w:p>
    <w:p w14:paraId="560B10ED">
      <w:pPr>
        <w:pStyle w:val="273"/>
        <w:spacing w:line="360" w:lineRule="auto"/>
        <w:jc w:val="both"/>
        <w:outlineLvl w:val="1"/>
        <w:rPr>
          <w:rFonts w:hint="eastAsia" w:ascii="宋体" w:hAnsi="宋体" w:eastAsia="宋体" w:cs="宋体"/>
          <w:color w:val="auto"/>
          <w:highlight w:val="none"/>
        </w:rPr>
      </w:pPr>
      <w:r>
        <w:rPr>
          <w:rFonts w:hint="eastAsia" w:ascii="宋体" w:hAnsi="宋体" w:eastAsia="宋体" w:cs="宋体"/>
          <w:color w:val="auto"/>
          <w:highlight w:val="none"/>
          <w:u w:val="single"/>
          <w:lang w:val="en-US" w:eastAsia="zh-CN"/>
        </w:rPr>
        <w:t>致： （采购人、采购代理机构）</w:t>
      </w:r>
      <w:r>
        <w:rPr>
          <w:rFonts w:hint="eastAsia" w:ascii="宋体" w:hAnsi="宋体" w:eastAsia="宋体" w:cs="宋体"/>
          <w:color w:val="auto"/>
          <w:highlight w:val="none"/>
          <w:lang w:val="en-US" w:eastAsia="zh-CN"/>
        </w:rPr>
        <w:t xml:space="preserve"> </w:t>
      </w:r>
    </w:p>
    <w:p w14:paraId="59D36705">
      <w:pPr>
        <w:pStyle w:val="273"/>
        <w:spacing w:line="360" w:lineRule="auto"/>
        <w:ind w:firstLine="480"/>
        <w:jc w:val="both"/>
        <w:outlineLvl w:val="1"/>
        <w:rPr>
          <w:rFonts w:hint="eastAsia" w:ascii="宋体" w:hAnsi="宋体" w:eastAsia="宋体" w:cs="宋体"/>
          <w:color w:val="auto"/>
          <w:highlight w:val="none"/>
          <w:lang w:val="en-US" w:eastAsia="zh-CN"/>
        </w:rPr>
      </w:pPr>
    </w:p>
    <w:p w14:paraId="3A6C2E7E">
      <w:pPr>
        <w:pStyle w:val="273"/>
        <w:spacing w:line="360" w:lineRule="auto"/>
        <w:ind w:firstLine="480"/>
        <w:jc w:val="both"/>
        <w:outlineLvl w:val="1"/>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我单位参与</w:t>
      </w:r>
      <w:r>
        <w:rPr>
          <w:rFonts w:hint="eastAsia" w:ascii="宋体" w:hAnsi="宋体" w:eastAsia="宋体" w:cs="宋体"/>
          <w:color w:val="auto"/>
          <w:highlight w:val="none"/>
          <w:u w:val="single"/>
          <w:lang w:val="en-US" w:eastAsia="zh-CN"/>
        </w:rPr>
        <w:t xml:space="preserve"> （项目名称：   ）（项目编号：    ）</w:t>
      </w:r>
      <w:r>
        <w:rPr>
          <w:rFonts w:hint="eastAsia" w:ascii="宋体" w:hAnsi="宋体" w:eastAsia="宋体" w:cs="宋体"/>
          <w:color w:val="auto"/>
          <w:highlight w:val="none"/>
          <w:lang w:val="en-US" w:eastAsia="zh-CN"/>
        </w:rPr>
        <w:t xml:space="preserve">项目的政府采购活动， </w:t>
      </w:r>
    </w:p>
    <w:p w14:paraId="3310F95A">
      <w:pPr>
        <w:pStyle w:val="273"/>
        <w:spacing w:line="360" w:lineRule="auto"/>
        <w:ind w:firstLine="480"/>
        <w:jc w:val="both"/>
        <w:outlineLvl w:val="1"/>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现承诺如下： </w:t>
      </w:r>
    </w:p>
    <w:p w14:paraId="50B8378A">
      <w:pPr>
        <w:pStyle w:val="273"/>
        <w:spacing w:line="360" w:lineRule="auto"/>
        <w:ind w:firstLine="480"/>
        <w:jc w:val="both"/>
        <w:outlineLvl w:val="1"/>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1.我方具有良好的商业信誉和健全的财务会计制度。 </w:t>
      </w:r>
    </w:p>
    <w:p w14:paraId="0088A9BF">
      <w:pPr>
        <w:pStyle w:val="273"/>
        <w:spacing w:line="360" w:lineRule="auto"/>
        <w:ind w:firstLine="480"/>
        <w:jc w:val="both"/>
        <w:outlineLvl w:val="1"/>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2.我方具有履行合同所必需的设备和专业技术能力。 </w:t>
      </w:r>
    </w:p>
    <w:p w14:paraId="02781D77">
      <w:pPr>
        <w:pStyle w:val="273"/>
        <w:spacing w:line="360" w:lineRule="auto"/>
        <w:ind w:firstLine="480"/>
        <w:jc w:val="both"/>
        <w:outlineLvl w:val="1"/>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3.我方具有依法缴纳税收和社会保障资金的良好记录。 </w:t>
      </w:r>
    </w:p>
    <w:p w14:paraId="20D3E503">
      <w:pPr>
        <w:pStyle w:val="273"/>
        <w:spacing w:line="360" w:lineRule="auto"/>
        <w:ind w:firstLine="480"/>
        <w:jc w:val="both"/>
        <w:outlineLvl w:val="1"/>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4.我方参加本项目采购活动前三年内，在经营活动中没有重大违法记录。 </w:t>
      </w:r>
    </w:p>
    <w:p w14:paraId="7E2AB714">
      <w:pPr>
        <w:pStyle w:val="273"/>
        <w:spacing w:line="360" w:lineRule="auto"/>
        <w:ind w:firstLine="480"/>
        <w:jc w:val="both"/>
        <w:outlineLvl w:val="1"/>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若我单位承诺不实，自愿承担提供虚假材料谋取中标、成交的法律责任。 </w:t>
      </w:r>
    </w:p>
    <w:p w14:paraId="5DB12C50">
      <w:pPr>
        <w:pStyle w:val="273"/>
        <w:spacing w:line="360" w:lineRule="auto"/>
        <w:ind w:firstLine="480"/>
        <w:jc w:val="both"/>
        <w:outlineLvl w:val="1"/>
        <w:rPr>
          <w:rFonts w:hint="eastAsia" w:ascii="宋体" w:hAnsi="宋体" w:eastAsia="宋体" w:cs="宋体"/>
          <w:color w:val="auto"/>
          <w:highlight w:val="none"/>
          <w:lang w:val="en-US" w:eastAsia="zh-CN"/>
        </w:rPr>
      </w:pPr>
    </w:p>
    <w:p w14:paraId="7DC0D69C">
      <w:pPr>
        <w:pStyle w:val="273"/>
        <w:spacing w:line="360" w:lineRule="auto"/>
        <w:ind w:firstLine="480"/>
        <w:jc w:val="both"/>
        <w:outlineLvl w:val="1"/>
        <w:rPr>
          <w:rFonts w:ascii="宋体" w:hAnsi="宋体" w:eastAsia="宋体" w:cs="宋体"/>
          <w:color w:val="auto"/>
          <w:highlight w:val="none"/>
          <w:u w:val="single"/>
          <w:lang w:val="en-US"/>
        </w:rPr>
      </w:pPr>
      <w:r>
        <w:rPr>
          <w:rFonts w:hint="eastAsia" w:ascii="宋体" w:hAnsi="宋体" w:eastAsia="宋体" w:cs="宋体"/>
          <w:color w:val="auto"/>
          <w:highlight w:val="none"/>
          <w:lang w:val="en-US" w:eastAsia="zh-CN"/>
        </w:rPr>
        <w:t>磋商（响应）供应商（全称并盖章）：</w:t>
      </w:r>
      <w:r>
        <w:rPr>
          <w:rFonts w:hint="eastAsia" w:ascii="宋体" w:hAnsi="宋体" w:eastAsia="宋体" w:cs="宋体"/>
          <w:color w:val="auto"/>
          <w:highlight w:val="none"/>
          <w:u w:val="single"/>
          <w:lang w:val="en-US" w:eastAsia="zh-CN"/>
        </w:rPr>
        <w:t xml:space="preserve">             </w:t>
      </w:r>
    </w:p>
    <w:p w14:paraId="1BC36A30">
      <w:pPr>
        <w:pStyle w:val="273"/>
        <w:spacing w:line="360" w:lineRule="auto"/>
        <w:ind w:firstLine="480"/>
        <w:jc w:val="both"/>
        <w:outlineLvl w:val="1"/>
        <w:rPr>
          <w:rFonts w:hint="eastAsia" w:ascii="宋体" w:hAnsi="宋体" w:eastAsia="宋体" w:cs="宋体"/>
          <w:color w:val="auto"/>
          <w:highlight w:val="none"/>
          <w:u w:val="single"/>
        </w:rPr>
      </w:pPr>
      <w:r>
        <w:rPr>
          <w:rFonts w:hint="eastAsia" w:ascii="宋体" w:hAnsi="宋体" w:eastAsia="宋体" w:cs="宋体"/>
          <w:color w:val="auto"/>
          <w:highlight w:val="none"/>
          <w:lang w:val="en-US" w:eastAsia="zh-CN"/>
        </w:rPr>
        <w:t>供应商法定代表人或授权代表（签字或签章）：</w:t>
      </w:r>
      <w:r>
        <w:rPr>
          <w:rFonts w:hint="eastAsia" w:ascii="宋体" w:hAnsi="宋体" w:eastAsia="宋体" w:cs="宋体"/>
          <w:color w:val="auto"/>
          <w:highlight w:val="none"/>
          <w:u w:val="single"/>
          <w:lang w:val="en-US" w:eastAsia="zh-CN"/>
        </w:rPr>
        <w:t xml:space="preserve">                 </w:t>
      </w:r>
    </w:p>
    <w:p w14:paraId="59A520D5">
      <w:pPr>
        <w:pStyle w:val="273"/>
        <w:spacing w:line="360" w:lineRule="auto"/>
        <w:ind w:firstLine="480"/>
        <w:jc w:val="both"/>
        <w:outlineLvl w:val="1"/>
        <w:rPr>
          <w:rFonts w:hint="eastAsia" w:ascii="宋体" w:hAnsi="宋体" w:eastAsia="宋体" w:cs="宋体"/>
          <w:color w:val="auto"/>
          <w:highlight w:val="none"/>
          <w:u w:val="single"/>
        </w:rPr>
      </w:pPr>
      <w:r>
        <w:rPr>
          <w:rFonts w:hint="eastAsia" w:ascii="宋体" w:hAnsi="宋体" w:eastAsia="宋体" w:cs="宋体"/>
          <w:color w:val="auto"/>
          <w:highlight w:val="none"/>
          <w:lang w:val="en-US" w:eastAsia="zh-CN"/>
        </w:rPr>
        <w:t>日期：</w:t>
      </w:r>
      <w:r>
        <w:rPr>
          <w:rFonts w:hint="eastAsia" w:ascii="宋体" w:hAnsi="宋体" w:eastAsia="宋体" w:cs="宋体"/>
          <w:color w:val="auto"/>
          <w:highlight w:val="none"/>
          <w:u w:val="single"/>
          <w:lang w:val="en-US" w:eastAsia="zh-CN"/>
        </w:rPr>
        <w:t xml:space="preserve">                </w:t>
      </w:r>
    </w:p>
    <w:p w14:paraId="57446891">
      <w:pPr>
        <w:pStyle w:val="273"/>
        <w:jc w:val="both"/>
        <w:outlineLvl w:val="1"/>
        <w:rPr>
          <w:color w:val="auto"/>
          <w:highlight w:val="none"/>
        </w:rPr>
      </w:pPr>
      <w:r>
        <w:rPr>
          <w:rFonts w:hint="eastAsia"/>
          <w:color w:val="auto"/>
          <w:highlight w:val="none"/>
          <w:lang w:val="en-US" w:eastAsia="zh-CN"/>
        </w:rPr>
        <w:t xml:space="preserve">﹍﹍﹍﹍﹍﹍﹍﹍﹍﹍﹍﹍﹍﹍﹍﹍﹍﹍﹍﹍﹍﹍﹍﹍ </w:t>
      </w:r>
    </w:p>
    <w:p w14:paraId="4493FDC0">
      <w:pPr>
        <w:pStyle w:val="273"/>
        <w:jc w:val="both"/>
        <w:outlineLvl w:val="1"/>
        <w:rPr>
          <w:rFonts w:hint="eastAsia"/>
          <w:color w:val="auto"/>
          <w:highlight w:val="none"/>
          <w:lang w:val="en-US" w:eastAsia="zh-CN"/>
        </w:rPr>
      </w:pPr>
    </w:p>
    <w:p w14:paraId="4FF85B9B">
      <w:pPr>
        <w:pStyle w:val="273"/>
        <w:spacing w:line="360" w:lineRule="auto"/>
        <w:ind w:firstLine="420"/>
        <w:jc w:val="both"/>
        <w:outlineLvl w:val="1"/>
        <w:rPr>
          <w:rFonts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说明：1.供应商可自行选择是否提供本承诺函，若不提供本承诺函的，应按采购文件要求提供相应的证明材料。 </w:t>
      </w:r>
    </w:p>
    <w:p w14:paraId="62E719D0">
      <w:pPr>
        <w:pStyle w:val="273"/>
        <w:spacing w:line="360" w:lineRule="auto"/>
        <w:ind w:firstLine="420"/>
        <w:jc w:val="both"/>
        <w:outlineLvl w:val="1"/>
        <w:rPr>
          <w:rFonts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2.供应商可删减承诺事项，删减的承诺事项须按采购文件要求提供相应的证明材料。比如删去本承诺函第3项的，则应按采购文件要求提供依法缴纳税收和社会保障资金的良好记录。</w:t>
      </w:r>
    </w:p>
    <w:p w14:paraId="1B7A4145">
      <w:pPr>
        <w:pStyle w:val="273"/>
        <w:jc w:val="center"/>
        <w:outlineLvl w:val="1"/>
        <w:rPr>
          <w:color w:val="auto"/>
          <w:highlight w:val="none"/>
        </w:rPr>
      </w:pPr>
    </w:p>
    <w:p w14:paraId="044544F2">
      <w:pPr>
        <w:pStyle w:val="273"/>
        <w:jc w:val="center"/>
        <w:outlineLvl w:val="1"/>
        <w:rPr>
          <w:color w:val="auto"/>
          <w:highlight w:val="none"/>
        </w:rPr>
      </w:pPr>
    </w:p>
    <w:p w14:paraId="2769A66E">
      <w:pPr>
        <w:pStyle w:val="273"/>
        <w:jc w:val="center"/>
        <w:outlineLvl w:val="1"/>
        <w:rPr>
          <w:rFonts w:ascii="宋体" w:hAnsi="宋体" w:eastAsia="宋体" w:cs="宋体"/>
          <w:color w:val="auto"/>
          <w:sz w:val="32"/>
          <w:highlight w:val="none"/>
        </w:rPr>
      </w:pPr>
    </w:p>
    <w:p w14:paraId="09E69651">
      <w:pPr>
        <w:pStyle w:val="273"/>
        <w:jc w:val="center"/>
        <w:outlineLvl w:val="1"/>
        <w:rPr>
          <w:rFonts w:ascii="宋体" w:hAnsi="宋体" w:eastAsia="宋体" w:cs="宋体"/>
          <w:color w:val="auto"/>
          <w:sz w:val="32"/>
          <w:highlight w:val="none"/>
        </w:rPr>
      </w:pPr>
    </w:p>
    <w:p w14:paraId="79999B72">
      <w:pPr>
        <w:pStyle w:val="273"/>
        <w:jc w:val="center"/>
        <w:outlineLvl w:val="1"/>
        <w:rPr>
          <w:rFonts w:hint="eastAsia" w:ascii="宋体" w:hAnsi="宋体" w:eastAsia="宋体" w:cs="宋体"/>
          <w:color w:val="auto"/>
          <w:sz w:val="32"/>
          <w:highlight w:val="none"/>
          <w:lang w:eastAsia="zh-CN"/>
        </w:rPr>
      </w:pPr>
    </w:p>
    <w:p w14:paraId="45BC49DA">
      <w:pPr>
        <w:pStyle w:val="273"/>
        <w:jc w:val="center"/>
        <w:outlineLvl w:val="1"/>
        <w:rPr>
          <w:rFonts w:hint="eastAsia" w:ascii="宋体" w:hAnsi="宋体" w:eastAsia="宋体" w:cs="宋体"/>
          <w:color w:val="auto"/>
          <w:sz w:val="32"/>
          <w:highlight w:val="none"/>
          <w:lang w:eastAsia="zh-CN"/>
        </w:rPr>
      </w:pPr>
    </w:p>
    <w:p w14:paraId="10B0369D">
      <w:pPr>
        <w:pStyle w:val="273"/>
        <w:jc w:val="center"/>
        <w:outlineLvl w:val="1"/>
        <w:rPr>
          <w:rFonts w:hint="eastAsia" w:ascii="宋体" w:hAnsi="宋体" w:eastAsia="宋体" w:cs="宋体"/>
          <w:color w:val="auto"/>
          <w:sz w:val="32"/>
          <w:highlight w:val="none"/>
          <w:lang w:eastAsia="zh-CN"/>
        </w:rPr>
      </w:pPr>
    </w:p>
    <w:p w14:paraId="3137A2A2">
      <w:pPr>
        <w:pStyle w:val="273"/>
        <w:jc w:val="center"/>
        <w:outlineLvl w:val="1"/>
        <w:rPr>
          <w:rFonts w:hint="eastAsia" w:ascii="宋体" w:hAnsi="宋体" w:eastAsia="宋体" w:cs="宋体"/>
          <w:color w:val="auto"/>
          <w:sz w:val="32"/>
          <w:highlight w:val="none"/>
          <w:lang w:eastAsia="zh-CN"/>
        </w:rPr>
      </w:pPr>
    </w:p>
    <w:p w14:paraId="56E82D05">
      <w:pPr>
        <w:pStyle w:val="273"/>
        <w:jc w:val="center"/>
        <w:outlineLvl w:val="1"/>
        <w:rPr>
          <w:rFonts w:hint="eastAsia" w:ascii="宋体" w:hAnsi="宋体" w:eastAsia="宋体" w:cs="宋体"/>
          <w:color w:val="auto"/>
          <w:sz w:val="32"/>
          <w:highlight w:val="none"/>
          <w:lang w:eastAsia="zh-CN"/>
        </w:rPr>
      </w:pPr>
    </w:p>
    <w:p w14:paraId="659F0EEA">
      <w:pPr>
        <w:pStyle w:val="273"/>
        <w:jc w:val="center"/>
        <w:outlineLvl w:val="1"/>
        <w:rPr>
          <w:rFonts w:hint="eastAsia" w:ascii="宋体" w:hAnsi="宋体" w:eastAsia="宋体" w:cs="宋体"/>
          <w:color w:val="auto"/>
          <w:sz w:val="32"/>
          <w:highlight w:val="none"/>
          <w:lang w:eastAsia="zh-CN"/>
        </w:rPr>
      </w:pPr>
    </w:p>
    <w:p w14:paraId="576D7F28">
      <w:pPr>
        <w:pStyle w:val="273"/>
        <w:outlineLvl w:val="1"/>
        <w:rPr>
          <w:rFonts w:hint="eastAsia" w:ascii="宋体" w:hAnsi="宋体" w:eastAsia="宋体" w:cs="宋体"/>
          <w:color w:val="auto"/>
          <w:sz w:val="32"/>
          <w:highlight w:val="none"/>
          <w:lang w:eastAsia="zh-CN"/>
        </w:rPr>
      </w:pPr>
    </w:p>
    <w:p w14:paraId="64BE222F">
      <w:pPr>
        <w:pStyle w:val="273"/>
        <w:jc w:val="center"/>
        <w:outlineLvl w:val="1"/>
        <w:rPr>
          <w:color w:val="auto"/>
          <w:highlight w:val="none"/>
        </w:rPr>
      </w:pPr>
      <w:r>
        <w:rPr>
          <w:rFonts w:ascii="宋体" w:hAnsi="宋体" w:eastAsia="宋体" w:cs="宋体"/>
          <w:color w:val="auto"/>
          <w:sz w:val="32"/>
          <w:highlight w:val="none"/>
        </w:rPr>
        <w:t>二、技术部分</w:t>
      </w:r>
      <w:bookmarkEnd w:id="507"/>
    </w:p>
    <w:p w14:paraId="05E0E54E">
      <w:pPr>
        <w:pStyle w:val="274"/>
        <w:jc w:val="center"/>
        <w:outlineLvl w:val="2"/>
        <w:rPr>
          <w:rFonts w:hint="default" w:ascii="Times New Roman" w:hAnsi="Times New Roman" w:eastAsia="宋体" w:cs="Times New Roman"/>
          <w:color w:val="auto"/>
          <w:sz w:val="28"/>
          <w:szCs w:val="24"/>
          <w:highlight w:val="none"/>
          <w:lang w:bidi="ar-SA"/>
        </w:rPr>
      </w:pPr>
      <w:bookmarkStart w:id="508" w:name="_Toc256000079"/>
      <w:r>
        <w:rPr>
          <w:rFonts w:hint="default" w:ascii="Times New Roman" w:hAnsi="Times New Roman" w:eastAsia="宋体" w:cs="Times New Roman"/>
          <w:color w:val="auto"/>
          <w:sz w:val="28"/>
          <w:szCs w:val="24"/>
          <w:highlight w:val="none"/>
          <w:lang w:bidi="ar-SA"/>
        </w:rPr>
        <w:t>(一)</w:t>
      </w:r>
      <w:bookmarkEnd w:id="508"/>
      <w:r>
        <w:rPr>
          <w:rFonts w:hint="eastAsia" w:ascii="Times New Roman" w:hAnsi="Times New Roman" w:eastAsia="宋体" w:cs="Times New Roman"/>
          <w:color w:val="auto"/>
          <w:sz w:val="28"/>
          <w:szCs w:val="24"/>
          <w:highlight w:val="none"/>
          <w:lang w:bidi="ar-SA"/>
        </w:rPr>
        <w:t xml:space="preserve"> 总体概述</w:t>
      </w:r>
    </w:p>
    <w:p w14:paraId="096C219E">
      <w:pPr>
        <w:pStyle w:val="275"/>
        <w:jc w:val="center"/>
        <w:outlineLvl w:val="1"/>
        <w:rPr>
          <w:rFonts w:ascii="宋体" w:hAnsi="宋体" w:eastAsia="宋体" w:cs="宋体"/>
          <w:color w:val="auto"/>
          <w:sz w:val="28"/>
          <w:highlight w:val="none"/>
        </w:rPr>
      </w:pPr>
    </w:p>
    <w:p w14:paraId="59911EDB">
      <w:pPr>
        <w:pStyle w:val="275"/>
        <w:jc w:val="center"/>
        <w:outlineLvl w:val="1"/>
        <w:rPr>
          <w:rFonts w:ascii="宋体" w:hAnsi="宋体" w:eastAsia="宋体" w:cs="宋体"/>
          <w:color w:val="auto"/>
          <w:sz w:val="28"/>
          <w:highlight w:val="none"/>
        </w:rPr>
      </w:pPr>
    </w:p>
    <w:p w14:paraId="59C71D16">
      <w:pPr>
        <w:pStyle w:val="275"/>
        <w:jc w:val="center"/>
        <w:outlineLvl w:val="1"/>
        <w:rPr>
          <w:rFonts w:ascii="宋体" w:hAnsi="宋体" w:eastAsia="宋体" w:cs="宋体"/>
          <w:color w:val="auto"/>
          <w:sz w:val="28"/>
          <w:highlight w:val="none"/>
        </w:rPr>
      </w:pPr>
    </w:p>
    <w:p w14:paraId="70DC97AB">
      <w:pPr>
        <w:pStyle w:val="275"/>
        <w:jc w:val="center"/>
        <w:outlineLvl w:val="1"/>
        <w:rPr>
          <w:rFonts w:ascii="宋体" w:hAnsi="宋体" w:eastAsia="宋体" w:cs="宋体"/>
          <w:color w:val="auto"/>
          <w:sz w:val="28"/>
          <w:highlight w:val="none"/>
        </w:rPr>
      </w:pPr>
    </w:p>
    <w:p w14:paraId="45EAA6C4">
      <w:pPr>
        <w:pStyle w:val="275"/>
        <w:jc w:val="center"/>
        <w:outlineLvl w:val="1"/>
        <w:rPr>
          <w:rFonts w:ascii="宋体" w:hAnsi="宋体" w:eastAsia="宋体" w:cs="宋体"/>
          <w:color w:val="auto"/>
          <w:sz w:val="28"/>
          <w:highlight w:val="none"/>
        </w:rPr>
      </w:pPr>
    </w:p>
    <w:p w14:paraId="2E1D6303">
      <w:pPr>
        <w:pStyle w:val="275"/>
        <w:jc w:val="center"/>
        <w:outlineLvl w:val="1"/>
        <w:rPr>
          <w:rFonts w:ascii="宋体" w:hAnsi="宋体" w:eastAsia="宋体" w:cs="宋体"/>
          <w:color w:val="auto"/>
          <w:sz w:val="28"/>
          <w:highlight w:val="none"/>
        </w:rPr>
      </w:pPr>
    </w:p>
    <w:p w14:paraId="3C3E28DC">
      <w:pPr>
        <w:pStyle w:val="275"/>
        <w:jc w:val="center"/>
        <w:outlineLvl w:val="1"/>
        <w:rPr>
          <w:rFonts w:ascii="宋体" w:hAnsi="宋体" w:eastAsia="宋体" w:cs="宋体"/>
          <w:color w:val="auto"/>
          <w:sz w:val="28"/>
          <w:highlight w:val="none"/>
        </w:rPr>
      </w:pPr>
    </w:p>
    <w:p w14:paraId="32207A10">
      <w:pPr>
        <w:pStyle w:val="275"/>
        <w:jc w:val="center"/>
        <w:outlineLvl w:val="1"/>
        <w:rPr>
          <w:rFonts w:ascii="宋体" w:hAnsi="宋体" w:eastAsia="宋体" w:cs="宋体"/>
          <w:color w:val="auto"/>
          <w:sz w:val="28"/>
          <w:highlight w:val="none"/>
        </w:rPr>
      </w:pPr>
    </w:p>
    <w:p w14:paraId="7F424E2A">
      <w:pPr>
        <w:pStyle w:val="275"/>
        <w:jc w:val="center"/>
        <w:outlineLvl w:val="1"/>
        <w:rPr>
          <w:rFonts w:ascii="宋体" w:hAnsi="宋体" w:eastAsia="宋体" w:cs="宋体"/>
          <w:color w:val="auto"/>
          <w:sz w:val="28"/>
          <w:highlight w:val="none"/>
        </w:rPr>
      </w:pPr>
    </w:p>
    <w:p w14:paraId="1FF1A44E">
      <w:pPr>
        <w:pStyle w:val="275"/>
        <w:jc w:val="center"/>
        <w:outlineLvl w:val="1"/>
        <w:rPr>
          <w:rFonts w:ascii="宋体" w:hAnsi="宋体" w:eastAsia="宋体" w:cs="宋体"/>
          <w:color w:val="auto"/>
          <w:sz w:val="28"/>
          <w:highlight w:val="none"/>
        </w:rPr>
      </w:pPr>
    </w:p>
    <w:p w14:paraId="1B30043F">
      <w:pPr>
        <w:pStyle w:val="275"/>
        <w:jc w:val="center"/>
        <w:outlineLvl w:val="1"/>
        <w:rPr>
          <w:rFonts w:ascii="宋体" w:hAnsi="宋体" w:eastAsia="宋体" w:cs="宋体"/>
          <w:color w:val="auto"/>
          <w:sz w:val="28"/>
          <w:highlight w:val="none"/>
        </w:rPr>
      </w:pPr>
    </w:p>
    <w:p w14:paraId="05655212">
      <w:pPr>
        <w:pStyle w:val="275"/>
        <w:jc w:val="center"/>
        <w:outlineLvl w:val="1"/>
        <w:rPr>
          <w:rFonts w:ascii="宋体" w:hAnsi="宋体" w:eastAsia="宋体" w:cs="宋体"/>
          <w:color w:val="auto"/>
          <w:sz w:val="28"/>
          <w:highlight w:val="none"/>
        </w:rPr>
      </w:pPr>
    </w:p>
    <w:p w14:paraId="7D1CC7DE">
      <w:pPr>
        <w:pStyle w:val="275"/>
        <w:jc w:val="center"/>
        <w:outlineLvl w:val="1"/>
        <w:rPr>
          <w:rFonts w:ascii="宋体" w:hAnsi="宋体" w:eastAsia="宋体" w:cs="宋体"/>
          <w:color w:val="auto"/>
          <w:sz w:val="28"/>
          <w:highlight w:val="none"/>
        </w:rPr>
      </w:pPr>
    </w:p>
    <w:p w14:paraId="72DA0DE3">
      <w:pPr>
        <w:pStyle w:val="275"/>
        <w:jc w:val="center"/>
        <w:outlineLvl w:val="1"/>
        <w:rPr>
          <w:rFonts w:ascii="宋体" w:hAnsi="宋体" w:eastAsia="宋体" w:cs="宋体"/>
          <w:color w:val="auto"/>
          <w:sz w:val="28"/>
          <w:highlight w:val="none"/>
        </w:rPr>
      </w:pPr>
    </w:p>
    <w:p w14:paraId="57C3EF62">
      <w:pPr>
        <w:pStyle w:val="275"/>
        <w:jc w:val="center"/>
        <w:outlineLvl w:val="1"/>
        <w:rPr>
          <w:rFonts w:ascii="宋体" w:hAnsi="宋体" w:eastAsia="宋体" w:cs="宋体"/>
          <w:color w:val="auto"/>
          <w:sz w:val="28"/>
          <w:highlight w:val="none"/>
        </w:rPr>
      </w:pPr>
    </w:p>
    <w:p w14:paraId="7EDA662B">
      <w:pPr>
        <w:pStyle w:val="275"/>
        <w:jc w:val="center"/>
        <w:outlineLvl w:val="1"/>
        <w:rPr>
          <w:rFonts w:ascii="宋体" w:hAnsi="宋体" w:eastAsia="宋体" w:cs="宋体"/>
          <w:color w:val="auto"/>
          <w:sz w:val="28"/>
          <w:highlight w:val="none"/>
        </w:rPr>
      </w:pPr>
    </w:p>
    <w:p w14:paraId="1073D0E2">
      <w:pPr>
        <w:pStyle w:val="275"/>
        <w:jc w:val="center"/>
        <w:outlineLvl w:val="1"/>
        <w:rPr>
          <w:rFonts w:ascii="宋体" w:hAnsi="宋体" w:eastAsia="宋体" w:cs="宋体"/>
          <w:color w:val="auto"/>
          <w:sz w:val="28"/>
          <w:highlight w:val="none"/>
        </w:rPr>
      </w:pPr>
    </w:p>
    <w:p w14:paraId="0A6F7C53">
      <w:pPr>
        <w:pStyle w:val="275"/>
        <w:jc w:val="center"/>
        <w:outlineLvl w:val="1"/>
        <w:rPr>
          <w:rFonts w:ascii="宋体" w:hAnsi="宋体" w:eastAsia="宋体" w:cs="宋体"/>
          <w:color w:val="auto"/>
          <w:sz w:val="28"/>
          <w:highlight w:val="none"/>
        </w:rPr>
      </w:pPr>
    </w:p>
    <w:p w14:paraId="49D86465">
      <w:pPr>
        <w:pStyle w:val="275"/>
        <w:jc w:val="center"/>
        <w:outlineLvl w:val="1"/>
        <w:rPr>
          <w:rFonts w:ascii="宋体" w:hAnsi="宋体" w:eastAsia="宋体" w:cs="宋体"/>
          <w:color w:val="auto"/>
          <w:sz w:val="28"/>
          <w:highlight w:val="none"/>
        </w:rPr>
      </w:pPr>
    </w:p>
    <w:p w14:paraId="4D37CCDB">
      <w:pPr>
        <w:pStyle w:val="275"/>
        <w:jc w:val="center"/>
        <w:outlineLvl w:val="1"/>
        <w:rPr>
          <w:rFonts w:ascii="宋体" w:hAnsi="宋体" w:eastAsia="宋体" w:cs="宋体"/>
          <w:color w:val="auto"/>
          <w:sz w:val="28"/>
          <w:highlight w:val="none"/>
        </w:rPr>
      </w:pPr>
    </w:p>
    <w:p w14:paraId="3B50FC40">
      <w:pPr>
        <w:pStyle w:val="275"/>
        <w:jc w:val="center"/>
        <w:outlineLvl w:val="1"/>
        <w:rPr>
          <w:rFonts w:hint="eastAsia" w:ascii="宋体" w:hAnsi="宋体" w:eastAsia="宋体" w:cs="宋体"/>
          <w:color w:val="auto"/>
          <w:sz w:val="28"/>
          <w:highlight w:val="none"/>
          <w:lang w:eastAsia="zh-CN"/>
        </w:rPr>
      </w:pPr>
    </w:p>
    <w:p w14:paraId="52F76B56">
      <w:pPr>
        <w:pStyle w:val="275"/>
        <w:jc w:val="center"/>
        <w:outlineLvl w:val="1"/>
        <w:rPr>
          <w:rFonts w:hint="eastAsia" w:ascii="宋体" w:hAnsi="宋体" w:eastAsia="宋体" w:cs="宋体"/>
          <w:color w:val="auto"/>
          <w:sz w:val="28"/>
          <w:highlight w:val="none"/>
          <w:lang w:eastAsia="zh-CN"/>
        </w:rPr>
      </w:pPr>
    </w:p>
    <w:p w14:paraId="2C7829E9">
      <w:pPr>
        <w:pStyle w:val="275"/>
        <w:jc w:val="center"/>
        <w:outlineLvl w:val="1"/>
        <w:rPr>
          <w:rFonts w:hint="eastAsia" w:ascii="宋体" w:hAnsi="宋体" w:eastAsia="宋体" w:cs="宋体"/>
          <w:color w:val="auto"/>
          <w:sz w:val="28"/>
          <w:highlight w:val="none"/>
          <w:lang w:eastAsia="zh-CN"/>
        </w:rPr>
      </w:pPr>
    </w:p>
    <w:p w14:paraId="251D0020">
      <w:pPr>
        <w:pStyle w:val="275"/>
        <w:jc w:val="center"/>
        <w:outlineLvl w:val="1"/>
        <w:rPr>
          <w:rFonts w:hint="eastAsia" w:ascii="宋体" w:hAnsi="宋体" w:eastAsia="宋体" w:cs="宋体"/>
          <w:color w:val="auto"/>
          <w:sz w:val="28"/>
          <w:highlight w:val="none"/>
          <w:lang w:eastAsia="zh-CN"/>
        </w:rPr>
      </w:pPr>
    </w:p>
    <w:p w14:paraId="2D12B15E">
      <w:pPr>
        <w:pStyle w:val="275"/>
        <w:jc w:val="center"/>
        <w:outlineLvl w:val="1"/>
        <w:rPr>
          <w:rFonts w:hint="eastAsia" w:ascii="宋体" w:hAnsi="宋体" w:eastAsia="宋体" w:cs="宋体"/>
          <w:color w:val="auto"/>
          <w:sz w:val="28"/>
          <w:highlight w:val="none"/>
          <w:lang w:eastAsia="zh-CN"/>
        </w:rPr>
      </w:pPr>
    </w:p>
    <w:p w14:paraId="2AFFD646">
      <w:pPr>
        <w:pStyle w:val="275"/>
        <w:jc w:val="center"/>
        <w:outlineLvl w:val="1"/>
        <w:rPr>
          <w:rFonts w:hint="eastAsia" w:ascii="宋体" w:hAnsi="宋体" w:eastAsia="宋体" w:cs="宋体"/>
          <w:color w:val="auto"/>
          <w:sz w:val="28"/>
          <w:highlight w:val="none"/>
          <w:lang w:eastAsia="zh-CN"/>
        </w:rPr>
      </w:pPr>
    </w:p>
    <w:p w14:paraId="5DC1AE8C">
      <w:pPr>
        <w:pStyle w:val="275"/>
        <w:jc w:val="center"/>
        <w:outlineLvl w:val="1"/>
        <w:rPr>
          <w:rFonts w:hint="eastAsia" w:ascii="宋体" w:hAnsi="宋体" w:eastAsia="宋体" w:cs="宋体"/>
          <w:color w:val="auto"/>
          <w:sz w:val="28"/>
          <w:highlight w:val="none"/>
          <w:lang w:eastAsia="zh-CN"/>
        </w:rPr>
      </w:pPr>
    </w:p>
    <w:p w14:paraId="6C908CF7">
      <w:pPr>
        <w:pStyle w:val="275"/>
        <w:jc w:val="center"/>
        <w:outlineLvl w:val="1"/>
        <w:rPr>
          <w:rFonts w:hint="eastAsia" w:ascii="宋体" w:hAnsi="宋体" w:eastAsia="宋体" w:cs="宋体"/>
          <w:color w:val="auto"/>
          <w:sz w:val="28"/>
          <w:highlight w:val="none"/>
          <w:lang w:eastAsia="zh-CN"/>
        </w:rPr>
      </w:pPr>
    </w:p>
    <w:p w14:paraId="1B15B03B">
      <w:pPr>
        <w:pStyle w:val="275"/>
        <w:jc w:val="center"/>
        <w:outlineLvl w:val="1"/>
        <w:rPr>
          <w:rFonts w:hint="eastAsia" w:ascii="宋体" w:hAnsi="宋体" w:eastAsia="宋体" w:cs="宋体"/>
          <w:color w:val="auto"/>
          <w:sz w:val="28"/>
          <w:highlight w:val="none"/>
          <w:lang w:eastAsia="zh-CN"/>
        </w:rPr>
      </w:pPr>
    </w:p>
    <w:p w14:paraId="09BF8DF0">
      <w:pPr>
        <w:pStyle w:val="275"/>
        <w:jc w:val="center"/>
        <w:outlineLvl w:val="1"/>
        <w:rPr>
          <w:rFonts w:hint="eastAsia" w:ascii="宋体" w:hAnsi="宋体" w:eastAsia="宋体" w:cs="宋体"/>
          <w:color w:val="auto"/>
          <w:sz w:val="28"/>
          <w:highlight w:val="none"/>
          <w:lang w:eastAsia="zh-CN"/>
        </w:rPr>
      </w:pPr>
    </w:p>
    <w:p w14:paraId="4FF4B4FE">
      <w:pPr>
        <w:pStyle w:val="275"/>
        <w:jc w:val="center"/>
        <w:outlineLvl w:val="1"/>
        <w:rPr>
          <w:rFonts w:hint="eastAsia" w:ascii="宋体" w:hAnsi="宋体" w:eastAsia="宋体" w:cs="宋体"/>
          <w:color w:val="auto"/>
          <w:sz w:val="28"/>
          <w:highlight w:val="none"/>
          <w:lang w:eastAsia="zh-CN"/>
        </w:rPr>
      </w:pPr>
    </w:p>
    <w:p w14:paraId="70611079">
      <w:pPr>
        <w:pStyle w:val="275"/>
        <w:jc w:val="center"/>
        <w:outlineLvl w:val="1"/>
        <w:rPr>
          <w:rFonts w:hint="eastAsia" w:ascii="宋体" w:hAnsi="宋体" w:eastAsia="宋体" w:cs="宋体"/>
          <w:color w:val="auto"/>
          <w:sz w:val="28"/>
          <w:highlight w:val="none"/>
          <w:lang w:eastAsia="zh-CN"/>
        </w:rPr>
      </w:pPr>
    </w:p>
    <w:p w14:paraId="75322285">
      <w:pPr>
        <w:pStyle w:val="275"/>
        <w:jc w:val="center"/>
        <w:outlineLvl w:val="1"/>
        <w:rPr>
          <w:rFonts w:hint="eastAsia" w:ascii="宋体" w:hAnsi="宋体" w:eastAsia="宋体" w:cs="宋体"/>
          <w:color w:val="auto"/>
          <w:sz w:val="28"/>
          <w:highlight w:val="none"/>
          <w:lang w:eastAsia="zh-CN"/>
        </w:rPr>
      </w:pPr>
    </w:p>
    <w:p w14:paraId="1E54B398">
      <w:pPr>
        <w:pStyle w:val="275"/>
        <w:jc w:val="center"/>
        <w:outlineLvl w:val="1"/>
        <w:rPr>
          <w:rFonts w:hint="eastAsia" w:ascii="宋体" w:hAnsi="宋体" w:eastAsia="宋体" w:cs="宋体"/>
          <w:color w:val="auto"/>
          <w:sz w:val="28"/>
          <w:highlight w:val="none"/>
          <w:lang w:eastAsia="zh-CN"/>
        </w:rPr>
      </w:pPr>
    </w:p>
    <w:p w14:paraId="5F98CD86">
      <w:pPr>
        <w:pStyle w:val="275"/>
        <w:jc w:val="center"/>
        <w:outlineLvl w:val="1"/>
        <w:rPr>
          <w:rFonts w:hint="eastAsia" w:ascii="宋体" w:hAnsi="宋体" w:eastAsia="宋体" w:cs="宋体"/>
          <w:color w:val="auto"/>
          <w:sz w:val="28"/>
          <w:highlight w:val="none"/>
          <w:lang w:eastAsia="zh-CN"/>
        </w:rPr>
      </w:pPr>
    </w:p>
    <w:p w14:paraId="358332C9">
      <w:pPr>
        <w:pStyle w:val="275"/>
        <w:jc w:val="center"/>
        <w:outlineLvl w:val="1"/>
        <w:rPr>
          <w:rFonts w:hint="eastAsia" w:ascii="宋体" w:hAnsi="宋体" w:eastAsia="宋体" w:cs="宋体"/>
          <w:color w:val="auto"/>
          <w:sz w:val="28"/>
          <w:highlight w:val="none"/>
          <w:lang w:eastAsia="zh-CN"/>
        </w:rPr>
      </w:pPr>
    </w:p>
    <w:p w14:paraId="59D75263">
      <w:pPr>
        <w:pStyle w:val="275"/>
        <w:jc w:val="center"/>
        <w:outlineLvl w:val="1"/>
        <w:rPr>
          <w:rFonts w:ascii="宋体" w:hAnsi="宋体" w:eastAsia="宋体" w:cs="宋体"/>
          <w:color w:val="auto"/>
          <w:sz w:val="28"/>
          <w:highlight w:val="none"/>
          <w:lang w:eastAsia="zh-CN"/>
        </w:rPr>
      </w:pPr>
      <w:r>
        <w:rPr>
          <w:rFonts w:ascii="宋体" w:hAnsi="宋体" w:eastAsia="宋体" w:cs="宋体"/>
          <w:color w:val="auto"/>
          <w:sz w:val="28"/>
          <w:highlight w:val="none"/>
        </w:rPr>
        <w:t>(</w:t>
      </w:r>
      <w:r>
        <w:rPr>
          <w:rFonts w:hint="eastAsia" w:ascii="宋体" w:hAnsi="宋体" w:eastAsia="宋体" w:cs="宋体"/>
          <w:color w:val="auto"/>
          <w:sz w:val="28"/>
          <w:highlight w:val="none"/>
          <w:lang w:eastAsia="zh-CN"/>
        </w:rPr>
        <w:t>二</w:t>
      </w:r>
      <w:r>
        <w:rPr>
          <w:rFonts w:ascii="宋体" w:hAnsi="宋体" w:eastAsia="宋体" w:cs="宋体"/>
          <w:color w:val="auto"/>
          <w:sz w:val="28"/>
          <w:highlight w:val="none"/>
        </w:rPr>
        <w:t>)</w:t>
      </w:r>
      <w:r>
        <w:rPr>
          <w:rFonts w:eastAsia="宋体"/>
          <w:color w:val="auto"/>
          <w:sz w:val="28"/>
          <w:highlight w:val="none"/>
        </w:rPr>
        <w:t xml:space="preserve"> </w:t>
      </w:r>
      <w:r>
        <w:rPr>
          <w:rFonts w:hint="eastAsia" w:eastAsia="宋体"/>
          <w:color w:val="auto"/>
          <w:sz w:val="28"/>
          <w:highlight w:val="none"/>
        </w:rPr>
        <w:t>施工现场平面布置和临时设施、临时道路布置</w:t>
      </w:r>
    </w:p>
    <w:p w14:paraId="32F574BA">
      <w:pPr>
        <w:pStyle w:val="275"/>
        <w:jc w:val="center"/>
        <w:outlineLvl w:val="1"/>
        <w:rPr>
          <w:rFonts w:ascii="宋体" w:hAnsi="宋体" w:eastAsia="宋体" w:cs="宋体"/>
          <w:color w:val="auto"/>
          <w:sz w:val="28"/>
          <w:highlight w:val="none"/>
        </w:rPr>
      </w:pPr>
    </w:p>
    <w:p w14:paraId="72580119">
      <w:pPr>
        <w:pStyle w:val="275"/>
        <w:jc w:val="center"/>
        <w:outlineLvl w:val="1"/>
        <w:rPr>
          <w:rFonts w:ascii="宋体" w:hAnsi="宋体" w:eastAsia="宋体" w:cs="宋体"/>
          <w:color w:val="auto"/>
          <w:sz w:val="28"/>
          <w:highlight w:val="none"/>
        </w:rPr>
      </w:pPr>
    </w:p>
    <w:p w14:paraId="6692DF2C">
      <w:pPr>
        <w:pStyle w:val="275"/>
        <w:jc w:val="center"/>
        <w:outlineLvl w:val="1"/>
        <w:rPr>
          <w:rFonts w:ascii="宋体" w:hAnsi="宋体" w:eastAsia="宋体" w:cs="宋体"/>
          <w:color w:val="auto"/>
          <w:sz w:val="28"/>
          <w:highlight w:val="none"/>
        </w:rPr>
      </w:pPr>
    </w:p>
    <w:p w14:paraId="412B9B66">
      <w:pPr>
        <w:pStyle w:val="275"/>
        <w:jc w:val="center"/>
        <w:outlineLvl w:val="1"/>
        <w:rPr>
          <w:rFonts w:ascii="宋体" w:hAnsi="宋体" w:eastAsia="宋体" w:cs="宋体"/>
          <w:color w:val="auto"/>
          <w:sz w:val="28"/>
          <w:highlight w:val="none"/>
        </w:rPr>
      </w:pPr>
    </w:p>
    <w:p w14:paraId="784148DA">
      <w:pPr>
        <w:pStyle w:val="275"/>
        <w:jc w:val="center"/>
        <w:outlineLvl w:val="1"/>
        <w:rPr>
          <w:rFonts w:ascii="宋体" w:hAnsi="宋体" w:eastAsia="宋体" w:cs="宋体"/>
          <w:color w:val="auto"/>
          <w:sz w:val="28"/>
          <w:highlight w:val="none"/>
        </w:rPr>
      </w:pPr>
    </w:p>
    <w:p w14:paraId="029C88CD">
      <w:pPr>
        <w:pStyle w:val="275"/>
        <w:jc w:val="center"/>
        <w:outlineLvl w:val="1"/>
        <w:rPr>
          <w:rFonts w:ascii="宋体" w:hAnsi="宋体" w:eastAsia="宋体" w:cs="宋体"/>
          <w:color w:val="auto"/>
          <w:sz w:val="28"/>
          <w:highlight w:val="none"/>
        </w:rPr>
      </w:pPr>
    </w:p>
    <w:p w14:paraId="02006E7E">
      <w:pPr>
        <w:pStyle w:val="275"/>
        <w:jc w:val="center"/>
        <w:outlineLvl w:val="1"/>
        <w:rPr>
          <w:rFonts w:ascii="宋体" w:hAnsi="宋体" w:eastAsia="宋体" w:cs="宋体"/>
          <w:color w:val="auto"/>
          <w:sz w:val="28"/>
          <w:highlight w:val="none"/>
        </w:rPr>
      </w:pPr>
    </w:p>
    <w:p w14:paraId="7B267D8A">
      <w:pPr>
        <w:pStyle w:val="275"/>
        <w:jc w:val="center"/>
        <w:outlineLvl w:val="1"/>
        <w:rPr>
          <w:rFonts w:ascii="宋体" w:hAnsi="宋体" w:eastAsia="宋体" w:cs="宋体"/>
          <w:color w:val="auto"/>
          <w:sz w:val="28"/>
          <w:highlight w:val="none"/>
        </w:rPr>
      </w:pPr>
    </w:p>
    <w:p w14:paraId="33A0C2D8">
      <w:pPr>
        <w:pStyle w:val="275"/>
        <w:jc w:val="center"/>
        <w:outlineLvl w:val="1"/>
        <w:rPr>
          <w:rFonts w:ascii="宋体" w:hAnsi="宋体" w:eastAsia="宋体" w:cs="宋体"/>
          <w:color w:val="auto"/>
          <w:sz w:val="28"/>
          <w:highlight w:val="none"/>
        </w:rPr>
      </w:pPr>
    </w:p>
    <w:p w14:paraId="2880AE7C">
      <w:pPr>
        <w:pStyle w:val="275"/>
        <w:jc w:val="center"/>
        <w:outlineLvl w:val="1"/>
        <w:rPr>
          <w:rFonts w:ascii="宋体" w:hAnsi="宋体" w:eastAsia="宋体" w:cs="宋体"/>
          <w:color w:val="auto"/>
          <w:sz w:val="28"/>
          <w:highlight w:val="none"/>
        </w:rPr>
      </w:pPr>
    </w:p>
    <w:p w14:paraId="00EE6B07">
      <w:pPr>
        <w:pStyle w:val="275"/>
        <w:jc w:val="center"/>
        <w:outlineLvl w:val="1"/>
        <w:rPr>
          <w:rFonts w:ascii="宋体" w:hAnsi="宋体" w:eastAsia="宋体" w:cs="宋体"/>
          <w:color w:val="auto"/>
          <w:sz w:val="28"/>
          <w:highlight w:val="none"/>
        </w:rPr>
      </w:pPr>
    </w:p>
    <w:p w14:paraId="5E1F618A">
      <w:pPr>
        <w:pStyle w:val="275"/>
        <w:jc w:val="center"/>
        <w:outlineLvl w:val="1"/>
        <w:rPr>
          <w:rFonts w:ascii="宋体" w:hAnsi="宋体" w:eastAsia="宋体" w:cs="宋体"/>
          <w:color w:val="auto"/>
          <w:sz w:val="28"/>
          <w:highlight w:val="none"/>
        </w:rPr>
      </w:pPr>
    </w:p>
    <w:p w14:paraId="1D31BA2E">
      <w:pPr>
        <w:pStyle w:val="275"/>
        <w:jc w:val="center"/>
        <w:outlineLvl w:val="1"/>
        <w:rPr>
          <w:rFonts w:ascii="宋体" w:hAnsi="宋体" w:eastAsia="宋体" w:cs="宋体"/>
          <w:color w:val="auto"/>
          <w:sz w:val="28"/>
          <w:highlight w:val="none"/>
        </w:rPr>
      </w:pPr>
    </w:p>
    <w:p w14:paraId="78CBE8D0">
      <w:pPr>
        <w:pStyle w:val="275"/>
        <w:jc w:val="center"/>
        <w:outlineLvl w:val="1"/>
        <w:rPr>
          <w:rFonts w:hint="eastAsia" w:ascii="宋体" w:hAnsi="宋体" w:eastAsia="宋体" w:cs="宋体"/>
          <w:color w:val="auto"/>
          <w:sz w:val="28"/>
          <w:highlight w:val="none"/>
          <w:lang w:eastAsia="zh-CN"/>
        </w:rPr>
      </w:pPr>
    </w:p>
    <w:p w14:paraId="5920C32A">
      <w:pPr>
        <w:pStyle w:val="275"/>
        <w:jc w:val="center"/>
        <w:outlineLvl w:val="1"/>
        <w:rPr>
          <w:rFonts w:hint="eastAsia" w:ascii="宋体" w:hAnsi="宋体" w:eastAsia="宋体" w:cs="宋体"/>
          <w:color w:val="auto"/>
          <w:sz w:val="28"/>
          <w:highlight w:val="none"/>
          <w:lang w:eastAsia="zh-CN"/>
        </w:rPr>
      </w:pPr>
    </w:p>
    <w:p w14:paraId="7807936D">
      <w:pPr>
        <w:pStyle w:val="275"/>
        <w:jc w:val="center"/>
        <w:outlineLvl w:val="1"/>
        <w:rPr>
          <w:rFonts w:hint="eastAsia" w:ascii="宋体" w:hAnsi="宋体" w:eastAsia="宋体" w:cs="宋体"/>
          <w:color w:val="auto"/>
          <w:sz w:val="28"/>
          <w:highlight w:val="none"/>
          <w:lang w:eastAsia="zh-CN"/>
        </w:rPr>
      </w:pPr>
    </w:p>
    <w:p w14:paraId="1E222EFD">
      <w:pPr>
        <w:pStyle w:val="275"/>
        <w:jc w:val="center"/>
        <w:outlineLvl w:val="1"/>
        <w:rPr>
          <w:rFonts w:hint="eastAsia" w:ascii="宋体" w:hAnsi="宋体" w:eastAsia="宋体" w:cs="宋体"/>
          <w:color w:val="auto"/>
          <w:sz w:val="28"/>
          <w:highlight w:val="none"/>
          <w:lang w:eastAsia="zh-CN"/>
        </w:rPr>
      </w:pPr>
    </w:p>
    <w:p w14:paraId="11B3B5B1">
      <w:pPr>
        <w:pStyle w:val="275"/>
        <w:jc w:val="center"/>
        <w:outlineLvl w:val="1"/>
        <w:rPr>
          <w:rFonts w:hint="eastAsia" w:ascii="宋体" w:hAnsi="宋体" w:eastAsia="宋体" w:cs="宋体"/>
          <w:color w:val="auto"/>
          <w:sz w:val="28"/>
          <w:highlight w:val="none"/>
          <w:lang w:eastAsia="zh-CN"/>
        </w:rPr>
      </w:pPr>
    </w:p>
    <w:p w14:paraId="0CDFB904">
      <w:pPr>
        <w:pStyle w:val="275"/>
        <w:jc w:val="center"/>
        <w:outlineLvl w:val="1"/>
        <w:rPr>
          <w:rFonts w:hint="eastAsia" w:ascii="宋体" w:hAnsi="宋体" w:eastAsia="宋体" w:cs="宋体"/>
          <w:color w:val="auto"/>
          <w:sz w:val="28"/>
          <w:highlight w:val="none"/>
          <w:lang w:eastAsia="zh-CN"/>
        </w:rPr>
      </w:pPr>
    </w:p>
    <w:p w14:paraId="4E10054D">
      <w:pPr>
        <w:pStyle w:val="275"/>
        <w:jc w:val="center"/>
        <w:outlineLvl w:val="1"/>
        <w:rPr>
          <w:rFonts w:hint="eastAsia" w:ascii="宋体" w:hAnsi="宋体" w:eastAsia="宋体" w:cs="宋体"/>
          <w:color w:val="auto"/>
          <w:sz w:val="28"/>
          <w:highlight w:val="none"/>
          <w:lang w:eastAsia="zh-CN"/>
        </w:rPr>
      </w:pPr>
    </w:p>
    <w:p w14:paraId="10CF45A7">
      <w:pPr>
        <w:pStyle w:val="275"/>
        <w:jc w:val="center"/>
        <w:outlineLvl w:val="1"/>
        <w:rPr>
          <w:rFonts w:hint="eastAsia" w:ascii="宋体" w:hAnsi="宋体" w:eastAsia="宋体" w:cs="宋体"/>
          <w:color w:val="auto"/>
          <w:sz w:val="28"/>
          <w:highlight w:val="none"/>
          <w:lang w:eastAsia="zh-CN"/>
        </w:rPr>
      </w:pPr>
    </w:p>
    <w:p w14:paraId="790FD8C7">
      <w:pPr>
        <w:pStyle w:val="275"/>
        <w:jc w:val="center"/>
        <w:outlineLvl w:val="1"/>
        <w:rPr>
          <w:rFonts w:hint="eastAsia" w:ascii="宋体" w:hAnsi="宋体" w:eastAsia="宋体" w:cs="宋体"/>
          <w:color w:val="auto"/>
          <w:sz w:val="28"/>
          <w:highlight w:val="none"/>
          <w:lang w:eastAsia="zh-CN"/>
        </w:rPr>
      </w:pPr>
    </w:p>
    <w:p w14:paraId="03BE4AB3">
      <w:pPr>
        <w:pStyle w:val="275"/>
        <w:jc w:val="center"/>
        <w:outlineLvl w:val="1"/>
        <w:rPr>
          <w:rFonts w:hint="eastAsia" w:ascii="宋体" w:hAnsi="宋体" w:eastAsia="宋体" w:cs="宋体"/>
          <w:color w:val="auto"/>
          <w:sz w:val="28"/>
          <w:highlight w:val="none"/>
          <w:lang w:eastAsia="zh-CN"/>
        </w:rPr>
      </w:pPr>
    </w:p>
    <w:p w14:paraId="700C266F">
      <w:pPr>
        <w:pStyle w:val="275"/>
        <w:jc w:val="center"/>
        <w:outlineLvl w:val="1"/>
        <w:rPr>
          <w:rFonts w:hint="eastAsia" w:ascii="宋体" w:hAnsi="宋体" w:eastAsia="宋体" w:cs="宋体"/>
          <w:color w:val="auto"/>
          <w:sz w:val="28"/>
          <w:highlight w:val="none"/>
          <w:lang w:eastAsia="zh-CN"/>
        </w:rPr>
      </w:pPr>
    </w:p>
    <w:p w14:paraId="274F57A7">
      <w:pPr>
        <w:pStyle w:val="275"/>
        <w:jc w:val="center"/>
        <w:outlineLvl w:val="1"/>
        <w:rPr>
          <w:rFonts w:hint="eastAsia" w:ascii="宋体" w:hAnsi="宋体" w:eastAsia="宋体" w:cs="宋体"/>
          <w:color w:val="auto"/>
          <w:sz w:val="28"/>
          <w:highlight w:val="none"/>
          <w:lang w:eastAsia="zh-CN"/>
        </w:rPr>
      </w:pPr>
    </w:p>
    <w:p w14:paraId="576C0B74">
      <w:pPr>
        <w:pStyle w:val="275"/>
        <w:jc w:val="center"/>
        <w:outlineLvl w:val="1"/>
        <w:rPr>
          <w:rFonts w:hint="eastAsia" w:ascii="宋体" w:hAnsi="宋体" w:eastAsia="宋体" w:cs="宋体"/>
          <w:color w:val="auto"/>
          <w:sz w:val="28"/>
          <w:highlight w:val="none"/>
          <w:lang w:eastAsia="zh-CN"/>
        </w:rPr>
      </w:pPr>
    </w:p>
    <w:p w14:paraId="290E3F07">
      <w:pPr>
        <w:pStyle w:val="275"/>
        <w:jc w:val="center"/>
        <w:outlineLvl w:val="1"/>
        <w:rPr>
          <w:rFonts w:hint="eastAsia" w:ascii="宋体" w:hAnsi="宋体" w:eastAsia="宋体" w:cs="宋体"/>
          <w:color w:val="auto"/>
          <w:sz w:val="28"/>
          <w:highlight w:val="none"/>
          <w:lang w:eastAsia="zh-CN"/>
        </w:rPr>
      </w:pPr>
    </w:p>
    <w:p w14:paraId="3206B39E">
      <w:pPr>
        <w:pStyle w:val="275"/>
        <w:jc w:val="center"/>
        <w:outlineLvl w:val="1"/>
        <w:rPr>
          <w:rFonts w:hint="eastAsia" w:ascii="宋体" w:hAnsi="宋体" w:eastAsia="宋体" w:cs="宋体"/>
          <w:color w:val="auto"/>
          <w:sz w:val="28"/>
          <w:highlight w:val="none"/>
          <w:lang w:eastAsia="zh-CN"/>
        </w:rPr>
      </w:pPr>
    </w:p>
    <w:p w14:paraId="0EA3F97B">
      <w:pPr>
        <w:pStyle w:val="275"/>
        <w:jc w:val="center"/>
        <w:outlineLvl w:val="1"/>
        <w:rPr>
          <w:rFonts w:hint="eastAsia" w:ascii="宋体" w:hAnsi="宋体" w:eastAsia="宋体" w:cs="宋体"/>
          <w:color w:val="auto"/>
          <w:sz w:val="28"/>
          <w:highlight w:val="none"/>
          <w:lang w:eastAsia="zh-CN"/>
        </w:rPr>
      </w:pPr>
    </w:p>
    <w:p w14:paraId="4A6E7891">
      <w:pPr>
        <w:pStyle w:val="275"/>
        <w:jc w:val="center"/>
        <w:outlineLvl w:val="1"/>
        <w:rPr>
          <w:rFonts w:hint="eastAsia" w:ascii="宋体" w:hAnsi="宋体" w:eastAsia="宋体" w:cs="宋体"/>
          <w:color w:val="auto"/>
          <w:sz w:val="28"/>
          <w:highlight w:val="none"/>
          <w:lang w:eastAsia="zh-CN"/>
        </w:rPr>
      </w:pPr>
    </w:p>
    <w:p w14:paraId="4817B917">
      <w:pPr>
        <w:pStyle w:val="275"/>
        <w:jc w:val="center"/>
        <w:outlineLvl w:val="1"/>
        <w:rPr>
          <w:rFonts w:hint="eastAsia" w:ascii="宋体" w:hAnsi="宋体" w:eastAsia="宋体" w:cs="宋体"/>
          <w:color w:val="auto"/>
          <w:sz w:val="28"/>
          <w:highlight w:val="none"/>
          <w:lang w:eastAsia="zh-CN"/>
        </w:rPr>
      </w:pPr>
    </w:p>
    <w:p w14:paraId="6DDEE6FD">
      <w:pPr>
        <w:pStyle w:val="275"/>
        <w:jc w:val="center"/>
        <w:outlineLvl w:val="1"/>
        <w:rPr>
          <w:rFonts w:hint="eastAsia" w:ascii="宋体" w:hAnsi="宋体" w:eastAsia="宋体" w:cs="宋体"/>
          <w:color w:val="auto"/>
          <w:sz w:val="28"/>
          <w:highlight w:val="none"/>
          <w:lang w:eastAsia="zh-CN"/>
        </w:rPr>
      </w:pPr>
    </w:p>
    <w:p w14:paraId="4A35129E">
      <w:pPr>
        <w:pStyle w:val="275"/>
        <w:jc w:val="center"/>
        <w:outlineLvl w:val="1"/>
        <w:rPr>
          <w:rFonts w:hint="eastAsia" w:ascii="宋体" w:hAnsi="宋体" w:eastAsia="宋体" w:cs="宋体"/>
          <w:color w:val="auto"/>
          <w:sz w:val="28"/>
          <w:highlight w:val="none"/>
          <w:lang w:eastAsia="zh-CN"/>
        </w:rPr>
      </w:pPr>
    </w:p>
    <w:p w14:paraId="34B59F4C">
      <w:pPr>
        <w:pStyle w:val="275"/>
        <w:jc w:val="center"/>
        <w:outlineLvl w:val="1"/>
        <w:rPr>
          <w:rFonts w:hint="eastAsia" w:ascii="宋体" w:hAnsi="宋体" w:eastAsia="宋体" w:cs="宋体"/>
          <w:color w:val="auto"/>
          <w:sz w:val="28"/>
          <w:highlight w:val="none"/>
          <w:lang w:eastAsia="zh-CN"/>
        </w:rPr>
      </w:pPr>
    </w:p>
    <w:p w14:paraId="0008A924">
      <w:pPr>
        <w:pStyle w:val="275"/>
        <w:jc w:val="center"/>
        <w:outlineLvl w:val="1"/>
        <w:rPr>
          <w:rFonts w:hint="eastAsia" w:ascii="宋体" w:hAnsi="宋体" w:eastAsia="宋体" w:cs="宋体"/>
          <w:color w:val="auto"/>
          <w:sz w:val="28"/>
          <w:highlight w:val="none"/>
          <w:lang w:eastAsia="zh-CN"/>
        </w:rPr>
      </w:pPr>
    </w:p>
    <w:p w14:paraId="713BBD52">
      <w:pPr>
        <w:pStyle w:val="275"/>
        <w:jc w:val="center"/>
        <w:outlineLvl w:val="1"/>
        <w:rPr>
          <w:rFonts w:hint="eastAsia" w:ascii="宋体" w:hAnsi="宋体" w:eastAsia="宋体" w:cs="宋体"/>
          <w:color w:val="auto"/>
          <w:sz w:val="28"/>
          <w:highlight w:val="none"/>
          <w:lang w:eastAsia="zh-CN"/>
        </w:rPr>
      </w:pPr>
    </w:p>
    <w:p w14:paraId="4867E939">
      <w:pPr>
        <w:pStyle w:val="275"/>
        <w:jc w:val="center"/>
        <w:outlineLvl w:val="1"/>
        <w:rPr>
          <w:rFonts w:hint="eastAsia" w:ascii="宋体" w:hAnsi="宋体" w:eastAsia="宋体" w:cs="宋体"/>
          <w:color w:val="auto"/>
          <w:sz w:val="28"/>
          <w:highlight w:val="none"/>
          <w:lang w:eastAsia="zh-CN"/>
        </w:rPr>
      </w:pPr>
    </w:p>
    <w:p w14:paraId="5EE1BB07">
      <w:pPr>
        <w:spacing w:line="288" w:lineRule="auto"/>
        <w:jc w:val="center"/>
        <w:rPr>
          <w:rFonts w:ascii="宋体" w:hAnsi="宋体"/>
          <w:color w:val="auto"/>
          <w:szCs w:val="21"/>
          <w:highlight w:val="none"/>
        </w:rPr>
      </w:pPr>
      <w:r>
        <w:rPr>
          <w:rFonts w:ascii="宋体" w:hAnsi="宋体" w:cs="宋体"/>
          <w:color w:val="auto"/>
          <w:sz w:val="28"/>
          <w:highlight w:val="none"/>
        </w:rPr>
        <w:t>(</w:t>
      </w:r>
      <w:r>
        <w:rPr>
          <w:rFonts w:hint="eastAsia" w:ascii="宋体" w:hAnsi="宋体" w:cs="宋体"/>
          <w:color w:val="auto"/>
          <w:sz w:val="28"/>
          <w:highlight w:val="none"/>
        </w:rPr>
        <w:t>三</w:t>
      </w:r>
      <w:r>
        <w:rPr>
          <w:rFonts w:ascii="宋体" w:hAnsi="宋体" w:cs="宋体"/>
          <w:color w:val="auto"/>
          <w:sz w:val="28"/>
          <w:highlight w:val="none"/>
        </w:rPr>
        <w:t>)</w:t>
      </w:r>
      <w:r>
        <w:rPr>
          <w:rFonts w:hint="eastAsia" w:ascii="宋体" w:hAnsi="宋体" w:cs="宋体"/>
          <w:color w:val="auto"/>
          <w:sz w:val="28"/>
          <w:highlight w:val="none"/>
        </w:rPr>
        <w:t xml:space="preserve"> 施工进度计划和各阶段进度的保证措施</w:t>
      </w:r>
    </w:p>
    <w:p w14:paraId="0BF14647">
      <w:pPr>
        <w:pStyle w:val="256"/>
        <w:jc w:val="center"/>
        <w:rPr>
          <w:rFonts w:ascii="宋体" w:hAnsi="宋体" w:eastAsia="宋体" w:cs="宋体"/>
          <w:color w:val="auto"/>
          <w:sz w:val="28"/>
          <w:highlight w:val="none"/>
          <w:lang w:eastAsia="zh-CN"/>
        </w:rPr>
      </w:pPr>
    </w:p>
    <w:p w14:paraId="17A5509A">
      <w:pPr>
        <w:pStyle w:val="275"/>
        <w:jc w:val="center"/>
        <w:outlineLvl w:val="1"/>
        <w:rPr>
          <w:rFonts w:ascii="宋体" w:hAnsi="宋体" w:eastAsia="宋体" w:cs="宋体"/>
          <w:color w:val="auto"/>
          <w:sz w:val="28"/>
          <w:highlight w:val="none"/>
        </w:rPr>
      </w:pPr>
    </w:p>
    <w:p w14:paraId="1B756F3C">
      <w:pPr>
        <w:pStyle w:val="275"/>
        <w:jc w:val="center"/>
        <w:outlineLvl w:val="1"/>
        <w:rPr>
          <w:rFonts w:ascii="宋体" w:hAnsi="宋体" w:eastAsia="宋体" w:cs="宋体"/>
          <w:color w:val="auto"/>
          <w:sz w:val="28"/>
          <w:highlight w:val="none"/>
        </w:rPr>
      </w:pPr>
    </w:p>
    <w:p w14:paraId="707C197E">
      <w:pPr>
        <w:pStyle w:val="275"/>
        <w:jc w:val="center"/>
        <w:outlineLvl w:val="1"/>
        <w:rPr>
          <w:rFonts w:ascii="宋体" w:hAnsi="宋体" w:eastAsia="宋体" w:cs="宋体"/>
          <w:color w:val="auto"/>
          <w:sz w:val="28"/>
          <w:highlight w:val="none"/>
        </w:rPr>
      </w:pPr>
    </w:p>
    <w:p w14:paraId="7814D2A9">
      <w:pPr>
        <w:pStyle w:val="275"/>
        <w:jc w:val="center"/>
        <w:outlineLvl w:val="1"/>
        <w:rPr>
          <w:rFonts w:ascii="宋体" w:hAnsi="宋体" w:eastAsia="宋体" w:cs="宋体"/>
          <w:color w:val="auto"/>
          <w:sz w:val="28"/>
          <w:highlight w:val="none"/>
        </w:rPr>
      </w:pPr>
    </w:p>
    <w:p w14:paraId="321621D5">
      <w:pPr>
        <w:pStyle w:val="275"/>
        <w:jc w:val="center"/>
        <w:outlineLvl w:val="1"/>
        <w:rPr>
          <w:rFonts w:ascii="宋体" w:hAnsi="宋体" w:eastAsia="宋体" w:cs="宋体"/>
          <w:color w:val="auto"/>
          <w:sz w:val="28"/>
          <w:highlight w:val="none"/>
        </w:rPr>
      </w:pPr>
    </w:p>
    <w:p w14:paraId="3967957B">
      <w:pPr>
        <w:pStyle w:val="275"/>
        <w:jc w:val="center"/>
        <w:outlineLvl w:val="1"/>
        <w:rPr>
          <w:rFonts w:ascii="宋体" w:hAnsi="宋体" w:eastAsia="宋体" w:cs="宋体"/>
          <w:color w:val="auto"/>
          <w:sz w:val="28"/>
          <w:highlight w:val="none"/>
        </w:rPr>
      </w:pPr>
    </w:p>
    <w:p w14:paraId="6574CE6F">
      <w:pPr>
        <w:pStyle w:val="275"/>
        <w:jc w:val="center"/>
        <w:outlineLvl w:val="1"/>
        <w:rPr>
          <w:rFonts w:ascii="宋体" w:hAnsi="宋体" w:eastAsia="宋体" w:cs="宋体"/>
          <w:color w:val="auto"/>
          <w:sz w:val="28"/>
          <w:highlight w:val="none"/>
        </w:rPr>
      </w:pPr>
    </w:p>
    <w:p w14:paraId="4CBF5A2F">
      <w:pPr>
        <w:pStyle w:val="275"/>
        <w:jc w:val="center"/>
        <w:outlineLvl w:val="1"/>
        <w:rPr>
          <w:rFonts w:ascii="宋体" w:hAnsi="宋体" w:eastAsia="宋体" w:cs="宋体"/>
          <w:color w:val="auto"/>
          <w:sz w:val="28"/>
          <w:highlight w:val="none"/>
        </w:rPr>
      </w:pPr>
    </w:p>
    <w:p w14:paraId="2CE3360A">
      <w:pPr>
        <w:pStyle w:val="275"/>
        <w:jc w:val="center"/>
        <w:outlineLvl w:val="1"/>
        <w:rPr>
          <w:rFonts w:ascii="宋体" w:hAnsi="宋体" w:eastAsia="宋体" w:cs="宋体"/>
          <w:color w:val="auto"/>
          <w:sz w:val="28"/>
          <w:highlight w:val="none"/>
        </w:rPr>
      </w:pPr>
    </w:p>
    <w:p w14:paraId="05A7CC8B">
      <w:pPr>
        <w:pStyle w:val="275"/>
        <w:jc w:val="center"/>
        <w:outlineLvl w:val="1"/>
        <w:rPr>
          <w:rFonts w:ascii="宋体" w:hAnsi="宋体" w:eastAsia="宋体" w:cs="宋体"/>
          <w:color w:val="auto"/>
          <w:sz w:val="28"/>
          <w:highlight w:val="none"/>
        </w:rPr>
      </w:pPr>
    </w:p>
    <w:p w14:paraId="19A956A9">
      <w:pPr>
        <w:pStyle w:val="275"/>
        <w:jc w:val="center"/>
        <w:outlineLvl w:val="1"/>
        <w:rPr>
          <w:rFonts w:ascii="宋体" w:hAnsi="宋体" w:eastAsia="宋体" w:cs="宋体"/>
          <w:color w:val="auto"/>
          <w:sz w:val="28"/>
          <w:highlight w:val="none"/>
        </w:rPr>
      </w:pPr>
    </w:p>
    <w:p w14:paraId="12518817">
      <w:pPr>
        <w:pStyle w:val="275"/>
        <w:jc w:val="center"/>
        <w:outlineLvl w:val="1"/>
        <w:rPr>
          <w:rFonts w:ascii="宋体" w:hAnsi="宋体" w:eastAsia="宋体" w:cs="宋体"/>
          <w:color w:val="auto"/>
          <w:sz w:val="28"/>
          <w:highlight w:val="none"/>
        </w:rPr>
      </w:pPr>
    </w:p>
    <w:p w14:paraId="0C3709C8">
      <w:pPr>
        <w:pStyle w:val="275"/>
        <w:jc w:val="center"/>
        <w:outlineLvl w:val="1"/>
        <w:rPr>
          <w:rFonts w:ascii="宋体" w:hAnsi="宋体" w:eastAsia="宋体" w:cs="宋体"/>
          <w:color w:val="auto"/>
          <w:sz w:val="28"/>
          <w:highlight w:val="none"/>
        </w:rPr>
      </w:pPr>
    </w:p>
    <w:p w14:paraId="22AF4924">
      <w:pPr>
        <w:pStyle w:val="275"/>
        <w:jc w:val="center"/>
        <w:outlineLvl w:val="1"/>
        <w:rPr>
          <w:rFonts w:ascii="宋体" w:hAnsi="宋体" w:eastAsia="宋体" w:cs="宋体"/>
          <w:color w:val="auto"/>
          <w:sz w:val="28"/>
          <w:highlight w:val="none"/>
        </w:rPr>
      </w:pPr>
    </w:p>
    <w:p w14:paraId="23743025">
      <w:pPr>
        <w:pStyle w:val="275"/>
        <w:jc w:val="center"/>
        <w:outlineLvl w:val="1"/>
        <w:rPr>
          <w:rFonts w:ascii="宋体" w:hAnsi="宋体" w:eastAsia="宋体" w:cs="宋体"/>
          <w:color w:val="auto"/>
          <w:sz w:val="28"/>
          <w:highlight w:val="none"/>
        </w:rPr>
      </w:pPr>
    </w:p>
    <w:p w14:paraId="3133A591">
      <w:pPr>
        <w:pStyle w:val="275"/>
        <w:jc w:val="center"/>
        <w:outlineLvl w:val="1"/>
        <w:rPr>
          <w:rFonts w:ascii="宋体" w:hAnsi="宋体" w:eastAsia="宋体" w:cs="宋体"/>
          <w:color w:val="auto"/>
          <w:sz w:val="28"/>
          <w:highlight w:val="none"/>
        </w:rPr>
      </w:pPr>
    </w:p>
    <w:p w14:paraId="5650BB5E">
      <w:pPr>
        <w:pStyle w:val="275"/>
        <w:jc w:val="center"/>
        <w:outlineLvl w:val="1"/>
        <w:rPr>
          <w:rFonts w:ascii="宋体" w:hAnsi="宋体" w:eastAsia="宋体" w:cs="宋体"/>
          <w:color w:val="auto"/>
          <w:sz w:val="28"/>
          <w:highlight w:val="none"/>
        </w:rPr>
      </w:pPr>
    </w:p>
    <w:p w14:paraId="632CC5A5">
      <w:pPr>
        <w:pStyle w:val="275"/>
        <w:jc w:val="center"/>
        <w:outlineLvl w:val="1"/>
        <w:rPr>
          <w:rFonts w:ascii="宋体" w:hAnsi="宋体" w:eastAsia="宋体" w:cs="宋体"/>
          <w:color w:val="auto"/>
          <w:sz w:val="28"/>
          <w:highlight w:val="none"/>
        </w:rPr>
      </w:pPr>
    </w:p>
    <w:p w14:paraId="734226B0">
      <w:pPr>
        <w:pStyle w:val="275"/>
        <w:jc w:val="center"/>
        <w:outlineLvl w:val="1"/>
        <w:rPr>
          <w:rFonts w:ascii="宋体" w:hAnsi="宋体" w:eastAsia="宋体" w:cs="宋体"/>
          <w:color w:val="auto"/>
          <w:sz w:val="28"/>
          <w:highlight w:val="none"/>
        </w:rPr>
      </w:pPr>
    </w:p>
    <w:p w14:paraId="25BF1D5B">
      <w:pPr>
        <w:pStyle w:val="275"/>
        <w:jc w:val="center"/>
        <w:outlineLvl w:val="1"/>
        <w:rPr>
          <w:rFonts w:ascii="宋体" w:hAnsi="宋体" w:eastAsia="宋体" w:cs="宋体"/>
          <w:color w:val="auto"/>
          <w:sz w:val="28"/>
          <w:highlight w:val="none"/>
        </w:rPr>
      </w:pPr>
    </w:p>
    <w:p w14:paraId="1F75699E">
      <w:pPr>
        <w:pStyle w:val="275"/>
        <w:jc w:val="center"/>
        <w:outlineLvl w:val="1"/>
        <w:rPr>
          <w:rFonts w:hint="eastAsia" w:ascii="宋体" w:hAnsi="宋体" w:eastAsia="宋体" w:cs="宋体"/>
          <w:color w:val="auto"/>
          <w:sz w:val="28"/>
          <w:highlight w:val="none"/>
          <w:lang w:eastAsia="zh-CN"/>
        </w:rPr>
      </w:pPr>
    </w:p>
    <w:p w14:paraId="7997CCBE">
      <w:pPr>
        <w:pStyle w:val="275"/>
        <w:jc w:val="center"/>
        <w:outlineLvl w:val="1"/>
        <w:rPr>
          <w:rFonts w:hint="eastAsia" w:ascii="宋体" w:hAnsi="宋体" w:eastAsia="宋体" w:cs="宋体"/>
          <w:color w:val="auto"/>
          <w:sz w:val="28"/>
          <w:highlight w:val="none"/>
          <w:lang w:eastAsia="zh-CN"/>
        </w:rPr>
      </w:pPr>
    </w:p>
    <w:p w14:paraId="051E876E">
      <w:pPr>
        <w:pStyle w:val="275"/>
        <w:jc w:val="center"/>
        <w:outlineLvl w:val="1"/>
        <w:rPr>
          <w:rFonts w:hint="eastAsia" w:ascii="宋体" w:hAnsi="宋体" w:eastAsia="宋体" w:cs="宋体"/>
          <w:color w:val="auto"/>
          <w:sz w:val="28"/>
          <w:highlight w:val="none"/>
          <w:lang w:eastAsia="zh-CN"/>
        </w:rPr>
      </w:pPr>
    </w:p>
    <w:p w14:paraId="11A9649C">
      <w:pPr>
        <w:pStyle w:val="275"/>
        <w:jc w:val="center"/>
        <w:outlineLvl w:val="1"/>
        <w:rPr>
          <w:rFonts w:hint="eastAsia" w:ascii="宋体" w:hAnsi="宋体" w:eastAsia="宋体" w:cs="宋体"/>
          <w:color w:val="auto"/>
          <w:sz w:val="28"/>
          <w:highlight w:val="none"/>
          <w:lang w:eastAsia="zh-CN"/>
        </w:rPr>
      </w:pPr>
    </w:p>
    <w:p w14:paraId="335ACDCE">
      <w:pPr>
        <w:pStyle w:val="275"/>
        <w:jc w:val="center"/>
        <w:outlineLvl w:val="1"/>
        <w:rPr>
          <w:rFonts w:hint="eastAsia" w:ascii="宋体" w:hAnsi="宋体" w:eastAsia="宋体" w:cs="宋体"/>
          <w:color w:val="auto"/>
          <w:sz w:val="28"/>
          <w:highlight w:val="none"/>
          <w:lang w:eastAsia="zh-CN"/>
        </w:rPr>
      </w:pPr>
    </w:p>
    <w:p w14:paraId="38174A75">
      <w:pPr>
        <w:pStyle w:val="275"/>
        <w:jc w:val="center"/>
        <w:outlineLvl w:val="1"/>
        <w:rPr>
          <w:rFonts w:hint="eastAsia" w:ascii="宋体" w:hAnsi="宋体" w:eastAsia="宋体" w:cs="宋体"/>
          <w:color w:val="auto"/>
          <w:sz w:val="28"/>
          <w:highlight w:val="none"/>
          <w:lang w:eastAsia="zh-CN"/>
        </w:rPr>
      </w:pPr>
    </w:p>
    <w:p w14:paraId="5F2DFBC2">
      <w:pPr>
        <w:pStyle w:val="275"/>
        <w:jc w:val="center"/>
        <w:outlineLvl w:val="1"/>
        <w:rPr>
          <w:rFonts w:hint="eastAsia" w:ascii="宋体" w:hAnsi="宋体" w:eastAsia="宋体" w:cs="宋体"/>
          <w:color w:val="auto"/>
          <w:sz w:val="28"/>
          <w:highlight w:val="none"/>
          <w:lang w:eastAsia="zh-CN"/>
        </w:rPr>
      </w:pPr>
    </w:p>
    <w:p w14:paraId="37DA23AE">
      <w:pPr>
        <w:pStyle w:val="275"/>
        <w:jc w:val="center"/>
        <w:outlineLvl w:val="1"/>
        <w:rPr>
          <w:rFonts w:hint="eastAsia" w:ascii="宋体" w:hAnsi="宋体" w:eastAsia="宋体" w:cs="宋体"/>
          <w:color w:val="auto"/>
          <w:sz w:val="28"/>
          <w:highlight w:val="none"/>
          <w:lang w:eastAsia="zh-CN"/>
        </w:rPr>
      </w:pPr>
    </w:p>
    <w:p w14:paraId="395B0670">
      <w:pPr>
        <w:pStyle w:val="275"/>
        <w:jc w:val="center"/>
        <w:outlineLvl w:val="1"/>
        <w:rPr>
          <w:rFonts w:hint="eastAsia" w:ascii="宋体" w:hAnsi="宋体" w:eastAsia="宋体" w:cs="宋体"/>
          <w:color w:val="auto"/>
          <w:sz w:val="28"/>
          <w:highlight w:val="none"/>
          <w:lang w:eastAsia="zh-CN"/>
        </w:rPr>
      </w:pPr>
    </w:p>
    <w:p w14:paraId="05246658">
      <w:pPr>
        <w:pStyle w:val="275"/>
        <w:jc w:val="center"/>
        <w:outlineLvl w:val="1"/>
        <w:rPr>
          <w:rFonts w:hint="eastAsia" w:ascii="宋体" w:hAnsi="宋体" w:eastAsia="宋体" w:cs="宋体"/>
          <w:color w:val="auto"/>
          <w:sz w:val="28"/>
          <w:highlight w:val="none"/>
          <w:lang w:eastAsia="zh-CN"/>
        </w:rPr>
      </w:pPr>
    </w:p>
    <w:p w14:paraId="5DE3CBF9">
      <w:pPr>
        <w:pStyle w:val="275"/>
        <w:jc w:val="center"/>
        <w:outlineLvl w:val="1"/>
        <w:rPr>
          <w:rFonts w:hint="eastAsia" w:ascii="宋体" w:hAnsi="宋体" w:eastAsia="宋体" w:cs="宋体"/>
          <w:color w:val="auto"/>
          <w:sz w:val="28"/>
          <w:highlight w:val="none"/>
          <w:lang w:eastAsia="zh-CN"/>
        </w:rPr>
      </w:pPr>
    </w:p>
    <w:p w14:paraId="06B7D717">
      <w:pPr>
        <w:pStyle w:val="275"/>
        <w:jc w:val="center"/>
        <w:outlineLvl w:val="1"/>
        <w:rPr>
          <w:rFonts w:hint="eastAsia" w:ascii="宋体" w:hAnsi="宋体" w:eastAsia="宋体" w:cs="宋体"/>
          <w:color w:val="auto"/>
          <w:sz w:val="28"/>
          <w:highlight w:val="none"/>
          <w:lang w:eastAsia="zh-CN"/>
        </w:rPr>
      </w:pPr>
    </w:p>
    <w:p w14:paraId="67ED715E">
      <w:pPr>
        <w:pStyle w:val="275"/>
        <w:jc w:val="center"/>
        <w:outlineLvl w:val="1"/>
        <w:rPr>
          <w:rFonts w:hint="eastAsia" w:ascii="宋体" w:hAnsi="宋体" w:eastAsia="宋体" w:cs="宋体"/>
          <w:color w:val="auto"/>
          <w:sz w:val="28"/>
          <w:highlight w:val="none"/>
          <w:lang w:eastAsia="zh-CN"/>
        </w:rPr>
      </w:pPr>
    </w:p>
    <w:p w14:paraId="284B83EC">
      <w:pPr>
        <w:pStyle w:val="275"/>
        <w:jc w:val="center"/>
        <w:outlineLvl w:val="1"/>
        <w:rPr>
          <w:rFonts w:hint="eastAsia" w:ascii="宋体" w:hAnsi="宋体" w:eastAsia="宋体" w:cs="宋体"/>
          <w:color w:val="auto"/>
          <w:sz w:val="28"/>
          <w:highlight w:val="none"/>
          <w:lang w:eastAsia="zh-CN"/>
        </w:rPr>
      </w:pPr>
    </w:p>
    <w:p w14:paraId="7436735F">
      <w:pPr>
        <w:pStyle w:val="275"/>
        <w:jc w:val="center"/>
        <w:outlineLvl w:val="1"/>
        <w:rPr>
          <w:rFonts w:hint="eastAsia" w:ascii="宋体" w:hAnsi="宋体" w:eastAsia="宋体" w:cs="宋体"/>
          <w:color w:val="auto"/>
          <w:sz w:val="28"/>
          <w:highlight w:val="none"/>
          <w:lang w:eastAsia="zh-CN"/>
        </w:rPr>
      </w:pPr>
    </w:p>
    <w:p w14:paraId="6F64C080">
      <w:pPr>
        <w:pStyle w:val="275"/>
        <w:jc w:val="center"/>
        <w:outlineLvl w:val="1"/>
        <w:rPr>
          <w:rFonts w:hint="eastAsia" w:ascii="宋体" w:hAnsi="宋体" w:eastAsia="宋体" w:cs="宋体"/>
          <w:color w:val="auto"/>
          <w:sz w:val="28"/>
          <w:highlight w:val="none"/>
          <w:lang w:eastAsia="zh-CN"/>
        </w:rPr>
      </w:pPr>
    </w:p>
    <w:p w14:paraId="58B52FE8">
      <w:pPr>
        <w:pStyle w:val="275"/>
        <w:jc w:val="center"/>
        <w:outlineLvl w:val="1"/>
        <w:rPr>
          <w:rFonts w:hint="eastAsia" w:ascii="宋体" w:hAnsi="宋体" w:eastAsia="宋体" w:cs="宋体"/>
          <w:color w:val="auto"/>
          <w:sz w:val="28"/>
          <w:szCs w:val="22"/>
          <w:highlight w:val="none"/>
          <w:lang w:val="en-US" w:eastAsia="zh-CN" w:bidi="ar-SA"/>
        </w:rPr>
      </w:pPr>
      <w:r>
        <w:rPr>
          <w:rFonts w:hint="eastAsia" w:ascii="宋体" w:hAnsi="宋体" w:eastAsia="宋体" w:cs="宋体"/>
          <w:color w:val="auto"/>
          <w:sz w:val="28"/>
          <w:szCs w:val="22"/>
          <w:highlight w:val="none"/>
          <w:lang w:val="en-US" w:eastAsia="zh-CN" w:bidi="ar-SA"/>
        </w:rPr>
        <w:t>(四) 各分部分项工程的施工方案及质量保证措施</w:t>
      </w:r>
    </w:p>
    <w:p w14:paraId="74EC09EF">
      <w:pPr>
        <w:pStyle w:val="275"/>
        <w:jc w:val="center"/>
        <w:outlineLvl w:val="1"/>
        <w:rPr>
          <w:rFonts w:ascii="宋体" w:hAnsi="宋体" w:eastAsia="宋体" w:cs="宋体"/>
          <w:color w:val="auto"/>
          <w:sz w:val="28"/>
          <w:highlight w:val="none"/>
        </w:rPr>
      </w:pPr>
    </w:p>
    <w:p w14:paraId="4DB323E3">
      <w:pPr>
        <w:pStyle w:val="275"/>
        <w:jc w:val="center"/>
        <w:outlineLvl w:val="1"/>
        <w:rPr>
          <w:rFonts w:ascii="宋体" w:hAnsi="宋体" w:eastAsia="宋体" w:cs="宋体"/>
          <w:color w:val="auto"/>
          <w:sz w:val="28"/>
          <w:highlight w:val="none"/>
        </w:rPr>
      </w:pPr>
    </w:p>
    <w:p w14:paraId="53D28EAB">
      <w:pPr>
        <w:pStyle w:val="275"/>
        <w:jc w:val="center"/>
        <w:outlineLvl w:val="1"/>
        <w:rPr>
          <w:rFonts w:ascii="宋体" w:hAnsi="宋体" w:eastAsia="宋体" w:cs="宋体"/>
          <w:color w:val="auto"/>
          <w:sz w:val="28"/>
          <w:highlight w:val="none"/>
        </w:rPr>
      </w:pPr>
    </w:p>
    <w:p w14:paraId="42AEF062">
      <w:pPr>
        <w:pStyle w:val="275"/>
        <w:jc w:val="center"/>
        <w:outlineLvl w:val="1"/>
        <w:rPr>
          <w:rFonts w:ascii="宋体" w:hAnsi="宋体" w:eastAsia="宋体" w:cs="宋体"/>
          <w:color w:val="auto"/>
          <w:sz w:val="28"/>
          <w:highlight w:val="none"/>
        </w:rPr>
      </w:pPr>
    </w:p>
    <w:p w14:paraId="175A8461">
      <w:pPr>
        <w:pStyle w:val="275"/>
        <w:jc w:val="center"/>
        <w:outlineLvl w:val="1"/>
        <w:rPr>
          <w:rFonts w:ascii="宋体" w:hAnsi="宋体" w:eastAsia="宋体" w:cs="宋体"/>
          <w:color w:val="auto"/>
          <w:sz w:val="28"/>
          <w:highlight w:val="none"/>
        </w:rPr>
      </w:pPr>
    </w:p>
    <w:p w14:paraId="53986D12">
      <w:pPr>
        <w:pStyle w:val="275"/>
        <w:jc w:val="center"/>
        <w:outlineLvl w:val="1"/>
        <w:rPr>
          <w:rFonts w:ascii="宋体" w:hAnsi="宋体" w:eastAsia="宋体" w:cs="宋体"/>
          <w:color w:val="auto"/>
          <w:sz w:val="28"/>
          <w:highlight w:val="none"/>
        </w:rPr>
      </w:pPr>
    </w:p>
    <w:p w14:paraId="4533EBE5">
      <w:pPr>
        <w:pStyle w:val="275"/>
        <w:jc w:val="center"/>
        <w:outlineLvl w:val="1"/>
        <w:rPr>
          <w:rFonts w:ascii="宋体" w:hAnsi="宋体" w:eastAsia="宋体" w:cs="宋体"/>
          <w:color w:val="auto"/>
          <w:sz w:val="28"/>
          <w:highlight w:val="none"/>
        </w:rPr>
      </w:pPr>
    </w:p>
    <w:p w14:paraId="17E8DFF0">
      <w:pPr>
        <w:pStyle w:val="275"/>
        <w:jc w:val="center"/>
        <w:outlineLvl w:val="1"/>
        <w:rPr>
          <w:rFonts w:ascii="宋体" w:hAnsi="宋体" w:eastAsia="宋体" w:cs="宋体"/>
          <w:color w:val="auto"/>
          <w:sz w:val="28"/>
          <w:highlight w:val="none"/>
        </w:rPr>
      </w:pPr>
    </w:p>
    <w:p w14:paraId="0D97A694">
      <w:pPr>
        <w:pStyle w:val="275"/>
        <w:jc w:val="center"/>
        <w:outlineLvl w:val="1"/>
        <w:rPr>
          <w:rFonts w:ascii="宋体" w:hAnsi="宋体" w:eastAsia="宋体" w:cs="宋体"/>
          <w:color w:val="auto"/>
          <w:sz w:val="28"/>
          <w:highlight w:val="none"/>
        </w:rPr>
      </w:pPr>
    </w:p>
    <w:p w14:paraId="12CF9569">
      <w:pPr>
        <w:pStyle w:val="275"/>
        <w:jc w:val="center"/>
        <w:outlineLvl w:val="1"/>
        <w:rPr>
          <w:rFonts w:ascii="宋体" w:hAnsi="宋体" w:eastAsia="宋体" w:cs="宋体"/>
          <w:color w:val="auto"/>
          <w:sz w:val="28"/>
          <w:highlight w:val="none"/>
        </w:rPr>
      </w:pPr>
    </w:p>
    <w:p w14:paraId="474CA0DE">
      <w:pPr>
        <w:pStyle w:val="275"/>
        <w:jc w:val="center"/>
        <w:outlineLvl w:val="1"/>
        <w:rPr>
          <w:rFonts w:ascii="宋体" w:hAnsi="宋体" w:eastAsia="宋体" w:cs="宋体"/>
          <w:color w:val="auto"/>
          <w:sz w:val="28"/>
          <w:highlight w:val="none"/>
        </w:rPr>
      </w:pPr>
    </w:p>
    <w:p w14:paraId="33B5D208">
      <w:pPr>
        <w:pStyle w:val="275"/>
        <w:jc w:val="center"/>
        <w:outlineLvl w:val="1"/>
        <w:rPr>
          <w:rFonts w:ascii="宋体" w:hAnsi="宋体" w:eastAsia="宋体" w:cs="宋体"/>
          <w:color w:val="auto"/>
          <w:sz w:val="28"/>
          <w:highlight w:val="none"/>
        </w:rPr>
      </w:pPr>
    </w:p>
    <w:p w14:paraId="55126CD9">
      <w:pPr>
        <w:pStyle w:val="275"/>
        <w:jc w:val="center"/>
        <w:outlineLvl w:val="1"/>
        <w:rPr>
          <w:rFonts w:ascii="宋体" w:hAnsi="宋体" w:eastAsia="宋体" w:cs="宋体"/>
          <w:color w:val="auto"/>
          <w:sz w:val="28"/>
          <w:highlight w:val="none"/>
        </w:rPr>
      </w:pPr>
    </w:p>
    <w:p w14:paraId="030B9BD6">
      <w:pPr>
        <w:pStyle w:val="275"/>
        <w:jc w:val="center"/>
        <w:outlineLvl w:val="1"/>
        <w:rPr>
          <w:rFonts w:ascii="宋体" w:hAnsi="宋体" w:eastAsia="宋体" w:cs="宋体"/>
          <w:color w:val="auto"/>
          <w:sz w:val="28"/>
          <w:highlight w:val="none"/>
        </w:rPr>
      </w:pPr>
    </w:p>
    <w:p w14:paraId="44D61A8D">
      <w:pPr>
        <w:pStyle w:val="275"/>
        <w:jc w:val="center"/>
        <w:outlineLvl w:val="1"/>
        <w:rPr>
          <w:rFonts w:hint="eastAsia" w:ascii="宋体" w:hAnsi="宋体" w:eastAsia="宋体" w:cs="宋体"/>
          <w:color w:val="auto"/>
          <w:sz w:val="28"/>
          <w:highlight w:val="none"/>
          <w:lang w:eastAsia="zh-CN"/>
        </w:rPr>
      </w:pPr>
    </w:p>
    <w:p w14:paraId="286297DD">
      <w:pPr>
        <w:pStyle w:val="275"/>
        <w:jc w:val="center"/>
        <w:outlineLvl w:val="1"/>
        <w:rPr>
          <w:rFonts w:hint="eastAsia" w:ascii="宋体" w:hAnsi="宋体" w:eastAsia="宋体" w:cs="宋体"/>
          <w:color w:val="auto"/>
          <w:sz w:val="28"/>
          <w:highlight w:val="none"/>
          <w:lang w:eastAsia="zh-CN"/>
        </w:rPr>
      </w:pPr>
    </w:p>
    <w:p w14:paraId="5DA609CB">
      <w:pPr>
        <w:pStyle w:val="275"/>
        <w:jc w:val="center"/>
        <w:outlineLvl w:val="1"/>
        <w:rPr>
          <w:rFonts w:hint="eastAsia" w:ascii="宋体" w:hAnsi="宋体" w:eastAsia="宋体" w:cs="宋体"/>
          <w:color w:val="auto"/>
          <w:sz w:val="28"/>
          <w:highlight w:val="none"/>
          <w:lang w:eastAsia="zh-CN"/>
        </w:rPr>
      </w:pPr>
    </w:p>
    <w:p w14:paraId="6B15B23B">
      <w:pPr>
        <w:pStyle w:val="275"/>
        <w:jc w:val="center"/>
        <w:outlineLvl w:val="1"/>
        <w:rPr>
          <w:rFonts w:hint="eastAsia" w:ascii="宋体" w:hAnsi="宋体" w:eastAsia="宋体" w:cs="宋体"/>
          <w:color w:val="auto"/>
          <w:sz w:val="28"/>
          <w:highlight w:val="none"/>
          <w:lang w:eastAsia="zh-CN"/>
        </w:rPr>
      </w:pPr>
    </w:p>
    <w:p w14:paraId="4591336C">
      <w:pPr>
        <w:pStyle w:val="275"/>
        <w:jc w:val="center"/>
        <w:outlineLvl w:val="1"/>
        <w:rPr>
          <w:rFonts w:hint="eastAsia" w:ascii="宋体" w:hAnsi="宋体" w:eastAsia="宋体" w:cs="宋体"/>
          <w:color w:val="auto"/>
          <w:sz w:val="28"/>
          <w:highlight w:val="none"/>
          <w:lang w:eastAsia="zh-CN"/>
        </w:rPr>
      </w:pPr>
    </w:p>
    <w:p w14:paraId="5EA0CC5A">
      <w:pPr>
        <w:pStyle w:val="275"/>
        <w:jc w:val="center"/>
        <w:outlineLvl w:val="1"/>
        <w:rPr>
          <w:rFonts w:hint="eastAsia" w:ascii="宋体" w:hAnsi="宋体" w:eastAsia="宋体" w:cs="宋体"/>
          <w:color w:val="auto"/>
          <w:sz w:val="28"/>
          <w:highlight w:val="none"/>
          <w:lang w:eastAsia="zh-CN"/>
        </w:rPr>
      </w:pPr>
    </w:p>
    <w:p w14:paraId="5D9AE228">
      <w:pPr>
        <w:pStyle w:val="275"/>
        <w:jc w:val="center"/>
        <w:outlineLvl w:val="1"/>
        <w:rPr>
          <w:rFonts w:hint="eastAsia" w:ascii="宋体" w:hAnsi="宋体" w:eastAsia="宋体" w:cs="宋体"/>
          <w:color w:val="auto"/>
          <w:sz w:val="28"/>
          <w:highlight w:val="none"/>
          <w:lang w:eastAsia="zh-CN"/>
        </w:rPr>
      </w:pPr>
    </w:p>
    <w:p w14:paraId="1436D56C">
      <w:pPr>
        <w:pStyle w:val="275"/>
        <w:jc w:val="center"/>
        <w:outlineLvl w:val="1"/>
        <w:rPr>
          <w:rFonts w:hint="eastAsia" w:ascii="宋体" w:hAnsi="宋体" w:eastAsia="宋体" w:cs="宋体"/>
          <w:color w:val="auto"/>
          <w:sz w:val="28"/>
          <w:highlight w:val="none"/>
          <w:lang w:eastAsia="zh-CN"/>
        </w:rPr>
      </w:pPr>
    </w:p>
    <w:p w14:paraId="478C8D2D">
      <w:pPr>
        <w:pStyle w:val="275"/>
        <w:jc w:val="center"/>
        <w:outlineLvl w:val="1"/>
        <w:rPr>
          <w:rFonts w:hint="eastAsia" w:ascii="宋体" w:hAnsi="宋体" w:eastAsia="宋体" w:cs="宋体"/>
          <w:color w:val="auto"/>
          <w:sz w:val="28"/>
          <w:highlight w:val="none"/>
          <w:lang w:eastAsia="zh-CN"/>
        </w:rPr>
      </w:pPr>
    </w:p>
    <w:p w14:paraId="75CAA9B6">
      <w:pPr>
        <w:pStyle w:val="275"/>
        <w:jc w:val="center"/>
        <w:outlineLvl w:val="1"/>
        <w:rPr>
          <w:rFonts w:hint="eastAsia" w:ascii="宋体" w:hAnsi="宋体" w:eastAsia="宋体" w:cs="宋体"/>
          <w:color w:val="auto"/>
          <w:sz w:val="28"/>
          <w:highlight w:val="none"/>
          <w:lang w:eastAsia="zh-CN"/>
        </w:rPr>
      </w:pPr>
    </w:p>
    <w:p w14:paraId="586F38C4">
      <w:pPr>
        <w:pStyle w:val="275"/>
        <w:jc w:val="center"/>
        <w:outlineLvl w:val="1"/>
        <w:rPr>
          <w:rFonts w:hint="eastAsia" w:ascii="宋体" w:hAnsi="宋体" w:eastAsia="宋体" w:cs="宋体"/>
          <w:color w:val="auto"/>
          <w:sz w:val="28"/>
          <w:highlight w:val="none"/>
          <w:lang w:eastAsia="zh-CN"/>
        </w:rPr>
      </w:pPr>
    </w:p>
    <w:p w14:paraId="2499BC8F">
      <w:pPr>
        <w:pStyle w:val="275"/>
        <w:jc w:val="center"/>
        <w:outlineLvl w:val="1"/>
        <w:rPr>
          <w:rFonts w:hint="eastAsia" w:ascii="宋体" w:hAnsi="宋体" w:eastAsia="宋体" w:cs="宋体"/>
          <w:color w:val="auto"/>
          <w:sz w:val="28"/>
          <w:highlight w:val="none"/>
          <w:lang w:eastAsia="zh-CN"/>
        </w:rPr>
      </w:pPr>
    </w:p>
    <w:p w14:paraId="4433BF54">
      <w:pPr>
        <w:pStyle w:val="275"/>
        <w:jc w:val="center"/>
        <w:outlineLvl w:val="1"/>
        <w:rPr>
          <w:rFonts w:hint="eastAsia" w:ascii="宋体" w:hAnsi="宋体" w:eastAsia="宋体" w:cs="宋体"/>
          <w:color w:val="auto"/>
          <w:sz w:val="28"/>
          <w:highlight w:val="none"/>
          <w:lang w:eastAsia="zh-CN"/>
        </w:rPr>
      </w:pPr>
    </w:p>
    <w:p w14:paraId="2DB36918">
      <w:pPr>
        <w:pStyle w:val="275"/>
        <w:jc w:val="center"/>
        <w:outlineLvl w:val="1"/>
        <w:rPr>
          <w:rFonts w:hint="eastAsia" w:ascii="宋体" w:hAnsi="宋体" w:eastAsia="宋体" w:cs="宋体"/>
          <w:color w:val="auto"/>
          <w:sz w:val="28"/>
          <w:highlight w:val="none"/>
          <w:lang w:eastAsia="zh-CN"/>
        </w:rPr>
      </w:pPr>
    </w:p>
    <w:p w14:paraId="14BC8FA9">
      <w:pPr>
        <w:pStyle w:val="275"/>
        <w:jc w:val="center"/>
        <w:outlineLvl w:val="1"/>
        <w:rPr>
          <w:rFonts w:hint="eastAsia" w:ascii="宋体" w:hAnsi="宋体" w:eastAsia="宋体" w:cs="宋体"/>
          <w:color w:val="auto"/>
          <w:sz w:val="28"/>
          <w:highlight w:val="none"/>
          <w:lang w:eastAsia="zh-CN"/>
        </w:rPr>
      </w:pPr>
    </w:p>
    <w:p w14:paraId="199C46C9">
      <w:pPr>
        <w:pStyle w:val="275"/>
        <w:jc w:val="center"/>
        <w:outlineLvl w:val="1"/>
        <w:rPr>
          <w:rFonts w:hint="eastAsia" w:ascii="宋体" w:hAnsi="宋体" w:eastAsia="宋体" w:cs="宋体"/>
          <w:color w:val="auto"/>
          <w:sz w:val="28"/>
          <w:highlight w:val="none"/>
          <w:lang w:eastAsia="zh-CN"/>
        </w:rPr>
      </w:pPr>
    </w:p>
    <w:p w14:paraId="06B4B669">
      <w:pPr>
        <w:pStyle w:val="275"/>
        <w:jc w:val="center"/>
        <w:outlineLvl w:val="1"/>
        <w:rPr>
          <w:rFonts w:hint="eastAsia" w:ascii="宋体" w:hAnsi="宋体" w:eastAsia="宋体" w:cs="宋体"/>
          <w:color w:val="auto"/>
          <w:sz w:val="28"/>
          <w:highlight w:val="none"/>
          <w:lang w:eastAsia="zh-CN"/>
        </w:rPr>
      </w:pPr>
    </w:p>
    <w:p w14:paraId="73CF6F90">
      <w:pPr>
        <w:pStyle w:val="275"/>
        <w:jc w:val="center"/>
        <w:outlineLvl w:val="1"/>
        <w:rPr>
          <w:rFonts w:hint="eastAsia" w:ascii="宋体" w:hAnsi="宋体" w:eastAsia="宋体" w:cs="宋体"/>
          <w:color w:val="auto"/>
          <w:sz w:val="28"/>
          <w:highlight w:val="none"/>
          <w:lang w:eastAsia="zh-CN"/>
        </w:rPr>
      </w:pPr>
    </w:p>
    <w:p w14:paraId="36E3BE7D">
      <w:pPr>
        <w:pStyle w:val="275"/>
        <w:jc w:val="center"/>
        <w:outlineLvl w:val="1"/>
        <w:rPr>
          <w:rFonts w:hint="eastAsia" w:ascii="宋体" w:hAnsi="宋体" w:eastAsia="宋体" w:cs="宋体"/>
          <w:color w:val="auto"/>
          <w:sz w:val="28"/>
          <w:highlight w:val="none"/>
          <w:lang w:eastAsia="zh-CN"/>
        </w:rPr>
      </w:pPr>
    </w:p>
    <w:p w14:paraId="32F6F17D">
      <w:pPr>
        <w:pStyle w:val="275"/>
        <w:jc w:val="center"/>
        <w:outlineLvl w:val="1"/>
        <w:rPr>
          <w:rFonts w:hint="eastAsia" w:ascii="宋体" w:hAnsi="宋体" w:eastAsia="宋体" w:cs="宋体"/>
          <w:color w:val="auto"/>
          <w:sz w:val="28"/>
          <w:highlight w:val="none"/>
          <w:lang w:eastAsia="zh-CN"/>
        </w:rPr>
      </w:pPr>
    </w:p>
    <w:p w14:paraId="0F34EF70">
      <w:pPr>
        <w:pStyle w:val="275"/>
        <w:jc w:val="center"/>
        <w:outlineLvl w:val="1"/>
        <w:rPr>
          <w:rFonts w:hint="eastAsia" w:ascii="宋体" w:hAnsi="宋体" w:eastAsia="宋体" w:cs="宋体"/>
          <w:color w:val="auto"/>
          <w:sz w:val="28"/>
          <w:highlight w:val="none"/>
          <w:lang w:eastAsia="zh-CN"/>
        </w:rPr>
      </w:pPr>
    </w:p>
    <w:p w14:paraId="056BB958">
      <w:pPr>
        <w:pStyle w:val="275"/>
        <w:jc w:val="center"/>
        <w:outlineLvl w:val="1"/>
        <w:rPr>
          <w:rFonts w:hint="eastAsia" w:ascii="宋体" w:hAnsi="宋体" w:eastAsia="宋体" w:cs="宋体"/>
          <w:color w:val="auto"/>
          <w:sz w:val="28"/>
          <w:highlight w:val="none"/>
          <w:lang w:eastAsia="zh-CN"/>
        </w:rPr>
      </w:pPr>
    </w:p>
    <w:p w14:paraId="53080445">
      <w:pPr>
        <w:pStyle w:val="275"/>
        <w:jc w:val="center"/>
        <w:outlineLvl w:val="1"/>
        <w:rPr>
          <w:rFonts w:hint="eastAsia" w:ascii="宋体" w:hAnsi="宋体" w:eastAsia="宋体" w:cs="宋体"/>
          <w:color w:val="auto"/>
          <w:sz w:val="28"/>
          <w:highlight w:val="none"/>
          <w:lang w:eastAsia="zh-CN"/>
        </w:rPr>
      </w:pPr>
    </w:p>
    <w:p w14:paraId="6852467C">
      <w:pPr>
        <w:jc w:val="center"/>
        <w:rPr>
          <w:rFonts w:hint="eastAsia" w:ascii="宋体" w:hAnsi="宋体" w:eastAsia="宋体" w:cs="宋体"/>
          <w:color w:val="auto"/>
          <w:sz w:val="28"/>
          <w:szCs w:val="22"/>
          <w:highlight w:val="none"/>
          <w:lang w:val="en-US" w:eastAsia="zh-CN" w:bidi="ar-SA"/>
        </w:rPr>
      </w:pPr>
      <w:r>
        <w:rPr>
          <w:rFonts w:hint="eastAsia" w:ascii="宋体" w:hAnsi="宋体" w:eastAsia="宋体" w:cs="宋体"/>
          <w:color w:val="auto"/>
          <w:sz w:val="28"/>
          <w:szCs w:val="22"/>
          <w:highlight w:val="none"/>
          <w:lang w:val="en-US" w:eastAsia="zh-CN" w:bidi="ar-SA"/>
        </w:rPr>
        <w:t>（五）安全文明施工、环境保护措施</w:t>
      </w:r>
    </w:p>
    <w:p w14:paraId="45067A60">
      <w:pPr>
        <w:rPr>
          <w:rFonts w:hint="eastAsia" w:ascii="宋体" w:hAnsi="宋体" w:eastAsia="宋体" w:cs="宋体"/>
          <w:color w:val="auto"/>
          <w:sz w:val="28"/>
          <w:szCs w:val="22"/>
          <w:highlight w:val="none"/>
          <w:lang w:val="en-US" w:eastAsia="zh-CN" w:bidi="ar-SA"/>
        </w:rPr>
      </w:pPr>
      <w:r>
        <w:rPr>
          <w:rFonts w:hint="eastAsia" w:ascii="宋体" w:hAnsi="宋体" w:eastAsia="宋体" w:cs="宋体"/>
          <w:color w:val="auto"/>
          <w:sz w:val="28"/>
          <w:szCs w:val="22"/>
          <w:highlight w:val="none"/>
          <w:lang w:val="en-US" w:eastAsia="zh-CN" w:bidi="ar-SA"/>
        </w:rPr>
        <w:br w:type="page"/>
      </w:r>
    </w:p>
    <w:p w14:paraId="32AB1577">
      <w:pPr>
        <w:jc w:val="center"/>
        <w:rPr>
          <w:rFonts w:hint="default" w:ascii="宋体" w:hAnsi="宋体" w:eastAsia="宋体" w:cs="宋体"/>
          <w:color w:val="auto"/>
          <w:sz w:val="28"/>
          <w:szCs w:val="22"/>
          <w:highlight w:val="none"/>
          <w:lang w:val="en-US" w:eastAsia="zh-CN" w:bidi="ar-SA"/>
        </w:rPr>
      </w:pPr>
      <w:r>
        <w:rPr>
          <w:rFonts w:hint="eastAsia" w:ascii="宋体" w:hAnsi="宋体" w:eastAsia="宋体" w:cs="宋体"/>
          <w:color w:val="auto"/>
          <w:sz w:val="28"/>
          <w:szCs w:val="22"/>
          <w:highlight w:val="none"/>
          <w:lang w:val="en-US" w:eastAsia="zh-CN" w:bidi="ar-SA"/>
        </w:rPr>
        <w:t>（六）劳动力、机械设备和材料投入计划</w:t>
      </w:r>
    </w:p>
    <w:p w14:paraId="5F3CD932">
      <w:pPr>
        <w:rPr>
          <w:rFonts w:hint="eastAsia" w:ascii="宋体" w:hAnsi="宋体" w:eastAsia="宋体" w:cs="宋体"/>
          <w:color w:val="auto"/>
          <w:sz w:val="28"/>
          <w:szCs w:val="22"/>
          <w:highlight w:val="none"/>
          <w:lang w:val="en-US" w:eastAsia="zh-CN" w:bidi="ar-SA"/>
        </w:rPr>
      </w:pPr>
      <w:r>
        <w:rPr>
          <w:rFonts w:hint="eastAsia" w:ascii="宋体" w:hAnsi="宋体" w:eastAsia="宋体" w:cs="宋体"/>
          <w:color w:val="auto"/>
          <w:sz w:val="28"/>
          <w:szCs w:val="22"/>
          <w:highlight w:val="none"/>
          <w:lang w:val="en-US" w:eastAsia="zh-CN" w:bidi="ar-SA"/>
        </w:rPr>
        <w:br w:type="page"/>
      </w:r>
    </w:p>
    <w:p w14:paraId="4158EC48">
      <w:pPr>
        <w:jc w:val="center"/>
        <w:rPr>
          <w:rFonts w:hint="default" w:ascii="宋体" w:hAnsi="宋体" w:eastAsia="宋体" w:cs="宋体"/>
          <w:color w:val="auto"/>
          <w:sz w:val="28"/>
          <w:szCs w:val="22"/>
          <w:highlight w:val="none"/>
          <w:lang w:val="en-US" w:eastAsia="zh-CN" w:bidi="ar-SA"/>
        </w:rPr>
      </w:pPr>
      <w:r>
        <w:rPr>
          <w:rFonts w:hint="eastAsia" w:ascii="宋体" w:hAnsi="宋体" w:eastAsia="宋体" w:cs="宋体"/>
          <w:color w:val="auto"/>
          <w:sz w:val="28"/>
          <w:szCs w:val="22"/>
          <w:highlight w:val="none"/>
          <w:lang w:val="en-US" w:eastAsia="zh-CN" w:bidi="ar-SA"/>
        </w:rPr>
        <w:t>（七）关键施工技术、工艺及工程项目实施的重点、难点和解决方案</w:t>
      </w:r>
    </w:p>
    <w:p w14:paraId="1568A277">
      <w:pPr>
        <w:rPr>
          <w:rFonts w:hint="eastAsia" w:ascii="宋体" w:hAnsi="宋体" w:eastAsia="宋体" w:cs="宋体"/>
          <w:color w:val="auto"/>
          <w:sz w:val="28"/>
          <w:szCs w:val="22"/>
          <w:highlight w:val="none"/>
          <w:lang w:val="en-US" w:eastAsia="zh-CN" w:bidi="ar-SA"/>
        </w:rPr>
      </w:pPr>
      <w:r>
        <w:rPr>
          <w:rFonts w:hint="eastAsia" w:ascii="宋体" w:hAnsi="宋体" w:eastAsia="宋体" w:cs="宋体"/>
          <w:color w:val="auto"/>
          <w:sz w:val="28"/>
          <w:szCs w:val="22"/>
          <w:highlight w:val="none"/>
          <w:lang w:val="en-US" w:eastAsia="zh-CN" w:bidi="ar-SA"/>
        </w:rPr>
        <w:br w:type="page"/>
      </w:r>
    </w:p>
    <w:p w14:paraId="08CBA004">
      <w:pPr>
        <w:jc w:val="center"/>
        <w:rPr>
          <w:rFonts w:hint="default" w:ascii="宋体" w:hAnsi="宋体" w:eastAsia="宋体" w:cs="宋体"/>
          <w:color w:val="auto"/>
          <w:sz w:val="28"/>
          <w:szCs w:val="22"/>
          <w:highlight w:val="none"/>
          <w:lang w:val="en-US" w:eastAsia="zh-CN" w:bidi="ar-SA"/>
        </w:rPr>
      </w:pPr>
      <w:r>
        <w:rPr>
          <w:rFonts w:hint="eastAsia" w:ascii="宋体" w:hAnsi="宋体" w:eastAsia="宋体" w:cs="宋体"/>
          <w:color w:val="auto"/>
          <w:sz w:val="28"/>
          <w:szCs w:val="22"/>
          <w:highlight w:val="none"/>
          <w:lang w:val="en-US" w:eastAsia="zh-CN" w:bidi="ar-SA"/>
        </w:rPr>
        <w:t>（八）冬雨季施工、已有设施、保护等特殊情况下的施工措施</w:t>
      </w:r>
    </w:p>
    <w:p w14:paraId="1F2A4409">
      <w:pPr>
        <w:rPr>
          <w:rFonts w:hint="eastAsia" w:ascii="宋体" w:hAnsi="宋体" w:eastAsia="宋体" w:cs="宋体"/>
          <w:color w:val="auto"/>
          <w:sz w:val="28"/>
          <w:szCs w:val="22"/>
          <w:highlight w:val="none"/>
          <w:lang w:val="en-US" w:eastAsia="zh-CN" w:bidi="ar-SA"/>
        </w:rPr>
      </w:pPr>
      <w:r>
        <w:rPr>
          <w:rFonts w:hint="eastAsia" w:ascii="宋体" w:hAnsi="宋体" w:eastAsia="宋体" w:cs="宋体"/>
          <w:color w:val="auto"/>
          <w:sz w:val="28"/>
          <w:szCs w:val="22"/>
          <w:highlight w:val="none"/>
          <w:lang w:val="en-US" w:eastAsia="zh-CN" w:bidi="ar-SA"/>
        </w:rPr>
        <w:br w:type="page"/>
      </w:r>
    </w:p>
    <w:p w14:paraId="22CCFCEF">
      <w:pPr>
        <w:jc w:val="center"/>
        <w:rPr>
          <w:rFonts w:hint="default" w:ascii="宋体" w:hAnsi="宋体" w:eastAsia="宋体" w:cs="宋体"/>
          <w:color w:val="auto"/>
          <w:sz w:val="28"/>
          <w:szCs w:val="22"/>
          <w:highlight w:val="none"/>
          <w:lang w:val="en-US" w:eastAsia="zh-CN" w:bidi="ar-SA"/>
        </w:rPr>
      </w:pPr>
      <w:r>
        <w:rPr>
          <w:rFonts w:hint="eastAsia" w:ascii="宋体" w:hAnsi="宋体" w:eastAsia="宋体" w:cs="宋体"/>
          <w:color w:val="auto"/>
          <w:sz w:val="28"/>
          <w:szCs w:val="22"/>
          <w:highlight w:val="none"/>
          <w:lang w:val="en-US" w:eastAsia="zh-CN" w:bidi="ar-SA"/>
        </w:rPr>
        <w:t>（九）新技术、新产品、新工艺、新材料应用</w:t>
      </w:r>
    </w:p>
    <w:p w14:paraId="018DDAA6">
      <w:pPr>
        <w:pStyle w:val="275"/>
        <w:jc w:val="center"/>
        <w:outlineLvl w:val="1"/>
        <w:rPr>
          <w:rFonts w:hint="eastAsia" w:ascii="宋体" w:hAnsi="宋体" w:eastAsia="宋体" w:cs="宋体"/>
          <w:color w:val="auto"/>
          <w:sz w:val="32"/>
          <w:highlight w:val="none"/>
          <w:lang w:eastAsia="zh-CN"/>
        </w:rPr>
      </w:pPr>
      <w:r>
        <w:rPr>
          <w:color w:val="auto"/>
          <w:highlight w:val="none"/>
        </w:rPr>
        <w:br w:type="page" w:clear="all"/>
      </w:r>
      <w:bookmarkStart w:id="509" w:name="_Toc256000080"/>
      <w:r>
        <w:rPr>
          <w:rFonts w:ascii="宋体" w:hAnsi="宋体" w:eastAsia="宋体" w:cs="宋体"/>
          <w:color w:val="auto"/>
          <w:sz w:val="32"/>
          <w:highlight w:val="none"/>
        </w:rPr>
        <w:t>三、商务部分</w:t>
      </w:r>
      <w:bookmarkEnd w:id="509"/>
    </w:p>
    <w:p w14:paraId="3C5AC131">
      <w:pPr>
        <w:pStyle w:val="277"/>
        <w:widowControl/>
        <w:spacing w:line="400" w:lineRule="exact"/>
        <w:jc w:val="center"/>
        <w:rPr>
          <w:rFonts w:ascii="Times New Roman" w:hAnsi="Times New Roman" w:eastAsia="Times New Roman"/>
          <w:color w:val="auto"/>
          <w:highlight w:val="none"/>
        </w:rPr>
      </w:pPr>
      <w:bookmarkStart w:id="510" w:name="_Toc256000082"/>
      <w:r>
        <w:rPr>
          <w:rFonts w:ascii="宋体" w:hAnsi="宋体" w:cs="宋体"/>
          <w:color w:val="auto"/>
          <w:sz w:val="28"/>
          <w:highlight w:val="none"/>
        </w:rPr>
        <w:t xml:space="preserve"> (</w:t>
      </w:r>
      <w:r>
        <w:rPr>
          <w:rFonts w:hint="eastAsia" w:ascii="宋体" w:hAnsi="宋体" w:cs="宋体"/>
          <w:color w:val="auto"/>
          <w:sz w:val="28"/>
          <w:highlight w:val="none"/>
        </w:rPr>
        <w:t>一</w:t>
      </w:r>
      <w:r>
        <w:rPr>
          <w:rFonts w:ascii="宋体" w:hAnsi="宋体" w:cs="宋体"/>
          <w:color w:val="auto"/>
          <w:sz w:val="28"/>
          <w:highlight w:val="none"/>
        </w:rPr>
        <w:t>)</w:t>
      </w:r>
      <w:bookmarkEnd w:id="510"/>
      <w:r>
        <w:rPr>
          <w:rFonts w:hint="eastAsia" w:ascii="宋体" w:hAnsi="宋体" w:cs="宋体"/>
          <w:color w:val="auto"/>
          <w:sz w:val="28"/>
          <w:highlight w:val="none"/>
        </w:rPr>
        <w:t>经验业绩</w:t>
      </w:r>
    </w:p>
    <w:p w14:paraId="1D504652">
      <w:pPr>
        <w:pStyle w:val="277"/>
        <w:widowControl/>
        <w:spacing w:line="400" w:lineRule="exact"/>
        <w:jc w:val="center"/>
        <w:rPr>
          <w:rFonts w:ascii="Times New Roman" w:hAnsi="Times New Roman" w:eastAsia="Times New Roman"/>
          <w:color w:val="auto"/>
          <w:highlight w:val="none"/>
        </w:rPr>
      </w:pPr>
      <w:r>
        <w:rPr>
          <w:color w:val="auto"/>
          <w:highlight w:val="none"/>
        </w:rPr>
        <w:br w:type="page" w:clear="all"/>
      </w:r>
      <w:bookmarkStart w:id="511" w:name="_Toc256000083"/>
      <w:r>
        <w:rPr>
          <w:rFonts w:ascii="宋体" w:hAnsi="宋体" w:cs="宋体"/>
          <w:color w:val="auto"/>
          <w:sz w:val="28"/>
          <w:highlight w:val="none"/>
        </w:rPr>
        <w:t>(</w:t>
      </w:r>
      <w:r>
        <w:rPr>
          <w:rFonts w:hint="eastAsia" w:ascii="宋体" w:hAnsi="宋体" w:cs="宋体"/>
          <w:color w:val="auto"/>
          <w:sz w:val="28"/>
          <w:highlight w:val="none"/>
        </w:rPr>
        <w:t>二</w:t>
      </w:r>
      <w:r>
        <w:rPr>
          <w:rFonts w:ascii="宋体" w:hAnsi="宋体" w:cs="宋体"/>
          <w:color w:val="auto"/>
          <w:sz w:val="28"/>
          <w:highlight w:val="none"/>
        </w:rPr>
        <w:t xml:space="preserve">) </w:t>
      </w:r>
      <w:r>
        <w:rPr>
          <w:rFonts w:hint="eastAsia" w:ascii="宋体" w:hAnsi="宋体" w:cs="宋体"/>
          <w:color w:val="auto"/>
          <w:sz w:val="28"/>
          <w:highlight w:val="none"/>
        </w:rPr>
        <w:t>供应商奖项</w:t>
      </w:r>
    </w:p>
    <w:p w14:paraId="42C025D1">
      <w:pPr>
        <w:pStyle w:val="281"/>
        <w:spacing w:line="360" w:lineRule="auto"/>
        <w:ind w:firstLine="482"/>
        <w:jc w:val="center"/>
        <w:rPr>
          <w:rFonts w:hint="eastAsia" w:ascii="宋体" w:hAnsi="宋体"/>
          <w:b/>
          <w:color w:val="auto"/>
          <w:sz w:val="24"/>
          <w:szCs w:val="20"/>
          <w:highlight w:val="none"/>
        </w:rPr>
      </w:pPr>
    </w:p>
    <w:p w14:paraId="108E14D6">
      <w:pPr>
        <w:pStyle w:val="281"/>
        <w:spacing w:line="360" w:lineRule="auto"/>
        <w:ind w:firstLine="480"/>
        <w:rPr>
          <w:rFonts w:ascii="宋体" w:hAnsi="宋体"/>
          <w:bCs/>
          <w:color w:val="auto"/>
          <w:sz w:val="24"/>
          <w:szCs w:val="20"/>
          <w:highlight w:val="none"/>
          <w:u w:val="single"/>
        </w:rPr>
      </w:pPr>
    </w:p>
    <w:p w14:paraId="3F6533E0">
      <w:pPr>
        <w:pStyle w:val="280"/>
        <w:outlineLvl w:val="2"/>
        <w:rPr>
          <w:rFonts w:hint="eastAsia" w:eastAsia="宋体"/>
          <w:color w:val="auto"/>
          <w:highlight w:val="none"/>
          <w:lang w:val="en-US" w:eastAsia="zh-CN"/>
        </w:rPr>
      </w:pPr>
    </w:p>
    <w:p w14:paraId="1EE77473">
      <w:pPr>
        <w:pStyle w:val="280"/>
        <w:outlineLvl w:val="2"/>
        <w:rPr>
          <w:rFonts w:hint="eastAsia" w:eastAsia="宋体"/>
          <w:color w:val="auto"/>
          <w:highlight w:val="none"/>
          <w:lang w:val="en-US" w:eastAsia="zh-CN"/>
        </w:rPr>
      </w:pPr>
    </w:p>
    <w:p w14:paraId="39E9966F">
      <w:pPr>
        <w:pStyle w:val="280"/>
        <w:outlineLvl w:val="2"/>
        <w:rPr>
          <w:rFonts w:hint="eastAsia" w:eastAsia="宋体"/>
          <w:color w:val="auto"/>
          <w:highlight w:val="none"/>
          <w:lang w:val="en-US" w:eastAsia="zh-CN"/>
        </w:rPr>
      </w:pPr>
    </w:p>
    <w:p w14:paraId="711E8355">
      <w:pPr>
        <w:pStyle w:val="280"/>
        <w:outlineLvl w:val="2"/>
        <w:rPr>
          <w:rFonts w:hint="eastAsia" w:eastAsia="宋体"/>
          <w:color w:val="auto"/>
          <w:highlight w:val="none"/>
          <w:lang w:val="en-US" w:eastAsia="zh-CN"/>
        </w:rPr>
      </w:pPr>
    </w:p>
    <w:p w14:paraId="26134B4A">
      <w:pPr>
        <w:pStyle w:val="280"/>
        <w:outlineLvl w:val="2"/>
        <w:rPr>
          <w:rFonts w:hint="eastAsia" w:eastAsia="宋体"/>
          <w:color w:val="auto"/>
          <w:highlight w:val="none"/>
          <w:lang w:val="en-US" w:eastAsia="zh-CN"/>
        </w:rPr>
      </w:pPr>
    </w:p>
    <w:p w14:paraId="00DD4A41">
      <w:pPr>
        <w:pStyle w:val="280"/>
        <w:outlineLvl w:val="2"/>
        <w:rPr>
          <w:rFonts w:hint="eastAsia" w:eastAsia="宋体"/>
          <w:color w:val="auto"/>
          <w:highlight w:val="none"/>
          <w:lang w:val="en-US" w:eastAsia="zh-CN"/>
        </w:rPr>
      </w:pPr>
    </w:p>
    <w:p w14:paraId="2CE8F3C2">
      <w:pPr>
        <w:pStyle w:val="280"/>
        <w:outlineLvl w:val="2"/>
        <w:rPr>
          <w:rFonts w:hint="eastAsia" w:eastAsia="宋体"/>
          <w:color w:val="auto"/>
          <w:highlight w:val="none"/>
          <w:lang w:val="en-US" w:eastAsia="zh-CN"/>
        </w:rPr>
      </w:pPr>
    </w:p>
    <w:p w14:paraId="16F17036">
      <w:pPr>
        <w:pStyle w:val="280"/>
        <w:outlineLvl w:val="2"/>
        <w:rPr>
          <w:rFonts w:hint="eastAsia" w:eastAsia="宋体"/>
          <w:color w:val="auto"/>
          <w:highlight w:val="none"/>
          <w:lang w:val="en-US" w:eastAsia="zh-CN"/>
        </w:rPr>
      </w:pPr>
    </w:p>
    <w:p w14:paraId="30BB4588">
      <w:pPr>
        <w:pStyle w:val="280"/>
        <w:outlineLvl w:val="2"/>
        <w:rPr>
          <w:rFonts w:hint="eastAsia" w:eastAsia="宋体"/>
          <w:color w:val="auto"/>
          <w:highlight w:val="none"/>
          <w:lang w:val="en-US" w:eastAsia="zh-CN"/>
        </w:rPr>
      </w:pPr>
    </w:p>
    <w:p w14:paraId="6299E909">
      <w:pPr>
        <w:pStyle w:val="280"/>
        <w:outlineLvl w:val="2"/>
        <w:rPr>
          <w:rFonts w:hint="eastAsia" w:eastAsia="宋体"/>
          <w:color w:val="auto"/>
          <w:highlight w:val="none"/>
          <w:lang w:val="en-US" w:eastAsia="zh-CN"/>
        </w:rPr>
      </w:pPr>
    </w:p>
    <w:bookmarkEnd w:id="511"/>
    <w:p w14:paraId="36139465">
      <w:pPr>
        <w:rPr>
          <w:rFonts w:ascii="宋体" w:hAnsi="宋体" w:eastAsia="宋体" w:cs="宋体"/>
          <w:color w:val="auto"/>
          <w:sz w:val="28"/>
          <w:highlight w:val="none"/>
        </w:rPr>
      </w:pPr>
      <w:bookmarkStart w:id="512" w:name="_Toc256000084"/>
      <w:r>
        <w:rPr>
          <w:rFonts w:ascii="宋体" w:hAnsi="宋体" w:eastAsia="宋体" w:cs="宋体"/>
          <w:color w:val="auto"/>
          <w:sz w:val="28"/>
          <w:highlight w:val="none"/>
        </w:rPr>
        <w:br w:type="page"/>
      </w:r>
    </w:p>
    <w:p w14:paraId="42B48DB2">
      <w:pPr>
        <w:pStyle w:val="280"/>
        <w:jc w:val="center"/>
        <w:outlineLvl w:val="2"/>
        <w:rPr>
          <w:rFonts w:hint="eastAsia" w:eastAsia="宋体"/>
          <w:color w:val="auto"/>
          <w:highlight w:val="none"/>
          <w:lang w:eastAsia="zh-CN"/>
        </w:rPr>
      </w:pPr>
      <w:r>
        <w:rPr>
          <w:rFonts w:ascii="宋体" w:hAnsi="宋体" w:eastAsia="宋体" w:cs="宋体"/>
          <w:color w:val="auto"/>
          <w:sz w:val="28"/>
          <w:highlight w:val="none"/>
        </w:rPr>
        <w:t>(</w:t>
      </w:r>
      <w:r>
        <w:rPr>
          <w:rFonts w:hint="eastAsia" w:ascii="宋体" w:hAnsi="宋体" w:eastAsia="宋体" w:cs="宋体"/>
          <w:color w:val="auto"/>
          <w:sz w:val="28"/>
          <w:highlight w:val="none"/>
          <w:lang w:eastAsia="zh-CN"/>
        </w:rPr>
        <w:t>三</w:t>
      </w:r>
      <w:r>
        <w:rPr>
          <w:rFonts w:ascii="宋体" w:hAnsi="宋体" w:eastAsia="宋体" w:cs="宋体"/>
          <w:color w:val="auto"/>
          <w:sz w:val="28"/>
          <w:highlight w:val="none"/>
        </w:rPr>
        <w:t>)</w:t>
      </w:r>
      <w:bookmarkEnd w:id="512"/>
      <w:r>
        <w:rPr>
          <w:rFonts w:hint="eastAsia" w:ascii="宋体" w:hAnsi="宋体" w:eastAsia="宋体" w:cs="宋体"/>
          <w:color w:val="auto"/>
          <w:sz w:val="28"/>
          <w:highlight w:val="none"/>
        </w:rPr>
        <w:t>人员配置</w:t>
      </w:r>
    </w:p>
    <w:p w14:paraId="2397ED97">
      <w:pPr>
        <w:pStyle w:val="283"/>
        <w:spacing w:line="360" w:lineRule="auto"/>
        <w:ind w:firstLine="482"/>
        <w:rPr>
          <w:rFonts w:ascii="宋体" w:hAnsi="宋体"/>
          <w:b/>
          <w:color w:val="auto"/>
          <w:sz w:val="24"/>
          <w:szCs w:val="20"/>
          <w:highlight w:val="none"/>
        </w:rPr>
      </w:pPr>
    </w:p>
    <w:tbl>
      <w:tblPr>
        <w:tblStyle w:val="2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9"/>
        <w:gridCol w:w="919"/>
        <w:gridCol w:w="1575"/>
        <w:gridCol w:w="1443"/>
        <w:gridCol w:w="1970"/>
        <w:gridCol w:w="1968"/>
        <w:gridCol w:w="918"/>
      </w:tblGrid>
      <w:tr w14:paraId="667B3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789" w:type="dxa"/>
            <w:noWrap w:val="0"/>
            <w:vAlign w:val="top"/>
          </w:tcPr>
          <w:p w14:paraId="7B0C4EFB">
            <w:pPr>
              <w:pStyle w:val="283"/>
              <w:spacing w:line="360" w:lineRule="auto"/>
              <w:jc w:val="center"/>
              <w:rPr>
                <w:rFonts w:ascii="宋体" w:hAnsi="宋体"/>
                <w:b/>
                <w:color w:val="auto"/>
                <w:sz w:val="24"/>
                <w:highlight w:val="none"/>
              </w:rPr>
            </w:pPr>
            <w:r>
              <w:rPr>
                <w:rFonts w:hint="eastAsia" w:ascii="宋体" w:hAnsi="宋体"/>
                <w:b/>
                <w:color w:val="auto"/>
                <w:sz w:val="24"/>
                <w:highlight w:val="none"/>
              </w:rPr>
              <w:t>序号</w:t>
            </w:r>
          </w:p>
        </w:tc>
        <w:tc>
          <w:tcPr>
            <w:tcW w:w="919" w:type="dxa"/>
            <w:noWrap w:val="0"/>
            <w:vAlign w:val="top"/>
          </w:tcPr>
          <w:p w14:paraId="6B1DE3FA">
            <w:pPr>
              <w:pStyle w:val="283"/>
              <w:spacing w:line="360" w:lineRule="auto"/>
              <w:jc w:val="center"/>
              <w:rPr>
                <w:rFonts w:ascii="宋体" w:hAnsi="宋体"/>
                <w:b/>
                <w:color w:val="auto"/>
                <w:sz w:val="24"/>
                <w:highlight w:val="none"/>
              </w:rPr>
            </w:pPr>
            <w:r>
              <w:rPr>
                <w:rFonts w:hint="eastAsia" w:ascii="宋体" w:hAnsi="宋体"/>
                <w:b/>
                <w:color w:val="auto"/>
                <w:sz w:val="24"/>
                <w:highlight w:val="none"/>
              </w:rPr>
              <w:t>姓名</w:t>
            </w:r>
          </w:p>
        </w:tc>
        <w:tc>
          <w:tcPr>
            <w:tcW w:w="1575" w:type="dxa"/>
            <w:noWrap w:val="0"/>
            <w:vAlign w:val="top"/>
          </w:tcPr>
          <w:p w14:paraId="07D12560">
            <w:pPr>
              <w:pStyle w:val="283"/>
              <w:spacing w:line="360" w:lineRule="auto"/>
              <w:jc w:val="center"/>
              <w:rPr>
                <w:rFonts w:ascii="宋体" w:hAnsi="宋体"/>
                <w:b/>
                <w:color w:val="auto"/>
                <w:sz w:val="24"/>
                <w:highlight w:val="none"/>
              </w:rPr>
            </w:pPr>
            <w:r>
              <w:rPr>
                <w:rFonts w:hint="eastAsia" w:ascii="宋体" w:hAnsi="宋体"/>
                <w:b/>
                <w:color w:val="auto"/>
                <w:sz w:val="24"/>
                <w:highlight w:val="none"/>
              </w:rPr>
              <w:t>身份证号</w:t>
            </w:r>
          </w:p>
        </w:tc>
        <w:tc>
          <w:tcPr>
            <w:tcW w:w="1443" w:type="dxa"/>
            <w:noWrap w:val="0"/>
            <w:vAlign w:val="top"/>
          </w:tcPr>
          <w:p w14:paraId="7D3C7770">
            <w:pPr>
              <w:pStyle w:val="283"/>
              <w:spacing w:line="360" w:lineRule="auto"/>
              <w:jc w:val="center"/>
              <w:rPr>
                <w:rFonts w:ascii="宋体" w:hAnsi="宋体"/>
                <w:b/>
                <w:color w:val="auto"/>
                <w:sz w:val="24"/>
                <w:highlight w:val="none"/>
              </w:rPr>
            </w:pPr>
            <w:r>
              <w:rPr>
                <w:rFonts w:hint="eastAsia" w:ascii="宋体" w:hAnsi="宋体"/>
                <w:b/>
                <w:color w:val="auto"/>
                <w:sz w:val="24"/>
                <w:highlight w:val="none"/>
              </w:rPr>
              <w:t>人员类别</w:t>
            </w:r>
          </w:p>
        </w:tc>
        <w:tc>
          <w:tcPr>
            <w:tcW w:w="1970" w:type="dxa"/>
            <w:noWrap w:val="0"/>
            <w:vAlign w:val="top"/>
          </w:tcPr>
          <w:p w14:paraId="48B5AD82">
            <w:pPr>
              <w:pStyle w:val="283"/>
              <w:spacing w:line="360" w:lineRule="auto"/>
              <w:jc w:val="center"/>
              <w:rPr>
                <w:rFonts w:ascii="宋体" w:hAnsi="宋体"/>
                <w:b/>
                <w:color w:val="auto"/>
                <w:sz w:val="24"/>
                <w:highlight w:val="none"/>
              </w:rPr>
            </w:pPr>
            <w:r>
              <w:rPr>
                <w:rFonts w:hint="eastAsia" w:ascii="宋体" w:hAnsi="宋体"/>
                <w:b/>
                <w:color w:val="auto"/>
                <w:sz w:val="24"/>
                <w:highlight w:val="none"/>
              </w:rPr>
              <w:t>技术证书、级别</w:t>
            </w:r>
          </w:p>
        </w:tc>
        <w:tc>
          <w:tcPr>
            <w:tcW w:w="1968" w:type="dxa"/>
            <w:noWrap w:val="0"/>
            <w:vAlign w:val="top"/>
          </w:tcPr>
          <w:p w14:paraId="133A1518">
            <w:pPr>
              <w:pStyle w:val="283"/>
              <w:spacing w:line="360" w:lineRule="auto"/>
              <w:jc w:val="center"/>
              <w:rPr>
                <w:rFonts w:ascii="宋体" w:hAnsi="宋体"/>
                <w:b/>
                <w:color w:val="auto"/>
                <w:sz w:val="24"/>
                <w:highlight w:val="none"/>
              </w:rPr>
            </w:pPr>
            <w:r>
              <w:rPr>
                <w:rFonts w:hint="eastAsia" w:ascii="宋体" w:hAnsi="宋体"/>
                <w:b/>
                <w:color w:val="auto"/>
                <w:sz w:val="24"/>
                <w:highlight w:val="none"/>
              </w:rPr>
              <w:t>相关工作经验</w:t>
            </w:r>
          </w:p>
        </w:tc>
        <w:tc>
          <w:tcPr>
            <w:tcW w:w="918" w:type="dxa"/>
            <w:noWrap w:val="0"/>
            <w:vAlign w:val="top"/>
          </w:tcPr>
          <w:p w14:paraId="3636DD0B">
            <w:pPr>
              <w:pStyle w:val="283"/>
              <w:spacing w:line="360" w:lineRule="auto"/>
              <w:jc w:val="center"/>
              <w:rPr>
                <w:rFonts w:ascii="宋体" w:hAnsi="宋体"/>
                <w:b/>
                <w:color w:val="auto"/>
                <w:sz w:val="24"/>
                <w:highlight w:val="none"/>
              </w:rPr>
            </w:pPr>
            <w:r>
              <w:rPr>
                <w:rFonts w:hint="eastAsia" w:ascii="宋体" w:hAnsi="宋体"/>
                <w:b/>
                <w:color w:val="auto"/>
                <w:sz w:val="24"/>
                <w:highlight w:val="none"/>
              </w:rPr>
              <w:t>备注</w:t>
            </w:r>
          </w:p>
        </w:tc>
      </w:tr>
      <w:tr w14:paraId="605DD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noWrap w:val="0"/>
            <w:vAlign w:val="top"/>
          </w:tcPr>
          <w:p w14:paraId="44BF0369">
            <w:pPr>
              <w:pStyle w:val="283"/>
              <w:spacing w:line="360" w:lineRule="auto"/>
              <w:rPr>
                <w:rFonts w:ascii="宋体" w:hAnsi="宋体"/>
                <w:b/>
                <w:color w:val="auto"/>
                <w:sz w:val="24"/>
                <w:highlight w:val="none"/>
              </w:rPr>
            </w:pPr>
          </w:p>
        </w:tc>
        <w:tc>
          <w:tcPr>
            <w:tcW w:w="919" w:type="dxa"/>
            <w:noWrap w:val="0"/>
            <w:vAlign w:val="top"/>
          </w:tcPr>
          <w:p w14:paraId="2FF6D99A">
            <w:pPr>
              <w:pStyle w:val="283"/>
              <w:spacing w:line="360" w:lineRule="auto"/>
              <w:rPr>
                <w:rFonts w:ascii="宋体" w:hAnsi="宋体"/>
                <w:b/>
                <w:color w:val="auto"/>
                <w:sz w:val="24"/>
                <w:highlight w:val="none"/>
              </w:rPr>
            </w:pPr>
          </w:p>
        </w:tc>
        <w:tc>
          <w:tcPr>
            <w:tcW w:w="1575" w:type="dxa"/>
            <w:noWrap w:val="0"/>
            <w:vAlign w:val="top"/>
          </w:tcPr>
          <w:p w14:paraId="2179730C">
            <w:pPr>
              <w:pStyle w:val="283"/>
              <w:spacing w:line="360" w:lineRule="auto"/>
              <w:rPr>
                <w:rFonts w:ascii="宋体" w:hAnsi="宋体"/>
                <w:b/>
                <w:color w:val="auto"/>
                <w:sz w:val="24"/>
                <w:highlight w:val="none"/>
              </w:rPr>
            </w:pPr>
          </w:p>
        </w:tc>
        <w:tc>
          <w:tcPr>
            <w:tcW w:w="1443" w:type="dxa"/>
            <w:noWrap w:val="0"/>
            <w:vAlign w:val="top"/>
          </w:tcPr>
          <w:p w14:paraId="72B2F5A3">
            <w:pPr>
              <w:pStyle w:val="283"/>
              <w:spacing w:line="360" w:lineRule="auto"/>
              <w:rPr>
                <w:rFonts w:ascii="宋体" w:hAnsi="宋体"/>
                <w:b/>
                <w:color w:val="auto"/>
                <w:sz w:val="24"/>
                <w:highlight w:val="none"/>
              </w:rPr>
            </w:pPr>
          </w:p>
        </w:tc>
        <w:tc>
          <w:tcPr>
            <w:tcW w:w="1970" w:type="dxa"/>
            <w:noWrap w:val="0"/>
            <w:vAlign w:val="top"/>
          </w:tcPr>
          <w:p w14:paraId="434C2A03">
            <w:pPr>
              <w:pStyle w:val="283"/>
              <w:spacing w:line="360" w:lineRule="auto"/>
              <w:rPr>
                <w:rFonts w:ascii="宋体" w:hAnsi="宋体"/>
                <w:b/>
                <w:color w:val="auto"/>
                <w:sz w:val="24"/>
                <w:highlight w:val="none"/>
              </w:rPr>
            </w:pPr>
          </w:p>
        </w:tc>
        <w:tc>
          <w:tcPr>
            <w:tcW w:w="1968" w:type="dxa"/>
            <w:noWrap w:val="0"/>
            <w:vAlign w:val="top"/>
          </w:tcPr>
          <w:p w14:paraId="6B42FC80">
            <w:pPr>
              <w:pStyle w:val="283"/>
              <w:spacing w:line="360" w:lineRule="auto"/>
              <w:rPr>
                <w:rFonts w:ascii="宋体" w:hAnsi="宋体"/>
                <w:b/>
                <w:color w:val="auto"/>
                <w:sz w:val="24"/>
                <w:highlight w:val="none"/>
              </w:rPr>
            </w:pPr>
          </w:p>
        </w:tc>
        <w:tc>
          <w:tcPr>
            <w:tcW w:w="918" w:type="dxa"/>
            <w:noWrap w:val="0"/>
            <w:vAlign w:val="top"/>
          </w:tcPr>
          <w:p w14:paraId="460E9BB6">
            <w:pPr>
              <w:pStyle w:val="283"/>
              <w:spacing w:line="360" w:lineRule="auto"/>
              <w:rPr>
                <w:rFonts w:ascii="宋体" w:hAnsi="宋体"/>
                <w:b/>
                <w:color w:val="auto"/>
                <w:sz w:val="24"/>
                <w:highlight w:val="none"/>
              </w:rPr>
            </w:pPr>
          </w:p>
        </w:tc>
      </w:tr>
      <w:tr w14:paraId="330FC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noWrap w:val="0"/>
            <w:vAlign w:val="top"/>
          </w:tcPr>
          <w:p w14:paraId="36913C8B">
            <w:pPr>
              <w:pStyle w:val="283"/>
              <w:spacing w:line="360" w:lineRule="auto"/>
              <w:rPr>
                <w:rFonts w:ascii="宋体" w:hAnsi="宋体"/>
                <w:b/>
                <w:color w:val="auto"/>
                <w:sz w:val="24"/>
                <w:highlight w:val="none"/>
              </w:rPr>
            </w:pPr>
          </w:p>
        </w:tc>
        <w:tc>
          <w:tcPr>
            <w:tcW w:w="919" w:type="dxa"/>
            <w:noWrap w:val="0"/>
            <w:vAlign w:val="top"/>
          </w:tcPr>
          <w:p w14:paraId="5E09E415">
            <w:pPr>
              <w:pStyle w:val="283"/>
              <w:spacing w:line="360" w:lineRule="auto"/>
              <w:rPr>
                <w:rFonts w:ascii="宋体" w:hAnsi="宋体"/>
                <w:b/>
                <w:color w:val="auto"/>
                <w:sz w:val="24"/>
                <w:highlight w:val="none"/>
              </w:rPr>
            </w:pPr>
          </w:p>
        </w:tc>
        <w:tc>
          <w:tcPr>
            <w:tcW w:w="1575" w:type="dxa"/>
            <w:noWrap w:val="0"/>
            <w:vAlign w:val="top"/>
          </w:tcPr>
          <w:p w14:paraId="17208910">
            <w:pPr>
              <w:pStyle w:val="283"/>
              <w:spacing w:line="360" w:lineRule="auto"/>
              <w:rPr>
                <w:rFonts w:ascii="宋体" w:hAnsi="宋体"/>
                <w:b/>
                <w:color w:val="auto"/>
                <w:sz w:val="24"/>
                <w:highlight w:val="none"/>
              </w:rPr>
            </w:pPr>
          </w:p>
        </w:tc>
        <w:tc>
          <w:tcPr>
            <w:tcW w:w="1443" w:type="dxa"/>
            <w:noWrap w:val="0"/>
            <w:vAlign w:val="top"/>
          </w:tcPr>
          <w:p w14:paraId="20531CB2">
            <w:pPr>
              <w:pStyle w:val="283"/>
              <w:spacing w:line="360" w:lineRule="auto"/>
              <w:rPr>
                <w:rFonts w:ascii="宋体" w:hAnsi="宋体"/>
                <w:b/>
                <w:color w:val="auto"/>
                <w:sz w:val="24"/>
                <w:highlight w:val="none"/>
              </w:rPr>
            </w:pPr>
          </w:p>
        </w:tc>
        <w:tc>
          <w:tcPr>
            <w:tcW w:w="1970" w:type="dxa"/>
            <w:noWrap w:val="0"/>
            <w:vAlign w:val="top"/>
          </w:tcPr>
          <w:p w14:paraId="67371174">
            <w:pPr>
              <w:pStyle w:val="283"/>
              <w:spacing w:line="360" w:lineRule="auto"/>
              <w:rPr>
                <w:rFonts w:ascii="宋体" w:hAnsi="宋体"/>
                <w:b/>
                <w:color w:val="auto"/>
                <w:sz w:val="24"/>
                <w:highlight w:val="none"/>
              </w:rPr>
            </w:pPr>
          </w:p>
        </w:tc>
        <w:tc>
          <w:tcPr>
            <w:tcW w:w="1968" w:type="dxa"/>
            <w:noWrap w:val="0"/>
            <w:vAlign w:val="top"/>
          </w:tcPr>
          <w:p w14:paraId="4D10983A">
            <w:pPr>
              <w:pStyle w:val="283"/>
              <w:spacing w:line="360" w:lineRule="auto"/>
              <w:rPr>
                <w:rFonts w:ascii="宋体" w:hAnsi="宋体"/>
                <w:b/>
                <w:color w:val="auto"/>
                <w:sz w:val="24"/>
                <w:highlight w:val="none"/>
              </w:rPr>
            </w:pPr>
          </w:p>
        </w:tc>
        <w:tc>
          <w:tcPr>
            <w:tcW w:w="918" w:type="dxa"/>
            <w:noWrap w:val="0"/>
            <w:vAlign w:val="top"/>
          </w:tcPr>
          <w:p w14:paraId="53E1E61A">
            <w:pPr>
              <w:pStyle w:val="283"/>
              <w:spacing w:line="360" w:lineRule="auto"/>
              <w:rPr>
                <w:rFonts w:ascii="宋体" w:hAnsi="宋体"/>
                <w:b/>
                <w:color w:val="auto"/>
                <w:sz w:val="24"/>
                <w:highlight w:val="none"/>
              </w:rPr>
            </w:pPr>
          </w:p>
        </w:tc>
      </w:tr>
      <w:tr w14:paraId="418F5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noWrap w:val="0"/>
            <w:vAlign w:val="top"/>
          </w:tcPr>
          <w:p w14:paraId="0ECDCB48">
            <w:pPr>
              <w:pStyle w:val="283"/>
              <w:spacing w:line="360" w:lineRule="auto"/>
              <w:rPr>
                <w:rFonts w:ascii="宋体" w:hAnsi="宋体"/>
                <w:b/>
                <w:color w:val="auto"/>
                <w:sz w:val="24"/>
                <w:highlight w:val="none"/>
              </w:rPr>
            </w:pPr>
          </w:p>
        </w:tc>
        <w:tc>
          <w:tcPr>
            <w:tcW w:w="919" w:type="dxa"/>
            <w:noWrap w:val="0"/>
            <w:vAlign w:val="top"/>
          </w:tcPr>
          <w:p w14:paraId="2ABD7F67">
            <w:pPr>
              <w:pStyle w:val="283"/>
              <w:spacing w:line="360" w:lineRule="auto"/>
              <w:rPr>
                <w:rFonts w:ascii="宋体" w:hAnsi="宋体"/>
                <w:b/>
                <w:color w:val="auto"/>
                <w:sz w:val="24"/>
                <w:highlight w:val="none"/>
              </w:rPr>
            </w:pPr>
          </w:p>
        </w:tc>
        <w:tc>
          <w:tcPr>
            <w:tcW w:w="1575" w:type="dxa"/>
            <w:noWrap w:val="0"/>
            <w:vAlign w:val="top"/>
          </w:tcPr>
          <w:p w14:paraId="23C4069C">
            <w:pPr>
              <w:pStyle w:val="283"/>
              <w:spacing w:line="360" w:lineRule="auto"/>
              <w:rPr>
                <w:rFonts w:ascii="宋体" w:hAnsi="宋体"/>
                <w:b/>
                <w:color w:val="auto"/>
                <w:sz w:val="24"/>
                <w:highlight w:val="none"/>
              </w:rPr>
            </w:pPr>
          </w:p>
        </w:tc>
        <w:tc>
          <w:tcPr>
            <w:tcW w:w="1443" w:type="dxa"/>
            <w:noWrap w:val="0"/>
            <w:vAlign w:val="top"/>
          </w:tcPr>
          <w:p w14:paraId="108D9022">
            <w:pPr>
              <w:pStyle w:val="283"/>
              <w:spacing w:line="360" w:lineRule="auto"/>
              <w:rPr>
                <w:rFonts w:ascii="宋体" w:hAnsi="宋体"/>
                <w:b/>
                <w:color w:val="auto"/>
                <w:sz w:val="24"/>
                <w:highlight w:val="none"/>
              </w:rPr>
            </w:pPr>
          </w:p>
        </w:tc>
        <w:tc>
          <w:tcPr>
            <w:tcW w:w="1970" w:type="dxa"/>
            <w:noWrap w:val="0"/>
            <w:vAlign w:val="top"/>
          </w:tcPr>
          <w:p w14:paraId="516F6D07">
            <w:pPr>
              <w:pStyle w:val="283"/>
              <w:spacing w:line="360" w:lineRule="auto"/>
              <w:rPr>
                <w:rFonts w:ascii="宋体" w:hAnsi="宋体"/>
                <w:b/>
                <w:color w:val="auto"/>
                <w:sz w:val="24"/>
                <w:highlight w:val="none"/>
              </w:rPr>
            </w:pPr>
          </w:p>
        </w:tc>
        <w:tc>
          <w:tcPr>
            <w:tcW w:w="1968" w:type="dxa"/>
            <w:noWrap w:val="0"/>
            <w:vAlign w:val="top"/>
          </w:tcPr>
          <w:p w14:paraId="6132C5FD">
            <w:pPr>
              <w:pStyle w:val="283"/>
              <w:spacing w:line="360" w:lineRule="auto"/>
              <w:rPr>
                <w:rFonts w:ascii="宋体" w:hAnsi="宋体"/>
                <w:b/>
                <w:color w:val="auto"/>
                <w:sz w:val="24"/>
                <w:highlight w:val="none"/>
              </w:rPr>
            </w:pPr>
          </w:p>
        </w:tc>
        <w:tc>
          <w:tcPr>
            <w:tcW w:w="918" w:type="dxa"/>
            <w:noWrap w:val="0"/>
            <w:vAlign w:val="top"/>
          </w:tcPr>
          <w:p w14:paraId="333B9037">
            <w:pPr>
              <w:pStyle w:val="283"/>
              <w:spacing w:line="360" w:lineRule="auto"/>
              <w:rPr>
                <w:rFonts w:ascii="宋体" w:hAnsi="宋体"/>
                <w:b/>
                <w:color w:val="auto"/>
                <w:sz w:val="24"/>
                <w:highlight w:val="none"/>
              </w:rPr>
            </w:pPr>
          </w:p>
        </w:tc>
      </w:tr>
      <w:tr w14:paraId="1F467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noWrap w:val="0"/>
            <w:vAlign w:val="top"/>
          </w:tcPr>
          <w:p w14:paraId="3AFF6D8F">
            <w:pPr>
              <w:pStyle w:val="283"/>
              <w:spacing w:line="360" w:lineRule="auto"/>
              <w:rPr>
                <w:rFonts w:ascii="宋体" w:hAnsi="宋体"/>
                <w:b/>
                <w:color w:val="auto"/>
                <w:sz w:val="18"/>
                <w:szCs w:val="18"/>
                <w:highlight w:val="none"/>
              </w:rPr>
            </w:pPr>
          </w:p>
        </w:tc>
        <w:tc>
          <w:tcPr>
            <w:tcW w:w="919" w:type="dxa"/>
            <w:noWrap w:val="0"/>
            <w:vAlign w:val="top"/>
          </w:tcPr>
          <w:p w14:paraId="74DD20D2">
            <w:pPr>
              <w:pStyle w:val="283"/>
              <w:spacing w:line="360" w:lineRule="auto"/>
              <w:rPr>
                <w:rFonts w:ascii="宋体" w:hAnsi="宋体"/>
                <w:b/>
                <w:color w:val="auto"/>
                <w:sz w:val="24"/>
                <w:highlight w:val="none"/>
              </w:rPr>
            </w:pPr>
          </w:p>
        </w:tc>
        <w:tc>
          <w:tcPr>
            <w:tcW w:w="1575" w:type="dxa"/>
            <w:noWrap w:val="0"/>
            <w:vAlign w:val="top"/>
          </w:tcPr>
          <w:p w14:paraId="42B2DE4F">
            <w:pPr>
              <w:pStyle w:val="283"/>
              <w:spacing w:line="360" w:lineRule="auto"/>
              <w:rPr>
                <w:rFonts w:ascii="宋体" w:hAnsi="宋体"/>
                <w:b/>
                <w:color w:val="auto"/>
                <w:sz w:val="24"/>
                <w:highlight w:val="none"/>
              </w:rPr>
            </w:pPr>
          </w:p>
        </w:tc>
        <w:tc>
          <w:tcPr>
            <w:tcW w:w="1443" w:type="dxa"/>
            <w:noWrap w:val="0"/>
            <w:vAlign w:val="top"/>
          </w:tcPr>
          <w:p w14:paraId="54B784D0">
            <w:pPr>
              <w:pStyle w:val="283"/>
              <w:spacing w:line="360" w:lineRule="auto"/>
              <w:rPr>
                <w:rFonts w:ascii="宋体" w:hAnsi="宋体"/>
                <w:b/>
                <w:color w:val="auto"/>
                <w:sz w:val="24"/>
                <w:highlight w:val="none"/>
              </w:rPr>
            </w:pPr>
          </w:p>
        </w:tc>
        <w:tc>
          <w:tcPr>
            <w:tcW w:w="1970" w:type="dxa"/>
            <w:noWrap w:val="0"/>
            <w:vAlign w:val="top"/>
          </w:tcPr>
          <w:p w14:paraId="7D6D1447">
            <w:pPr>
              <w:pStyle w:val="283"/>
              <w:spacing w:line="360" w:lineRule="auto"/>
              <w:rPr>
                <w:rFonts w:ascii="宋体" w:hAnsi="宋体"/>
                <w:b/>
                <w:color w:val="auto"/>
                <w:sz w:val="24"/>
                <w:highlight w:val="none"/>
              </w:rPr>
            </w:pPr>
          </w:p>
        </w:tc>
        <w:tc>
          <w:tcPr>
            <w:tcW w:w="1968" w:type="dxa"/>
            <w:noWrap w:val="0"/>
            <w:vAlign w:val="top"/>
          </w:tcPr>
          <w:p w14:paraId="54C6F8E3">
            <w:pPr>
              <w:pStyle w:val="283"/>
              <w:spacing w:line="360" w:lineRule="auto"/>
              <w:rPr>
                <w:rFonts w:ascii="宋体" w:hAnsi="宋体"/>
                <w:b/>
                <w:color w:val="auto"/>
                <w:sz w:val="24"/>
                <w:highlight w:val="none"/>
              </w:rPr>
            </w:pPr>
          </w:p>
        </w:tc>
        <w:tc>
          <w:tcPr>
            <w:tcW w:w="918" w:type="dxa"/>
            <w:noWrap w:val="0"/>
            <w:vAlign w:val="top"/>
          </w:tcPr>
          <w:p w14:paraId="2BBD1E6C">
            <w:pPr>
              <w:pStyle w:val="283"/>
              <w:spacing w:line="360" w:lineRule="auto"/>
              <w:rPr>
                <w:rFonts w:ascii="宋体" w:hAnsi="宋体"/>
                <w:b/>
                <w:color w:val="auto"/>
                <w:sz w:val="24"/>
                <w:highlight w:val="none"/>
              </w:rPr>
            </w:pPr>
          </w:p>
        </w:tc>
      </w:tr>
      <w:tr w14:paraId="4E69E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noWrap w:val="0"/>
            <w:vAlign w:val="top"/>
          </w:tcPr>
          <w:p w14:paraId="762E5345">
            <w:pPr>
              <w:pStyle w:val="283"/>
              <w:spacing w:line="360" w:lineRule="auto"/>
              <w:rPr>
                <w:rFonts w:ascii="宋体" w:hAnsi="宋体"/>
                <w:b/>
                <w:color w:val="auto"/>
                <w:sz w:val="24"/>
                <w:highlight w:val="none"/>
              </w:rPr>
            </w:pPr>
          </w:p>
        </w:tc>
        <w:tc>
          <w:tcPr>
            <w:tcW w:w="919" w:type="dxa"/>
            <w:noWrap w:val="0"/>
            <w:vAlign w:val="top"/>
          </w:tcPr>
          <w:p w14:paraId="77B1247A">
            <w:pPr>
              <w:pStyle w:val="283"/>
              <w:spacing w:line="360" w:lineRule="auto"/>
              <w:rPr>
                <w:rFonts w:ascii="宋体" w:hAnsi="宋体"/>
                <w:b/>
                <w:color w:val="auto"/>
                <w:sz w:val="24"/>
                <w:highlight w:val="none"/>
              </w:rPr>
            </w:pPr>
          </w:p>
        </w:tc>
        <w:tc>
          <w:tcPr>
            <w:tcW w:w="1575" w:type="dxa"/>
            <w:noWrap w:val="0"/>
            <w:vAlign w:val="top"/>
          </w:tcPr>
          <w:p w14:paraId="29D6A4AC">
            <w:pPr>
              <w:pStyle w:val="283"/>
              <w:spacing w:line="360" w:lineRule="auto"/>
              <w:rPr>
                <w:rFonts w:ascii="宋体" w:hAnsi="宋体"/>
                <w:b/>
                <w:color w:val="auto"/>
                <w:sz w:val="24"/>
                <w:highlight w:val="none"/>
              </w:rPr>
            </w:pPr>
          </w:p>
        </w:tc>
        <w:tc>
          <w:tcPr>
            <w:tcW w:w="1443" w:type="dxa"/>
            <w:noWrap w:val="0"/>
            <w:vAlign w:val="top"/>
          </w:tcPr>
          <w:p w14:paraId="335AAD8C">
            <w:pPr>
              <w:pStyle w:val="283"/>
              <w:spacing w:line="360" w:lineRule="auto"/>
              <w:rPr>
                <w:rFonts w:ascii="宋体" w:hAnsi="宋体"/>
                <w:b/>
                <w:color w:val="auto"/>
                <w:sz w:val="24"/>
                <w:highlight w:val="none"/>
              </w:rPr>
            </w:pPr>
          </w:p>
        </w:tc>
        <w:tc>
          <w:tcPr>
            <w:tcW w:w="1970" w:type="dxa"/>
            <w:noWrap w:val="0"/>
            <w:vAlign w:val="top"/>
          </w:tcPr>
          <w:p w14:paraId="11864F67">
            <w:pPr>
              <w:pStyle w:val="283"/>
              <w:spacing w:line="360" w:lineRule="auto"/>
              <w:rPr>
                <w:rFonts w:ascii="宋体" w:hAnsi="宋体"/>
                <w:b/>
                <w:color w:val="auto"/>
                <w:sz w:val="24"/>
                <w:highlight w:val="none"/>
              </w:rPr>
            </w:pPr>
          </w:p>
        </w:tc>
        <w:tc>
          <w:tcPr>
            <w:tcW w:w="1968" w:type="dxa"/>
            <w:noWrap w:val="0"/>
            <w:vAlign w:val="top"/>
          </w:tcPr>
          <w:p w14:paraId="3FD5C2C6">
            <w:pPr>
              <w:pStyle w:val="283"/>
              <w:spacing w:line="360" w:lineRule="auto"/>
              <w:rPr>
                <w:rFonts w:ascii="宋体" w:hAnsi="宋体"/>
                <w:b/>
                <w:color w:val="auto"/>
                <w:sz w:val="24"/>
                <w:highlight w:val="none"/>
              </w:rPr>
            </w:pPr>
          </w:p>
        </w:tc>
        <w:tc>
          <w:tcPr>
            <w:tcW w:w="918" w:type="dxa"/>
            <w:noWrap w:val="0"/>
            <w:vAlign w:val="top"/>
          </w:tcPr>
          <w:p w14:paraId="0BAB403C">
            <w:pPr>
              <w:pStyle w:val="283"/>
              <w:spacing w:line="360" w:lineRule="auto"/>
              <w:rPr>
                <w:rFonts w:ascii="宋体" w:hAnsi="宋体"/>
                <w:b/>
                <w:color w:val="auto"/>
                <w:sz w:val="24"/>
                <w:highlight w:val="none"/>
              </w:rPr>
            </w:pPr>
          </w:p>
        </w:tc>
      </w:tr>
      <w:tr w14:paraId="0B657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noWrap w:val="0"/>
            <w:vAlign w:val="top"/>
          </w:tcPr>
          <w:p w14:paraId="5F2EAB8E">
            <w:pPr>
              <w:pStyle w:val="283"/>
              <w:spacing w:line="360" w:lineRule="auto"/>
              <w:rPr>
                <w:rFonts w:ascii="宋体" w:hAnsi="宋体"/>
                <w:b/>
                <w:color w:val="auto"/>
                <w:sz w:val="24"/>
                <w:highlight w:val="none"/>
              </w:rPr>
            </w:pPr>
          </w:p>
        </w:tc>
        <w:tc>
          <w:tcPr>
            <w:tcW w:w="919" w:type="dxa"/>
            <w:noWrap w:val="0"/>
            <w:vAlign w:val="top"/>
          </w:tcPr>
          <w:p w14:paraId="062833C6">
            <w:pPr>
              <w:pStyle w:val="283"/>
              <w:spacing w:line="360" w:lineRule="auto"/>
              <w:rPr>
                <w:rFonts w:ascii="宋体" w:hAnsi="宋体"/>
                <w:b/>
                <w:color w:val="auto"/>
                <w:sz w:val="24"/>
                <w:highlight w:val="none"/>
              </w:rPr>
            </w:pPr>
          </w:p>
        </w:tc>
        <w:tc>
          <w:tcPr>
            <w:tcW w:w="1575" w:type="dxa"/>
            <w:noWrap w:val="0"/>
            <w:vAlign w:val="top"/>
          </w:tcPr>
          <w:p w14:paraId="539C575F">
            <w:pPr>
              <w:pStyle w:val="283"/>
              <w:spacing w:line="360" w:lineRule="auto"/>
              <w:rPr>
                <w:rFonts w:ascii="宋体" w:hAnsi="宋体"/>
                <w:b/>
                <w:color w:val="auto"/>
                <w:sz w:val="24"/>
                <w:highlight w:val="none"/>
              </w:rPr>
            </w:pPr>
          </w:p>
        </w:tc>
        <w:tc>
          <w:tcPr>
            <w:tcW w:w="1443" w:type="dxa"/>
            <w:noWrap w:val="0"/>
            <w:vAlign w:val="top"/>
          </w:tcPr>
          <w:p w14:paraId="068EA2FF">
            <w:pPr>
              <w:pStyle w:val="283"/>
              <w:spacing w:line="360" w:lineRule="auto"/>
              <w:rPr>
                <w:rFonts w:ascii="宋体" w:hAnsi="宋体"/>
                <w:b/>
                <w:color w:val="auto"/>
                <w:sz w:val="24"/>
                <w:highlight w:val="none"/>
              </w:rPr>
            </w:pPr>
          </w:p>
        </w:tc>
        <w:tc>
          <w:tcPr>
            <w:tcW w:w="1970" w:type="dxa"/>
            <w:noWrap w:val="0"/>
            <w:vAlign w:val="top"/>
          </w:tcPr>
          <w:p w14:paraId="731A9370">
            <w:pPr>
              <w:pStyle w:val="283"/>
              <w:spacing w:line="360" w:lineRule="auto"/>
              <w:rPr>
                <w:rFonts w:ascii="宋体" w:hAnsi="宋体"/>
                <w:b/>
                <w:color w:val="auto"/>
                <w:sz w:val="24"/>
                <w:highlight w:val="none"/>
              </w:rPr>
            </w:pPr>
          </w:p>
        </w:tc>
        <w:tc>
          <w:tcPr>
            <w:tcW w:w="1968" w:type="dxa"/>
            <w:noWrap w:val="0"/>
            <w:vAlign w:val="top"/>
          </w:tcPr>
          <w:p w14:paraId="1AEB4BB8">
            <w:pPr>
              <w:pStyle w:val="283"/>
              <w:spacing w:line="360" w:lineRule="auto"/>
              <w:rPr>
                <w:rFonts w:ascii="宋体" w:hAnsi="宋体"/>
                <w:b/>
                <w:color w:val="auto"/>
                <w:sz w:val="24"/>
                <w:highlight w:val="none"/>
              </w:rPr>
            </w:pPr>
          </w:p>
        </w:tc>
        <w:tc>
          <w:tcPr>
            <w:tcW w:w="918" w:type="dxa"/>
            <w:noWrap w:val="0"/>
            <w:vAlign w:val="top"/>
          </w:tcPr>
          <w:p w14:paraId="35B89E1D">
            <w:pPr>
              <w:pStyle w:val="283"/>
              <w:spacing w:line="360" w:lineRule="auto"/>
              <w:rPr>
                <w:rFonts w:ascii="宋体" w:hAnsi="宋体"/>
                <w:b/>
                <w:color w:val="auto"/>
                <w:sz w:val="24"/>
                <w:highlight w:val="none"/>
              </w:rPr>
            </w:pPr>
          </w:p>
        </w:tc>
      </w:tr>
    </w:tbl>
    <w:p w14:paraId="4E5FD38A">
      <w:pPr>
        <w:pStyle w:val="283"/>
        <w:spacing w:before="120" w:line="360" w:lineRule="auto"/>
        <w:ind w:firstLine="480"/>
        <w:rPr>
          <w:rFonts w:ascii="宋体" w:hAnsi="宋体"/>
          <w:color w:val="auto"/>
          <w:sz w:val="24"/>
          <w:szCs w:val="20"/>
          <w:highlight w:val="none"/>
          <w:u w:val="single"/>
        </w:rPr>
      </w:pPr>
      <w:r>
        <w:rPr>
          <w:rFonts w:hint="eastAsia" w:ascii="宋体" w:hAnsi="宋体"/>
          <w:color w:val="auto"/>
          <w:sz w:val="24"/>
          <w:szCs w:val="20"/>
          <w:highlight w:val="none"/>
          <w:u w:val="single"/>
        </w:rPr>
        <w:t>注：1、行数不够，请自行添加。</w:t>
      </w:r>
    </w:p>
    <w:p w14:paraId="75D5EA11">
      <w:pPr>
        <w:pStyle w:val="283"/>
        <w:spacing w:line="360" w:lineRule="auto"/>
        <w:ind w:firstLine="480"/>
        <w:rPr>
          <w:rFonts w:ascii="宋体" w:hAnsi="宋体"/>
          <w:color w:val="auto"/>
          <w:sz w:val="24"/>
          <w:highlight w:val="none"/>
          <w:u w:val="single"/>
        </w:rPr>
      </w:pPr>
      <w:r>
        <w:rPr>
          <w:rFonts w:hint="eastAsia" w:ascii="宋体" w:hAnsi="宋体"/>
          <w:color w:val="auto"/>
          <w:sz w:val="24"/>
          <w:highlight w:val="none"/>
          <w:u w:val="single"/>
        </w:rPr>
        <w:t>2、列入本表人员如要更换，须经采购人同意，擅自更换属违约行为。</w:t>
      </w:r>
    </w:p>
    <w:p w14:paraId="4A827607">
      <w:pPr>
        <w:pStyle w:val="283"/>
        <w:spacing w:line="360" w:lineRule="auto"/>
        <w:ind w:firstLine="480"/>
        <w:rPr>
          <w:rFonts w:hint="eastAsia" w:ascii="宋体" w:hAnsi="宋体"/>
          <w:color w:val="auto"/>
          <w:sz w:val="24"/>
          <w:highlight w:val="none"/>
          <w:u w:val="single"/>
        </w:rPr>
      </w:pPr>
      <w:r>
        <w:rPr>
          <w:rFonts w:hint="eastAsia" w:ascii="宋体" w:hAnsi="宋体"/>
          <w:color w:val="auto"/>
          <w:sz w:val="24"/>
          <w:highlight w:val="none"/>
          <w:u w:val="single"/>
        </w:rPr>
        <w:t>3、列入上表人员具有相关资质、职称证书、工作经验的，应在本栏目提交相关证书或证明材料</w:t>
      </w:r>
      <w:r>
        <w:rPr>
          <w:rFonts w:hint="eastAsia" w:ascii="宋体" w:hAnsi="宋体"/>
          <w:color w:val="auto"/>
          <w:sz w:val="24"/>
          <w:szCs w:val="20"/>
          <w:highlight w:val="none"/>
          <w:u w:val="single"/>
        </w:rPr>
        <w:t>扫描件</w:t>
      </w:r>
      <w:r>
        <w:rPr>
          <w:rFonts w:hint="eastAsia" w:ascii="宋体" w:hAnsi="宋体"/>
          <w:color w:val="auto"/>
          <w:sz w:val="24"/>
          <w:highlight w:val="none"/>
          <w:u w:val="single"/>
        </w:rPr>
        <w:t>。</w:t>
      </w:r>
    </w:p>
    <w:p w14:paraId="30C0C44F">
      <w:pPr>
        <w:pStyle w:val="281"/>
        <w:spacing w:line="360" w:lineRule="auto"/>
        <w:ind w:firstLine="480"/>
        <w:rPr>
          <w:rFonts w:ascii="宋体" w:hAnsi="宋体"/>
          <w:bCs/>
          <w:color w:val="auto"/>
          <w:sz w:val="24"/>
          <w:szCs w:val="20"/>
          <w:highlight w:val="none"/>
          <w:u w:val="single"/>
        </w:rPr>
      </w:pPr>
    </w:p>
    <w:p w14:paraId="0B2E39C2">
      <w:pPr>
        <w:pStyle w:val="283"/>
        <w:spacing w:line="360" w:lineRule="auto"/>
        <w:ind w:firstLine="480"/>
        <w:rPr>
          <w:rFonts w:ascii="宋体" w:hAnsi="宋体"/>
          <w:color w:val="auto"/>
          <w:sz w:val="24"/>
          <w:highlight w:val="none"/>
          <w:u w:val="single"/>
        </w:rPr>
      </w:pPr>
    </w:p>
    <w:p w14:paraId="268C1488">
      <w:pPr>
        <w:pStyle w:val="284"/>
        <w:jc w:val="center"/>
        <w:outlineLvl w:val="2"/>
        <w:rPr>
          <w:rFonts w:hint="eastAsia" w:ascii="宋体" w:hAnsi="宋体" w:eastAsia="宋体" w:cs="宋体"/>
          <w:color w:val="auto"/>
          <w:sz w:val="28"/>
          <w:highlight w:val="none"/>
          <w:lang w:eastAsia="zh-CN"/>
        </w:rPr>
      </w:pPr>
      <w:r>
        <w:rPr>
          <w:color w:val="auto"/>
          <w:highlight w:val="none"/>
        </w:rPr>
        <w:br w:type="page" w:clear="all"/>
      </w:r>
      <w:bookmarkStart w:id="513" w:name="_Toc256000085"/>
    </w:p>
    <w:p w14:paraId="78478621">
      <w:pPr>
        <w:pStyle w:val="284"/>
        <w:jc w:val="center"/>
        <w:outlineLvl w:val="2"/>
        <w:rPr>
          <w:color w:val="auto"/>
          <w:highlight w:val="none"/>
        </w:rPr>
      </w:pPr>
      <w:r>
        <w:rPr>
          <w:rFonts w:ascii="宋体" w:hAnsi="宋体" w:eastAsia="宋体" w:cs="宋体"/>
          <w:color w:val="auto"/>
          <w:sz w:val="28"/>
          <w:highlight w:val="none"/>
        </w:rPr>
        <w:t>(</w:t>
      </w:r>
      <w:r>
        <w:rPr>
          <w:rFonts w:hint="eastAsia" w:ascii="宋体" w:hAnsi="宋体" w:eastAsia="宋体" w:cs="宋体"/>
          <w:color w:val="auto"/>
          <w:sz w:val="28"/>
          <w:highlight w:val="none"/>
          <w:lang w:eastAsia="zh-CN"/>
        </w:rPr>
        <w:t>五</w:t>
      </w:r>
      <w:r>
        <w:rPr>
          <w:rFonts w:ascii="宋体" w:hAnsi="宋体" w:eastAsia="宋体" w:cs="宋体"/>
          <w:color w:val="auto"/>
          <w:sz w:val="28"/>
          <w:highlight w:val="none"/>
        </w:rPr>
        <w:t>)</w:t>
      </w:r>
      <w:r>
        <w:rPr>
          <w:rFonts w:hint="eastAsia" w:ascii="宋体" w:hAnsi="宋体" w:eastAsia="宋体" w:cs="宋体"/>
          <w:color w:val="auto"/>
          <w:sz w:val="28"/>
          <w:highlight w:val="none"/>
          <w:lang w:eastAsia="zh-CN"/>
        </w:rPr>
        <w:t>磋商</w:t>
      </w:r>
      <w:r>
        <w:rPr>
          <w:rFonts w:ascii="宋体" w:hAnsi="宋体" w:eastAsia="宋体" w:cs="宋体"/>
          <w:color w:val="auto"/>
          <w:sz w:val="28"/>
          <w:highlight w:val="none"/>
        </w:rPr>
        <w:t>报价表</w:t>
      </w:r>
      <w:bookmarkEnd w:id="513"/>
    </w:p>
    <w:p w14:paraId="3921F1DC">
      <w:pPr>
        <w:pStyle w:val="285"/>
        <w:rPr>
          <w:color w:val="auto"/>
          <w:highlight w:val="none"/>
        </w:rPr>
      </w:pPr>
      <w:r>
        <w:rPr>
          <w:rFonts w:ascii="宋体" w:hAnsi="宋体" w:eastAsia="宋体" w:cs="宋体"/>
          <w:color w:val="auto"/>
          <w:highlight w:val="none"/>
        </w:rPr>
        <w:t xml:space="preserve">﻿ </w:t>
      </w:r>
    </w:p>
    <w:p w14:paraId="47B7DAD9">
      <w:pPr>
        <w:widowControl/>
        <w:spacing w:before="100" w:beforeAutospacing="1" w:after="100" w:afterAutospacing="1"/>
        <w:rPr>
          <w:rFonts w:ascii="宋体" w:hAnsi="宋体" w:cs="宋体"/>
          <w:color w:val="auto"/>
          <w:sz w:val="24"/>
          <w:szCs w:val="24"/>
          <w:highlight w:val="none"/>
        </w:rPr>
      </w:pPr>
      <w:r>
        <w:rPr>
          <w:rFonts w:ascii="宋体" w:hAnsi="宋体" w:cs="宋体"/>
          <w:b/>
          <w:bCs/>
          <w:color w:val="auto"/>
          <w:sz w:val="24"/>
          <w:szCs w:val="24"/>
          <w:highlight w:val="none"/>
        </w:rPr>
        <w:t>本次为首次报价</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货币单位：人民币元</w:t>
      </w:r>
    </w:p>
    <w:p w14:paraId="0EAD1F9F">
      <w:pPr>
        <w:widowControl/>
        <w:spacing w:before="100" w:beforeAutospacing="1" w:after="100" w:afterAutospacing="1"/>
        <w:rPr>
          <w:rFonts w:ascii="宋体" w:hAnsi="宋体" w:cs="宋体"/>
          <w:color w:val="auto"/>
          <w:sz w:val="24"/>
          <w:szCs w:val="24"/>
          <w:highlight w:val="none"/>
        </w:rPr>
      </w:pPr>
      <w:r>
        <w:rPr>
          <w:rFonts w:ascii="宋体" w:hAnsi="宋体" w:cs="宋体"/>
          <w:color w:val="auto"/>
          <w:sz w:val="24"/>
          <w:szCs w:val="24"/>
          <w:highlight w:val="none"/>
        </w:rPr>
        <w:t>项目编号：</w:t>
      </w:r>
    </w:p>
    <w:tbl>
      <w:tblPr>
        <w:tblStyle w:val="29"/>
        <w:tblW w:w="0" w:type="auto"/>
        <w:tblInd w:w="-1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15" w:type="dxa"/>
          <w:left w:w="15" w:type="dxa"/>
          <w:bottom w:w="15" w:type="dxa"/>
          <w:right w:w="15" w:type="dxa"/>
        </w:tblCellMar>
      </w:tblPr>
      <w:tblGrid>
        <w:gridCol w:w="2363"/>
        <w:gridCol w:w="2192"/>
        <w:gridCol w:w="3502"/>
      </w:tblGrid>
      <w:tr w14:paraId="22C08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1196" w:hRule="atLeast"/>
        </w:trPr>
        <w:tc>
          <w:tcPr>
            <w:tcW w:w="2363" w:type="dxa"/>
            <w:noWrap w:val="0"/>
            <w:vAlign w:val="center"/>
          </w:tcPr>
          <w:p w14:paraId="5EB2A0D0">
            <w:pPr>
              <w:widowControl/>
              <w:spacing w:before="100" w:beforeAutospacing="1" w:after="100" w:afterAutospacing="1"/>
              <w:rPr>
                <w:rFonts w:ascii="宋体" w:hAnsi="宋体" w:cs="宋体"/>
                <w:color w:val="auto"/>
                <w:sz w:val="24"/>
                <w:szCs w:val="24"/>
                <w:highlight w:val="none"/>
              </w:rPr>
            </w:pPr>
            <w:r>
              <w:rPr>
                <w:rFonts w:ascii="宋体" w:hAnsi="宋体" w:cs="宋体"/>
                <w:color w:val="auto"/>
                <w:sz w:val="24"/>
                <w:szCs w:val="24"/>
                <w:highlight w:val="none"/>
              </w:rPr>
              <w:t>项目名称</w:t>
            </w:r>
          </w:p>
        </w:tc>
        <w:tc>
          <w:tcPr>
            <w:tcW w:w="2192" w:type="dxa"/>
            <w:noWrap w:val="0"/>
            <w:vAlign w:val="center"/>
          </w:tcPr>
          <w:p w14:paraId="59A33240">
            <w:pPr>
              <w:widowControl/>
              <w:spacing w:before="100" w:beforeAutospacing="1" w:after="100" w:afterAutospacing="1"/>
              <w:rPr>
                <w:rFonts w:ascii="宋体" w:hAnsi="宋体" w:cs="宋体"/>
                <w:color w:val="auto"/>
                <w:sz w:val="24"/>
                <w:szCs w:val="24"/>
                <w:highlight w:val="none"/>
              </w:rPr>
            </w:pPr>
            <w:r>
              <w:rPr>
                <w:rFonts w:ascii="宋体" w:hAnsi="宋体" w:cs="宋体"/>
                <w:color w:val="auto"/>
                <w:sz w:val="24"/>
                <w:szCs w:val="24"/>
                <w:highlight w:val="none"/>
              </w:rPr>
              <w:t>项目内容</w:t>
            </w:r>
          </w:p>
        </w:tc>
        <w:tc>
          <w:tcPr>
            <w:tcW w:w="3502" w:type="dxa"/>
            <w:noWrap w:val="0"/>
            <w:vAlign w:val="center"/>
          </w:tcPr>
          <w:p w14:paraId="68EE8F1D">
            <w:pPr>
              <w:widowControl/>
              <w:spacing w:before="100" w:beforeAutospacing="1" w:after="100" w:afterAutospacing="1"/>
              <w:rPr>
                <w:rFonts w:ascii="宋体" w:hAnsi="宋体" w:cs="宋体"/>
                <w:color w:val="auto"/>
                <w:sz w:val="24"/>
                <w:szCs w:val="24"/>
                <w:highlight w:val="none"/>
              </w:rPr>
            </w:pPr>
            <w:r>
              <w:rPr>
                <w:rFonts w:ascii="宋体" w:hAnsi="宋体" w:cs="宋体"/>
                <w:color w:val="auto"/>
                <w:sz w:val="24"/>
                <w:szCs w:val="24"/>
                <w:highlight w:val="none"/>
              </w:rPr>
              <w:t>总价（小写）</w:t>
            </w:r>
          </w:p>
        </w:tc>
      </w:tr>
      <w:tr w14:paraId="609FC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1229" w:hRule="atLeast"/>
        </w:trPr>
        <w:tc>
          <w:tcPr>
            <w:tcW w:w="2363" w:type="dxa"/>
            <w:noWrap w:val="0"/>
            <w:vAlign w:val="center"/>
          </w:tcPr>
          <w:p w14:paraId="37648553">
            <w:pPr>
              <w:widowControl/>
              <w:spacing w:before="100" w:beforeAutospacing="1" w:after="100" w:afterAutospacing="1"/>
              <w:rPr>
                <w:rFonts w:ascii="宋体" w:hAnsi="宋体" w:cs="宋体"/>
                <w:color w:val="auto"/>
                <w:sz w:val="24"/>
                <w:szCs w:val="24"/>
                <w:highlight w:val="none"/>
              </w:rPr>
            </w:pPr>
          </w:p>
        </w:tc>
        <w:tc>
          <w:tcPr>
            <w:tcW w:w="2192" w:type="dxa"/>
            <w:noWrap w:val="0"/>
            <w:vAlign w:val="center"/>
          </w:tcPr>
          <w:p w14:paraId="1D111D5D">
            <w:pPr>
              <w:widowControl/>
              <w:spacing w:before="100" w:beforeAutospacing="1" w:after="100" w:afterAutospacing="1"/>
              <w:rPr>
                <w:rFonts w:ascii="宋体" w:hAnsi="宋体" w:cs="宋体"/>
                <w:color w:val="auto"/>
                <w:sz w:val="24"/>
                <w:szCs w:val="24"/>
                <w:highlight w:val="none"/>
              </w:rPr>
            </w:pPr>
            <w:r>
              <w:rPr>
                <w:rFonts w:ascii="宋体" w:hAnsi="宋体" w:cs="宋体"/>
                <w:color w:val="auto"/>
                <w:sz w:val="24"/>
                <w:szCs w:val="24"/>
                <w:highlight w:val="none"/>
              </w:rPr>
              <w:t>详见响应文件</w:t>
            </w:r>
          </w:p>
        </w:tc>
        <w:tc>
          <w:tcPr>
            <w:tcW w:w="3502" w:type="dxa"/>
            <w:noWrap w:val="0"/>
            <w:vAlign w:val="center"/>
          </w:tcPr>
          <w:p w14:paraId="29B6385E">
            <w:pPr>
              <w:widowControl/>
              <w:spacing w:before="100" w:beforeAutospacing="1" w:after="100" w:afterAutospacing="1"/>
              <w:ind w:firstLine="1200"/>
              <w:rPr>
                <w:rFonts w:ascii="宋体" w:hAnsi="宋体" w:cs="宋体"/>
                <w:color w:val="auto"/>
                <w:sz w:val="24"/>
                <w:szCs w:val="24"/>
                <w:highlight w:val="none"/>
              </w:rPr>
            </w:pPr>
            <w:r>
              <w:rPr>
                <w:rFonts w:ascii="宋体" w:hAnsi="宋体" w:cs="宋体"/>
                <w:color w:val="auto"/>
                <w:sz w:val="24"/>
                <w:szCs w:val="24"/>
                <w:highlight w:val="none"/>
              </w:rPr>
              <w:t>元</w:t>
            </w:r>
          </w:p>
        </w:tc>
      </w:tr>
      <w:tr w14:paraId="2C65A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5" w:type="dxa"/>
            <w:left w:w="15" w:type="dxa"/>
            <w:bottom w:w="15" w:type="dxa"/>
            <w:right w:w="15" w:type="dxa"/>
          </w:tblCellMar>
        </w:tblPrEx>
        <w:trPr>
          <w:trHeight w:val="1538" w:hRule="atLeast"/>
        </w:trPr>
        <w:tc>
          <w:tcPr>
            <w:tcW w:w="2363" w:type="dxa"/>
            <w:noWrap w:val="0"/>
            <w:vAlign w:val="center"/>
          </w:tcPr>
          <w:p w14:paraId="0077E3AF">
            <w:pPr>
              <w:widowControl/>
              <w:spacing w:before="100" w:beforeAutospacing="1" w:after="100" w:afterAutospacing="1"/>
              <w:rPr>
                <w:rFonts w:ascii="宋体" w:hAnsi="宋体" w:cs="宋体"/>
                <w:color w:val="auto"/>
                <w:sz w:val="24"/>
                <w:szCs w:val="24"/>
                <w:highlight w:val="none"/>
              </w:rPr>
            </w:pPr>
            <w:r>
              <w:rPr>
                <w:rFonts w:ascii="宋体" w:hAnsi="宋体" w:cs="宋体"/>
                <w:color w:val="auto"/>
                <w:sz w:val="24"/>
                <w:szCs w:val="24"/>
                <w:highlight w:val="none"/>
              </w:rPr>
              <w:t>总价（大写）：</w:t>
            </w:r>
          </w:p>
        </w:tc>
        <w:tc>
          <w:tcPr>
            <w:tcW w:w="5694" w:type="dxa"/>
            <w:gridSpan w:val="2"/>
            <w:noWrap w:val="0"/>
            <w:vAlign w:val="center"/>
          </w:tcPr>
          <w:p w14:paraId="705322F7">
            <w:pPr>
              <w:widowControl/>
              <w:spacing w:before="100" w:beforeAutospacing="1" w:after="100" w:afterAutospacing="1"/>
              <w:rPr>
                <w:rFonts w:ascii="宋体" w:hAnsi="宋体" w:cs="宋体"/>
                <w:color w:val="auto"/>
                <w:sz w:val="24"/>
                <w:szCs w:val="24"/>
                <w:highlight w:val="none"/>
              </w:rPr>
            </w:pPr>
          </w:p>
        </w:tc>
      </w:tr>
    </w:tbl>
    <w:p w14:paraId="2870B2D0">
      <w:pPr>
        <w:spacing w:line="360" w:lineRule="auto"/>
        <w:rPr>
          <w:rFonts w:ascii="宋体" w:hAnsi="宋体"/>
          <w:color w:val="auto"/>
          <w:sz w:val="24"/>
          <w:szCs w:val="24"/>
          <w:highlight w:val="none"/>
        </w:rPr>
      </w:pPr>
      <w:r>
        <w:rPr>
          <w:rFonts w:ascii="宋体" w:hAnsi="宋体"/>
          <w:color w:val="auto"/>
          <w:sz w:val="24"/>
          <w:szCs w:val="24"/>
          <w:highlight w:val="none"/>
        </w:rPr>
        <w:t>报价说明：</w:t>
      </w:r>
    </w:p>
    <w:p w14:paraId="7CB9A049">
      <w:pPr>
        <w:spacing w:line="360" w:lineRule="auto"/>
        <w:rPr>
          <w:rFonts w:ascii="宋体" w:hAnsi="宋体"/>
          <w:color w:val="auto"/>
          <w:sz w:val="24"/>
          <w:szCs w:val="24"/>
          <w:highlight w:val="none"/>
        </w:rPr>
      </w:pPr>
      <w:r>
        <w:rPr>
          <w:rFonts w:ascii="宋体" w:hAnsi="宋体"/>
          <w:color w:val="auto"/>
          <w:sz w:val="24"/>
          <w:szCs w:val="24"/>
          <w:highlight w:val="none"/>
        </w:rPr>
        <w:t>1、报价包括完成项目的所有费用。采购人不再支付报价以外的任何费用。</w:t>
      </w:r>
    </w:p>
    <w:p w14:paraId="2D1B16F3">
      <w:pPr>
        <w:spacing w:line="360" w:lineRule="auto"/>
        <w:rPr>
          <w:rFonts w:ascii="宋体" w:hAnsi="宋体"/>
          <w:color w:val="auto"/>
          <w:sz w:val="24"/>
          <w:szCs w:val="24"/>
          <w:highlight w:val="none"/>
        </w:rPr>
      </w:pPr>
      <w:r>
        <w:rPr>
          <w:rFonts w:ascii="宋体" w:hAnsi="宋体"/>
          <w:color w:val="auto"/>
          <w:sz w:val="24"/>
          <w:szCs w:val="24"/>
          <w:highlight w:val="none"/>
        </w:rPr>
        <w:t>2、报价以总价为准，大小写不一致以大写为准；</w:t>
      </w:r>
    </w:p>
    <w:p w14:paraId="03B3B0CC">
      <w:pPr>
        <w:spacing w:line="360" w:lineRule="auto"/>
        <w:rPr>
          <w:rFonts w:ascii="宋体" w:hAnsi="宋体"/>
          <w:color w:val="auto"/>
          <w:sz w:val="24"/>
          <w:szCs w:val="24"/>
          <w:highlight w:val="none"/>
        </w:rPr>
      </w:pPr>
      <w:r>
        <w:rPr>
          <w:rFonts w:ascii="宋体" w:hAnsi="宋体"/>
          <w:color w:val="auto"/>
          <w:sz w:val="24"/>
          <w:szCs w:val="24"/>
          <w:highlight w:val="none"/>
        </w:rPr>
        <w:t>3、如最后报价未列明单价</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除不可竞争性报价外</w:t>
      </w:r>
      <w:r>
        <w:rPr>
          <w:rFonts w:hint="eastAsia" w:ascii="宋体" w:hAnsi="宋体"/>
          <w:color w:val="auto"/>
          <w:sz w:val="24"/>
          <w:szCs w:val="24"/>
          <w:highlight w:val="none"/>
          <w:lang w:eastAsia="zh-CN"/>
        </w:rPr>
        <w:t>）</w:t>
      </w:r>
      <w:r>
        <w:rPr>
          <w:rFonts w:ascii="宋体" w:hAnsi="宋体"/>
          <w:color w:val="auto"/>
          <w:sz w:val="24"/>
          <w:szCs w:val="24"/>
          <w:highlight w:val="none"/>
        </w:rPr>
        <w:t>，则最后所报各项单价计算方法为：（最后报价/最初报价）*各项最初报价的单价。</w:t>
      </w:r>
    </w:p>
    <w:p w14:paraId="2322BC4C">
      <w:pPr>
        <w:spacing w:line="360" w:lineRule="auto"/>
        <w:rPr>
          <w:rFonts w:ascii="宋体" w:hAnsi="宋体"/>
          <w:color w:val="auto"/>
          <w:sz w:val="24"/>
          <w:szCs w:val="24"/>
          <w:highlight w:val="none"/>
        </w:rPr>
      </w:pPr>
    </w:p>
    <w:p w14:paraId="265DCBDD">
      <w:pPr>
        <w:spacing w:line="360" w:lineRule="auto"/>
        <w:rPr>
          <w:rFonts w:ascii="宋体" w:hAnsi="宋体"/>
          <w:color w:val="auto"/>
          <w:sz w:val="24"/>
          <w:szCs w:val="24"/>
          <w:highlight w:val="none"/>
        </w:rPr>
      </w:pPr>
      <w:r>
        <w:rPr>
          <w:rFonts w:ascii="宋体" w:hAnsi="宋体"/>
          <w:color w:val="auto"/>
          <w:sz w:val="24"/>
          <w:szCs w:val="24"/>
          <w:highlight w:val="none"/>
        </w:rPr>
        <w:t>响应单位（公章）：</w:t>
      </w:r>
    </w:p>
    <w:p w14:paraId="349A373E">
      <w:pPr>
        <w:spacing w:line="360" w:lineRule="auto"/>
        <w:jc w:val="center"/>
        <w:rPr>
          <w:color w:val="auto"/>
          <w:highlight w:val="none"/>
        </w:rPr>
      </w:pPr>
      <w:r>
        <w:rPr>
          <w:rFonts w:ascii="宋体" w:hAnsi="宋体"/>
          <w:color w:val="auto"/>
          <w:sz w:val="24"/>
          <w:szCs w:val="24"/>
          <w:highlight w:val="none"/>
        </w:rPr>
        <w:br w:type="page" w:clear="all"/>
      </w:r>
      <w:bookmarkStart w:id="514" w:name="_Toc29264"/>
      <w:bookmarkStart w:id="515" w:name="_Toc29659"/>
      <w:bookmarkStart w:id="516" w:name="_Toc256000088"/>
      <w:r>
        <w:rPr>
          <w:rFonts w:hint="eastAsia" w:ascii="宋体" w:hAnsi="宋体" w:cs="宋体"/>
          <w:color w:val="auto"/>
          <w:sz w:val="28"/>
          <w:highlight w:val="none"/>
        </w:rPr>
        <w:t>首次</w:t>
      </w:r>
      <w:r>
        <w:rPr>
          <w:rFonts w:ascii="宋体" w:hAnsi="宋体" w:cs="宋体"/>
          <w:color w:val="auto"/>
          <w:sz w:val="28"/>
          <w:highlight w:val="none"/>
        </w:rPr>
        <w:t>报价已标价工程量清单</w:t>
      </w:r>
      <w:bookmarkEnd w:id="514"/>
      <w:bookmarkEnd w:id="515"/>
    </w:p>
    <w:p w14:paraId="7B4DE707">
      <w:pPr>
        <w:pStyle w:val="286"/>
        <w:outlineLvl w:val="2"/>
        <w:rPr>
          <w:rFonts w:hint="eastAsia" w:eastAsia="宋体"/>
          <w:color w:val="auto"/>
          <w:highlight w:val="none"/>
          <w:lang w:eastAsia="zh-CN"/>
        </w:rPr>
      </w:pPr>
    </w:p>
    <w:p w14:paraId="2D86C4F4">
      <w:pPr>
        <w:pStyle w:val="286"/>
        <w:outlineLvl w:val="2"/>
        <w:rPr>
          <w:rFonts w:hint="eastAsia" w:eastAsia="宋体"/>
          <w:color w:val="auto"/>
          <w:highlight w:val="none"/>
          <w:lang w:eastAsia="zh-CN"/>
        </w:rPr>
      </w:pPr>
    </w:p>
    <w:p w14:paraId="4B35F9F7">
      <w:pPr>
        <w:pStyle w:val="286"/>
        <w:outlineLvl w:val="2"/>
        <w:rPr>
          <w:rFonts w:hint="eastAsia" w:eastAsia="宋体"/>
          <w:color w:val="auto"/>
          <w:highlight w:val="none"/>
          <w:lang w:eastAsia="zh-CN"/>
        </w:rPr>
      </w:pPr>
    </w:p>
    <w:p w14:paraId="3A52CAC4">
      <w:pPr>
        <w:pStyle w:val="286"/>
        <w:outlineLvl w:val="2"/>
        <w:rPr>
          <w:rFonts w:hint="eastAsia" w:eastAsia="宋体"/>
          <w:color w:val="auto"/>
          <w:highlight w:val="none"/>
          <w:lang w:eastAsia="zh-CN"/>
        </w:rPr>
      </w:pPr>
    </w:p>
    <w:p w14:paraId="6198903D">
      <w:pPr>
        <w:pStyle w:val="286"/>
        <w:outlineLvl w:val="2"/>
        <w:rPr>
          <w:rFonts w:hint="eastAsia" w:eastAsia="宋体"/>
          <w:color w:val="auto"/>
          <w:highlight w:val="none"/>
          <w:lang w:eastAsia="zh-CN"/>
        </w:rPr>
      </w:pPr>
    </w:p>
    <w:p w14:paraId="542E50E2">
      <w:pPr>
        <w:pStyle w:val="286"/>
        <w:outlineLvl w:val="2"/>
        <w:rPr>
          <w:rFonts w:hint="eastAsia" w:eastAsia="宋体"/>
          <w:color w:val="auto"/>
          <w:highlight w:val="none"/>
          <w:lang w:eastAsia="zh-CN"/>
        </w:rPr>
      </w:pPr>
    </w:p>
    <w:p w14:paraId="0DC64AEB">
      <w:pPr>
        <w:pStyle w:val="286"/>
        <w:outlineLvl w:val="2"/>
        <w:rPr>
          <w:rFonts w:hint="eastAsia" w:eastAsia="宋体"/>
          <w:color w:val="auto"/>
          <w:highlight w:val="none"/>
          <w:lang w:eastAsia="zh-CN"/>
        </w:rPr>
      </w:pPr>
    </w:p>
    <w:p w14:paraId="1A198ED1">
      <w:pPr>
        <w:pStyle w:val="286"/>
        <w:outlineLvl w:val="2"/>
        <w:rPr>
          <w:rFonts w:hint="eastAsia" w:eastAsia="宋体"/>
          <w:color w:val="auto"/>
          <w:highlight w:val="none"/>
          <w:lang w:eastAsia="zh-CN"/>
        </w:rPr>
      </w:pPr>
    </w:p>
    <w:p w14:paraId="47A96800">
      <w:pPr>
        <w:pStyle w:val="286"/>
        <w:outlineLvl w:val="2"/>
        <w:rPr>
          <w:rFonts w:hint="eastAsia" w:eastAsia="宋体"/>
          <w:color w:val="auto"/>
          <w:highlight w:val="none"/>
          <w:lang w:eastAsia="zh-CN"/>
        </w:rPr>
      </w:pPr>
    </w:p>
    <w:p w14:paraId="161BFBAA">
      <w:pPr>
        <w:pStyle w:val="286"/>
        <w:outlineLvl w:val="2"/>
        <w:rPr>
          <w:rFonts w:hint="eastAsia" w:eastAsia="宋体"/>
          <w:color w:val="auto"/>
          <w:highlight w:val="none"/>
          <w:lang w:eastAsia="zh-CN"/>
        </w:rPr>
      </w:pPr>
    </w:p>
    <w:p w14:paraId="5D775D04">
      <w:pPr>
        <w:pStyle w:val="286"/>
        <w:outlineLvl w:val="2"/>
        <w:rPr>
          <w:rFonts w:hint="eastAsia" w:eastAsia="宋体"/>
          <w:color w:val="auto"/>
          <w:highlight w:val="none"/>
          <w:lang w:eastAsia="zh-CN"/>
        </w:rPr>
      </w:pPr>
    </w:p>
    <w:p w14:paraId="1C941501">
      <w:pPr>
        <w:pStyle w:val="286"/>
        <w:outlineLvl w:val="2"/>
        <w:rPr>
          <w:rFonts w:hint="eastAsia" w:eastAsia="宋体"/>
          <w:color w:val="auto"/>
          <w:highlight w:val="none"/>
          <w:lang w:eastAsia="zh-CN"/>
        </w:rPr>
      </w:pPr>
    </w:p>
    <w:p w14:paraId="3C4F62A3">
      <w:pPr>
        <w:pStyle w:val="286"/>
        <w:outlineLvl w:val="2"/>
        <w:rPr>
          <w:rFonts w:hint="eastAsia" w:eastAsia="宋体"/>
          <w:color w:val="auto"/>
          <w:highlight w:val="none"/>
          <w:lang w:eastAsia="zh-CN"/>
        </w:rPr>
      </w:pPr>
    </w:p>
    <w:p w14:paraId="2BEAD242">
      <w:pPr>
        <w:pStyle w:val="286"/>
        <w:outlineLvl w:val="2"/>
        <w:rPr>
          <w:rFonts w:hint="eastAsia" w:eastAsia="宋体"/>
          <w:color w:val="auto"/>
          <w:highlight w:val="none"/>
          <w:lang w:eastAsia="zh-CN"/>
        </w:rPr>
      </w:pPr>
    </w:p>
    <w:p w14:paraId="0B0242DE">
      <w:pPr>
        <w:pStyle w:val="286"/>
        <w:outlineLvl w:val="2"/>
        <w:rPr>
          <w:rFonts w:hint="eastAsia" w:eastAsia="宋体"/>
          <w:color w:val="auto"/>
          <w:highlight w:val="none"/>
          <w:lang w:eastAsia="zh-CN"/>
        </w:rPr>
      </w:pPr>
    </w:p>
    <w:p w14:paraId="2C1D172E">
      <w:pPr>
        <w:pStyle w:val="286"/>
        <w:outlineLvl w:val="2"/>
        <w:rPr>
          <w:rFonts w:hint="eastAsia" w:eastAsia="宋体"/>
          <w:color w:val="auto"/>
          <w:highlight w:val="none"/>
          <w:lang w:eastAsia="zh-CN"/>
        </w:rPr>
      </w:pPr>
    </w:p>
    <w:p w14:paraId="3C940856">
      <w:pPr>
        <w:pStyle w:val="286"/>
        <w:outlineLvl w:val="2"/>
        <w:rPr>
          <w:rFonts w:hint="eastAsia" w:eastAsia="宋体"/>
          <w:color w:val="auto"/>
          <w:highlight w:val="none"/>
          <w:lang w:eastAsia="zh-CN"/>
        </w:rPr>
      </w:pPr>
    </w:p>
    <w:p w14:paraId="0AC8A7EE">
      <w:pPr>
        <w:pStyle w:val="286"/>
        <w:outlineLvl w:val="2"/>
        <w:rPr>
          <w:rFonts w:hint="eastAsia" w:eastAsia="宋体"/>
          <w:color w:val="auto"/>
          <w:highlight w:val="none"/>
          <w:lang w:eastAsia="zh-CN"/>
        </w:rPr>
      </w:pPr>
    </w:p>
    <w:p w14:paraId="428A7CA8">
      <w:pPr>
        <w:pStyle w:val="286"/>
        <w:outlineLvl w:val="2"/>
        <w:rPr>
          <w:rFonts w:hint="eastAsia" w:eastAsia="宋体"/>
          <w:color w:val="auto"/>
          <w:highlight w:val="none"/>
          <w:lang w:eastAsia="zh-CN"/>
        </w:rPr>
      </w:pPr>
    </w:p>
    <w:p w14:paraId="47427D54">
      <w:pPr>
        <w:pStyle w:val="286"/>
        <w:outlineLvl w:val="2"/>
        <w:rPr>
          <w:rFonts w:hint="eastAsia" w:eastAsia="宋体"/>
          <w:color w:val="auto"/>
          <w:highlight w:val="none"/>
          <w:lang w:eastAsia="zh-CN"/>
        </w:rPr>
      </w:pPr>
    </w:p>
    <w:p w14:paraId="16096B2C">
      <w:pPr>
        <w:pStyle w:val="286"/>
        <w:outlineLvl w:val="2"/>
        <w:rPr>
          <w:rFonts w:hint="eastAsia" w:eastAsia="宋体"/>
          <w:color w:val="auto"/>
          <w:highlight w:val="none"/>
          <w:lang w:eastAsia="zh-CN"/>
        </w:rPr>
      </w:pPr>
    </w:p>
    <w:p w14:paraId="5950C30D">
      <w:pPr>
        <w:pStyle w:val="286"/>
        <w:outlineLvl w:val="2"/>
        <w:rPr>
          <w:rFonts w:hint="eastAsia" w:eastAsia="宋体"/>
          <w:color w:val="auto"/>
          <w:highlight w:val="none"/>
          <w:lang w:eastAsia="zh-CN"/>
        </w:rPr>
      </w:pPr>
    </w:p>
    <w:p w14:paraId="7740654F">
      <w:pPr>
        <w:pStyle w:val="286"/>
        <w:outlineLvl w:val="2"/>
        <w:rPr>
          <w:rFonts w:hint="eastAsia" w:eastAsia="宋体"/>
          <w:color w:val="auto"/>
          <w:highlight w:val="none"/>
          <w:lang w:eastAsia="zh-CN"/>
        </w:rPr>
      </w:pPr>
    </w:p>
    <w:p w14:paraId="34041472">
      <w:pPr>
        <w:pStyle w:val="286"/>
        <w:outlineLvl w:val="2"/>
        <w:rPr>
          <w:rFonts w:hint="eastAsia" w:eastAsia="宋体"/>
          <w:color w:val="auto"/>
          <w:highlight w:val="none"/>
          <w:lang w:eastAsia="zh-CN"/>
        </w:rPr>
      </w:pPr>
    </w:p>
    <w:p w14:paraId="7194DB3A">
      <w:pPr>
        <w:pStyle w:val="286"/>
        <w:outlineLvl w:val="2"/>
        <w:rPr>
          <w:rFonts w:hint="eastAsia" w:eastAsia="宋体"/>
          <w:color w:val="auto"/>
          <w:highlight w:val="none"/>
          <w:lang w:eastAsia="zh-CN"/>
        </w:rPr>
      </w:pPr>
    </w:p>
    <w:p w14:paraId="6ED6A648">
      <w:pPr>
        <w:pStyle w:val="286"/>
        <w:outlineLvl w:val="2"/>
        <w:rPr>
          <w:rFonts w:hint="eastAsia" w:eastAsia="宋体"/>
          <w:color w:val="auto"/>
          <w:highlight w:val="none"/>
          <w:lang w:eastAsia="zh-CN"/>
        </w:rPr>
      </w:pPr>
    </w:p>
    <w:p w14:paraId="398B6A80">
      <w:pPr>
        <w:pStyle w:val="286"/>
        <w:outlineLvl w:val="2"/>
        <w:rPr>
          <w:rFonts w:hint="eastAsia" w:eastAsia="宋体"/>
          <w:color w:val="auto"/>
          <w:highlight w:val="none"/>
          <w:lang w:eastAsia="zh-CN"/>
        </w:rPr>
      </w:pPr>
    </w:p>
    <w:p w14:paraId="7BB8A53C">
      <w:pPr>
        <w:pStyle w:val="286"/>
        <w:outlineLvl w:val="2"/>
        <w:rPr>
          <w:rFonts w:hint="eastAsia" w:eastAsia="宋体"/>
          <w:color w:val="auto"/>
          <w:highlight w:val="none"/>
          <w:lang w:eastAsia="zh-CN"/>
        </w:rPr>
      </w:pPr>
    </w:p>
    <w:p w14:paraId="6D79935D">
      <w:pPr>
        <w:pStyle w:val="286"/>
        <w:outlineLvl w:val="2"/>
        <w:rPr>
          <w:rFonts w:hint="eastAsia" w:eastAsia="宋体"/>
          <w:color w:val="auto"/>
          <w:highlight w:val="none"/>
          <w:lang w:eastAsia="zh-CN"/>
        </w:rPr>
      </w:pPr>
    </w:p>
    <w:p w14:paraId="6A292400">
      <w:pPr>
        <w:pStyle w:val="286"/>
        <w:outlineLvl w:val="2"/>
        <w:rPr>
          <w:rFonts w:hint="eastAsia" w:eastAsia="宋体"/>
          <w:color w:val="auto"/>
          <w:highlight w:val="none"/>
          <w:lang w:eastAsia="zh-CN"/>
        </w:rPr>
      </w:pPr>
    </w:p>
    <w:p w14:paraId="5EA9B19F">
      <w:pPr>
        <w:pStyle w:val="286"/>
        <w:outlineLvl w:val="2"/>
        <w:rPr>
          <w:rFonts w:hint="eastAsia" w:eastAsia="宋体"/>
          <w:color w:val="auto"/>
          <w:highlight w:val="none"/>
          <w:lang w:eastAsia="zh-CN"/>
        </w:rPr>
      </w:pPr>
    </w:p>
    <w:p w14:paraId="2BD56DA7">
      <w:pPr>
        <w:pStyle w:val="286"/>
        <w:outlineLvl w:val="2"/>
        <w:rPr>
          <w:rFonts w:hint="eastAsia" w:eastAsia="宋体"/>
          <w:color w:val="auto"/>
          <w:highlight w:val="none"/>
          <w:lang w:eastAsia="zh-CN"/>
        </w:rPr>
      </w:pPr>
    </w:p>
    <w:p w14:paraId="0810E1BA">
      <w:pPr>
        <w:pStyle w:val="286"/>
        <w:outlineLvl w:val="2"/>
        <w:rPr>
          <w:rFonts w:hint="eastAsia" w:eastAsia="宋体"/>
          <w:color w:val="auto"/>
          <w:highlight w:val="none"/>
          <w:lang w:eastAsia="zh-CN"/>
        </w:rPr>
      </w:pPr>
    </w:p>
    <w:p w14:paraId="068FCDD2">
      <w:pPr>
        <w:pStyle w:val="286"/>
        <w:outlineLvl w:val="2"/>
        <w:rPr>
          <w:rFonts w:hint="eastAsia" w:eastAsia="宋体"/>
          <w:color w:val="auto"/>
          <w:highlight w:val="none"/>
          <w:lang w:eastAsia="zh-CN"/>
        </w:rPr>
      </w:pPr>
    </w:p>
    <w:p w14:paraId="2F501122">
      <w:pPr>
        <w:pStyle w:val="286"/>
        <w:outlineLvl w:val="2"/>
        <w:rPr>
          <w:rFonts w:hint="eastAsia" w:eastAsia="宋体"/>
          <w:color w:val="auto"/>
          <w:highlight w:val="none"/>
          <w:lang w:eastAsia="zh-CN"/>
        </w:rPr>
      </w:pPr>
    </w:p>
    <w:p w14:paraId="24003331">
      <w:pPr>
        <w:pStyle w:val="286"/>
        <w:outlineLvl w:val="2"/>
        <w:rPr>
          <w:rFonts w:hint="eastAsia" w:eastAsia="宋体"/>
          <w:color w:val="auto"/>
          <w:highlight w:val="none"/>
          <w:lang w:eastAsia="zh-CN"/>
        </w:rPr>
      </w:pPr>
    </w:p>
    <w:p w14:paraId="05217C7D">
      <w:pPr>
        <w:pStyle w:val="286"/>
        <w:outlineLvl w:val="2"/>
        <w:rPr>
          <w:rFonts w:hint="eastAsia" w:eastAsia="宋体"/>
          <w:color w:val="auto"/>
          <w:highlight w:val="none"/>
          <w:lang w:eastAsia="zh-CN"/>
        </w:rPr>
      </w:pPr>
    </w:p>
    <w:p w14:paraId="7C06E523">
      <w:pPr>
        <w:pStyle w:val="286"/>
        <w:outlineLvl w:val="2"/>
        <w:rPr>
          <w:rFonts w:hint="eastAsia" w:eastAsia="宋体"/>
          <w:color w:val="auto"/>
          <w:highlight w:val="none"/>
          <w:lang w:eastAsia="zh-CN"/>
        </w:rPr>
      </w:pPr>
    </w:p>
    <w:p w14:paraId="72A6C818">
      <w:pPr>
        <w:pStyle w:val="286"/>
        <w:outlineLvl w:val="2"/>
        <w:rPr>
          <w:rFonts w:hint="eastAsia" w:eastAsia="宋体"/>
          <w:color w:val="auto"/>
          <w:highlight w:val="none"/>
          <w:lang w:eastAsia="zh-CN"/>
        </w:rPr>
      </w:pPr>
    </w:p>
    <w:p w14:paraId="5DF21AA8">
      <w:pPr>
        <w:pStyle w:val="286"/>
        <w:outlineLvl w:val="2"/>
        <w:rPr>
          <w:rFonts w:hint="eastAsia" w:eastAsia="宋体"/>
          <w:color w:val="auto"/>
          <w:highlight w:val="none"/>
          <w:lang w:eastAsia="zh-CN"/>
        </w:rPr>
      </w:pPr>
    </w:p>
    <w:p w14:paraId="5F9F48C7">
      <w:pPr>
        <w:pStyle w:val="286"/>
        <w:outlineLvl w:val="2"/>
        <w:rPr>
          <w:rFonts w:hint="eastAsia" w:eastAsia="宋体"/>
          <w:color w:val="auto"/>
          <w:highlight w:val="none"/>
          <w:lang w:eastAsia="zh-CN"/>
        </w:rPr>
      </w:pPr>
    </w:p>
    <w:p w14:paraId="37BF0773">
      <w:pPr>
        <w:pStyle w:val="286"/>
        <w:outlineLvl w:val="2"/>
        <w:rPr>
          <w:rFonts w:hint="eastAsia" w:eastAsia="宋体"/>
          <w:color w:val="auto"/>
          <w:highlight w:val="none"/>
          <w:lang w:eastAsia="zh-CN"/>
        </w:rPr>
      </w:pPr>
    </w:p>
    <w:p w14:paraId="2EFC2BA9">
      <w:pPr>
        <w:pStyle w:val="286"/>
        <w:outlineLvl w:val="2"/>
        <w:rPr>
          <w:rFonts w:hint="eastAsia" w:eastAsia="宋体"/>
          <w:color w:val="auto"/>
          <w:highlight w:val="none"/>
          <w:lang w:eastAsia="zh-CN"/>
        </w:rPr>
      </w:pPr>
    </w:p>
    <w:p w14:paraId="0954508D">
      <w:pPr>
        <w:pStyle w:val="286"/>
        <w:outlineLvl w:val="2"/>
        <w:rPr>
          <w:rFonts w:hint="eastAsia" w:eastAsia="宋体"/>
          <w:color w:val="auto"/>
          <w:highlight w:val="none"/>
          <w:lang w:eastAsia="zh-CN"/>
        </w:rPr>
      </w:pPr>
    </w:p>
    <w:p w14:paraId="28E3DB3D">
      <w:pPr>
        <w:pStyle w:val="286"/>
        <w:outlineLvl w:val="2"/>
        <w:rPr>
          <w:rFonts w:hint="eastAsia" w:eastAsia="宋体"/>
          <w:color w:val="auto"/>
          <w:highlight w:val="none"/>
          <w:lang w:eastAsia="zh-CN"/>
        </w:rPr>
      </w:pPr>
    </w:p>
    <w:p w14:paraId="53E66F15">
      <w:pPr>
        <w:pStyle w:val="286"/>
        <w:outlineLvl w:val="2"/>
        <w:rPr>
          <w:rFonts w:hint="eastAsia" w:eastAsia="宋体"/>
          <w:color w:val="auto"/>
          <w:highlight w:val="none"/>
          <w:lang w:eastAsia="zh-CN"/>
        </w:rPr>
      </w:pPr>
    </w:p>
    <w:p w14:paraId="67F0EEED">
      <w:pPr>
        <w:pStyle w:val="286"/>
        <w:outlineLvl w:val="2"/>
        <w:rPr>
          <w:rFonts w:hint="eastAsia" w:eastAsia="宋体"/>
          <w:color w:val="auto"/>
          <w:highlight w:val="none"/>
          <w:lang w:eastAsia="zh-CN"/>
        </w:rPr>
      </w:pPr>
    </w:p>
    <w:p w14:paraId="151CA898">
      <w:pPr>
        <w:pStyle w:val="286"/>
        <w:outlineLvl w:val="2"/>
        <w:rPr>
          <w:rFonts w:hint="eastAsia" w:eastAsia="宋体"/>
          <w:color w:val="auto"/>
          <w:highlight w:val="none"/>
          <w:lang w:eastAsia="zh-CN"/>
        </w:rPr>
      </w:pPr>
    </w:p>
    <w:p w14:paraId="042EDA26">
      <w:pPr>
        <w:pStyle w:val="286"/>
        <w:outlineLvl w:val="2"/>
        <w:rPr>
          <w:rFonts w:hint="eastAsia" w:eastAsia="宋体"/>
          <w:color w:val="auto"/>
          <w:highlight w:val="none"/>
          <w:lang w:eastAsia="zh-CN"/>
        </w:rPr>
      </w:pPr>
    </w:p>
    <w:p w14:paraId="6A4B5E39">
      <w:pPr>
        <w:pStyle w:val="286"/>
        <w:jc w:val="center"/>
        <w:outlineLvl w:val="2"/>
        <w:rPr>
          <w:rFonts w:ascii="宋体" w:hAnsi="宋体" w:eastAsia="宋体" w:cs="宋体"/>
          <w:color w:val="auto"/>
          <w:sz w:val="32"/>
          <w:highlight w:val="none"/>
        </w:rPr>
      </w:pPr>
      <w:r>
        <w:rPr>
          <w:rFonts w:ascii="宋体" w:hAnsi="宋体" w:eastAsia="宋体" w:cs="宋体"/>
          <w:color w:val="auto"/>
          <w:sz w:val="32"/>
          <w:highlight w:val="none"/>
        </w:rPr>
        <w:t>四、其他部分</w:t>
      </w:r>
      <w:bookmarkEnd w:id="516"/>
    </w:p>
    <w:bookmarkEnd w:id="497"/>
    <w:p w14:paraId="2C662A01">
      <w:pPr>
        <w:pStyle w:val="294"/>
        <w:jc w:val="center"/>
        <w:outlineLvl w:val="2"/>
        <w:rPr>
          <w:rFonts w:ascii="宋体" w:hAnsi="宋体" w:eastAsia="宋体"/>
          <w:color w:val="auto"/>
          <w:highlight w:val="none"/>
          <w:lang w:eastAsia="zh-CN"/>
        </w:rPr>
      </w:pPr>
      <w:r>
        <w:rPr>
          <w:rFonts w:ascii="宋体" w:hAnsi="宋体" w:eastAsia="宋体" w:cs="宋体"/>
          <w:color w:val="auto"/>
          <w:sz w:val="28"/>
          <w:highlight w:val="none"/>
        </w:rPr>
        <w:t>(</w:t>
      </w:r>
      <w:r>
        <w:rPr>
          <w:rFonts w:hint="eastAsia" w:ascii="宋体" w:hAnsi="宋体" w:eastAsia="宋体" w:cs="宋体"/>
          <w:color w:val="auto"/>
          <w:sz w:val="28"/>
          <w:highlight w:val="none"/>
          <w:lang w:eastAsia="zh-CN"/>
        </w:rPr>
        <w:t>一</w:t>
      </w:r>
      <w:r>
        <w:rPr>
          <w:rFonts w:ascii="宋体" w:hAnsi="宋体" w:eastAsia="宋体" w:cs="宋体"/>
          <w:color w:val="auto"/>
          <w:sz w:val="28"/>
          <w:highlight w:val="none"/>
        </w:rPr>
        <w:t>)按磋商文件要求供应商所能提供的其他文件</w:t>
      </w:r>
    </w:p>
    <w:sectPr>
      <w:pgSz w:w="11906" w:h="16838"/>
      <w:pgMar w:top="1440" w:right="1270" w:bottom="1440" w:left="1270" w:header="851" w:footer="992" w:gutter="0"/>
      <w:pgNumType w:fmt="decimal"/>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4C1E4">
    <w:pPr>
      <w:pStyle w:val="221"/>
      <w:jc w:val="center"/>
    </w:pPr>
    <w:r>
      <w:fldChar w:fldCharType="begin"/>
    </w:r>
    <w:r>
      <w:instrText xml:space="preserve"> PAGE   \* MERGEFORMAT </w:instrText>
    </w:r>
    <w:r>
      <w:fldChar w:fldCharType="separate"/>
    </w:r>
    <w:r>
      <w:rPr>
        <w:lang w:val="zh-CN"/>
      </w:rPr>
      <w:t>21</w:t>
    </w:r>
    <w:r>
      <w:fldChar w:fldCharType="end"/>
    </w:r>
  </w:p>
  <w:p w14:paraId="6EC1A73F">
    <w:pPr>
      <w:pStyle w:val="2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90BA0">
    <w:pPr>
      <w:pStyle w:val="221"/>
      <w:jc w:val="center"/>
    </w:pPr>
    <w:r>
      <w:fldChar w:fldCharType="begin"/>
    </w:r>
    <w:r>
      <w:instrText xml:space="preserve"> PAGE   \* MERGEFORMAT </w:instrText>
    </w:r>
    <w:r>
      <w:fldChar w:fldCharType="separate"/>
    </w:r>
    <w:r>
      <w:rPr>
        <w:lang w:val="zh-CN"/>
      </w:rPr>
      <w:t>0</w:t>
    </w:r>
    <w:r>
      <w:fldChar w:fldCharType="end"/>
    </w:r>
  </w:p>
  <w:p w14:paraId="20A6CCD5">
    <w:pPr>
      <w:pStyle w:val="2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383F">
    <w:pPr>
      <w:pStyle w:val="18"/>
      <w:tabs>
        <w:tab w:val="center" w:pos="4153"/>
        <w:tab w:val="right" w:pos="8306"/>
        <w:tab w:val="clear" w:pos="7143"/>
        <w:tab w:val="clear" w:pos="14287"/>
      </w:tabs>
      <w:jc w:val="left"/>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352B5">
                          <w:pPr>
                            <w:pStyle w:val="1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3D352B5">
                    <w:pPr>
                      <w:pStyle w:val="18"/>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CC31D">
    <w:pPr>
      <w:pStyle w:val="18"/>
      <w:framePr w:wrap="around" w:vAnchor="text" w:hAnchor="margin" w:xAlign="center" w:y="1"/>
      <w:tabs>
        <w:tab w:val="center" w:pos="4153"/>
        <w:tab w:val="right" w:pos="8306"/>
        <w:tab w:val="clear" w:pos="7143"/>
        <w:tab w:val="clear" w:pos="14287"/>
      </w:tabs>
      <w:rPr>
        <w:rStyle w:val="34"/>
      </w:rPr>
    </w:pPr>
    <w:r>
      <w:fldChar w:fldCharType="begin"/>
    </w:r>
    <w:r>
      <w:rPr>
        <w:rStyle w:val="34"/>
      </w:rPr>
      <w:instrText xml:space="preserve">PAGE  </w:instrText>
    </w:r>
    <w:r>
      <w:fldChar w:fldCharType="end"/>
    </w:r>
  </w:p>
  <w:p w14:paraId="0D153B03">
    <w:pPr>
      <w:pStyle w:val="18"/>
      <w:tabs>
        <w:tab w:val="center" w:pos="4153"/>
        <w:tab w:val="right" w:pos="8306"/>
        <w:tab w:val="clear" w:pos="7143"/>
        <w:tab w:val="clear" w:pos="14287"/>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879C9">
    <w:pPr>
      <w:pStyle w:val="22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BBD847">
                          <w:pPr>
                            <w:pStyle w:val="18"/>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ABBD847">
                    <w:pPr>
                      <w:pStyle w:val="18"/>
                    </w:pPr>
                    <w:r>
                      <w:fldChar w:fldCharType="begin"/>
                    </w:r>
                    <w:r>
                      <w:instrText xml:space="preserve"> PAGE  \* MERGEFORMAT </w:instrText>
                    </w:r>
                    <w:r>
                      <w:fldChar w:fldCharType="separate"/>
                    </w:r>
                    <w:r>
                      <w:t>85</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127A19">
                          <w:pPr>
                            <w:pStyle w:val="221"/>
                            <w:jc w:val="center"/>
                          </w:pPr>
                        </w:p>
                        <w:p w14:paraId="4C18E417"/>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8127A19">
                    <w:pPr>
                      <w:pStyle w:val="221"/>
                      <w:jc w:val="center"/>
                    </w:pPr>
                  </w:p>
                  <w:p w14:paraId="4C18E417"/>
                </w:txbxContent>
              </v:textbox>
            </v:shape>
          </w:pict>
        </mc:Fallback>
      </mc:AlternateContent>
    </w:r>
  </w:p>
  <w:p w14:paraId="50D4CE22">
    <w:pPr>
      <w:pStyle w:val="2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F26BD">
    <w:pPr>
      <w:pStyle w:val="221"/>
      <w:jc w:val="left"/>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97CF0">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497CF0">
                    <w:pPr>
                      <w:pStyle w:val="18"/>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4EC4A0">
                          <w:pPr>
                            <w:pStyle w:val="221"/>
                            <w:jc w:val="left"/>
                          </w:pPr>
                        </w:p>
                        <w:p w14:paraId="57C0F572"/>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4EC4A0">
                    <w:pPr>
                      <w:pStyle w:val="221"/>
                      <w:jc w:val="left"/>
                    </w:pPr>
                  </w:p>
                  <w:p w14:paraId="57C0F572"/>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E9BAB">
    <w:pPr>
      <w:pStyle w:val="19"/>
      <w:tabs>
        <w:tab w:val="center" w:pos="4153"/>
        <w:tab w:val="right" w:pos="8306"/>
        <w:tab w:val="clear" w:pos="7143"/>
        <w:tab w:val="clear" w:pos="14287"/>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30705">
    <w:pPr>
      <w:pStyle w:val="30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tabs>
          <w:tab w:val="left" w:pos="425"/>
        </w:tabs>
        <w:ind w:left="425" w:hanging="425"/>
      </w:pPr>
    </w:lvl>
    <w:lvl w:ilvl="1" w:tentative="0">
      <w:start w:val="1"/>
      <w:numFmt w:val="decimal"/>
      <w:pStyle w:val="242"/>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
    <w:nsid w:val="9655CBD6"/>
    <w:multiLevelType w:val="singleLevel"/>
    <w:tmpl w:val="9655CBD6"/>
    <w:lvl w:ilvl="0" w:tentative="0">
      <w:start w:val="11"/>
      <w:numFmt w:val="decimal"/>
      <w:suff w:val="nothing"/>
      <w:lvlText w:val="（%1）"/>
      <w:lvlJc w:val="left"/>
      <w:pPr>
        <w:ind w:left="210" w:firstLine="0"/>
      </w:pPr>
    </w:lvl>
  </w:abstractNum>
  <w:abstractNum w:abstractNumId="2">
    <w:nsid w:val="DE0EA01F"/>
    <w:multiLevelType w:val="singleLevel"/>
    <w:tmpl w:val="DE0EA01F"/>
    <w:lvl w:ilvl="0" w:tentative="0">
      <w:start w:val="1"/>
      <w:numFmt w:val="decimal"/>
      <w:suff w:val="nothing"/>
      <w:lvlText w:val="%1、"/>
      <w:lvlJc w:val="left"/>
    </w:lvl>
  </w:abstractNum>
  <w:abstractNum w:abstractNumId="3">
    <w:nsid w:val="25B654F3"/>
    <w:multiLevelType w:val="multilevel"/>
    <w:tmpl w:val="25B654F3"/>
    <w:lvl w:ilvl="0" w:tentative="0">
      <w:start w:val="1"/>
      <w:numFmt w:val="upperLetter"/>
      <w:pStyle w:val="236"/>
      <w:lvlText w:val="附录%1."/>
      <w:lvlJc w:val="left"/>
      <w:pPr>
        <w:tabs>
          <w:tab w:val="left" w:pos="907"/>
        </w:tabs>
        <w:ind w:left="907" w:hanging="907"/>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5A241D34"/>
    <w:multiLevelType w:val="multilevel"/>
    <w:tmpl w:val="5A241D34"/>
    <w:lvl w:ilvl="0" w:tentative="0">
      <w:start w:val="1"/>
      <w:numFmt w:val="japaneseCounting"/>
      <w:lvlText w:val="（%1）"/>
      <w:lvlJc w:val="left"/>
      <w:pPr>
        <w:ind w:left="765" w:hanging="765"/>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2183CF9"/>
    <w:multiLevelType w:val="multilevel"/>
    <w:tmpl w:val="72183CF9"/>
    <w:lvl w:ilvl="0" w:tentative="0">
      <w:start w:val="1"/>
      <w:numFmt w:val="decimal"/>
      <w:pStyle w:val="241"/>
      <w:lvlText w:val="%1."/>
      <w:lvlJc w:val="left"/>
      <w:pPr>
        <w:tabs>
          <w:tab w:val="left" w:pos="709"/>
        </w:tabs>
        <w:ind w:left="709" w:hanging="709"/>
      </w:pPr>
      <w:rPr>
        <w:color w:val="000000"/>
      </w:rPr>
    </w:lvl>
    <w:lvl w:ilvl="1" w:tentative="0">
      <w:start w:val="1"/>
      <w:numFmt w:val="decimal"/>
      <w:lvlText w:val="%1.%2"/>
      <w:lvlJc w:val="left"/>
      <w:pPr>
        <w:tabs>
          <w:tab w:val="left" w:pos="709"/>
        </w:tabs>
        <w:ind w:left="709" w:hanging="709"/>
      </w:pPr>
    </w:lvl>
    <w:lvl w:ilvl="2" w:tentative="0">
      <w:start w:val="1"/>
      <w:numFmt w:val="decimal"/>
      <w:lvlText w:val="%1.%2.%3."/>
      <w:lvlJc w:val="left"/>
      <w:pPr>
        <w:tabs>
          <w:tab w:val="left" w:pos="425"/>
        </w:tabs>
        <w:ind w:left="425" w:hanging="425"/>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1F7042"/>
    <w:rsid w:val="00250714"/>
    <w:rsid w:val="00F211EF"/>
    <w:rsid w:val="010A6538"/>
    <w:rsid w:val="01B3097E"/>
    <w:rsid w:val="01B46088"/>
    <w:rsid w:val="01BE6168"/>
    <w:rsid w:val="01E50D53"/>
    <w:rsid w:val="02145195"/>
    <w:rsid w:val="021D04ED"/>
    <w:rsid w:val="02201D8C"/>
    <w:rsid w:val="0273635F"/>
    <w:rsid w:val="03125B78"/>
    <w:rsid w:val="03247659"/>
    <w:rsid w:val="035E4919"/>
    <w:rsid w:val="03724869"/>
    <w:rsid w:val="0402799B"/>
    <w:rsid w:val="040D1F1C"/>
    <w:rsid w:val="04245B63"/>
    <w:rsid w:val="047A1C27"/>
    <w:rsid w:val="047F723D"/>
    <w:rsid w:val="04AB0032"/>
    <w:rsid w:val="052B2F21"/>
    <w:rsid w:val="05327AD8"/>
    <w:rsid w:val="05946D18"/>
    <w:rsid w:val="05ED6429"/>
    <w:rsid w:val="060E0879"/>
    <w:rsid w:val="06540256"/>
    <w:rsid w:val="0662361B"/>
    <w:rsid w:val="06712BB6"/>
    <w:rsid w:val="06AE7966"/>
    <w:rsid w:val="07195727"/>
    <w:rsid w:val="073C1416"/>
    <w:rsid w:val="07462294"/>
    <w:rsid w:val="07FE491D"/>
    <w:rsid w:val="088B7712"/>
    <w:rsid w:val="08DA0EE6"/>
    <w:rsid w:val="08F8666C"/>
    <w:rsid w:val="092959CA"/>
    <w:rsid w:val="0932487E"/>
    <w:rsid w:val="099217C1"/>
    <w:rsid w:val="09CA0F5B"/>
    <w:rsid w:val="09D27E0F"/>
    <w:rsid w:val="09DE4447"/>
    <w:rsid w:val="09E10052"/>
    <w:rsid w:val="09FF3439"/>
    <w:rsid w:val="0A0124A3"/>
    <w:rsid w:val="0A586566"/>
    <w:rsid w:val="0A5B7CB5"/>
    <w:rsid w:val="0A894972"/>
    <w:rsid w:val="0A8F3F52"/>
    <w:rsid w:val="0AE147AE"/>
    <w:rsid w:val="0AE222D4"/>
    <w:rsid w:val="0B48482D"/>
    <w:rsid w:val="0B536D2E"/>
    <w:rsid w:val="0B554854"/>
    <w:rsid w:val="0B6A43CA"/>
    <w:rsid w:val="0B901D30"/>
    <w:rsid w:val="0BD75BB1"/>
    <w:rsid w:val="0C372C59"/>
    <w:rsid w:val="0C550884"/>
    <w:rsid w:val="0CAB1EB1"/>
    <w:rsid w:val="0CDB522D"/>
    <w:rsid w:val="0D0227BA"/>
    <w:rsid w:val="0D150580"/>
    <w:rsid w:val="0D224974"/>
    <w:rsid w:val="0D4032E2"/>
    <w:rsid w:val="0D5079C9"/>
    <w:rsid w:val="0D8B613A"/>
    <w:rsid w:val="0DC14423"/>
    <w:rsid w:val="0DCB704F"/>
    <w:rsid w:val="0DDF0D4D"/>
    <w:rsid w:val="0E741495"/>
    <w:rsid w:val="0F026AA1"/>
    <w:rsid w:val="0F136F00"/>
    <w:rsid w:val="0F2E3D3A"/>
    <w:rsid w:val="0F307AB2"/>
    <w:rsid w:val="0F825E34"/>
    <w:rsid w:val="0FB91EB0"/>
    <w:rsid w:val="0FC24482"/>
    <w:rsid w:val="0FC85F3C"/>
    <w:rsid w:val="104A4BA3"/>
    <w:rsid w:val="109C2F25"/>
    <w:rsid w:val="10A2678D"/>
    <w:rsid w:val="113969C6"/>
    <w:rsid w:val="1178129C"/>
    <w:rsid w:val="11847C41"/>
    <w:rsid w:val="11A26319"/>
    <w:rsid w:val="11D72467"/>
    <w:rsid w:val="12062D4C"/>
    <w:rsid w:val="124D097B"/>
    <w:rsid w:val="125910CE"/>
    <w:rsid w:val="12AB744F"/>
    <w:rsid w:val="12C56763"/>
    <w:rsid w:val="12D1335A"/>
    <w:rsid w:val="12D40754"/>
    <w:rsid w:val="1367781A"/>
    <w:rsid w:val="13AE71F7"/>
    <w:rsid w:val="13D80718"/>
    <w:rsid w:val="13F02199"/>
    <w:rsid w:val="14893011"/>
    <w:rsid w:val="14B60A59"/>
    <w:rsid w:val="14D013EF"/>
    <w:rsid w:val="14E7421B"/>
    <w:rsid w:val="150F1F18"/>
    <w:rsid w:val="155E4C4D"/>
    <w:rsid w:val="158F12AA"/>
    <w:rsid w:val="15A24B3A"/>
    <w:rsid w:val="15CD7C7F"/>
    <w:rsid w:val="15E60CC4"/>
    <w:rsid w:val="162E2871"/>
    <w:rsid w:val="163A2FC4"/>
    <w:rsid w:val="16803B94"/>
    <w:rsid w:val="16A843D2"/>
    <w:rsid w:val="17292EA9"/>
    <w:rsid w:val="174560C4"/>
    <w:rsid w:val="176302F9"/>
    <w:rsid w:val="1767603B"/>
    <w:rsid w:val="17854713"/>
    <w:rsid w:val="17984446"/>
    <w:rsid w:val="17A032FB"/>
    <w:rsid w:val="17E92EF4"/>
    <w:rsid w:val="180513B0"/>
    <w:rsid w:val="180C6BE2"/>
    <w:rsid w:val="181D2B9D"/>
    <w:rsid w:val="18267CA4"/>
    <w:rsid w:val="18383533"/>
    <w:rsid w:val="18563512"/>
    <w:rsid w:val="18616F2E"/>
    <w:rsid w:val="187622AE"/>
    <w:rsid w:val="18C15C1F"/>
    <w:rsid w:val="18D07C10"/>
    <w:rsid w:val="192C1571"/>
    <w:rsid w:val="19630A84"/>
    <w:rsid w:val="19AC242B"/>
    <w:rsid w:val="19B34422"/>
    <w:rsid w:val="19BB266E"/>
    <w:rsid w:val="19CE23A1"/>
    <w:rsid w:val="1AA03612"/>
    <w:rsid w:val="1AAE3F81"/>
    <w:rsid w:val="1AD5150D"/>
    <w:rsid w:val="1AD82DAC"/>
    <w:rsid w:val="1ADC0AEE"/>
    <w:rsid w:val="1BC53330"/>
    <w:rsid w:val="1C1918CE"/>
    <w:rsid w:val="1C3B1844"/>
    <w:rsid w:val="1C497FD9"/>
    <w:rsid w:val="1C9D42AD"/>
    <w:rsid w:val="1CEE68B6"/>
    <w:rsid w:val="1D725739"/>
    <w:rsid w:val="1DD261D8"/>
    <w:rsid w:val="1E28404A"/>
    <w:rsid w:val="1E965458"/>
    <w:rsid w:val="1EA57449"/>
    <w:rsid w:val="1F264A2D"/>
    <w:rsid w:val="1F4B6242"/>
    <w:rsid w:val="1F7E6617"/>
    <w:rsid w:val="1FF42436"/>
    <w:rsid w:val="20176124"/>
    <w:rsid w:val="20370574"/>
    <w:rsid w:val="20BE47F2"/>
    <w:rsid w:val="20D364EF"/>
    <w:rsid w:val="214E25B9"/>
    <w:rsid w:val="21837F15"/>
    <w:rsid w:val="21B55BF5"/>
    <w:rsid w:val="21DC3706"/>
    <w:rsid w:val="22002BCF"/>
    <w:rsid w:val="224B036E"/>
    <w:rsid w:val="224F6049"/>
    <w:rsid w:val="22AF0896"/>
    <w:rsid w:val="22C005F9"/>
    <w:rsid w:val="22E91FFA"/>
    <w:rsid w:val="23152DEF"/>
    <w:rsid w:val="23B4085A"/>
    <w:rsid w:val="23B51EDC"/>
    <w:rsid w:val="23B95E70"/>
    <w:rsid w:val="23BC326A"/>
    <w:rsid w:val="23CE7442"/>
    <w:rsid w:val="241C01AD"/>
    <w:rsid w:val="241C63FF"/>
    <w:rsid w:val="241F37F9"/>
    <w:rsid w:val="2435301D"/>
    <w:rsid w:val="24747E1D"/>
    <w:rsid w:val="251D242F"/>
    <w:rsid w:val="253634F0"/>
    <w:rsid w:val="255045B2"/>
    <w:rsid w:val="255816B9"/>
    <w:rsid w:val="255B2F57"/>
    <w:rsid w:val="25626093"/>
    <w:rsid w:val="257F09F3"/>
    <w:rsid w:val="258353CC"/>
    <w:rsid w:val="25981AB5"/>
    <w:rsid w:val="26973463"/>
    <w:rsid w:val="27035654"/>
    <w:rsid w:val="272C4BAB"/>
    <w:rsid w:val="27A26C1B"/>
    <w:rsid w:val="284877C3"/>
    <w:rsid w:val="28B409B4"/>
    <w:rsid w:val="29115358"/>
    <w:rsid w:val="29576296"/>
    <w:rsid w:val="299B6018"/>
    <w:rsid w:val="299D3B3E"/>
    <w:rsid w:val="299D58EC"/>
    <w:rsid w:val="29A529F3"/>
    <w:rsid w:val="29A93989"/>
    <w:rsid w:val="2A077209"/>
    <w:rsid w:val="2A3F0751"/>
    <w:rsid w:val="2A44220C"/>
    <w:rsid w:val="2A7F3D80"/>
    <w:rsid w:val="2AC05D36"/>
    <w:rsid w:val="2AC944BF"/>
    <w:rsid w:val="2ADC41F2"/>
    <w:rsid w:val="2B141BDE"/>
    <w:rsid w:val="2B6539F4"/>
    <w:rsid w:val="2B726905"/>
    <w:rsid w:val="2B8F5708"/>
    <w:rsid w:val="2C7768C8"/>
    <w:rsid w:val="2CD85A0D"/>
    <w:rsid w:val="2CED455D"/>
    <w:rsid w:val="2D095047"/>
    <w:rsid w:val="2D526DC7"/>
    <w:rsid w:val="2DA059AB"/>
    <w:rsid w:val="2DBB6C49"/>
    <w:rsid w:val="2E2F6D2F"/>
    <w:rsid w:val="2F7013AD"/>
    <w:rsid w:val="2FA554FB"/>
    <w:rsid w:val="302F3016"/>
    <w:rsid w:val="30B33C47"/>
    <w:rsid w:val="30D00355"/>
    <w:rsid w:val="30D51E0F"/>
    <w:rsid w:val="30E3277E"/>
    <w:rsid w:val="30F878AC"/>
    <w:rsid w:val="316D3DF6"/>
    <w:rsid w:val="317433D6"/>
    <w:rsid w:val="31973569"/>
    <w:rsid w:val="31D40319"/>
    <w:rsid w:val="31E00A6C"/>
    <w:rsid w:val="32250B75"/>
    <w:rsid w:val="32931F82"/>
    <w:rsid w:val="32AE12F4"/>
    <w:rsid w:val="33136C1F"/>
    <w:rsid w:val="33227530"/>
    <w:rsid w:val="33353039"/>
    <w:rsid w:val="33527747"/>
    <w:rsid w:val="337E08C4"/>
    <w:rsid w:val="33A30946"/>
    <w:rsid w:val="341E1D1F"/>
    <w:rsid w:val="342D3D10"/>
    <w:rsid w:val="347D25A2"/>
    <w:rsid w:val="347E456C"/>
    <w:rsid w:val="34897199"/>
    <w:rsid w:val="349E076A"/>
    <w:rsid w:val="34B54432"/>
    <w:rsid w:val="34DD74E5"/>
    <w:rsid w:val="34E56A57"/>
    <w:rsid w:val="34F605A6"/>
    <w:rsid w:val="35643762"/>
    <w:rsid w:val="35753BC1"/>
    <w:rsid w:val="357D65D2"/>
    <w:rsid w:val="35B9585C"/>
    <w:rsid w:val="360C0D83"/>
    <w:rsid w:val="362A0508"/>
    <w:rsid w:val="36321AB2"/>
    <w:rsid w:val="363C648D"/>
    <w:rsid w:val="365D6B2F"/>
    <w:rsid w:val="368D152F"/>
    <w:rsid w:val="36CE17DB"/>
    <w:rsid w:val="372C02AF"/>
    <w:rsid w:val="373513CD"/>
    <w:rsid w:val="375D1DDB"/>
    <w:rsid w:val="37691503"/>
    <w:rsid w:val="37B7226F"/>
    <w:rsid w:val="37C456EC"/>
    <w:rsid w:val="37C80827"/>
    <w:rsid w:val="38044D88"/>
    <w:rsid w:val="38082ACA"/>
    <w:rsid w:val="39225E0E"/>
    <w:rsid w:val="39296481"/>
    <w:rsid w:val="393873DF"/>
    <w:rsid w:val="396104EB"/>
    <w:rsid w:val="397A55B1"/>
    <w:rsid w:val="39FE4185"/>
    <w:rsid w:val="3A8B353F"/>
    <w:rsid w:val="3A946897"/>
    <w:rsid w:val="3ABE56C2"/>
    <w:rsid w:val="3AD13648"/>
    <w:rsid w:val="3B40257B"/>
    <w:rsid w:val="3BA174BE"/>
    <w:rsid w:val="3C2E6878"/>
    <w:rsid w:val="3C5E715D"/>
    <w:rsid w:val="3D5775AA"/>
    <w:rsid w:val="3D5E092A"/>
    <w:rsid w:val="3D6A5986"/>
    <w:rsid w:val="3D8D7314"/>
    <w:rsid w:val="3DE43692"/>
    <w:rsid w:val="3E546A69"/>
    <w:rsid w:val="3EFB6EE5"/>
    <w:rsid w:val="3F051B12"/>
    <w:rsid w:val="3F0F473E"/>
    <w:rsid w:val="3F400D9C"/>
    <w:rsid w:val="3F43263A"/>
    <w:rsid w:val="3F4F0FDF"/>
    <w:rsid w:val="3F52287D"/>
    <w:rsid w:val="3FB13A48"/>
    <w:rsid w:val="3FB377C0"/>
    <w:rsid w:val="3FD979E8"/>
    <w:rsid w:val="40AC03DF"/>
    <w:rsid w:val="40AF5CAB"/>
    <w:rsid w:val="40C04648"/>
    <w:rsid w:val="40E51BFB"/>
    <w:rsid w:val="414C3A28"/>
    <w:rsid w:val="415367CC"/>
    <w:rsid w:val="41AE6491"/>
    <w:rsid w:val="41BB513E"/>
    <w:rsid w:val="41D34149"/>
    <w:rsid w:val="42053163"/>
    <w:rsid w:val="42293D69"/>
    <w:rsid w:val="423746D8"/>
    <w:rsid w:val="42692DF9"/>
    <w:rsid w:val="42C56687"/>
    <w:rsid w:val="42D06053"/>
    <w:rsid w:val="42EF6D61"/>
    <w:rsid w:val="43065E58"/>
    <w:rsid w:val="431468F0"/>
    <w:rsid w:val="43324E9F"/>
    <w:rsid w:val="4346094B"/>
    <w:rsid w:val="43560B8E"/>
    <w:rsid w:val="435E3EE6"/>
    <w:rsid w:val="438841AA"/>
    <w:rsid w:val="43C53F65"/>
    <w:rsid w:val="43F014EA"/>
    <w:rsid w:val="45264590"/>
    <w:rsid w:val="45905269"/>
    <w:rsid w:val="45AF0A29"/>
    <w:rsid w:val="45CD7101"/>
    <w:rsid w:val="45E16709"/>
    <w:rsid w:val="46804174"/>
    <w:rsid w:val="46D61763"/>
    <w:rsid w:val="46FE3A16"/>
    <w:rsid w:val="470E352E"/>
    <w:rsid w:val="4734568A"/>
    <w:rsid w:val="47767A51"/>
    <w:rsid w:val="47AB6FCE"/>
    <w:rsid w:val="47B2035D"/>
    <w:rsid w:val="47B40579"/>
    <w:rsid w:val="47D604EF"/>
    <w:rsid w:val="47EE1F55"/>
    <w:rsid w:val="47F210A1"/>
    <w:rsid w:val="483D6B6B"/>
    <w:rsid w:val="488717E9"/>
    <w:rsid w:val="48AF2AEE"/>
    <w:rsid w:val="495042D1"/>
    <w:rsid w:val="495102A3"/>
    <w:rsid w:val="49861AA1"/>
    <w:rsid w:val="49A330BF"/>
    <w:rsid w:val="49E30CA1"/>
    <w:rsid w:val="49ED1B20"/>
    <w:rsid w:val="49FE1335"/>
    <w:rsid w:val="49FE3D2D"/>
    <w:rsid w:val="4A7B712C"/>
    <w:rsid w:val="4AD30D16"/>
    <w:rsid w:val="4AF55130"/>
    <w:rsid w:val="4B2B6DA4"/>
    <w:rsid w:val="4BDC1E4C"/>
    <w:rsid w:val="4CAF3448"/>
    <w:rsid w:val="4CB701C3"/>
    <w:rsid w:val="4D185106"/>
    <w:rsid w:val="4D9549A9"/>
    <w:rsid w:val="4DAB7D28"/>
    <w:rsid w:val="4DF3347D"/>
    <w:rsid w:val="4E802F63"/>
    <w:rsid w:val="4EC035BD"/>
    <w:rsid w:val="4EC66AAE"/>
    <w:rsid w:val="4ECA0682"/>
    <w:rsid w:val="4F7F321A"/>
    <w:rsid w:val="4F9B5B7A"/>
    <w:rsid w:val="500876B4"/>
    <w:rsid w:val="501C4F0D"/>
    <w:rsid w:val="50354221"/>
    <w:rsid w:val="504D3319"/>
    <w:rsid w:val="506643DA"/>
    <w:rsid w:val="50DE0415"/>
    <w:rsid w:val="50F47E24"/>
    <w:rsid w:val="50F94100"/>
    <w:rsid w:val="511D0F3D"/>
    <w:rsid w:val="51204589"/>
    <w:rsid w:val="51212098"/>
    <w:rsid w:val="51275918"/>
    <w:rsid w:val="515176BF"/>
    <w:rsid w:val="51C27D36"/>
    <w:rsid w:val="51D838DA"/>
    <w:rsid w:val="51EB2DE9"/>
    <w:rsid w:val="521A5C7A"/>
    <w:rsid w:val="52320A18"/>
    <w:rsid w:val="52B40FEF"/>
    <w:rsid w:val="52B4767F"/>
    <w:rsid w:val="52D81814"/>
    <w:rsid w:val="54E3249D"/>
    <w:rsid w:val="5503669C"/>
    <w:rsid w:val="551663CF"/>
    <w:rsid w:val="5536081F"/>
    <w:rsid w:val="556D1D67"/>
    <w:rsid w:val="55B17EA6"/>
    <w:rsid w:val="563314AC"/>
    <w:rsid w:val="56690780"/>
    <w:rsid w:val="5684590C"/>
    <w:rsid w:val="56867584"/>
    <w:rsid w:val="568E6674"/>
    <w:rsid w:val="569A4322"/>
    <w:rsid w:val="574A05B2"/>
    <w:rsid w:val="574E0F5D"/>
    <w:rsid w:val="576378C6"/>
    <w:rsid w:val="578735B4"/>
    <w:rsid w:val="5822508B"/>
    <w:rsid w:val="585B059D"/>
    <w:rsid w:val="58CB127E"/>
    <w:rsid w:val="59527BF2"/>
    <w:rsid w:val="59A0270B"/>
    <w:rsid w:val="59C02DAD"/>
    <w:rsid w:val="59C26B25"/>
    <w:rsid w:val="59D84D11"/>
    <w:rsid w:val="5A296BA4"/>
    <w:rsid w:val="5A551748"/>
    <w:rsid w:val="5A5D23AA"/>
    <w:rsid w:val="5A6E2809"/>
    <w:rsid w:val="5A9658BC"/>
    <w:rsid w:val="5B3D3F8A"/>
    <w:rsid w:val="5B484E08"/>
    <w:rsid w:val="5B9242D5"/>
    <w:rsid w:val="5BC16969"/>
    <w:rsid w:val="5BDE39BF"/>
    <w:rsid w:val="5BF31963"/>
    <w:rsid w:val="5BF37AA4"/>
    <w:rsid w:val="5C1739BE"/>
    <w:rsid w:val="5C3F26AF"/>
    <w:rsid w:val="5C814A76"/>
    <w:rsid w:val="5C910A31"/>
    <w:rsid w:val="5CCE57E1"/>
    <w:rsid w:val="5CE172C2"/>
    <w:rsid w:val="5D101956"/>
    <w:rsid w:val="5D1551BE"/>
    <w:rsid w:val="5DC97CF4"/>
    <w:rsid w:val="5DEA21A7"/>
    <w:rsid w:val="5DFB43B4"/>
    <w:rsid w:val="5E015742"/>
    <w:rsid w:val="5E1B1927"/>
    <w:rsid w:val="5E5341F0"/>
    <w:rsid w:val="5E8A5738"/>
    <w:rsid w:val="5EFA0B0F"/>
    <w:rsid w:val="5F0E2C19"/>
    <w:rsid w:val="5F2E2567"/>
    <w:rsid w:val="60003F04"/>
    <w:rsid w:val="600F05EB"/>
    <w:rsid w:val="60395667"/>
    <w:rsid w:val="60397415"/>
    <w:rsid w:val="60A63372"/>
    <w:rsid w:val="60EA0710"/>
    <w:rsid w:val="614D49C5"/>
    <w:rsid w:val="61526F6E"/>
    <w:rsid w:val="619E1C26"/>
    <w:rsid w:val="61D4389A"/>
    <w:rsid w:val="61F730E4"/>
    <w:rsid w:val="627961EF"/>
    <w:rsid w:val="62832BCA"/>
    <w:rsid w:val="62A3501A"/>
    <w:rsid w:val="638E7A78"/>
    <w:rsid w:val="63C93C55"/>
    <w:rsid w:val="64025D70"/>
    <w:rsid w:val="64A52C5A"/>
    <w:rsid w:val="64EA33D4"/>
    <w:rsid w:val="64EE4C72"/>
    <w:rsid w:val="64F32289"/>
    <w:rsid w:val="65501489"/>
    <w:rsid w:val="659D3FA3"/>
    <w:rsid w:val="65C20C8E"/>
    <w:rsid w:val="65C6174B"/>
    <w:rsid w:val="65DA51F7"/>
    <w:rsid w:val="65E46075"/>
    <w:rsid w:val="65FF4C5D"/>
    <w:rsid w:val="67187E1B"/>
    <w:rsid w:val="6780592A"/>
    <w:rsid w:val="67957627"/>
    <w:rsid w:val="67AE06E9"/>
    <w:rsid w:val="67FF2CF3"/>
    <w:rsid w:val="68273FF7"/>
    <w:rsid w:val="683010FE"/>
    <w:rsid w:val="689E69AF"/>
    <w:rsid w:val="68F72EA7"/>
    <w:rsid w:val="690807C7"/>
    <w:rsid w:val="69BC682D"/>
    <w:rsid w:val="69BF6AAA"/>
    <w:rsid w:val="69D837FB"/>
    <w:rsid w:val="69FD7706"/>
    <w:rsid w:val="6A0B3BD1"/>
    <w:rsid w:val="6A227653"/>
    <w:rsid w:val="6A2922A9"/>
    <w:rsid w:val="6A3B3D8A"/>
    <w:rsid w:val="6A723C50"/>
    <w:rsid w:val="6AAA0797"/>
    <w:rsid w:val="6AB9362D"/>
    <w:rsid w:val="6B054AC4"/>
    <w:rsid w:val="6B40247D"/>
    <w:rsid w:val="6B560E7C"/>
    <w:rsid w:val="6C53185F"/>
    <w:rsid w:val="6C613F7C"/>
    <w:rsid w:val="6C691082"/>
    <w:rsid w:val="6C7F2654"/>
    <w:rsid w:val="6C8F4C6D"/>
    <w:rsid w:val="6CBA368C"/>
    <w:rsid w:val="6CCE0EE6"/>
    <w:rsid w:val="6D2356D5"/>
    <w:rsid w:val="6D567859"/>
    <w:rsid w:val="6DB30807"/>
    <w:rsid w:val="6DD8026E"/>
    <w:rsid w:val="6DE035C6"/>
    <w:rsid w:val="6E032B71"/>
    <w:rsid w:val="6E2434B3"/>
    <w:rsid w:val="6EB81E4D"/>
    <w:rsid w:val="6EBF142E"/>
    <w:rsid w:val="6F433E0D"/>
    <w:rsid w:val="6F490CF7"/>
    <w:rsid w:val="6FA85DD9"/>
    <w:rsid w:val="6FCF38F2"/>
    <w:rsid w:val="6FD66A2F"/>
    <w:rsid w:val="70052E70"/>
    <w:rsid w:val="700A0487"/>
    <w:rsid w:val="70205EFC"/>
    <w:rsid w:val="702E686B"/>
    <w:rsid w:val="703E264C"/>
    <w:rsid w:val="7047487A"/>
    <w:rsid w:val="706F478E"/>
    <w:rsid w:val="70781894"/>
    <w:rsid w:val="70A94143"/>
    <w:rsid w:val="70D3143F"/>
    <w:rsid w:val="70FC4273"/>
    <w:rsid w:val="711E068D"/>
    <w:rsid w:val="712505BB"/>
    <w:rsid w:val="715B3690"/>
    <w:rsid w:val="716F713B"/>
    <w:rsid w:val="717402AD"/>
    <w:rsid w:val="71881FAB"/>
    <w:rsid w:val="71A5490B"/>
    <w:rsid w:val="71B7463E"/>
    <w:rsid w:val="71F238C8"/>
    <w:rsid w:val="726F6CC7"/>
    <w:rsid w:val="7270316B"/>
    <w:rsid w:val="72BB1F0C"/>
    <w:rsid w:val="72D04CD4"/>
    <w:rsid w:val="73310977"/>
    <w:rsid w:val="73691245"/>
    <w:rsid w:val="73774085"/>
    <w:rsid w:val="73D74B24"/>
    <w:rsid w:val="73EB6821"/>
    <w:rsid w:val="741B0EB4"/>
    <w:rsid w:val="741B5358"/>
    <w:rsid w:val="746B2A39"/>
    <w:rsid w:val="748C4C45"/>
    <w:rsid w:val="74A23383"/>
    <w:rsid w:val="75157FF9"/>
    <w:rsid w:val="75220020"/>
    <w:rsid w:val="752D5343"/>
    <w:rsid w:val="75556648"/>
    <w:rsid w:val="75734D20"/>
    <w:rsid w:val="75774CCA"/>
    <w:rsid w:val="758E3908"/>
    <w:rsid w:val="760D6F22"/>
    <w:rsid w:val="76165DD7"/>
    <w:rsid w:val="76634D94"/>
    <w:rsid w:val="7715608F"/>
    <w:rsid w:val="772B7660"/>
    <w:rsid w:val="77536BB7"/>
    <w:rsid w:val="7790689C"/>
    <w:rsid w:val="77C875A5"/>
    <w:rsid w:val="78511348"/>
    <w:rsid w:val="78623556"/>
    <w:rsid w:val="789418E6"/>
    <w:rsid w:val="78964FAD"/>
    <w:rsid w:val="78C935D5"/>
    <w:rsid w:val="78F543CA"/>
    <w:rsid w:val="792425B9"/>
    <w:rsid w:val="79BC6C95"/>
    <w:rsid w:val="79C124FE"/>
    <w:rsid w:val="79E547CA"/>
    <w:rsid w:val="7A57076C"/>
    <w:rsid w:val="7ACF47A6"/>
    <w:rsid w:val="7ADA2CE6"/>
    <w:rsid w:val="7B05466C"/>
    <w:rsid w:val="7B136D89"/>
    <w:rsid w:val="7B38059E"/>
    <w:rsid w:val="7B6E3FBF"/>
    <w:rsid w:val="7B9A7CE9"/>
    <w:rsid w:val="7BD007D6"/>
    <w:rsid w:val="7C1D7794"/>
    <w:rsid w:val="7C23124E"/>
    <w:rsid w:val="7C574A54"/>
    <w:rsid w:val="7C835849"/>
    <w:rsid w:val="7C8D4919"/>
    <w:rsid w:val="7CB1685A"/>
    <w:rsid w:val="7CC06A9D"/>
    <w:rsid w:val="7CD82038"/>
    <w:rsid w:val="7D505928"/>
    <w:rsid w:val="7DAE2D99"/>
    <w:rsid w:val="7DF72CF8"/>
    <w:rsid w:val="7E350DC4"/>
    <w:rsid w:val="7E4A62ED"/>
    <w:rsid w:val="7E4B4A8C"/>
    <w:rsid w:val="7EAD12A3"/>
    <w:rsid w:val="7F037115"/>
    <w:rsid w:val="7F2A28F3"/>
    <w:rsid w:val="7F761695"/>
    <w:rsid w:val="7F914720"/>
    <w:rsid w:val="7FC763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05"/>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3">
    <w:name w:val="heading 1"/>
    <w:basedOn w:val="1"/>
    <w:next w:val="1"/>
    <w:link w:val="43"/>
    <w:qFormat/>
    <w:uiPriority w:val="9"/>
    <w:pPr>
      <w:keepNext/>
      <w:keepLines/>
      <w:spacing w:before="480" w:after="200"/>
      <w:outlineLvl w:val="0"/>
    </w:pPr>
    <w:rPr>
      <w:rFonts w:ascii="Arial" w:hAnsi="Arial" w:eastAsia="Arial" w:cs="Arial"/>
      <w:sz w:val="40"/>
      <w:szCs w:val="40"/>
    </w:rPr>
  </w:style>
  <w:style w:type="paragraph" w:styleId="2">
    <w:name w:val="heading 2"/>
    <w:basedOn w:val="1"/>
    <w:next w:val="1"/>
    <w:link w:val="4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4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4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5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51"/>
    <w:unhideWhenUsed/>
    <w:qFormat/>
    <w:uiPriority w:val="9"/>
    <w:pPr>
      <w:keepNext/>
      <w:keepLines/>
      <w:spacing w:before="320" w:after="200"/>
      <w:outlineLvl w:val="8"/>
    </w:pPr>
    <w:rPr>
      <w:rFonts w:ascii="Arial" w:hAnsi="Arial" w:eastAsia="Arial" w:cs="Arial"/>
      <w:i/>
      <w:iCs/>
      <w:sz w:val="21"/>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Body Text"/>
    <w:basedOn w:val="1"/>
    <w:qFormat/>
    <w:uiPriority w:val="0"/>
    <w:rPr>
      <w:rFonts w:ascii="楷体_GB2312" w:hAnsi="Arial" w:eastAsia="楷体_GB2312"/>
      <w:sz w:val="28"/>
      <w:szCs w:val="20"/>
    </w:rPr>
  </w:style>
  <w:style w:type="paragraph" w:styleId="14">
    <w:name w:val="toc 5"/>
    <w:basedOn w:val="1"/>
    <w:next w:val="1"/>
    <w:unhideWhenUsed/>
    <w:qFormat/>
    <w:uiPriority w:val="39"/>
    <w:pPr>
      <w:spacing w:after="57"/>
      <w:ind w:left="1134" w:right="0" w:firstLine="0"/>
    </w:pPr>
  </w:style>
  <w:style w:type="paragraph" w:styleId="15">
    <w:name w:val="toc 3"/>
    <w:basedOn w:val="1"/>
    <w:next w:val="1"/>
    <w:unhideWhenUsed/>
    <w:qFormat/>
    <w:uiPriority w:val="39"/>
    <w:pPr>
      <w:spacing w:after="57"/>
      <w:ind w:left="567" w:right="0" w:firstLine="0"/>
    </w:pPr>
  </w:style>
  <w:style w:type="paragraph" w:styleId="16">
    <w:name w:val="toc 8"/>
    <w:basedOn w:val="1"/>
    <w:next w:val="1"/>
    <w:unhideWhenUsed/>
    <w:qFormat/>
    <w:uiPriority w:val="39"/>
    <w:pPr>
      <w:spacing w:after="57"/>
      <w:ind w:left="1984" w:right="0" w:firstLine="0"/>
    </w:pPr>
  </w:style>
  <w:style w:type="paragraph" w:styleId="17">
    <w:name w:val="endnote text"/>
    <w:basedOn w:val="1"/>
    <w:link w:val="189"/>
    <w:semiHidden/>
    <w:unhideWhenUsed/>
    <w:qFormat/>
    <w:uiPriority w:val="99"/>
    <w:pPr>
      <w:spacing w:after="0" w:line="240" w:lineRule="auto"/>
    </w:pPr>
    <w:rPr>
      <w:sz w:val="20"/>
    </w:rPr>
  </w:style>
  <w:style w:type="paragraph" w:styleId="18">
    <w:name w:val="footer"/>
    <w:basedOn w:val="1"/>
    <w:link w:val="62"/>
    <w:unhideWhenUsed/>
    <w:qFormat/>
    <w:uiPriority w:val="99"/>
    <w:pPr>
      <w:tabs>
        <w:tab w:val="center" w:pos="7143"/>
        <w:tab w:val="right" w:pos="14287"/>
      </w:tabs>
      <w:spacing w:after="0" w:line="240" w:lineRule="auto"/>
    </w:pPr>
  </w:style>
  <w:style w:type="paragraph" w:styleId="19">
    <w:name w:val="header"/>
    <w:basedOn w:val="1"/>
    <w:link w:val="60"/>
    <w:unhideWhenUsed/>
    <w:qFormat/>
    <w:uiPriority w:val="99"/>
    <w:pPr>
      <w:tabs>
        <w:tab w:val="center" w:pos="7143"/>
        <w:tab w:val="right" w:pos="14287"/>
      </w:tabs>
      <w:spacing w:after="0" w:line="240" w:lineRule="auto"/>
    </w:pPr>
  </w:style>
  <w:style w:type="paragraph" w:styleId="20">
    <w:name w:val="toc 1"/>
    <w:basedOn w:val="1"/>
    <w:next w:val="1"/>
    <w:unhideWhenUsed/>
    <w:qFormat/>
    <w:uiPriority w:val="39"/>
    <w:pPr>
      <w:spacing w:after="57"/>
      <w:ind w:left="0" w:right="0" w:firstLine="0"/>
    </w:pPr>
  </w:style>
  <w:style w:type="paragraph" w:styleId="21">
    <w:name w:val="toc 4"/>
    <w:basedOn w:val="1"/>
    <w:next w:val="1"/>
    <w:unhideWhenUsed/>
    <w:qFormat/>
    <w:uiPriority w:val="39"/>
    <w:pPr>
      <w:spacing w:after="57"/>
      <w:ind w:left="850" w:right="0" w:firstLine="0"/>
    </w:pPr>
  </w:style>
  <w:style w:type="paragraph" w:styleId="22">
    <w:name w:val="Subtitle"/>
    <w:basedOn w:val="1"/>
    <w:next w:val="1"/>
    <w:link w:val="55"/>
    <w:qFormat/>
    <w:uiPriority w:val="11"/>
    <w:pPr>
      <w:spacing w:before="200" w:after="200"/>
    </w:pPr>
    <w:rPr>
      <w:sz w:val="24"/>
      <w:szCs w:val="24"/>
    </w:rPr>
  </w:style>
  <w:style w:type="paragraph" w:styleId="23">
    <w:name w:val="footnote text"/>
    <w:basedOn w:val="1"/>
    <w:link w:val="188"/>
    <w:semiHidden/>
    <w:unhideWhenUsed/>
    <w:qFormat/>
    <w:uiPriority w:val="99"/>
    <w:pPr>
      <w:spacing w:after="40" w:line="240" w:lineRule="auto"/>
    </w:pPr>
    <w:rPr>
      <w:sz w:val="18"/>
    </w:rPr>
  </w:style>
  <w:style w:type="paragraph" w:styleId="24">
    <w:name w:val="toc 6"/>
    <w:basedOn w:val="1"/>
    <w:next w:val="1"/>
    <w:unhideWhenUsed/>
    <w:qFormat/>
    <w:uiPriority w:val="39"/>
    <w:pPr>
      <w:spacing w:after="57"/>
      <w:ind w:left="1417" w:right="0" w:firstLine="0"/>
    </w:pPr>
  </w:style>
  <w:style w:type="paragraph" w:styleId="25">
    <w:name w:val="table of figures"/>
    <w:basedOn w:val="1"/>
    <w:next w:val="1"/>
    <w:unhideWhenUsed/>
    <w:qFormat/>
    <w:uiPriority w:val="99"/>
    <w:pPr>
      <w:spacing w:after="0" w:afterAutospacing="0"/>
    </w:pPr>
  </w:style>
  <w:style w:type="paragraph" w:styleId="26">
    <w:name w:val="toc 2"/>
    <w:basedOn w:val="1"/>
    <w:next w:val="1"/>
    <w:unhideWhenUsed/>
    <w:qFormat/>
    <w:uiPriority w:val="39"/>
    <w:pPr>
      <w:spacing w:after="57"/>
      <w:ind w:left="283" w:right="0" w:firstLine="0"/>
    </w:pPr>
  </w:style>
  <w:style w:type="paragraph" w:styleId="27">
    <w:name w:val="toc 9"/>
    <w:basedOn w:val="1"/>
    <w:next w:val="1"/>
    <w:unhideWhenUsed/>
    <w:qFormat/>
    <w:uiPriority w:val="39"/>
    <w:pPr>
      <w:spacing w:after="57"/>
      <w:ind w:left="2268" w:right="0" w:firstLine="0"/>
    </w:pPr>
  </w:style>
  <w:style w:type="paragraph" w:styleId="28">
    <w:name w:val="Title"/>
    <w:basedOn w:val="1"/>
    <w:next w:val="1"/>
    <w:link w:val="54"/>
    <w:qFormat/>
    <w:uiPriority w:val="10"/>
    <w:pPr>
      <w:spacing w:before="300" w:after="200"/>
      <w:contextualSpacing/>
    </w:pPr>
    <w:rPr>
      <w:sz w:val="48"/>
      <w:szCs w:val="48"/>
    </w:rPr>
  </w:style>
  <w:style w:type="table" w:styleId="30">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2">
    <w:name w:val="Strong"/>
    <w:basedOn w:val="31"/>
    <w:qFormat/>
    <w:uiPriority w:val="22"/>
    <w:rPr>
      <w:b/>
    </w:rPr>
  </w:style>
  <w:style w:type="character" w:styleId="33">
    <w:name w:val="endnote reference"/>
    <w:semiHidden/>
    <w:unhideWhenUsed/>
    <w:qFormat/>
    <w:uiPriority w:val="99"/>
    <w:rPr>
      <w:vertAlign w:val="superscript"/>
    </w:rPr>
  </w:style>
  <w:style w:type="character" w:styleId="34">
    <w:name w:val="page number"/>
    <w:basedOn w:val="31"/>
    <w:qFormat/>
    <w:uiPriority w:val="0"/>
  </w:style>
  <w:style w:type="character" w:styleId="35">
    <w:name w:val="Hyperlink"/>
    <w:unhideWhenUsed/>
    <w:qFormat/>
    <w:uiPriority w:val="99"/>
    <w:rPr>
      <w:color w:val="0000FF" w:themeColor="hyperlink"/>
      <w:u w:val="single"/>
      <w14:textFill>
        <w14:solidFill>
          <w14:schemeClr w14:val="hlink"/>
        </w14:solidFill>
      </w14:textFill>
    </w:rPr>
  </w:style>
  <w:style w:type="character" w:styleId="36">
    <w:name w:val="footnote reference"/>
    <w:unhideWhenUsed/>
    <w:qFormat/>
    <w:uiPriority w:val="99"/>
    <w:rPr>
      <w:vertAlign w:val="superscript"/>
    </w:rPr>
  </w:style>
  <w:style w:type="paragraph" w:customStyle="1" w:styleId="37">
    <w:name w:val="正文1"/>
    <w:basedOn w:val="1"/>
    <w:next w:val="38"/>
    <w:qFormat/>
    <w:uiPriority w:val="0"/>
    <w:pPr>
      <w:spacing w:line="360" w:lineRule="atLeast"/>
      <w:jc w:val="left"/>
    </w:pPr>
    <w:rPr>
      <w:rFonts w:ascii="宋体" w:hAnsi="Calibri" w:eastAsia="宋体" w:cs="Times New Roman"/>
      <w:sz w:val="24"/>
      <w:szCs w:val="20"/>
    </w:rPr>
  </w:style>
  <w:style w:type="paragraph" w:customStyle="1" w:styleId="38">
    <w:name w:val="正文文本1"/>
    <w:basedOn w:val="37"/>
    <w:next w:val="39"/>
    <w:qFormat/>
    <w:uiPriority w:val="0"/>
    <w:pPr>
      <w:spacing w:after="120"/>
    </w:pPr>
    <w:rPr>
      <w:lang w:val="en-US" w:eastAsia="en-US"/>
    </w:rPr>
  </w:style>
  <w:style w:type="paragraph" w:customStyle="1" w:styleId="39">
    <w:name w:val="一级条标题"/>
    <w:basedOn w:val="40"/>
    <w:next w:val="41"/>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40">
    <w:name w:val="章标题"/>
    <w:next w:val="1"/>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41">
    <w:name w:val="段"/>
    <w:basedOn w:val="37"/>
    <w:next w:val="1"/>
    <w:qFormat/>
    <w:uiPriority w:val="0"/>
    <w:pPr>
      <w:widowControl/>
      <w:ind w:firstLine="200"/>
    </w:pPr>
    <w:rPr>
      <w:rFonts w:ascii="宋体"/>
      <w:sz w:val="20"/>
      <w:szCs w:val="20"/>
    </w:rPr>
  </w:style>
  <w:style w:type="paragraph" w:customStyle="1" w:styleId="42">
    <w:name w:val="Normal_0"/>
    <w:next w:val="13"/>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43">
    <w:name w:val="Heading 1 Char"/>
    <w:link w:val="3"/>
    <w:qFormat/>
    <w:uiPriority w:val="9"/>
    <w:rPr>
      <w:rFonts w:ascii="Arial" w:hAnsi="Arial" w:eastAsia="Arial" w:cs="Arial"/>
      <w:sz w:val="40"/>
      <w:szCs w:val="40"/>
    </w:rPr>
  </w:style>
  <w:style w:type="character" w:customStyle="1" w:styleId="44">
    <w:name w:val="Heading 2 Char"/>
    <w:link w:val="2"/>
    <w:qFormat/>
    <w:uiPriority w:val="9"/>
    <w:rPr>
      <w:rFonts w:ascii="Arial" w:hAnsi="Arial" w:eastAsia="Arial" w:cs="Arial"/>
      <w:sz w:val="34"/>
    </w:rPr>
  </w:style>
  <w:style w:type="character" w:customStyle="1" w:styleId="45">
    <w:name w:val="Heading 3 Char"/>
    <w:link w:val="4"/>
    <w:qFormat/>
    <w:uiPriority w:val="9"/>
    <w:rPr>
      <w:rFonts w:ascii="Arial" w:hAnsi="Arial" w:eastAsia="Arial" w:cs="Arial"/>
      <w:sz w:val="30"/>
      <w:szCs w:val="30"/>
    </w:rPr>
  </w:style>
  <w:style w:type="character" w:customStyle="1" w:styleId="46">
    <w:name w:val="Heading 4 Char"/>
    <w:link w:val="5"/>
    <w:qFormat/>
    <w:uiPriority w:val="9"/>
    <w:rPr>
      <w:rFonts w:ascii="Arial" w:hAnsi="Arial" w:eastAsia="Arial" w:cs="Arial"/>
      <w:b/>
      <w:bCs/>
      <w:sz w:val="26"/>
      <w:szCs w:val="26"/>
    </w:rPr>
  </w:style>
  <w:style w:type="character" w:customStyle="1" w:styleId="47">
    <w:name w:val="Heading 5 Char"/>
    <w:link w:val="6"/>
    <w:qFormat/>
    <w:uiPriority w:val="9"/>
    <w:rPr>
      <w:rFonts w:ascii="Arial" w:hAnsi="Arial" w:eastAsia="Arial" w:cs="Arial"/>
      <w:b/>
      <w:bCs/>
      <w:sz w:val="24"/>
      <w:szCs w:val="24"/>
    </w:rPr>
  </w:style>
  <w:style w:type="character" w:customStyle="1" w:styleId="48">
    <w:name w:val="Heading 6 Char"/>
    <w:link w:val="7"/>
    <w:qFormat/>
    <w:uiPriority w:val="9"/>
    <w:rPr>
      <w:rFonts w:ascii="Arial" w:hAnsi="Arial" w:eastAsia="Arial" w:cs="Arial"/>
      <w:b/>
      <w:bCs/>
      <w:sz w:val="22"/>
      <w:szCs w:val="22"/>
    </w:rPr>
  </w:style>
  <w:style w:type="character" w:customStyle="1" w:styleId="49">
    <w:name w:val="Heading 7 Char"/>
    <w:link w:val="8"/>
    <w:qFormat/>
    <w:uiPriority w:val="9"/>
    <w:rPr>
      <w:rFonts w:ascii="Arial" w:hAnsi="Arial" w:eastAsia="Arial" w:cs="Arial"/>
      <w:b/>
      <w:bCs/>
      <w:i/>
      <w:iCs/>
      <w:sz w:val="22"/>
      <w:szCs w:val="22"/>
    </w:rPr>
  </w:style>
  <w:style w:type="character" w:customStyle="1" w:styleId="50">
    <w:name w:val="Heading 8 Char"/>
    <w:link w:val="9"/>
    <w:qFormat/>
    <w:uiPriority w:val="9"/>
    <w:rPr>
      <w:rFonts w:ascii="Arial" w:hAnsi="Arial" w:eastAsia="Arial" w:cs="Arial"/>
      <w:i/>
      <w:iCs/>
      <w:sz w:val="22"/>
      <w:szCs w:val="22"/>
    </w:rPr>
  </w:style>
  <w:style w:type="character" w:customStyle="1" w:styleId="51">
    <w:name w:val="Heading 9 Char"/>
    <w:link w:val="10"/>
    <w:qFormat/>
    <w:uiPriority w:val="9"/>
    <w:rPr>
      <w:rFonts w:ascii="Arial" w:hAnsi="Arial" w:eastAsia="Arial" w:cs="Arial"/>
      <w:i/>
      <w:iCs/>
      <w:sz w:val="21"/>
      <w:szCs w:val="21"/>
    </w:rPr>
  </w:style>
  <w:style w:type="paragraph" w:styleId="52">
    <w:name w:val="List Paragraph"/>
    <w:basedOn w:val="1"/>
    <w:qFormat/>
    <w:uiPriority w:val="34"/>
    <w:pPr>
      <w:ind w:left="720"/>
      <w:contextualSpacing/>
    </w:pPr>
  </w:style>
  <w:style w:type="paragraph" w:styleId="53">
    <w:name w:val="No Spacing"/>
    <w:qFormat/>
    <w:uiPriority w:val="1"/>
    <w:pPr>
      <w:spacing w:before="0" w:after="0" w:line="240" w:lineRule="auto"/>
    </w:pPr>
    <w:rPr>
      <w:rFonts w:hint="default" w:ascii="Times New Roman" w:hAnsi="Times New Roman" w:eastAsia="宋体" w:cs="Times New Roman"/>
    </w:rPr>
  </w:style>
  <w:style w:type="character" w:customStyle="1" w:styleId="54">
    <w:name w:val="Title Char"/>
    <w:link w:val="28"/>
    <w:qFormat/>
    <w:uiPriority w:val="10"/>
    <w:rPr>
      <w:sz w:val="48"/>
      <w:szCs w:val="48"/>
    </w:rPr>
  </w:style>
  <w:style w:type="character" w:customStyle="1" w:styleId="55">
    <w:name w:val="Subtitle Char"/>
    <w:link w:val="22"/>
    <w:qFormat/>
    <w:uiPriority w:val="11"/>
    <w:rPr>
      <w:sz w:val="24"/>
      <w:szCs w:val="24"/>
    </w:rPr>
  </w:style>
  <w:style w:type="paragraph" w:styleId="56">
    <w:name w:val="Quote"/>
    <w:basedOn w:val="1"/>
    <w:next w:val="1"/>
    <w:link w:val="57"/>
    <w:qFormat/>
    <w:uiPriority w:val="29"/>
    <w:pPr>
      <w:ind w:left="720" w:right="720"/>
    </w:pPr>
    <w:rPr>
      <w:i/>
    </w:rPr>
  </w:style>
  <w:style w:type="character" w:customStyle="1" w:styleId="57">
    <w:name w:val="Quote Char"/>
    <w:link w:val="56"/>
    <w:qFormat/>
    <w:uiPriority w:val="29"/>
    <w:rPr>
      <w:i/>
    </w:rPr>
  </w:style>
  <w:style w:type="paragraph" w:styleId="58">
    <w:name w:val="Intense Quote"/>
    <w:basedOn w:val="1"/>
    <w:next w:val="1"/>
    <w:link w:val="5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9">
    <w:name w:val="Intense Quote Char"/>
    <w:link w:val="58"/>
    <w:qFormat/>
    <w:uiPriority w:val="30"/>
    <w:rPr>
      <w:i/>
    </w:rPr>
  </w:style>
  <w:style w:type="character" w:customStyle="1" w:styleId="60">
    <w:name w:val="Header Char"/>
    <w:link w:val="19"/>
    <w:qFormat/>
    <w:uiPriority w:val="99"/>
  </w:style>
  <w:style w:type="character" w:customStyle="1" w:styleId="61">
    <w:name w:val="Footer Char"/>
    <w:link w:val="18"/>
    <w:qFormat/>
    <w:uiPriority w:val="99"/>
  </w:style>
  <w:style w:type="character" w:customStyle="1" w:styleId="62">
    <w:name w:val="Caption Char"/>
    <w:link w:val="18"/>
    <w:qFormat/>
    <w:uiPriority w:val="99"/>
  </w:style>
  <w:style w:type="table" w:customStyle="1" w:styleId="63">
    <w:name w:val="Table Grid Light"/>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4">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5">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6">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8">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9">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0">
    <w:name w:val="Grid Table 1 Light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1">
    <w:name w:val="Grid Table 1 Light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2">
    <w:name w:val="Grid Table 1 Light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3">
    <w:name w:val="Grid Table 1 Light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4">
    <w:name w:val="Grid Table 1 Light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5">
    <w:name w:val="Grid Table 1 Light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6">
    <w:name w:val="Grid Table 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7">
    <w:name w:val="Grid Table 2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8">
    <w:name w:val="Grid Table 2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9">
    <w:name w:val="Grid Table 2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0">
    <w:name w:val="Grid Table 2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1">
    <w:name w:val="Grid Table 2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2">
    <w:name w:val="Grid Table 2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3">
    <w:name w:val="Grid Table 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4">
    <w:name w:val="Grid Table 3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5">
    <w:name w:val="Grid Table 3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6">
    <w:name w:val="Grid Table 3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7">
    <w:name w:val="Grid Table 3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8">
    <w:name w:val="Grid Table 3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9">
    <w:name w:val="Grid Table 3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0">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1">
    <w:name w:val="Grid Table 4 - Accent 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2">
    <w:name w:val="Grid Table 4 - Accent 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3">
    <w:name w:val="Grid Table 4 - Accent 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4">
    <w:name w:val="Grid Table 4 - Accent 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5">
    <w:name w:val="Grid Table 4 - Accent 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6">
    <w:name w:val="Grid Table 4 - Accent 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7">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8">
    <w:name w:val="Grid Table 5 Dark- Accent 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9">
    <w:name w:val="Grid Table 5 Dark - Accent 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00">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1">
    <w:name w:val="Grid Table 5 Dark- Accent 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2">
    <w:name w:val="Grid Table 5 Dark - Accent 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3">
    <w:name w:val="Grid Table 5 Dark - Accent 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4">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5">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6">
    <w:name w:val="Grid Table 6 Colorful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7">
    <w:name w:val="Grid Table 6 Colorful - Accent 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8">
    <w:name w:val="Grid Table 6 Colorful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9">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0">
    <w:name w:val="Grid Table 6 Colorful - Accent 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11">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2">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3">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4">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5">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6">
    <w:name w:val="Grid Table 7 Colorful - Accent 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7">
    <w:name w:val="Grid Table 7 Colorful - Accent 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8">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9">
    <w:name w:val="List Table 1 Light - Accent 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20">
    <w:name w:val="List Table 1 Light - Accent 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1">
    <w:name w:val="List Table 1 Light - Accent 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2">
    <w:name w:val="List Table 1 Light - Accent 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3">
    <w:name w:val="List Table 1 Light - Accent 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4">
    <w:name w:val="List Table 1 Light - Accent 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5">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6">
    <w:name w:val="List Table 2 - Accent 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7">
    <w:name w:val="List Table 2 - Accent 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8">
    <w:name w:val="List Table 2 - Accent 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9">
    <w:name w:val="List Table 2 - Accent 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0">
    <w:name w:val="List Table 2 - Accent 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1">
    <w:name w:val="List Table 2 - Accent 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2">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3">
    <w:name w:val="List Table 3 - Accent 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4">
    <w:name w:val="List Table 3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5">
    <w:name w:val="List Table 3 - Accent 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6">
    <w:name w:val="List Table 3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7">
    <w:name w:val="List Table 3 - Accent 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8">
    <w:name w:val="List Table 3 - Accent 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9">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0">
    <w:name w:val="List Table 4 - Accent 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1">
    <w:name w:val="List Table 4 - Accent 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2">
    <w:name w:val="List Table 4 - Accent 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3">
    <w:name w:val="List Table 4 - Accent 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4">
    <w:name w:val="List Table 4 - Accent 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5">
    <w:name w:val="List Table 4 - Accent 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6">
    <w:name w:val="List Table 5 Dark"/>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7">
    <w:name w:val="List Table 5 Dark - Accent 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8">
    <w:name w:val="List Table 5 Dark - Accent 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9">
    <w:name w:val="List Table 5 Dark - Accent 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50">
    <w:name w:val="List Table 5 Dark - Accent 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1">
    <w:name w:val="List Table 5 Dark - Accent 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2">
    <w:name w:val="List Table 5 Dark - Accent 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3">
    <w:name w:val="List Table 6 Colorful"/>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4">
    <w:name w:val="List Table 6 Colorful - Accent 1"/>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5">
    <w:name w:val="List Table 6 Colorful - Accent 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6">
    <w:name w:val="List Table 6 Colorful - Accent 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7">
    <w:name w:val="List Table 6 Colorful - Accent 4"/>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8">
    <w:name w:val="List Table 6 Colorful - Accent 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9">
    <w:name w:val="List Table 6 Colorful - Accent 6"/>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0">
    <w:name w:val="List Table 7 Colorful"/>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1">
    <w:name w:val="List Table 7 Colorful - Accent 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2">
    <w:name w:val="List Table 7 Colorful - Accent 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3">
    <w:name w:val="List Table 7 Colorful - Accent 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4">
    <w:name w:val="List Table 7 Colorful - Accent 4"/>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5">
    <w:name w:val="List Table 7 Colorful - Accent 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6">
    <w:name w:val="List Table 7 Colorful - Accent 6"/>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7">
    <w:name w:val="Lined - Accent"/>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8">
    <w:name w:val="Lined - Accent 1"/>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9">
    <w:name w:val="Lined - Accent 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0">
    <w:name w:val="Lined - Accent 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1">
    <w:name w:val="Lined - Accent 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2">
    <w:name w:val="Lined - Accent 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3">
    <w:name w:val="Lined - Accent 6"/>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4">
    <w:name w:val="Bordered &amp; Lined - Accent"/>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5">
    <w:name w:val="Bordered &amp; Lined - Accent 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6">
    <w:name w:val="Bordered &amp; Lined - Accent 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7">
    <w:name w:val="Bordered &amp; Lined - Accent 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8">
    <w:name w:val="Bordered &amp; Lined - Accent 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9">
    <w:name w:val="Bordered &amp; Lined - Accent 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0">
    <w:name w:val="Bordered &amp; Lined - Accent 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1">
    <w:name w:val="Bordered"/>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2">
    <w:name w:val="Bordered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3">
    <w:name w:val="Bordered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4">
    <w:name w:val="Bordered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5">
    <w:name w:val="Bordered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6">
    <w:name w:val="Bordered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7">
    <w:name w:val="Bordered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8">
    <w:name w:val="Footnote Text Char"/>
    <w:link w:val="23"/>
    <w:qFormat/>
    <w:uiPriority w:val="99"/>
    <w:rPr>
      <w:sz w:val="18"/>
    </w:rPr>
  </w:style>
  <w:style w:type="character" w:customStyle="1" w:styleId="189">
    <w:name w:val="Endnote Text Char"/>
    <w:link w:val="17"/>
    <w:qFormat/>
    <w:uiPriority w:val="99"/>
    <w:rPr>
      <w:sz w:val="20"/>
    </w:rPr>
  </w:style>
  <w:style w:type="paragraph" w:customStyle="1" w:styleId="190">
    <w:name w:val="TOC Heading"/>
    <w:unhideWhenUsed/>
    <w:qFormat/>
    <w:uiPriority w:val="39"/>
    <w:rPr>
      <w:rFonts w:hint="default" w:ascii="Times New Roman" w:hAnsi="Times New Roman" w:eastAsia="宋体" w:cs="Times New Roman"/>
    </w:rPr>
  </w:style>
  <w:style w:type="paragraph" w:customStyle="1" w:styleId="191">
    <w:name w:val="标题 11"/>
    <w:basedOn w:val="1"/>
    <w:next w:val="1"/>
    <w:link w:val="198"/>
    <w:qFormat/>
    <w:uiPriority w:val="9"/>
    <w:pPr>
      <w:keepNext/>
      <w:keepLines/>
      <w:spacing w:before="340" w:after="330" w:line="578" w:lineRule="atLeast"/>
      <w:outlineLvl w:val="0"/>
    </w:pPr>
    <w:rPr>
      <w:b/>
      <w:bCs/>
      <w:sz w:val="44"/>
      <w:szCs w:val="44"/>
      <w:lang w:val="en-US" w:eastAsia="en-US"/>
    </w:rPr>
  </w:style>
  <w:style w:type="paragraph" w:customStyle="1" w:styleId="192">
    <w:name w:val="标题 21"/>
    <w:basedOn w:val="1"/>
    <w:next w:val="1"/>
    <w:link w:val="199"/>
    <w:qFormat/>
    <w:uiPriority w:val="9"/>
    <w:pPr>
      <w:keepNext/>
      <w:keepLines/>
      <w:spacing w:before="260" w:after="260" w:line="416" w:lineRule="auto"/>
      <w:jc w:val="center"/>
      <w:outlineLvl w:val="1"/>
    </w:pPr>
    <w:rPr>
      <w:rFonts w:ascii="幼圆" w:hAnsi="Arial" w:eastAsia="楷体_GB2312"/>
      <w:b/>
      <w:sz w:val="24"/>
      <w:szCs w:val="20"/>
      <w:lang w:val="en-US" w:eastAsia="en-US"/>
    </w:rPr>
  </w:style>
  <w:style w:type="paragraph" w:customStyle="1" w:styleId="193">
    <w:name w:val="标题 31"/>
    <w:basedOn w:val="1"/>
    <w:next w:val="1"/>
    <w:link w:val="200"/>
    <w:qFormat/>
    <w:uiPriority w:val="9"/>
    <w:pPr>
      <w:keepNext/>
      <w:keepLines/>
      <w:spacing w:before="260" w:after="260" w:line="416" w:lineRule="atLeast"/>
      <w:outlineLvl w:val="2"/>
    </w:pPr>
    <w:rPr>
      <w:b/>
      <w:bCs/>
      <w:sz w:val="32"/>
      <w:szCs w:val="32"/>
      <w:lang w:val="en-US" w:eastAsia="en-US"/>
    </w:rPr>
  </w:style>
  <w:style w:type="paragraph" w:customStyle="1" w:styleId="194">
    <w:name w:val="标题 41"/>
    <w:basedOn w:val="1"/>
    <w:next w:val="1"/>
    <w:qFormat/>
    <w:uiPriority w:val="0"/>
    <w:pPr>
      <w:keepNext/>
      <w:keepLines/>
      <w:spacing w:before="280" w:after="290" w:line="376" w:lineRule="auto"/>
      <w:outlineLvl w:val="3"/>
    </w:pPr>
    <w:rPr>
      <w:rFonts w:ascii="Arial" w:hAnsi="Arial" w:eastAsia="黑体"/>
      <w:b/>
      <w:bCs/>
      <w:sz w:val="28"/>
      <w:szCs w:val="28"/>
    </w:rPr>
  </w:style>
  <w:style w:type="paragraph" w:customStyle="1" w:styleId="195">
    <w:name w:val="标题 71"/>
    <w:basedOn w:val="1"/>
    <w:next w:val="1"/>
    <w:link w:val="201"/>
    <w:qFormat/>
    <w:uiPriority w:val="9"/>
    <w:pPr>
      <w:keepNext/>
      <w:keepLines/>
      <w:spacing w:before="240" w:after="64" w:line="320" w:lineRule="atLeast"/>
      <w:outlineLvl w:val="6"/>
    </w:pPr>
    <w:rPr>
      <w:b/>
      <w:bCs/>
      <w:sz w:val="24"/>
      <w:szCs w:val="24"/>
      <w:lang w:val="en-US" w:eastAsia="en-US"/>
    </w:rPr>
  </w:style>
  <w:style w:type="character" w:customStyle="1" w:styleId="196">
    <w:name w:val="默认段落字体11"/>
    <w:link w:val="1"/>
    <w:unhideWhenUsed/>
    <w:qFormat/>
    <w:uiPriority w:val="1"/>
  </w:style>
  <w:style w:type="table" w:customStyle="1" w:styleId="197">
    <w:name w:val="普通表格1"/>
    <w:unhideWhenUsed/>
    <w:qFormat/>
    <w:uiPriority w:val="99"/>
  </w:style>
  <w:style w:type="character" w:customStyle="1" w:styleId="198">
    <w:name w:val="标题 1 Char"/>
    <w:link w:val="191"/>
    <w:qFormat/>
    <w:uiPriority w:val="9"/>
    <w:rPr>
      <w:b/>
      <w:bCs/>
      <w:sz w:val="44"/>
      <w:szCs w:val="44"/>
    </w:rPr>
  </w:style>
  <w:style w:type="character" w:customStyle="1" w:styleId="199">
    <w:name w:val="标题 2 Char"/>
    <w:link w:val="192"/>
    <w:qFormat/>
    <w:uiPriority w:val="9"/>
    <w:rPr>
      <w:rFonts w:ascii="幼圆" w:hAnsi="Arial" w:eastAsia="楷体_GB2312" w:cs="Times New Roman"/>
      <w:b/>
      <w:sz w:val="24"/>
      <w:szCs w:val="20"/>
    </w:rPr>
  </w:style>
  <w:style w:type="character" w:customStyle="1" w:styleId="200">
    <w:name w:val="标题 3 Char"/>
    <w:link w:val="193"/>
    <w:qFormat/>
    <w:uiPriority w:val="9"/>
    <w:rPr>
      <w:b/>
      <w:bCs/>
      <w:sz w:val="32"/>
      <w:szCs w:val="32"/>
    </w:rPr>
  </w:style>
  <w:style w:type="character" w:customStyle="1" w:styleId="201">
    <w:name w:val="标题 7 Char"/>
    <w:link w:val="195"/>
    <w:semiHidden/>
    <w:qFormat/>
    <w:uiPriority w:val="9"/>
    <w:rPr>
      <w:b/>
      <w:bCs/>
      <w:sz w:val="24"/>
      <w:szCs w:val="24"/>
    </w:rPr>
  </w:style>
  <w:style w:type="paragraph" w:customStyle="1" w:styleId="202">
    <w:name w:val="列表 31"/>
    <w:basedOn w:val="1"/>
    <w:qFormat/>
    <w:uiPriority w:val="0"/>
    <w:pPr>
      <w:spacing w:line="240" w:lineRule="auto"/>
      <w:ind w:left="100" w:hanging="200"/>
    </w:pPr>
    <w:rPr>
      <w:rFonts w:ascii="Times New Roman" w:hAnsi="Times New Roman" w:eastAsia="宋体" w:cs="Times New Roman"/>
      <w:szCs w:val="21"/>
    </w:rPr>
  </w:style>
  <w:style w:type="paragraph" w:customStyle="1" w:styleId="203">
    <w:name w:val="正文缩进1"/>
    <w:basedOn w:val="1"/>
    <w:link w:val="204"/>
    <w:qFormat/>
    <w:uiPriority w:val="0"/>
    <w:pPr>
      <w:spacing w:line="240" w:lineRule="auto"/>
      <w:ind w:firstLine="420"/>
    </w:pPr>
    <w:rPr>
      <w:sz w:val="20"/>
      <w:szCs w:val="20"/>
      <w:lang w:val="en-US" w:eastAsia="en-US"/>
    </w:rPr>
  </w:style>
  <w:style w:type="character" w:customStyle="1" w:styleId="204">
    <w:name w:val="正文缩进 Char"/>
    <w:link w:val="203"/>
    <w:qFormat/>
    <w:uiPriority w:val="0"/>
    <w:rPr>
      <w:rFonts w:ascii="Times New Roman" w:hAnsi="Times New Roman" w:eastAsia="宋体" w:cs="Times New Roman"/>
      <w:szCs w:val="20"/>
    </w:rPr>
  </w:style>
  <w:style w:type="paragraph" w:customStyle="1" w:styleId="205">
    <w:name w:val="批注文字1"/>
    <w:basedOn w:val="206"/>
    <w:link w:val="207"/>
    <w:unhideWhenUsed/>
    <w:qFormat/>
    <w:uiPriority w:val="99"/>
    <w:pPr>
      <w:spacing w:line="360" w:lineRule="auto"/>
      <w:jc w:val="left"/>
    </w:pPr>
    <w:rPr>
      <w:rFonts w:ascii="Times New Roman" w:hAnsi="Times New Roman"/>
      <w:sz w:val="24"/>
      <w:szCs w:val="24"/>
      <w:lang w:val="en-US" w:eastAsia="en-US"/>
    </w:rPr>
  </w:style>
  <w:style w:type="paragraph" w:customStyle="1" w:styleId="206">
    <w:name w:val="Normal_13"/>
    <w:qFormat/>
    <w:uiPriority w:val="0"/>
    <w:pPr>
      <w:widowControl w:val="0"/>
      <w:jc w:val="both"/>
    </w:pPr>
    <w:rPr>
      <w:rFonts w:hint="default" w:ascii="Calibri" w:hAnsi="Calibri" w:eastAsia="宋体" w:cs="Times New Roman"/>
      <w:sz w:val="21"/>
      <w:szCs w:val="22"/>
      <w:lang w:bidi="ar-SA"/>
    </w:rPr>
  </w:style>
  <w:style w:type="character" w:customStyle="1" w:styleId="207">
    <w:name w:val="批注文字 Char"/>
    <w:link w:val="205"/>
    <w:qFormat/>
    <w:uiPriority w:val="99"/>
    <w:rPr>
      <w:rFonts w:ascii="Times New Roman" w:hAnsi="Times New Roman"/>
      <w:sz w:val="24"/>
      <w:szCs w:val="24"/>
    </w:rPr>
  </w:style>
  <w:style w:type="paragraph" w:customStyle="1" w:styleId="208">
    <w:name w:val="正文文本2"/>
    <w:basedOn w:val="1"/>
    <w:next w:val="1"/>
    <w:link w:val="209"/>
    <w:qFormat/>
    <w:uiPriority w:val="0"/>
    <w:pPr>
      <w:spacing w:line="240" w:lineRule="auto"/>
    </w:pPr>
    <w:rPr>
      <w:rFonts w:ascii="楷体_GB2312" w:hAnsi="Arial" w:eastAsia="楷体_GB2312"/>
      <w:sz w:val="28"/>
      <w:szCs w:val="20"/>
      <w:lang w:val="en-US" w:eastAsia="en-US"/>
    </w:rPr>
  </w:style>
  <w:style w:type="character" w:customStyle="1" w:styleId="209">
    <w:name w:val="正文文本 Char"/>
    <w:link w:val="208"/>
    <w:qFormat/>
    <w:uiPriority w:val="0"/>
    <w:rPr>
      <w:rFonts w:ascii="楷体_GB2312" w:hAnsi="Arial" w:eastAsia="楷体_GB2312" w:cs="Times New Roman"/>
      <w:sz w:val="28"/>
      <w:szCs w:val="20"/>
    </w:rPr>
  </w:style>
  <w:style w:type="paragraph" w:customStyle="1" w:styleId="210">
    <w:name w:val="正文文本缩进1"/>
    <w:basedOn w:val="1"/>
    <w:link w:val="211"/>
    <w:unhideWhenUsed/>
    <w:qFormat/>
    <w:uiPriority w:val="99"/>
    <w:pPr>
      <w:spacing w:after="120"/>
      <w:ind w:left="420"/>
    </w:pPr>
  </w:style>
  <w:style w:type="character" w:customStyle="1" w:styleId="211">
    <w:name w:val="正文文本缩进 Char"/>
    <w:basedOn w:val="196"/>
    <w:link w:val="210"/>
    <w:semiHidden/>
    <w:qFormat/>
    <w:uiPriority w:val="99"/>
  </w:style>
  <w:style w:type="paragraph" w:customStyle="1" w:styleId="212">
    <w:name w:val="列表接续1"/>
    <w:basedOn w:val="1"/>
    <w:unhideWhenUsed/>
    <w:qFormat/>
    <w:uiPriority w:val="99"/>
    <w:pPr>
      <w:spacing w:after="120"/>
      <w:ind w:left="420"/>
      <w:contextualSpacing/>
    </w:pPr>
  </w:style>
  <w:style w:type="paragraph" w:customStyle="1" w:styleId="213">
    <w:name w:val="文本块1"/>
    <w:basedOn w:val="1"/>
    <w:qFormat/>
    <w:uiPriority w:val="0"/>
    <w:pPr>
      <w:spacing w:line="240" w:lineRule="auto"/>
      <w:ind w:left="630" w:right="630"/>
      <w:jc w:val="center"/>
    </w:pPr>
    <w:rPr>
      <w:rFonts w:ascii="宋体" w:hAnsi="Times New Roman" w:eastAsia="宋体" w:cs="Times New Roman"/>
      <w:b/>
      <w:sz w:val="32"/>
      <w:szCs w:val="24"/>
    </w:rPr>
  </w:style>
  <w:style w:type="paragraph" w:customStyle="1" w:styleId="214">
    <w:name w:val="目录 31"/>
    <w:basedOn w:val="1"/>
    <w:next w:val="1"/>
    <w:qFormat/>
    <w:uiPriority w:val="39"/>
    <w:pPr>
      <w:spacing w:line="240" w:lineRule="auto"/>
      <w:ind w:left="420"/>
      <w:jc w:val="left"/>
    </w:pPr>
    <w:rPr>
      <w:rFonts w:ascii="Times New Roman" w:hAnsi="Times New Roman" w:eastAsia="宋体" w:cs="Times New Roman"/>
      <w:iCs/>
      <w:szCs w:val="24"/>
    </w:rPr>
  </w:style>
  <w:style w:type="paragraph" w:customStyle="1" w:styleId="215">
    <w:name w:val="纯文本1"/>
    <w:basedOn w:val="1"/>
    <w:link w:val="216"/>
    <w:qFormat/>
    <w:uiPriority w:val="0"/>
    <w:pPr>
      <w:spacing w:line="240" w:lineRule="auto"/>
    </w:pPr>
    <w:rPr>
      <w:rFonts w:ascii="宋体" w:hAnsi="Courier New"/>
      <w:sz w:val="20"/>
      <w:szCs w:val="21"/>
      <w:lang w:val="en-US" w:eastAsia="en-US"/>
    </w:rPr>
  </w:style>
  <w:style w:type="character" w:customStyle="1" w:styleId="216">
    <w:name w:val="纯文本 Char1"/>
    <w:link w:val="215"/>
    <w:qFormat/>
    <w:uiPriority w:val="0"/>
    <w:rPr>
      <w:rFonts w:ascii="宋体" w:hAnsi="Courier New" w:cs="Courier New"/>
      <w:szCs w:val="21"/>
    </w:rPr>
  </w:style>
  <w:style w:type="paragraph" w:customStyle="1" w:styleId="217">
    <w:name w:val="日期1"/>
    <w:basedOn w:val="1"/>
    <w:next w:val="1"/>
    <w:link w:val="218"/>
    <w:qFormat/>
    <w:uiPriority w:val="0"/>
    <w:pPr>
      <w:spacing w:line="240" w:lineRule="auto"/>
      <w:ind w:left="100"/>
    </w:pPr>
    <w:rPr>
      <w:rFonts w:ascii="仿宋_GB2312" w:eastAsia="仿宋_GB2312"/>
      <w:b/>
      <w:sz w:val="36"/>
      <w:szCs w:val="24"/>
      <w:lang w:val="en-US" w:eastAsia="en-US"/>
    </w:rPr>
  </w:style>
  <w:style w:type="character" w:customStyle="1" w:styleId="218">
    <w:name w:val="日期 Char"/>
    <w:link w:val="217"/>
    <w:qFormat/>
    <w:uiPriority w:val="0"/>
    <w:rPr>
      <w:rFonts w:ascii="仿宋_GB2312" w:hAnsi="Times New Roman" w:eastAsia="仿宋_GB2312" w:cs="Times New Roman"/>
      <w:b/>
      <w:sz w:val="36"/>
      <w:szCs w:val="24"/>
    </w:rPr>
  </w:style>
  <w:style w:type="paragraph" w:customStyle="1" w:styleId="219">
    <w:name w:val="批注框文本1"/>
    <w:basedOn w:val="1"/>
    <w:link w:val="220"/>
    <w:unhideWhenUsed/>
    <w:qFormat/>
    <w:uiPriority w:val="99"/>
    <w:pPr>
      <w:spacing w:line="240" w:lineRule="auto"/>
    </w:pPr>
    <w:rPr>
      <w:sz w:val="18"/>
      <w:szCs w:val="18"/>
      <w:lang w:val="en-US" w:eastAsia="en-US"/>
    </w:rPr>
  </w:style>
  <w:style w:type="character" w:customStyle="1" w:styleId="220">
    <w:name w:val="批注框文本 Char"/>
    <w:link w:val="219"/>
    <w:semiHidden/>
    <w:qFormat/>
    <w:uiPriority w:val="99"/>
    <w:rPr>
      <w:sz w:val="18"/>
      <w:szCs w:val="18"/>
    </w:rPr>
  </w:style>
  <w:style w:type="paragraph" w:customStyle="1" w:styleId="221">
    <w:name w:val="页脚1"/>
    <w:basedOn w:val="1"/>
    <w:link w:val="222"/>
    <w:unhideWhenUsed/>
    <w:qFormat/>
    <w:uiPriority w:val="99"/>
    <w:pPr>
      <w:tabs>
        <w:tab w:val="center" w:pos="4153"/>
        <w:tab w:val="right" w:pos="8306"/>
      </w:tabs>
      <w:spacing w:line="240" w:lineRule="atLeast"/>
      <w:jc w:val="left"/>
    </w:pPr>
    <w:rPr>
      <w:sz w:val="18"/>
      <w:szCs w:val="18"/>
      <w:lang w:val="en-US" w:eastAsia="en-US"/>
    </w:rPr>
  </w:style>
  <w:style w:type="character" w:customStyle="1" w:styleId="222">
    <w:name w:val="页脚 Char"/>
    <w:link w:val="221"/>
    <w:qFormat/>
    <w:uiPriority w:val="99"/>
    <w:rPr>
      <w:sz w:val="18"/>
      <w:szCs w:val="18"/>
    </w:rPr>
  </w:style>
  <w:style w:type="paragraph" w:customStyle="1" w:styleId="223">
    <w:name w:val="页眉1"/>
    <w:basedOn w:val="1"/>
    <w:link w:val="224"/>
    <w:unhideWhenUsed/>
    <w:qFormat/>
    <w:uiPriority w:val="99"/>
    <w:pPr>
      <w:pBdr>
        <w:bottom w:val="single" w:color="000000" w:sz="6" w:space="1"/>
      </w:pBdr>
      <w:tabs>
        <w:tab w:val="center" w:pos="4153"/>
        <w:tab w:val="right" w:pos="8306"/>
      </w:tabs>
      <w:spacing w:line="240" w:lineRule="atLeast"/>
      <w:jc w:val="center"/>
    </w:pPr>
    <w:rPr>
      <w:sz w:val="18"/>
      <w:szCs w:val="18"/>
      <w:lang w:val="en-US" w:eastAsia="en-US"/>
    </w:rPr>
  </w:style>
  <w:style w:type="character" w:customStyle="1" w:styleId="224">
    <w:name w:val="页眉 Char"/>
    <w:link w:val="223"/>
    <w:qFormat/>
    <w:uiPriority w:val="99"/>
    <w:rPr>
      <w:sz w:val="18"/>
      <w:szCs w:val="18"/>
    </w:rPr>
  </w:style>
  <w:style w:type="paragraph" w:customStyle="1" w:styleId="225">
    <w:name w:val="目录 11"/>
    <w:basedOn w:val="1"/>
    <w:next w:val="1"/>
    <w:qFormat/>
    <w:uiPriority w:val="39"/>
    <w:pPr>
      <w:spacing w:before="120" w:after="120"/>
      <w:jc w:val="left"/>
    </w:pPr>
    <w:rPr>
      <w:rFonts w:ascii="楷体_GB2312" w:hAnsi="Times New Roman" w:eastAsia="宋体" w:cs="Times New Roman"/>
      <w:b/>
      <w:bCs/>
      <w:caps/>
      <w:sz w:val="44"/>
      <w:szCs w:val="44"/>
    </w:rPr>
  </w:style>
  <w:style w:type="paragraph" w:customStyle="1" w:styleId="226">
    <w:name w:val="正文文本缩进 31"/>
    <w:basedOn w:val="1"/>
    <w:link w:val="227"/>
    <w:unhideWhenUsed/>
    <w:qFormat/>
    <w:uiPriority w:val="99"/>
    <w:pPr>
      <w:spacing w:after="120"/>
      <w:ind w:left="420"/>
    </w:pPr>
    <w:rPr>
      <w:sz w:val="16"/>
      <w:szCs w:val="16"/>
      <w:lang w:val="en-US" w:eastAsia="en-US"/>
    </w:rPr>
  </w:style>
  <w:style w:type="character" w:customStyle="1" w:styleId="227">
    <w:name w:val="正文文本缩进 3 Char"/>
    <w:link w:val="226"/>
    <w:semiHidden/>
    <w:qFormat/>
    <w:uiPriority w:val="99"/>
    <w:rPr>
      <w:sz w:val="16"/>
      <w:szCs w:val="16"/>
    </w:rPr>
  </w:style>
  <w:style w:type="paragraph" w:customStyle="1" w:styleId="228">
    <w:name w:val="目录 21"/>
    <w:basedOn w:val="1"/>
    <w:next w:val="1"/>
    <w:unhideWhenUsed/>
    <w:qFormat/>
    <w:uiPriority w:val="39"/>
    <w:pPr>
      <w:ind w:left="200"/>
    </w:pPr>
  </w:style>
  <w:style w:type="paragraph" w:customStyle="1" w:styleId="229">
    <w:name w:val="普通(网站)11"/>
    <w:basedOn w:val="1"/>
    <w:link w:val="230"/>
    <w:qFormat/>
    <w:uiPriority w:val="0"/>
    <w:pPr>
      <w:widowControl/>
      <w:spacing w:before="100" w:beforeAutospacing="1" w:after="100" w:afterAutospacing="1" w:line="240" w:lineRule="auto"/>
      <w:jc w:val="left"/>
    </w:pPr>
    <w:rPr>
      <w:rFonts w:ascii="宋体" w:hAnsi="宋体"/>
      <w:color w:val="000000"/>
      <w:sz w:val="24"/>
      <w:szCs w:val="24"/>
      <w:lang w:val="en-US" w:eastAsia="en-US"/>
    </w:rPr>
  </w:style>
  <w:style w:type="character" w:customStyle="1" w:styleId="230">
    <w:name w:val="普通(网站) Char"/>
    <w:link w:val="229"/>
    <w:qFormat/>
    <w:uiPriority w:val="0"/>
    <w:rPr>
      <w:rFonts w:ascii="宋体" w:hAnsi="宋体" w:eastAsia="宋体" w:cs="宋体"/>
      <w:color w:val="000000"/>
      <w:sz w:val="24"/>
      <w:szCs w:val="24"/>
    </w:rPr>
  </w:style>
  <w:style w:type="table" w:customStyle="1" w:styleId="231">
    <w:name w:val="网格型1"/>
    <w:basedOn w:val="197"/>
    <w:qFormat/>
    <w:uiPriority w:val="59"/>
    <w:pPr>
      <w:spacing w:line="240" w:lineRule="auto"/>
    </w:pPr>
  </w:style>
  <w:style w:type="character" w:customStyle="1" w:styleId="232">
    <w:name w:val="页码1"/>
    <w:basedOn w:val="196"/>
    <w:link w:val="1"/>
    <w:qFormat/>
    <w:uiPriority w:val="0"/>
  </w:style>
  <w:style w:type="character" w:customStyle="1" w:styleId="233">
    <w:name w:val="超链接1"/>
    <w:link w:val="1"/>
    <w:qFormat/>
    <w:uiPriority w:val="99"/>
    <w:rPr>
      <w:color w:val="0000FF"/>
      <w:u w:val="single"/>
    </w:rPr>
  </w:style>
  <w:style w:type="paragraph" w:customStyle="1" w:styleId="234">
    <w:name w:val="列出段落"/>
    <w:basedOn w:val="1"/>
    <w:qFormat/>
    <w:uiPriority w:val="34"/>
    <w:pPr>
      <w:spacing w:line="240" w:lineRule="auto"/>
      <w:ind w:firstLine="420"/>
    </w:pPr>
    <w:rPr>
      <w:rFonts w:ascii="等线" w:hAnsi="等线" w:eastAsia="等线" w:cs="宋体"/>
    </w:rPr>
  </w:style>
  <w:style w:type="character" w:customStyle="1" w:styleId="235">
    <w:name w:val="htd0"/>
    <w:basedOn w:val="196"/>
    <w:link w:val="1"/>
    <w:qFormat/>
    <w:uiPriority w:val="0"/>
  </w:style>
  <w:style w:type="paragraph" w:customStyle="1" w:styleId="236">
    <w:name w:val="附录1"/>
    <w:qFormat/>
    <w:uiPriority w:val="0"/>
    <w:pPr>
      <w:numPr>
        <w:ilvl w:val="0"/>
        <w:numId w:val="1"/>
      </w:numPr>
      <w:spacing w:before="240" w:line="600" w:lineRule="atLeast"/>
    </w:pPr>
    <w:rPr>
      <w:rFonts w:hint="default" w:ascii="Times New Roman" w:hAnsi="Times New Roman" w:eastAsia="宋体" w:cs="Times New Roman"/>
      <w:b/>
      <w:i/>
      <w:sz w:val="28"/>
      <w:lang w:val="en-US" w:eastAsia="zh-CN" w:bidi="ar-SA"/>
    </w:rPr>
  </w:style>
  <w:style w:type="character" w:customStyle="1" w:styleId="237">
    <w:name w:val="正文缩进 Char3"/>
    <w:link w:val="1"/>
    <w:qFormat/>
    <w:uiPriority w:val="0"/>
    <w:rPr>
      <w:rFonts w:ascii="Times New Roman" w:hAnsi="Times New Roman" w:eastAsia="宋体" w:cs="Times New Roman"/>
      <w:szCs w:val="24"/>
    </w:rPr>
  </w:style>
  <w:style w:type="character" w:customStyle="1" w:styleId="238">
    <w:name w:val="纯文本 Char"/>
    <w:link w:val="1"/>
    <w:semiHidden/>
    <w:qFormat/>
    <w:uiPriority w:val="99"/>
    <w:rPr>
      <w:rFonts w:ascii="宋体" w:hAnsi="Courier New" w:eastAsia="宋体" w:cs="Courier New"/>
      <w:szCs w:val="21"/>
    </w:rPr>
  </w:style>
  <w:style w:type="paragraph" w:customStyle="1" w:styleId="239">
    <w:name w:val="Andy_正文格式"/>
    <w:basedOn w:val="1"/>
    <w:qFormat/>
    <w:uiPriority w:val="0"/>
    <w:pPr>
      <w:spacing w:line="240" w:lineRule="auto"/>
      <w:ind w:firstLine="560"/>
      <w:jc w:val="left"/>
    </w:pPr>
    <w:rPr>
      <w:rFonts w:ascii="仿宋_GB2312" w:hAnsi="Times New Roman" w:eastAsia="仿宋_GB2312" w:cs="Times New Roman"/>
      <w:sz w:val="28"/>
      <w:szCs w:val="28"/>
    </w:rPr>
  </w:style>
  <w:style w:type="character" w:customStyle="1" w:styleId="240">
    <w:name w:val="p141"/>
    <w:link w:val="1"/>
    <w:qFormat/>
    <w:uiPriority w:val="0"/>
    <w:rPr>
      <w:rFonts w:ascii="Calibri" w:hAnsi="Calibri" w:eastAsia="宋体" w:cs="宋体"/>
      <w:sz w:val="21"/>
      <w:szCs w:val="21"/>
      <w:lang w:val="en-US" w:eastAsia="zh-CN" w:bidi="ar-SA"/>
    </w:rPr>
  </w:style>
  <w:style w:type="paragraph" w:customStyle="1" w:styleId="241">
    <w:name w:val="样式 宋体 五号 两端对齐 行距: 单倍行距"/>
    <w:basedOn w:val="1"/>
    <w:qFormat/>
    <w:uiPriority w:val="0"/>
    <w:pPr>
      <w:numPr>
        <w:ilvl w:val="0"/>
        <w:numId w:val="2"/>
      </w:numPr>
      <w:spacing w:line="240" w:lineRule="auto"/>
      <w:ind w:left="0" w:firstLine="0"/>
    </w:pPr>
    <w:rPr>
      <w:rFonts w:ascii="宋体" w:hAnsi="宋体" w:eastAsia="宋体" w:cs="宋体"/>
      <w:szCs w:val="20"/>
    </w:rPr>
  </w:style>
  <w:style w:type="paragraph" w:customStyle="1" w:styleId="242">
    <w:name w:val="样式1"/>
    <w:basedOn w:val="1"/>
    <w:qFormat/>
    <w:uiPriority w:val="0"/>
    <w:pPr>
      <w:numPr>
        <w:ilvl w:val="1"/>
        <w:numId w:val="3"/>
      </w:numPr>
      <w:spacing w:line="240" w:lineRule="auto"/>
    </w:pPr>
    <w:rPr>
      <w:rFonts w:ascii="宋体" w:hAnsi="宋体" w:eastAsia="宋体" w:cs="Times New Roman"/>
      <w:szCs w:val="21"/>
    </w:rPr>
  </w:style>
  <w:style w:type="paragraph" w:customStyle="1" w:styleId="243">
    <w:name w:val="Char"/>
    <w:basedOn w:val="1"/>
    <w:qFormat/>
    <w:uiPriority w:val="0"/>
    <w:pPr>
      <w:tabs>
        <w:tab w:val="left" w:pos="360"/>
      </w:tabs>
      <w:spacing w:line="240" w:lineRule="auto"/>
      <w:ind w:firstLine="200"/>
    </w:pPr>
    <w:rPr>
      <w:rFonts w:ascii="Times New Roman" w:hAnsi="Times New Roman" w:eastAsia="宋体" w:cs="Times New Roman"/>
      <w:sz w:val="28"/>
      <w:szCs w:val="30"/>
    </w:rPr>
  </w:style>
  <w:style w:type="paragraph" w:customStyle="1" w:styleId="244">
    <w:name w:val="列出段落3"/>
    <w:basedOn w:val="1"/>
    <w:qFormat/>
    <w:uiPriority w:val="99"/>
    <w:pPr>
      <w:spacing w:line="240" w:lineRule="auto"/>
      <w:ind w:firstLine="420"/>
    </w:pPr>
    <w:rPr>
      <w:rFonts w:ascii="Calibri" w:hAnsi="Calibri" w:eastAsia="宋体" w:cs="Times New Roman"/>
    </w:rPr>
  </w:style>
  <w:style w:type="paragraph" w:customStyle="1" w:styleId="245">
    <w:name w:val="列出段落1"/>
    <w:basedOn w:val="1"/>
    <w:qFormat/>
    <w:uiPriority w:val="0"/>
    <w:pPr>
      <w:spacing w:line="240" w:lineRule="auto"/>
      <w:ind w:firstLine="420"/>
    </w:pPr>
    <w:rPr>
      <w:rFonts w:ascii="Times New Roman" w:hAnsi="Times New Roman" w:eastAsia="宋体" w:cs="Times New Roman"/>
      <w:szCs w:val="24"/>
    </w:rPr>
  </w:style>
  <w:style w:type="paragraph" w:customStyle="1" w:styleId="246">
    <w:name w:val="正文_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47">
    <w:name w:val="TOC 标题1"/>
    <w:basedOn w:val="191"/>
    <w:next w:val="1"/>
    <w:unhideWhenUsed/>
    <w:qFormat/>
    <w:uiPriority w:val="39"/>
    <w:pPr>
      <w:widowControl/>
      <w:spacing w:before="240" w:after="0" w:line="259" w:lineRule="auto"/>
      <w:jc w:val="left"/>
      <w:outlineLvl w:val="9"/>
    </w:pPr>
    <w:rPr>
      <w:rFonts w:ascii="Cambria" w:hAnsi="Cambria" w:eastAsia="宋体" w:cs="Times New Roman"/>
      <w:b w:val="0"/>
      <w:bCs w:val="0"/>
      <w:color w:val="365F91"/>
      <w:sz w:val="32"/>
      <w:szCs w:val="32"/>
    </w:rPr>
  </w:style>
  <w:style w:type="character" w:customStyle="1" w:styleId="248">
    <w:name w:val="htd0_0"/>
    <w:basedOn w:val="196"/>
    <w:link w:val="1"/>
    <w:qFormat/>
    <w:uiPriority w:val="0"/>
    <w:rPr>
      <w:rFonts w:ascii="Times New Roman" w:hAnsi="Times New Roman" w:eastAsia="宋体" w:cs="Times New Roman"/>
    </w:rPr>
  </w:style>
  <w:style w:type="paragraph" w:customStyle="1" w:styleId="249">
    <w:name w:val="Normal_1"/>
    <w:qFormat/>
    <w:uiPriority w:val="0"/>
    <w:pPr>
      <w:widowControl w:val="0"/>
      <w:jc w:val="both"/>
    </w:pPr>
    <w:rPr>
      <w:rFonts w:hint="default" w:ascii="Calibri" w:hAnsi="Calibri" w:eastAsia="宋体" w:cs="Times New Roman"/>
      <w:sz w:val="21"/>
      <w:szCs w:val="24"/>
      <w:lang w:val="en-US" w:eastAsia="zh-CN" w:bidi="ar-SA"/>
    </w:rPr>
  </w:style>
  <w:style w:type="character" w:customStyle="1" w:styleId="250">
    <w:name w:val="titlebody"/>
    <w:basedOn w:val="196"/>
    <w:link w:val="1"/>
    <w:qFormat/>
    <w:uiPriority w:val="0"/>
    <w:rPr>
      <w:rFonts w:ascii="宋体" w:hAnsi="宋体" w:eastAsia="宋体" w:cs="宋体"/>
      <w:b/>
      <w:bCs/>
      <w:color w:val="000000"/>
      <w:sz w:val="24"/>
      <w:szCs w:val="24"/>
    </w:rPr>
  </w:style>
  <w:style w:type="paragraph" w:customStyle="1" w:styleId="251">
    <w:name w:val="Normal_2"/>
    <w:qFormat/>
    <w:uiPriority w:val="0"/>
    <w:rPr>
      <w:rFonts w:hint="default" w:ascii="Times New Roman" w:hAnsi="Times New Roman" w:eastAsia="Times New Roman" w:cs="Times New Roman"/>
      <w:sz w:val="24"/>
      <w:szCs w:val="24"/>
      <w:lang w:bidi="ar-SA"/>
    </w:rPr>
  </w:style>
  <w:style w:type="paragraph" w:customStyle="1" w:styleId="252">
    <w:name w:val="Normal_3"/>
    <w:qFormat/>
    <w:uiPriority w:val="0"/>
    <w:rPr>
      <w:rFonts w:hint="default" w:ascii="Times New Roman" w:hAnsi="Times New Roman" w:eastAsia="Times New Roman" w:cs="Times New Roman"/>
      <w:sz w:val="24"/>
      <w:szCs w:val="24"/>
      <w:lang w:bidi="ar-SA"/>
    </w:rPr>
  </w:style>
  <w:style w:type="paragraph" w:customStyle="1" w:styleId="253">
    <w:name w:val="Normal_4"/>
    <w:qFormat/>
    <w:uiPriority w:val="0"/>
    <w:rPr>
      <w:rFonts w:hint="default" w:ascii="Times New Roman" w:hAnsi="Times New Roman" w:eastAsia="Times New Roman" w:cs="Times New Roman"/>
      <w:sz w:val="24"/>
      <w:szCs w:val="24"/>
      <w:lang w:bidi="ar-SA"/>
    </w:rPr>
  </w:style>
  <w:style w:type="paragraph" w:customStyle="1" w:styleId="254">
    <w:name w:val="Normal_5"/>
    <w:qFormat/>
    <w:uiPriority w:val="0"/>
    <w:rPr>
      <w:rFonts w:hint="default" w:ascii="Times New Roman" w:hAnsi="Times New Roman" w:eastAsia="Times New Roman" w:cs="Times New Roman"/>
      <w:sz w:val="24"/>
      <w:szCs w:val="24"/>
      <w:lang w:bidi="ar-SA"/>
    </w:rPr>
  </w:style>
  <w:style w:type="paragraph" w:customStyle="1" w:styleId="255">
    <w:name w:val="Normal_6"/>
    <w:qFormat/>
    <w:uiPriority w:val="0"/>
    <w:rPr>
      <w:rFonts w:hint="default" w:ascii="Times New Roman" w:hAnsi="Times New Roman" w:eastAsia="Times New Roman" w:cs="Times New Roman"/>
      <w:sz w:val="24"/>
      <w:szCs w:val="24"/>
      <w:lang w:bidi="ar-SA"/>
    </w:rPr>
  </w:style>
  <w:style w:type="paragraph" w:customStyle="1" w:styleId="256">
    <w:name w:val="Normal_7"/>
    <w:qFormat/>
    <w:uiPriority w:val="0"/>
    <w:rPr>
      <w:rFonts w:hint="default" w:ascii="Times New Roman" w:hAnsi="Times New Roman" w:eastAsia="Times New Roman" w:cs="Times New Roman"/>
      <w:sz w:val="24"/>
      <w:szCs w:val="24"/>
      <w:lang w:bidi="ar-SA"/>
    </w:rPr>
  </w:style>
  <w:style w:type="paragraph" w:customStyle="1" w:styleId="257">
    <w:name w:val="Normal_8"/>
    <w:qFormat/>
    <w:uiPriority w:val="0"/>
    <w:rPr>
      <w:rFonts w:hint="default" w:ascii="Times New Roman" w:hAnsi="Times New Roman" w:eastAsia="Times New Roman" w:cs="Times New Roman"/>
      <w:sz w:val="24"/>
      <w:szCs w:val="24"/>
      <w:lang w:bidi="ar-SA"/>
    </w:rPr>
  </w:style>
  <w:style w:type="paragraph" w:customStyle="1" w:styleId="258">
    <w:name w:val="Normal_0_0"/>
    <w:qFormat/>
    <w:uiPriority w:val="0"/>
    <w:rPr>
      <w:rFonts w:hint="default" w:ascii="Times New Roman" w:hAnsi="Times New Roman" w:eastAsia="Times New Roman" w:cs="Times New Roman"/>
      <w:sz w:val="24"/>
      <w:szCs w:val="24"/>
      <w:lang w:bidi="ar-SA"/>
    </w:rPr>
  </w:style>
  <w:style w:type="paragraph" w:customStyle="1" w:styleId="259">
    <w:name w:val="Normal_1_0"/>
    <w:qFormat/>
    <w:uiPriority w:val="0"/>
    <w:rPr>
      <w:rFonts w:hint="default" w:ascii="Times New Roman" w:hAnsi="Times New Roman" w:eastAsia="Times New Roman" w:cs="Times New Roman"/>
      <w:sz w:val="24"/>
      <w:szCs w:val="24"/>
      <w:lang w:bidi="ar-SA"/>
    </w:rPr>
  </w:style>
  <w:style w:type="paragraph" w:customStyle="1" w:styleId="260">
    <w:name w:val="Normal_2_0"/>
    <w:qFormat/>
    <w:uiPriority w:val="0"/>
    <w:rPr>
      <w:rFonts w:hint="default" w:ascii="Times New Roman" w:hAnsi="Times New Roman" w:eastAsia="Times New Roman" w:cs="Times New Roman"/>
      <w:sz w:val="24"/>
      <w:szCs w:val="24"/>
      <w:lang w:bidi="ar-SA"/>
    </w:rPr>
  </w:style>
  <w:style w:type="paragraph" w:customStyle="1" w:styleId="261">
    <w:name w:val="Normal_3_0"/>
    <w:qFormat/>
    <w:uiPriority w:val="0"/>
    <w:rPr>
      <w:rFonts w:hint="default" w:ascii="Times New Roman" w:hAnsi="Times New Roman" w:eastAsia="Times New Roman" w:cs="Times New Roman"/>
      <w:sz w:val="24"/>
      <w:szCs w:val="24"/>
      <w:lang w:bidi="ar-SA"/>
    </w:rPr>
  </w:style>
  <w:style w:type="paragraph" w:customStyle="1" w:styleId="262">
    <w:name w:val="Normal_4_0"/>
    <w:qFormat/>
    <w:uiPriority w:val="0"/>
    <w:rPr>
      <w:rFonts w:hint="default" w:ascii="Times New Roman" w:hAnsi="Times New Roman" w:eastAsia="Times New Roman" w:cs="Times New Roman"/>
      <w:sz w:val="24"/>
      <w:szCs w:val="24"/>
      <w:lang w:bidi="ar-SA"/>
    </w:rPr>
  </w:style>
  <w:style w:type="paragraph" w:customStyle="1" w:styleId="263">
    <w:name w:val="Normal_5_0"/>
    <w:qFormat/>
    <w:uiPriority w:val="0"/>
    <w:rPr>
      <w:rFonts w:hint="default" w:ascii="Times New Roman" w:hAnsi="Times New Roman" w:eastAsia="Times New Roman" w:cs="Times New Roman"/>
      <w:sz w:val="24"/>
      <w:szCs w:val="24"/>
      <w:lang w:bidi="ar-SA"/>
    </w:rPr>
  </w:style>
  <w:style w:type="paragraph" w:customStyle="1" w:styleId="264">
    <w:name w:val="Normal_6_0"/>
    <w:qFormat/>
    <w:uiPriority w:val="0"/>
    <w:rPr>
      <w:rFonts w:hint="default" w:ascii="Times New Roman" w:hAnsi="Times New Roman" w:eastAsia="Times New Roman" w:cs="Times New Roman"/>
      <w:sz w:val="24"/>
      <w:szCs w:val="24"/>
      <w:lang w:bidi="ar-SA"/>
    </w:rPr>
  </w:style>
  <w:style w:type="paragraph" w:customStyle="1" w:styleId="265">
    <w:name w:val="正文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266">
    <w:name w:val="Normal_7_0"/>
    <w:qFormat/>
    <w:uiPriority w:val="0"/>
    <w:rPr>
      <w:rFonts w:hint="default" w:ascii="Times New Roman" w:hAnsi="Times New Roman" w:eastAsia="Times New Roman" w:cs="Times New Roman"/>
      <w:sz w:val="24"/>
      <w:szCs w:val="24"/>
      <w:lang w:bidi="ar-SA"/>
    </w:rPr>
  </w:style>
  <w:style w:type="paragraph" w:customStyle="1" w:styleId="267">
    <w:name w:val="Normal_8_0"/>
    <w:qFormat/>
    <w:uiPriority w:val="0"/>
    <w:rPr>
      <w:rFonts w:hint="default" w:ascii="Times New Roman" w:hAnsi="Times New Roman" w:eastAsia="Times New Roman" w:cs="Times New Roman"/>
      <w:sz w:val="24"/>
      <w:szCs w:val="24"/>
      <w:lang w:bidi="ar-SA"/>
    </w:rPr>
  </w:style>
  <w:style w:type="paragraph" w:customStyle="1" w:styleId="268">
    <w:name w:val="Normal_9"/>
    <w:qFormat/>
    <w:uiPriority w:val="0"/>
    <w:rPr>
      <w:rFonts w:hint="default" w:ascii="Times New Roman" w:hAnsi="Times New Roman" w:eastAsia="Times New Roman" w:cs="Times New Roman"/>
      <w:sz w:val="24"/>
      <w:szCs w:val="24"/>
      <w:lang w:bidi="ar-SA"/>
    </w:rPr>
  </w:style>
  <w:style w:type="paragraph" w:customStyle="1" w:styleId="269">
    <w:name w:val="Normal_10"/>
    <w:qFormat/>
    <w:uiPriority w:val="0"/>
    <w:rPr>
      <w:rFonts w:hint="default" w:ascii="Times New Roman" w:hAnsi="Times New Roman" w:eastAsia="Times New Roman" w:cs="Times New Roman"/>
      <w:sz w:val="24"/>
      <w:szCs w:val="24"/>
      <w:lang w:bidi="ar-SA"/>
    </w:rPr>
  </w:style>
  <w:style w:type="paragraph" w:customStyle="1" w:styleId="270">
    <w:name w:val="Normal_11"/>
    <w:qFormat/>
    <w:uiPriority w:val="0"/>
    <w:rPr>
      <w:rFonts w:hint="default" w:ascii="Times New Roman" w:hAnsi="Times New Roman" w:eastAsia="Times New Roman" w:cs="Times New Roman"/>
      <w:sz w:val="24"/>
      <w:szCs w:val="24"/>
      <w:lang w:bidi="ar-SA"/>
    </w:rPr>
  </w:style>
  <w:style w:type="paragraph" w:customStyle="1" w:styleId="271">
    <w:name w:val="正文_6"/>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72">
    <w:name w:val="Normal_12"/>
    <w:qFormat/>
    <w:uiPriority w:val="0"/>
    <w:rPr>
      <w:rFonts w:hint="default" w:ascii="Times New Roman" w:hAnsi="Times New Roman" w:eastAsia="Times New Roman" w:cs="Times New Roman"/>
      <w:sz w:val="24"/>
      <w:szCs w:val="24"/>
      <w:lang w:bidi="ar-SA"/>
    </w:rPr>
  </w:style>
  <w:style w:type="paragraph" w:customStyle="1" w:styleId="273">
    <w:name w:val="Normal_14"/>
    <w:qFormat/>
    <w:uiPriority w:val="0"/>
    <w:rPr>
      <w:rFonts w:hint="default" w:ascii="Times New Roman" w:hAnsi="Times New Roman" w:eastAsia="Times New Roman" w:cs="Times New Roman"/>
      <w:sz w:val="24"/>
      <w:szCs w:val="24"/>
      <w:lang w:bidi="ar-SA"/>
    </w:rPr>
  </w:style>
  <w:style w:type="paragraph" w:customStyle="1" w:styleId="274">
    <w:name w:val="Normal_15"/>
    <w:qFormat/>
    <w:uiPriority w:val="0"/>
    <w:rPr>
      <w:rFonts w:hint="default" w:ascii="Times New Roman" w:hAnsi="Times New Roman" w:eastAsia="Times New Roman" w:cs="Times New Roman"/>
      <w:sz w:val="24"/>
      <w:szCs w:val="24"/>
      <w:lang w:bidi="ar-SA"/>
    </w:rPr>
  </w:style>
  <w:style w:type="paragraph" w:customStyle="1" w:styleId="275">
    <w:name w:val="Normal_16"/>
    <w:qFormat/>
    <w:uiPriority w:val="0"/>
    <w:rPr>
      <w:rFonts w:hint="default" w:ascii="Times New Roman" w:hAnsi="Times New Roman" w:eastAsia="Times New Roman" w:cs="Times New Roman"/>
      <w:sz w:val="24"/>
      <w:szCs w:val="24"/>
      <w:lang w:bidi="ar-SA"/>
    </w:rPr>
  </w:style>
  <w:style w:type="paragraph" w:customStyle="1" w:styleId="276">
    <w:name w:val="Normal_17"/>
    <w:qFormat/>
    <w:uiPriority w:val="0"/>
    <w:rPr>
      <w:rFonts w:hint="default" w:ascii="Times New Roman" w:hAnsi="Times New Roman" w:eastAsia="Times New Roman" w:cs="Times New Roman"/>
      <w:sz w:val="24"/>
      <w:szCs w:val="24"/>
      <w:lang w:bidi="ar-SA"/>
    </w:rPr>
  </w:style>
  <w:style w:type="paragraph" w:customStyle="1" w:styleId="277">
    <w:name w:val="正文_7"/>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78">
    <w:name w:val="Normal_18"/>
    <w:qFormat/>
    <w:uiPriority w:val="0"/>
    <w:rPr>
      <w:rFonts w:hint="default" w:ascii="Times New Roman" w:hAnsi="Times New Roman" w:eastAsia="Times New Roman" w:cs="Times New Roman"/>
      <w:sz w:val="24"/>
      <w:szCs w:val="24"/>
      <w:lang w:bidi="ar-SA"/>
    </w:rPr>
  </w:style>
  <w:style w:type="paragraph" w:customStyle="1" w:styleId="279">
    <w:name w:val="正文_8"/>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80">
    <w:name w:val="Normal_19"/>
    <w:qFormat/>
    <w:uiPriority w:val="0"/>
    <w:rPr>
      <w:rFonts w:hint="default" w:ascii="Times New Roman" w:hAnsi="Times New Roman" w:eastAsia="Times New Roman" w:cs="Times New Roman"/>
      <w:sz w:val="24"/>
      <w:szCs w:val="24"/>
      <w:lang w:bidi="ar-SA"/>
    </w:rPr>
  </w:style>
  <w:style w:type="paragraph" w:customStyle="1" w:styleId="281">
    <w:name w:val="正文_9"/>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82">
    <w:name w:val="Normal_20"/>
    <w:qFormat/>
    <w:uiPriority w:val="0"/>
    <w:rPr>
      <w:rFonts w:hint="default" w:ascii="Times New Roman" w:hAnsi="Times New Roman" w:eastAsia="Times New Roman" w:cs="Times New Roman"/>
      <w:sz w:val="24"/>
      <w:szCs w:val="24"/>
      <w:lang w:bidi="ar-SA"/>
    </w:rPr>
  </w:style>
  <w:style w:type="paragraph" w:customStyle="1" w:styleId="283">
    <w:name w:val="正文_1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84">
    <w:name w:val="Normal_21"/>
    <w:qFormat/>
    <w:uiPriority w:val="0"/>
    <w:rPr>
      <w:rFonts w:hint="default" w:ascii="Times New Roman" w:hAnsi="Times New Roman" w:eastAsia="Times New Roman" w:cs="Times New Roman"/>
      <w:sz w:val="24"/>
      <w:szCs w:val="24"/>
      <w:lang w:bidi="ar-SA"/>
    </w:rPr>
  </w:style>
  <w:style w:type="paragraph" w:customStyle="1" w:styleId="285">
    <w:name w:val="Normal_22"/>
    <w:qFormat/>
    <w:uiPriority w:val="0"/>
    <w:rPr>
      <w:rFonts w:hint="default" w:ascii="Times New Roman" w:hAnsi="Times New Roman" w:eastAsia="Times New Roman" w:cs="Times New Roman"/>
      <w:sz w:val="24"/>
      <w:szCs w:val="24"/>
      <w:lang w:bidi="ar-SA"/>
    </w:rPr>
  </w:style>
  <w:style w:type="paragraph" w:customStyle="1" w:styleId="286">
    <w:name w:val="Normal_23"/>
    <w:qFormat/>
    <w:uiPriority w:val="0"/>
    <w:rPr>
      <w:rFonts w:hint="default" w:ascii="Times New Roman" w:hAnsi="Times New Roman" w:eastAsia="Times New Roman" w:cs="Times New Roman"/>
      <w:sz w:val="24"/>
      <w:szCs w:val="24"/>
      <w:lang w:bidi="ar-SA"/>
    </w:rPr>
  </w:style>
  <w:style w:type="paragraph" w:customStyle="1" w:styleId="287">
    <w:name w:val="正文_1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88">
    <w:name w:val="Normal_24"/>
    <w:qFormat/>
    <w:uiPriority w:val="0"/>
    <w:rPr>
      <w:rFonts w:hint="default" w:ascii="Times New Roman" w:hAnsi="Times New Roman" w:eastAsia="Times New Roman" w:cs="Times New Roman"/>
      <w:sz w:val="24"/>
      <w:szCs w:val="24"/>
      <w:lang w:bidi="ar-SA"/>
    </w:rPr>
  </w:style>
  <w:style w:type="paragraph" w:customStyle="1" w:styleId="289">
    <w:name w:val="正文_12"/>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90">
    <w:name w:val="Normal_25"/>
    <w:qFormat/>
    <w:uiPriority w:val="0"/>
    <w:rPr>
      <w:rFonts w:hint="default" w:ascii="Times New Roman" w:hAnsi="Times New Roman" w:eastAsia="Times New Roman" w:cs="Times New Roman"/>
      <w:sz w:val="24"/>
      <w:szCs w:val="24"/>
      <w:lang w:bidi="ar-SA"/>
    </w:rPr>
  </w:style>
  <w:style w:type="paragraph" w:customStyle="1" w:styleId="291">
    <w:name w:val="Normal_26"/>
    <w:qFormat/>
    <w:uiPriority w:val="0"/>
    <w:rPr>
      <w:rFonts w:hint="default" w:ascii="Times New Roman" w:hAnsi="Times New Roman" w:eastAsia="Times New Roman" w:cs="Times New Roman"/>
      <w:sz w:val="24"/>
      <w:szCs w:val="24"/>
      <w:lang w:bidi="ar-SA"/>
    </w:rPr>
  </w:style>
  <w:style w:type="paragraph" w:customStyle="1" w:styleId="292">
    <w:name w:val="正文_11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93">
    <w:name w:val="正文_13"/>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94">
    <w:name w:val="Normal_27"/>
    <w:qFormat/>
    <w:uiPriority w:val="0"/>
    <w:rPr>
      <w:rFonts w:hint="default" w:ascii="Times New Roman" w:hAnsi="Times New Roman" w:eastAsia="Times New Roman" w:cs="Times New Roman"/>
      <w:sz w:val="24"/>
      <w:szCs w:val="24"/>
      <w:lang w:bidi="ar-SA"/>
    </w:rPr>
  </w:style>
  <w:style w:type="paragraph" w:customStyle="1" w:styleId="295">
    <w:name w:val="普通(网站)1"/>
    <w:basedOn w:val="1"/>
    <w:qFormat/>
    <w:uiPriority w:val="0"/>
    <w:pPr>
      <w:spacing w:before="100" w:beforeAutospacing="1" w:after="100" w:afterAutospacing="1"/>
    </w:pPr>
    <w:rPr>
      <w:rFonts w:ascii="宋体" w:hAnsi="宋体" w:cs="宋体"/>
      <w:color w:val="000000"/>
    </w:rPr>
  </w:style>
  <w:style w:type="paragraph" w:customStyle="1" w:styleId="296">
    <w:name w:val="标题1"/>
    <w:basedOn w:val="1"/>
    <w:next w:val="1"/>
    <w:link w:val="297"/>
    <w:qFormat/>
    <w:uiPriority w:val="10"/>
    <w:pPr>
      <w:spacing w:before="240" w:after="60"/>
      <w:jc w:val="center"/>
      <w:outlineLvl w:val="0"/>
    </w:pPr>
    <w:rPr>
      <w:rFonts w:ascii="Cambria" w:hAnsi="Cambria" w:cs="Times New Roman"/>
      <w:b/>
      <w:bCs/>
      <w:sz w:val="32"/>
      <w:szCs w:val="32"/>
    </w:rPr>
  </w:style>
  <w:style w:type="character" w:customStyle="1" w:styleId="297">
    <w:name w:val="标题 Char"/>
    <w:basedOn w:val="196"/>
    <w:link w:val="296"/>
    <w:qFormat/>
    <w:uiPriority w:val="0"/>
    <w:rPr>
      <w:rFonts w:ascii="Cambria" w:hAnsi="Cambria" w:cs="Times New Roman"/>
      <w:b/>
      <w:bCs/>
      <w:sz w:val="32"/>
      <w:szCs w:val="32"/>
    </w:rPr>
  </w:style>
  <w:style w:type="paragraph" w:customStyle="1" w:styleId="298">
    <w:name w:val="正文首行缩进1"/>
    <w:basedOn w:val="208"/>
    <w:link w:val="299"/>
    <w:semiHidden/>
    <w:unhideWhenUsed/>
    <w:qFormat/>
    <w:uiPriority w:val="99"/>
    <w:pPr>
      <w:spacing w:after="120"/>
      <w:ind w:firstLine="420"/>
    </w:pPr>
    <w:rPr>
      <w:rFonts w:ascii="Times New Roman" w:hAnsi="Times New Roman" w:eastAsia="宋体"/>
      <w:sz w:val="21"/>
      <w:szCs w:val="22"/>
      <w:lang w:val="en-US" w:eastAsia="zh-CN"/>
    </w:rPr>
  </w:style>
  <w:style w:type="character" w:customStyle="1" w:styleId="299">
    <w:name w:val="正文首行缩进 Char"/>
    <w:basedOn w:val="209"/>
    <w:link w:val="298"/>
    <w:semiHidden/>
    <w:qFormat/>
    <w:uiPriority w:val="99"/>
    <w:rPr>
      <w:sz w:val="21"/>
      <w:szCs w:val="22"/>
    </w:rPr>
  </w:style>
  <w:style w:type="paragraph" w:customStyle="1" w:styleId="300">
    <w:name w:val="首行缩进"/>
    <w:basedOn w:val="1"/>
    <w:qFormat/>
    <w:uiPriority w:val="0"/>
    <w:pPr>
      <w:ind w:firstLine="480"/>
    </w:pPr>
    <w:rPr>
      <w:rFonts w:ascii="Calibri" w:hAnsi="Calibri"/>
      <w:szCs w:val="20"/>
      <w:lang w:val="zh-CN"/>
    </w:rPr>
  </w:style>
  <w:style w:type="paragraph" w:customStyle="1" w:styleId="301">
    <w:name w:val="Footer1"/>
    <w:basedOn w:val="1"/>
    <w:link w:val="304"/>
    <w:qFormat/>
    <w:uiPriority w:val="0"/>
    <w:pPr>
      <w:widowControl/>
      <w:tabs>
        <w:tab w:val="center" w:pos="4153"/>
        <w:tab w:val="right" w:pos="8306"/>
      </w:tabs>
      <w:jc w:val="left"/>
    </w:pPr>
    <w:rPr>
      <w:rFonts w:ascii="Arial" w:hAnsi="Arial" w:eastAsia="Arial"/>
      <w:color w:val="000000"/>
      <w:sz w:val="18"/>
      <w:szCs w:val="21"/>
      <w:lang w:val="en-US" w:eastAsia="en-US"/>
    </w:rPr>
  </w:style>
  <w:style w:type="paragraph" w:customStyle="1" w:styleId="302">
    <w:name w:val="Header1"/>
    <w:basedOn w:val="1"/>
    <w:link w:val="303"/>
    <w:qFormat/>
    <w:uiPriority w:val="0"/>
    <w:pPr>
      <w:widowControl/>
      <w:pBdr>
        <w:top w:val="none" w:color="000000" w:sz="0" w:space="1"/>
        <w:left w:val="none" w:color="000000" w:sz="0" w:space="4"/>
        <w:bottom w:val="none" w:color="000000" w:sz="0" w:space="1"/>
        <w:right w:val="none" w:color="000000" w:sz="0" w:space="4"/>
      </w:pBdr>
      <w:tabs>
        <w:tab w:val="center" w:pos="4153"/>
        <w:tab w:val="right" w:pos="8306"/>
      </w:tabs>
    </w:pPr>
    <w:rPr>
      <w:rFonts w:ascii="Arial" w:hAnsi="Arial" w:eastAsia="Arial" w:cs="Arial"/>
      <w:color w:val="000000"/>
      <w:sz w:val="18"/>
      <w:szCs w:val="21"/>
      <w:lang w:eastAsia="en-US"/>
    </w:rPr>
  </w:style>
  <w:style w:type="character" w:customStyle="1" w:styleId="303">
    <w:name w:val="页眉 字符"/>
    <w:basedOn w:val="196"/>
    <w:link w:val="302"/>
    <w:qFormat/>
    <w:uiPriority w:val="0"/>
    <w:rPr>
      <w:rFonts w:ascii="Arial" w:hAnsi="Arial" w:eastAsia="Arial" w:cs="Arial"/>
      <w:color w:val="000000"/>
      <w:sz w:val="18"/>
      <w:szCs w:val="21"/>
      <w:lang w:eastAsia="en-US"/>
    </w:rPr>
  </w:style>
  <w:style w:type="character" w:customStyle="1" w:styleId="304">
    <w:name w:val="页脚 字符"/>
    <w:link w:val="301"/>
    <w:qFormat/>
    <w:uiPriority w:val="0"/>
    <w:rPr>
      <w:rFonts w:ascii="Arial" w:hAnsi="Arial" w:eastAsia="Arial" w:cs="Arial"/>
      <w:color w:val="000000"/>
      <w:sz w:val="18"/>
      <w:szCs w:val="21"/>
      <w:lang w:eastAsia="en-US"/>
    </w:rPr>
  </w:style>
  <w:style w:type="character" w:customStyle="1" w:styleId="305">
    <w:name w:val="默认段落字体1"/>
    <w:link w:val="1"/>
    <w:unhideWhenUsed/>
    <w:qFormat/>
    <w:uiPriority w:val="1"/>
  </w:style>
  <w:style w:type="paragraph" w:customStyle="1" w:styleId="306">
    <w:name w:val="_Style 5"/>
    <w:basedOn w:val="3"/>
    <w:next w:val="1"/>
    <w:qFormat/>
    <w:uiPriority w:val="0"/>
    <w:pPr>
      <w:widowControl/>
      <w:spacing w:before="480" w:after="0" w:line="276" w:lineRule="auto"/>
      <w:outlineLvl w:val="9"/>
    </w:pPr>
    <w:rPr>
      <w:rFonts w:ascii="Cambria" w:hAnsi="Cambria"/>
      <w:color w:val="365F91"/>
      <w:kern w:val="0"/>
      <w:sz w:val="28"/>
    </w:rPr>
  </w:style>
  <w:style w:type="paragraph" w:customStyle="1" w:styleId="307">
    <w:name w:val="Blockquote"/>
    <w:basedOn w:val="1"/>
    <w:qFormat/>
    <w:uiPriority w:val="0"/>
    <w:pPr>
      <w:autoSpaceDE w:val="0"/>
      <w:autoSpaceDN w:val="0"/>
      <w:adjustRightInd w:val="0"/>
      <w:spacing w:before="100" w:after="100"/>
      <w:ind w:left="360" w:right="360"/>
      <w:jc w:val="left"/>
    </w:pPr>
    <w:rPr>
      <w:rFonts w:ascii="Times New Roman" w:hAnsi="Times New Roman"/>
      <w:kern w:val="0"/>
      <w:sz w:val="24"/>
      <w:szCs w:val="20"/>
    </w:rPr>
  </w:style>
  <w:style w:type="paragraph" w:customStyle="1" w:styleId="308">
    <w:name w:val="_Style 6"/>
    <w:basedOn w:val="3"/>
    <w:next w:val="1"/>
    <w:qFormat/>
    <w:uiPriority w:val="0"/>
    <w:pPr>
      <w:widowControl/>
      <w:spacing w:before="480" w:after="0" w:line="276" w:lineRule="auto"/>
      <w:outlineLvl w:val="9"/>
    </w:pPr>
    <w:rPr>
      <w:rFonts w:ascii="Cambria" w:hAnsi="Cambria"/>
      <w:color w:val="365F91"/>
      <w:kern w:val="0"/>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138</Pages>
  <Words>40218</Words>
  <Characters>42982</Characters>
  <TotalTime>2</TotalTime>
  <ScaleCrop>false</ScaleCrop>
  <LinksUpToDate>false</LinksUpToDate>
  <CharactersWithSpaces>44491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2022-11-02T01:13:00Z</dcterms:created>
  <dc:creator>凝睿嫣娉</dc:creator>
  <cp:lastModifiedBy>一缕风</cp:lastModifiedBy>
  <cp:lastPrinted>2024-11-14T01:23:00Z</cp:lastPrinted>
  <dcterms:modified xsi:type="dcterms:W3CDTF">2025-02-10T09:10:12Z</dcterms:modified>
  <cp:revision>1264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FAEF24B0E93B4326B1B08D427D1EABF7_13</vt:lpwstr>
  </property>
  <property fmtid="{D5CDD505-2E9C-101B-9397-08002B2CF9AE}" pid="4" name="KSOTemplateDocerSaveRecord">
    <vt:lpwstr>eyJoZGlkIjoiMzEwNTM5NzYwMDRjMzkwZTVkZjY2ODkwMGIxNGU0OTUiLCJ1c2VySWQiOiI1Njc4MDA4NDYifQ==</vt:lpwstr>
  </property>
</Properties>
</file>