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90"/>
        </w:rPr>
        <w:t xml:space="preserve">招标文件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 JSZC-320904-JSDZ-G2024-0113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项目名称：盐城市大丰区城市生命线安全工程建设实施方案编制和风险评估报告编制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5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盐城市大丰区住房和城乡建设局</w:t>
      </w:r>
      <w:r/>
    </w:p>
    <w:p>
      <w:pPr>
        <w:ind w:left="0" w:right="0" w:firstLine="0"/>
        <w:jc w:val="center"/>
        <w:spacing w:before="0" w:after="0" w:line="5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大洲设计咨询集团有限公司</w:t>
      </w:r>
      <w:r/>
    </w:p>
    <w:p>
      <w:pPr>
        <w:ind w:left="0" w:right="0" w:firstLine="0"/>
        <w:jc w:val="center"/>
        <w:spacing w:before="0" w:after="0" w:line="5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2024年7月</w:t>
      </w:r>
      <w:r/>
    </w:p>
    <w:p>
      <w:pPr>
        <w:ind w:left="0" w:right="0" w:firstLine="0"/>
        <w:jc w:val="center"/>
        <w:spacing w:before="0" w:after="0" w:line="5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总 目 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6"/>
        </w:numPr>
        <w:jc w:val="both"/>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招标公告……………………………………1</w:t>
      </w:r>
      <w:r/>
    </w:p>
    <w:p>
      <w:pPr>
        <w:numPr>
          <w:ilvl w:val="0"/>
          <w:numId w:val="6"/>
        </w:numPr>
        <w:jc w:val="both"/>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投标人须知…………………………………5</w:t>
      </w:r>
      <w:r/>
    </w:p>
    <w:p>
      <w:pPr>
        <w:numPr>
          <w:ilvl w:val="0"/>
          <w:numId w:val="6"/>
        </w:numPr>
        <w:jc w:val="both"/>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合同条款及格式……………………………20</w:t>
      </w:r>
      <w:r/>
    </w:p>
    <w:p>
      <w:pPr>
        <w:numPr>
          <w:ilvl w:val="0"/>
          <w:numId w:val="6"/>
        </w:numPr>
        <w:jc w:val="both"/>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项目需求……………………………………27</w:t>
      </w:r>
      <w:r/>
    </w:p>
    <w:p>
      <w:pPr>
        <w:numPr>
          <w:ilvl w:val="0"/>
          <w:numId w:val="6"/>
        </w:numPr>
        <w:jc w:val="both"/>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评标方法与评标标准………………………30</w:t>
      </w:r>
      <w:r/>
    </w:p>
    <w:p>
      <w:pPr>
        <w:numPr>
          <w:ilvl w:val="0"/>
          <w:numId w:val="6"/>
        </w:numPr>
        <w:jc w:val="both"/>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投标文件格式………………………………34</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盐城市大丰区城市生命线安全工程建设实施方案编制和风险评估报告编制</w:t>
      </w:r>
      <w:r>
        <w:rPr>
          <w:rFonts w:ascii="SimSun" w:hAnsi="SimSun" w:eastAsia="SimSun" w:cs="SimSun"/>
          <w:color w:val="000000"/>
          <w:sz w:val="24"/>
        </w:rPr>
        <w:t xml:space="preserve">招标项目的潜在投标人应在“中国政府采购网”、“江苏政府采购网”、“盐城市政府采购网”获取招标文件，并于</w:t>
      </w:r>
      <w:r>
        <w:rPr>
          <w:rFonts w:ascii="SimSun" w:hAnsi="SimSun" w:eastAsia="SimSun" w:cs="SimSun"/>
          <w:b/>
          <w:color w:val="000000"/>
          <w:sz w:val="24"/>
          <w:u w:val="single"/>
        </w:rPr>
        <w:t xml:space="preserve">2024年8月13日10点00分</w:t>
      </w:r>
      <w:r>
        <w:rPr>
          <w:rFonts w:ascii="SimSun" w:hAnsi="SimSun" w:eastAsia="SimSun" w:cs="SimSun"/>
          <w:color w:val="000000"/>
          <w:sz w:val="24"/>
          <w:u w:val="single"/>
        </w:rPr>
        <w:t xml:space="preserve">（</w:t>
      </w:r>
      <w:r>
        <w:rPr>
          <w:rFonts w:ascii="SimSun" w:hAnsi="SimSun" w:eastAsia="SimSun" w:cs="SimSun"/>
          <w:color w:val="000000"/>
          <w:sz w:val="24"/>
        </w:rPr>
        <w:t xml:space="preserve">北京时间）前递交投标文件。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项目编号：JSZC-320904-JSDZ-G2024-0113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项目名称：盐城市大丰区城市生命线安全工程建设实施方案编制和风险评估报告编制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预算金额：本项目预算价人民币170万元。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最高限价：170万元， 超过限价的报价为无效报价。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顺利实施盐城市大丰区城市生命线安全工程建设，立足大丰城市基础设施建设现状，坚持需求导向，强化顶层设计，聚焦关键领域，采取“全市统筹、试点先行、分期建设、成果共享”的建设策略，以“综合监管+智慧监测”为抓手，选取燃气、排水、道路、桥梁、供水、第三方施工破坏、地下管线交互风险、污水漫溢、路灯管理等9个场景，构建城市生命线安全工程建设体系，打造“强监测、早预警、快处置”城市生命线安全监测系统。为此，按照省相关要求，完成大丰区城市生命线安全工程建设实施方案和投资概算的编制工作并提供响应的技术支撑和服务，</w:t>
      </w:r>
      <w:r>
        <w:rPr>
          <w:rFonts w:ascii="SimSun" w:hAnsi="SimSun" w:eastAsia="SimSun" w:cs="SimSun"/>
          <w:color w:val="000000"/>
          <w:sz w:val="24"/>
        </w:rPr>
        <w:t xml:space="preserve">通过相关部门的审批。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的编制按照江苏省城市生命线安全工程建设推进工作领导小组办公室印发的《关于进一步推动江苏省城市生命线安全工程建设试点工作的通知》（苏生命线办发〔2022〕1号）附件“城市生命线安全工程建设试点实施方案编制大纲”要求开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为配合实施方案的编制工作，需要按照江苏省住房和城乡建设厅印发的燃气、供水、内涝、道路塌陷、桥梁等5个场景的风险评估指南，开展燃气、排水、供水、道路、桥梁等5个场景的风险评估工作，并将评估结果及时录入市本级城市生命线安全工程监管系统，实现评估成果的信息化管理和动态更新，同时根据评估结果落实相关行业工程建设改造、监测设备布设等风险分级管控措施，系统提升行业领域本质安全水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1、开展风险调查和识别</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入调查各场景的基础数据、运行管理和维护执行情况、应急预案及演练情况、应急抢险救援能力、历史事故及事件信息等，以及重要设施、气象条件、地质条件等情况，必要时开展现场补充调研，从而辨识各场景各类设施存在的安全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2、开展风险分析评估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城市生命线各场景的评估指标体系，根据前期资料收集结果，对评估区域内的各场景划分评估单元(如管段、道路、桥梁或区域)，并分析各评估单元基本情况。通过量化模型计算各评估单元风险等级，从而得出评估结论。总结风险管控现状、分布特点和主要问题，提出针对性管控措施建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3、输出风险评估成果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风险评估报告。需按照概述、评估方法、基本情况、评估过程、评估结论、管控措施和附图附表等内容分别编制各场景风险评估报告。风险评估报告需确保依据详实、格式规范、方法科学、内容充实，并符合国家、省相关标准规范及上级部门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（2）为符合江苏省城市生命线安全工程建设的风险评估数据成果汇聚要求，对评估成果的字段、坐标和格式等内容进行梳理整合，以能充分对接智慧监管系统，便于后续评估数据成果的管理维护和动态更新。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验收标准：大丰区城市生命线安全工程实施方案通过专家技术团队的评审，实施方案及投资概算通过相关部门的审批，城市安全监测与运行管理，满足省标准及市县一体化建设工作。具体详见项目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合同履行期限：自合同签订起30日历天。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4"/>
        </w:rPr>
        <w:t xml:space="preserve">本项目不接受联合体投标。</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5.财务要求：投标人应具有独立订立合同的能力，未处于财产被接管、冻结和破产状态。</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6.单位负责人为同一人或者存在直接控股、服务关系的不同投标人，不得参加同一合同项下的政府采购活动。</w:t>
      </w:r>
      <w:r/>
    </w:p>
    <w:p>
      <w:pPr>
        <w:ind w:left="0" w:right="0" w:firstLine="48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rPr>
        <w:t xml:space="preserve">2024年7月22日至2024年8月13日，每天上午08:00-11:59，下午12:00-18:00（北京时间，法定节假日除外）。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地点：中国政府采购网、江苏政府采购网、盐城市政府采购网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方式：在“中国政府采购网”、“江苏政府采购网”、“盐城市政府采购网”自行免费下载招标文件。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2024年8月13日10点00分</w:t>
      </w:r>
      <w:r>
        <w:rPr>
          <w:rFonts w:ascii="SimSun" w:hAnsi="SimSun" w:eastAsia="SimSun" w:cs="SimSun"/>
          <w:b/>
          <w:color w:val="000000"/>
          <w:sz w:val="24"/>
        </w:rPr>
        <w:t xml:space="preserve">（北京时间）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地点：盐城市大丰区公共资源交易中心开标三室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自本公发布之日起5个工作日。</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1、有关本次采购的事项若存在变动或修改，敬请及时关注“江苏政府采购网”、“盐城市政府采购网”发布的信息更正公告。</w:t>
      </w:r>
      <w:r/>
    </w:p>
    <w:p>
      <w:pPr>
        <w:ind w:left="0" w:right="0" w:firstLine="48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2、投标保证金要求：根据江苏省财政厅及盐财购〔2020〕11号文件关于取消政府采购投标保证金的规定有关规定，本次采购</w:t>
      </w:r>
      <w:r>
        <w:rPr>
          <w:rFonts w:ascii="SimSun" w:hAnsi="SimSun" w:eastAsia="SimSun" w:cs="SimSun"/>
          <w:color w:val="000000"/>
          <w:sz w:val="24"/>
          <w:u w:val="single"/>
        </w:rPr>
        <w:t xml:space="preserve"> 不收取 </w:t>
      </w:r>
      <w:r>
        <w:rPr>
          <w:rFonts w:ascii="SimSun" w:hAnsi="SimSun" w:eastAsia="SimSun" w:cs="SimSun"/>
          <w:color w:val="000000"/>
          <w:sz w:val="24"/>
        </w:rPr>
        <w:t xml:space="preserve">投标保证金。</w:t>
      </w:r>
      <w:r/>
    </w:p>
    <w:p>
      <w:pPr>
        <w:ind w:left="0" w:right="0" w:firstLine="48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3、投标文件正本份数：1份，副本份数：4份。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4、投标人可自行到现场进行实地勘察，了解工程详细概况，中标人进场后不得以不了解现场为由提出增加费用的要求，勘察费用自理。如未到现场勘察，责任自负。</w:t>
      </w:r>
      <w:r/>
    </w:p>
    <w:p>
      <w:pPr>
        <w:pStyle w:val="847"/>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 </w:t>
      </w:r>
      <w:r/>
    </w:p>
    <w:p>
      <w:pPr>
        <w:pStyle w:val="847"/>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名称：盐城市大丰区住房和城乡建设局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人：张先生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联系电话：0515-83535373</w:t>
      </w:r>
      <w:r/>
    </w:p>
    <w:p>
      <w:pPr>
        <w:pStyle w:val="847"/>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名称：大洲设计咨询集团有限公司</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人：杨志全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联系电话：13390695939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项目联系人：杨志全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电话：13390695939</w:t>
      </w:r>
      <w:r/>
    </w:p>
    <w:p>
      <w:pPr>
        <w:pStyle w:val="848"/>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pStyle w:val="849"/>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2.2满足本文件实质性条款的规定。</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4.1投标人应自行承担所有与参加投标有关的费用，无论投标过程中的做法和结果如何，采购人在任何情况下均无义务和责任承担上述费用。</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5.1投标人一旦参加本项目采购活动，即被认为接受了本招标文件的规定和约束，并且视为自招标公告期限届满之日起知道或应当知道自身权益是否受到了损害。</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6.1本招标文件由采购人负责解释。</w:t>
      </w:r>
      <w:r/>
    </w:p>
    <w:p>
      <w:pPr>
        <w:pStyle w:val="849"/>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7.1招标文件有以下部分组成：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7.1.3合同条款及格式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投标人应认真阅读招标文件中所有的事项、格式、条款和规范等要求。按招标文件要求和规定编制投标文件，并保证所提供的全部资料的真实性，以使其投标文件对招标文件作出明确响应，否则其风险由投标人自行承担。</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8、招标文件的询问、澄清及修改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8.1任何要求对招标文件进行询问的投标人，应在投标截止日期10日前按招标公告中的通讯地址，向采购人或者采购代理机构提出。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3日前，以书面形式或在网上发布更正公告通知所有获取招标文件的潜在投标人；不足3日的，采购人或者采购代理机构应当顺延提交投标文件的截止时间。</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9.1在投标截止时间三天前，采购人或者采购代理机构可以对招标文件进行修改。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9.2采购人有权依法推迟投标截止日期和开标日期。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9.3招标文件的修改将在“江苏政府采购网”、“盐城市政府采购网”公布，补充文件将作为招标文件的组成部分，并对投标人具有约束力。</w:t>
      </w:r>
      <w:r/>
    </w:p>
    <w:p>
      <w:pPr>
        <w:pStyle w:val="849"/>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11.1资格性和符合性检查响应对照表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11.2资格信誉等证明文件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11.5分项报价清单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11.6技术参数响应及偏离表（如有）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11.8项目实施方案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需提供电子版一份，载体为U盘；电子版投标文件需与纸质版投标文件正本完全一致（将签字盖章的投标文件正本扫描成PDF文件作为电子版投标文件），如用电子签章的，投标文件的格式、签章必须符合招标文件的要求。如未提供或提供不全的做无效标处理。</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12、证明投标人资格及符合招标文件规定的文件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12.1投标人应按要求提交资格证明文件及符合招标文件规定的文件。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12.2投标人应提交证明其有资格参加投标和中标后有能力独立履行合同的文件。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12.3投标人除必须具有履行合同所需提供的货物以及服务的能力外，还必须具备相应的财务、技术方面的能力。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12.4投标人应提交根据合同要求提供的证明产品质量合格以及符合招标文件规定的证明文件。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12.5证明投标人所提供货物与招标文件的要求相一致的文件可以是手册、图纸、文字资料和数据。</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13、分项报价清单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按照招标文件规定格式填报分项报价清单，在表中标明所提供的设备品牌、规格、型号等。每项货物和服务等只允许有一个报价，任何有选择的报价将不予接受(如有备选配件，备选配件的报价不属于选择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13.2标的物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采购人需求的货物供应、安装，调试及有关技术服务等。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13.3有关费用处理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固定单价，投标人的报价应包括完成本次招标范围内全部服务工作内容所发生的一切费用。即主要包括(但不限于):调研费、编制费、成果印刷费、现场费用、交通工具使用费、通信费用、测量费用、组织评审、咨询论证等相关费用、相关资料收集费、法定取费与税金、风险费、税费及政策性文件规定和合同所包含的所有风险、责任等完成本项目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13.4其它费用处理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13.4.1招标文件未列明，而投标人认为必需的费用也需列入报价。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13.4.2代理机构将根据苏招协〔2022〕002号文件规定40%收费标准。招标完成后，中标人在与采购人签订合同之前，由中标人向招标代理机构一次性付清。（本条不单独列表报价，自行综合考虑在投标报价中）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投标文件中的货物、服务单价和总价无特殊规定的采用人民币报价，以元为单位标注。招标文件中另有规定的按规定执行。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13.6分项报价清单上的价格应按下列方式分开填写：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项目总价：包括完成本次招标范围内全部服务工作内容所发生的一切费用。即主要包括(但不限于):人工费、设备工具费、调查费、勘察费、整改设计费、成果编制费（含印刷费）、培训费、差旅费、交通费、验收及专家评审费、后续服务费、风险费、税费及政策性文件规定和合同费用包含不限于本地区地形图、地下管线（全部类型）脱密处理等一切费用，所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13.6.2项目单价按分项报价清单表中要求填报。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14、技术参数响应及偏离表、商务条款响应及偏离表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技术参数响应及偏离表（如有）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14.1.1对招标文件中的技术参数要求有偏离的，说明原因。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14.2.1对招标文件中的商务条款要求逐项作出响应或偏离，并说明原因。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15、技术方案、服务承诺及培训承诺等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15.1详细阐述所投货物的主要组成部分、功能设计、实现思路及关键技术；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15.3投标人的服务承诺应按不低于招标文件中商务要求的标准；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15.4提供投标人有关售后服务的管理制度、售后服务机构的分布情况、售后服务人员的数量、素质、技术水平及售后服务的反应能力；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培训计划。</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16.1投标人应按照招标文件中提供的格式完整、正确填写投标函、开标一览表。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16.2开标一览表中的总价应与投标文件中分项报价清单中的总价一致，如不一致，不作为无效投标处理，但评标时按开标一览表中价格为准</w:t>
      </w:r>
      <w:r>
        <w:rPr>
          <w:rFonts w:ascii="SimSun" w:hAnsi="SimSun" w:eastAsia="SimSun" w:cs="SimSun"/>
          <w:b/>
          <w:color w:val="000000"/>
          <w:sz w:val="24"/>
        </w:rPr>
        <w:t xml:space="preserve">。</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17.1投标有效期为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60 </w:t>
      </w:r>
      <w:r>
        <w:rPr>
          <w:rFonts w:ascii="SimSun" w:hAnsi="SimSun" w:eastAsia="SimSun" w:cs="SimSun"/>
          <w:b/>
          <w:color w:val="000000"/>
          <w:sz w:val="24"/>
        </w:rPr>
        <w:t xml:space="preserve">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采购人于原投标有效期满之前，可向投标人提出延长投标有效期的要求。这种要求与答复均应采用书面形式。投标人可以拒绝采购人的这一要求而放弃投标，采购人在接到投标人书面答复后，将在原投标有效期满后五日内无息退还其投标保证金。同意延长投标有效期的投标人既不能要求也不允许修改其投标文件。第17条有关投标保证金的规定在延长期内继续有效，同时受投标有效期约束的所有权利与义务均延长至新的有效期。</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18、投标文件份数和签署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18.1 投标文件要求正本一份，副本四份</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18.2投标人应严格按照招标文件要求的份数准备投标文件，每份投标文件须清楚地标明“正本”或“副本”字样。一旦正本和副本不符，以正本为准。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招标文件要求提供的原件可直接放入投标文件封袋内或单独密封在一个封袋内，如果原件是单独密封的须在封袋上标明项目名称、投标人名称并在封口处密封并加盖投标人公章，与投标文件一起递交。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r>
        <w:rPr>
          <w:rFonts w:ascii="SimSun" w:hAnsi="SimSun" w:eastAsia="SimSun" w:cs="SimSun"/>
          <w:b/>
          <w:color w:val="000000"/>
          <w:sz w:val="24"/>
        </w:rPr>
        <w:t xml:space="preserve">（招标文件中要求提供原件的须在投标文件中提供复印件）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18.4除投标人对错处做必要修改外，投标文件不得行间插字、涂改或增删。如有修改错漏处，必须由投标文件签署人签字或盖章。</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19、投标文件的密封和标记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19.1投标人应将投标文件正本和所有副本密封，不论投标人中标与否，投标文件（原件除外）均不退回。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电子版投标文件采用U盘为载体，可与纸质版一并装入封袋中；如单独密封，需在封袋上正确标明项目名称、投标人名称。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19.2密封的投标文件应：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19.2.1投标文件按招标文件的格式、样式要求装订、签署和盖章后装入封袋，封袋大小根据需要自行制作，在封袋上正确标明项目名称、投标人名称。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19.2.2所有投标文件装入封袋后都必须在封口处密封并加盖投标人公章。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19.2.3未按要求密封和加写标记的投标文件，采购人或采购代理机构将予以拒收。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20、投标截止日期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20.1采购人或者采购代理机构收到投标文件的时间不得迟于招标公告中规定的截止时间。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20.2采购人有权通过修改招标文件酌情延长投标截止日期，在此情况下，投标人的所有权利和义务以及投标人受制的截止日期均应以延长后新的截止日期为准。</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21、逾期送达的投标文件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21.1采购人、采购代理机构拒绝接收在其规定的投标截止时间后递交的任何投标文件。</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22.1投标人在投标截止时间前，可以对所递交的投标文件进行补充、修改或者撤回，并书面通知采购人或者采购代理机构。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补充、修改的内容应当按照招标文件要求签署、盖章、密封后，作为投标文件的组成部分。并应在封套上加注“修改”或“撤回”字样。上述补充或修改若涉及投标报价，必须注明“最后唯一报价”字样，否则将视为有选择的报价。补充、修改的文件必须在投标截止时间前送达开标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22.3在投标截止时间之后，投标人不得对其投标文件作任何补充、修改。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22.4投标有效期内投标人撤销投标文件的，投标保证金不予退还。</w:t>
      </w:r>
      <w:r/>
    </w:p>
    <w:p>
      <w:pPr>
        <w:pStyle w:val="849"/>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23.1开标在招标文件规定的时间，地点进行。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23.2开标由采购人或者采购代理机构主持，邀请投标人参加。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23.3按照规定同意撤回的投标将不予开封。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23.4投标人不足3家的，不予开标。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开标时，由投标人或者其推选的代表检查投标文件的密封情况；经确认无误后，由采购人或者采购代理机构工作人员当众拆封，宣布投标人开标一览表和招标文件规定的需要宣布的其他内容。开标时未宣布的投标报价信息，不得在评标时采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23.6采购人或者采购代理机构负责记录开标过程，由参加开标的各投标人代表和相关工作人员签字确认后随采购文件一并存档。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23.7投标人在报价时不允许采用选择性报价，否则将被视为无效投标。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23.8投标人未参加开标的，视同认可开标结果。</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24.1采购人或者采购代理机构负责组织评标工作。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24.3.5向采购人、采购代理机构或者有关部门报告评标中发现的违法行为。</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25.1采购人、采购代理机构采取必要措施，保证评标在严格保密的情况下进行。除采购人代表、评标现场组织人员外，采购人的其他工作人员以及与评标工作无关的人员不得进入评标现场。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25.3有关人员对评标情况以及在评标过程中获悉的国家秘密、商业秘密负有保密责任。</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者采购代理机构依法对投标人的资格进行审查。审查投标文件中的资格、资信证明文件等，以确定投标人是否具备投标资格。联合体投标，两个的自然人、法人或者其他组织组成一个联合体，以一个供应商的身份共同参加政府采购活动的,联合体成员存在不良信用记录的，视同联合体存在不良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合格投标人不足3家的，不得评标。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评标委员会对符合资格的投标人的投标文件进行符合性审查。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依据招标文件的规定，从投标文件的有效性、完整性和对招标文件的响应程度进行审查，以确定其是否满足招标文件的实质性要求。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26.2如果投标文件没有明确响应招标文件的要求，评标委员会将按无效投标处理，投标人不得通过修改或撤销不合要求的偏离或保留而使其投标成为明确响应的投标。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26.3评标委员会将对确定为明确响应的投标进行进一步审核，投标文件报价出现前后不一致的，除招标文件另有规定外，按照下列规定修正：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rPr>
          <w:rFonts w:ascii="SimSun" w:hAnsi="SimSun" w:eastAsia="SimSun" w:cs="SimSun"/>
          <w:b/>
          <w:color w:val="000000"/>
          <w:sz w:val="24"/>
        </w:rPr>
        <w:t xml:space="preserve">采用最低评标价法的采购项目：</w:t>
      </w:r>
      <w:r>
        <w:rPr>
          <w:rFonts w:ascii="SimSun" w:hAnsi="SimSun" w:eastAsia="SimSun" w:cs="SimSun"/>
          <w:color w:val="000000"/>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使用综合评分法的采购项目：</w:t>
      </w:r>
      <w:r>
        <w:rPr>
          <w:rFonts w:ascii="SimSun" w:hAnsi="SimSun" w:eastAsia="SimSun" w:cs="SimSun"/>
          <w:color w:val="000000"/>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非单一产品采购项目：</w:t>
      </w:r>
      <w:r>
        <w:rPr>
          <w:rFonts w:ascii="SimSun" w:hAnsi="SimSun" w:eastAsia="SimSun" w:cs="SimSun"/>
          <w:color w:val="000000"/>
          <w:sz w:val="24"/>
        </w:rPr>
        <w:t xml:space="preserve">采购人应当根据采购项目技术构成、产品价格比重等合理确定核心产品，并在招标文件中载明。多家投标人提供的核心产品品牌相同的，按前两款规定处理。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27.3接到评标委员会澄清要求的投标人如未按规定做出澄清，其风险由投标人自行承担。</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28、无效投标条款和废标条款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28.1.1投标文件未按照招标文件要求签署、盖章的；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28.1.3投标人在报价时采用选择性报价；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28.1.4投标人报价超过招标文件中规定的预算金额或者最高限价的；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28.1.6投标文件含有采购人不能接受的附加条件的；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28.1.7不符合招标文件中规定的其他实质性要求和条件的；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28.1.9其他法律、法规及本招标文件规定的属无效投标的情形。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28.2废标条款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28.2.1符合专业条件的投标人或者对招标文件作实质性响应的投标人不足三家的；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28.2.4投标人的报价均超过了采购预算或最高限价，采购人不能支付的；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28.2.5评标委员会发现招标文件存在歧义、重大缺陷导致评审工作无法进行，或者招标文件内容违反国家有关强制性规定的；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28.3投标截止后投标人不足3家或者通过资格审查、符合性审查的投标人不足3家的，除采购任务取消情形外，按照以下方式处理：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28.3.1招标文件存在不合理条款或者招标程序不符合规定的，采购人、采购代理机构改正后依法重新招标；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28.3.2招标文件没有不合理条款、招标程序符合规定，需要采用其他采购方式采购的，采购人应当依法报财政部门批准。  </w:t>
      </w:r>
      <w:r/>
    </w:p>
    <w:p>
      <w:pPr>
        <w:pStyle w:val="849"/>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29.1评标委员会根据本招标文件规定评标方法与评标标准确定中标候选人名单。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采购人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29.3采购人或者采购代理机构自中标人确定之日起2个工作日内，在“江苏政府采购网”、“盐城市政府采购网”上公告中标结果，公告期限为1个工作日。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29.4中标人有下列情形之一的，一经查实，将被取消中标资格并列入不良行为记录，在1至3年内禁止参加亭湖区政府采购活动：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29.4.2向采购人、采购代理机构行贿或者提供其他不正当利益的；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29.4.3在招标采购过程中与采购人进行协商谈判的；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29.4.4属于本文件规定的无效条件，但在评标过程中又未被评标委员会发现的；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29.4.5与采购人、其他投标人或者采购代理机构恶意串通的；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29.4.6采取不正当手段诋毁、排挤其他投标人的；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29.4.7不符合法律、法规的规定的。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29.5有下列情形之一的，视为投标人串通投标，其投标无效：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29.5.5不同投标人的投标文件相互混装；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29.5.6不同投标人的投标保证金从同一单位或者个人的账户转出。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29.6有下列情形之一的，属于恶意串通：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29.6.1投标人直接或者间接从采购人或者采购代理机构处获得其他投标人的相关情况并修改其投标文件；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29.6.2投标人按照采购人或者采购代理机构的授意撤换、修改投标文件；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29.6.3投标人之间协商报价、技术方案等投标文件的实质性内容；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29.6.4属于同一集团、协会、商会等组织成员的投标人按照该组织要求协同参加政府采购活动；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29.6.5投标人之间事先约定由某一特定投标人中标；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29.6.6投标人之间商定部分投标人放弃参加政府采购活动或者放弃中标；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29.6.7投标人与采购人或者采购代理机构之间、投标人相互之间，为谋求特定投标人中标或者排斥其他投标人的其他串通行为。</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参加投标的投标人认为招标文件、采购过程和中标结果使自己的权益受到损害的，可以在知道或应知其权益受到损害之日起七个工作日内，以书面形式向采购人或采购代理机构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30.1.1对可以质疑的招标文件提出质疑的，为收到招标文件之日或者招标文件公告期限届满之日；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30.2质疑必须以参加投标的投标人法定代表人或授权委托人（被授权人）（投标文件中所确定的）原件送达的方式提交，未按上述要求提交的质疑函（含传真、电子邮件等）采购人、采购代理机构有权不予受理。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30.3未参加投标活动的投标人或在投标活动中自身权益未受到损害的投标人所提出的质疑不予受理。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30.4.1投标人的姓名或者名称、地址、邮编、联系人及联系电话；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30.4.6提出质疑的日期等。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30.4.7质疑函应当署名：投标人为自然人的，应当由本人签字；投标人为法人或者其他组织的，应当由法定代表人、主要负责人，或者其授权代表签字或者盖章，并加盖公章。（质疑人为联合体的，则联合体各方法定代表人均须签字并加盖单位公章）。投标人委托代理质疑的，应当向采购人、采购代理机构提交授权委托书，并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30.4.8投标人认为采购文件、采购过程、中标或者成交结果使自己的权益受到损害的，应当在法定质疑期内一次性提出针对同一采购程序环节的质疑。两次或多次对同一采购程序环节提出的质疑，采购人、采购代理机构将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30.5采购人、采购代理机构收到质疑函后，将对质疑的形式和内容进行审查，如质疑函内容、格式不符合规定，采购人、采购代理机构将告知质疑人进行补正。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30.6质疑人应当在法定质疑期限内进行补正并重新提交质疑函，拒不补正或者在法定期限内未重新提交质疑函的，为无效质疑，采购人、采购代理机构有权不予受理。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30.7对于内容、格式符合规定的质疑函，采购人、采购代理机构应当在收到投标投标人的书面质疑后七个工作日内作出答复，并以书面形式通知质疑人和其他相关投标人，但答复的内容不得涉及商业秘密。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30.8投标人提出书面质疑必须有理、有据，不得恶意质疑或提交虚假质疑。否则，一经查实，采购人有权依据政府采购的有关规定，报请政府采购监管部门对该投标人进行相应的行政处罚。</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31.l中标结果确定后，采购人向中标人发出中标通知书。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中标人收到中标通知书后，应签字确认中标通知书已收到。若无回复，则公告后视同中标人已经知悉并同意接受。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31.3中标通知书将是合同的一个组成部分。中标通知书对采购人和中标人均具有法律效力。中标通知书发出后，采购人改变中标结果的，或者中标人放弃中标项目的，应当依法承担法律责任。</w:t>
      </w:r>
      <w:r/>
    </w:p>
    <w:p>
      <w:pPr>
        <w:pStyle w:val="849"/>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七、合同签订相关事项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签订合同后，</w:t>
      </w:r>
      <w:r>
        <w:rPr>
          <w:rFonts w:ascii="SimSun" w:hAnsi="SimSun" w:eastAsia="SimSun" w:cs="SimSun"/>
          <w:b/>
          <w:color w:val="000000"/>
          <w:sz w:val="24"/>
          <w:u w:val="single"/>
        </w:rPr>
        <w:t xml:space="preserve">中标人不得将相关服务进行转包</w:t>
      </w:r>
      <w:r>
        <w:rPr>
          <w:rFonts w:ascii="SimSun" w:hAnsi="SimSun" w:eastAsia="SimSun" w:cs="SimSun"/>
          <w:color w:val="000000"/>
          <w:sz w:val="24"/>
        </w:rPr>
        <w:t xml:space="preserve">。未经采购人同意，中标人也不得采用分包的方式履行合同，否则采购人有权终止合同。私自转包或分包造成采购人损失的，中标人应承担相应赔偿责任。</w:t>
      </w:r>
      <w:r/>
    </w:p>
    <w:p>
      <w:pPr>
        <w:pStyle w:val="850"/>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33、货物和服务的追加、减少和添购。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33.1政府采购合同履行中，采购人需追加与合同标的相同的货物或服务的，在不改变合同其他条款的前提下，可以与中标人协商签订补充合同，但所有补充合同的采购金额不超过原合同金额10%。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在签订合同时，须向采购人交纳履约保证金</w:t>
      </w:r>
      <w:r>
        <w:rPr>
          <w:rFonts w:ascii="SimSun" w:hAnsi="SimSun" w:eastAsia="SimSun" w:cs="SimSun"/>
          <w:b/>
          <w:color w:val="000000"/>
          <w:sz w:val="24"/>
        </w:rPr>
        <w:t xml:space="preserve">（合同金额的10%）</w:t>
      </w:r>
      <w:r>
        <w:rPr>
          <w:rFonts w:ascii="SimSun" w:hAnsi="SimSun" w:eastAsia="SimSun" w:cs="SimSun"/>
          <w:color w:val="000000"/>
          <w:sz w:val="24"/>
        </w:rPr>
        <w:t xml:space="preserve">,于项目竣工验收合格后无息退还。履约保证金用以约束中标人在合同履行中的行为，弥补合同执行中由于自身行为可能给采购人带来的各种损失。采购人对AA评级及以上政府采购供应商（需提供信用管理部门备案的第三方信用报告），降低履约保证金缴纳比例至合同价的5%；对AAA评级政府采购供应商（需在签订采购合同前提供信用管理部门备案的第三方信用报告，且信用报告通过“信用盐城网”可查实）免收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履约保证金缴纳方式：投标人应当以支票、汇票、本票或者金融机构、担保机构出具的保函等非现金形式提交。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履约保证金退还：该项目完成并验收合格后一个月内无息退还。</w:t>
      </w:r>
      <w:r/>
    </w:p>
    <w:p>
      <w:pPr>
        <w:ind w:left="0" w:right="0" w:firstLine="723"/>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以下为中标后签定本项目合同的通用条款，中标人不得提出实质性的修改，关于专用条款将由采购人与中标人结合本项目具体情况协商后签订。</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政府采购合同（服务）</w:t>
      </w:r>
      <w:r/>
    </w:p>
    <w:p>
      <w:pPr>
        <w:ind w:left="0" w:right="480" w:firstLine="73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 (甲方) ：</w:t>
      </w:r>
      <w:r>
        <w:rPr>
          <w:rFonts w:ascii="SimSun" w:hAnsi="SimSun" w:eastAsia="SimSun" w:cs="SimSun"/>
          <w:color w:val="000000"/>
          <w:sz w:val="24"/>
          <w:u w:val="single"/>
        </w:rPr>
        <w:t xml:space="preserve"> 盐城市大丰区住房和城乡建设局 </w:t>
      </w: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 (乙方)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本合同甲方委托乙方就</w:t>
      </w:r>
      <w:r>
        <w:rPr>
          <w:rFonts w:ascii="SimSun" w:hAnsi="SimSun" w:eastAsia="SimSun" w:cs="SimSun"/>
          <w:color w:val="000000"/>
          <w:sz w:val="24"/>
          <w:u w:val="single"/>
        </w:rPr>
        <w:t xml:space="preserve"> 盐城市大丰区城市生命线安全工程建设实施方案编制和风险评估报告编制 </w:t>
      </w:r>
      <w:r>
        <w:rPr>
          <w:rFonts w:ascii="SimSun" w:hAnsi="SimSun" w:eastAsia="SimSun" w:cs="SimSun"/>
          <w:color w:val="000000"/>
          <w:sz w:val="24"/>
        </w:rPr>
        <w:t xml:space="preserve">提供技术咨询，并支付咨询服务报酬。双方经过平等协商，在真实、充分地表述各自意愿 的基础上，根据《中华人民共和国民法典》的规定，达成如下协议，并由双方共 同恪守。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第一条乙方进行技术咨询的内容、要求和方式：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1、咨询内容：</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（1）开展风险调查和识别</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入调查各场景的基础数据、运行管理和维护执行情况、应急预案及演练情况、应急抢险救援能力、历史事故及事件信息等，以及重要设施、气象条件、地质条件等情况，必要时开展现场补充调研，从而辨识各场景各类设施存在的安全风险。</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（2）开展风险分析评估</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城市生命线各场景的评估指标体系，根据前期资料收集结果，对评估区域内的各场景划分评估单元(如管段、道路、桥梁或区域)，并分析各评估单元基本情况。通过量化模型计算各评估单元风险等级，从而得出评估结论。总结风险管控现状、分布特点和主要问题，提出针对性管控措施建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（3）输出风险评估成果</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编制风险评估报告。需按照概述、评估方法、基本情况、评估过程、评估结论、管控措施和附图附表等内容分别编制各场景风险评估报告。风险评估报告需确保依据详实、格式规范、方法科学、内容充实，并符合国家、省相关标准规范及上级部门的要求；</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3.2为符合江苏省城市生命线安全工程建设的风险评估数据成果汇聚要求，对评估成果的字段、坐标和格式等内容进行梳理整合，以能充分对接智慧监管系统，便于后续评估数据成果的管理维护和动态更新。</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2、咨询要求：</w:t>
      </w:r>
      <w:r>
        <w:rPr>
          <w:rFonts w:ascii="SimSun" w:hAnsi="SimSun" w:eastAsia="SimSun" w:cs="SimSun"/>
          <w:color w:val="000000"/>
          <w:sz w:val="24"/>
        </w:rPr>
        <w:t xml:space="preserve">详见盐城市大丰区城市生命线安全工程建设实施方案编制和风险评估报告编制招标文件第四部分项目需求。</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3、实施地点：</w:t>
      </w:r>
      <w:r>
        <w:rPr>
          <w:rFonts w:ascii="SimSun" w:hAnsi="SimSun" w:eastAsia="SimSun" w:cs="SimSun"/>
          <w:color w:val="000000"/>
          <w:sz w:val="24"/>
        </w:rPr>
        <w:t xml:space="preserve">盐城市大丰区</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 成交后</w:t>
      </w:r>
      <w:r>
        <w:rPr>
          <w:rFonts w:ascii="SimSun" w:hAnsi="SimSun" w:eastAsia="SimSun" w:cs="SimSun"/>
          <w:color w:val="000000"/>
          <w:sz w:val="24"/>
          <w:u w:val="single"/>
        </w:rPr>
        <w:t xml:space="preserve">     </w:t>
      </w:r>
      <w:r>
        <w:rPr>
          <w:rFonts w:ascii="SimSun" w:hAnsi="SimSun" w:eastAsia="SimSun" w:cs="SimSun"/>
          <w:color w:val="000000"/>
          <w:sz w:val="24"/>
        </w:rPr>
        <w:t xml:space="preserve">日历天内提交满足采购人要求的成果文件，在本项目详细设计和实施过程中，提供满足采购人需求的相关配合服务。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第三条甲方向乙方支付报酬及支付方式为：</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、报酬总额为：人民币（大写）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元）（包括项目调研费、编制费、成果印刷费、 现场费用、交通工具使用费、通信费用、测量费用、组织评审、咨询论证等相关费用、相关资料收集费、法定取费与税金等全部费用 (以上费用如涉及到多次需求，所有费用包含在内)，合同费用包含不限于本地区地形图、地下管线（全部类型）脱密处理等一切费用，即完成盐城市大丰区城市生命线安全工程建设实施方案编制和风险评估报告编制的全部费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2、咨询服务报酬支付方式：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合同签订后，甲方向乙方支付预付款，金额为协议总价款的30%；乙方编制的风险评估报告通过专家技术团队的评审后，付至合同总价的70%（含预付款）；通过评审一年后十日内付清余款。（以上价款均无利息）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承包人提交预付款担保的期限：预付款支付前。</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预付款担保的形式为：现金或投标人基本账户开户行出具的与工程余款款等额的保函。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每次付款前乙方需提供增值税发票，如因乙方提供发票不及时或不合格导致甲方逾期付款的，不视为甲方违约。</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履约保证金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签订合同时须向甲方缴纳履约保证金（按中标价的10%），如乙方在履约期间怠于履行义务或违约，则履约保证金不予返还，同时甲方有权终止合同。履约保证金用以约束成交供应商在合同履行中的行为，弥补合同执行中由于自身行为可能给采购人带来的各种损失。</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用以约束中标人在合同履行中的行为，弥补合同执行中由于自身行为可能给招标人带来的各种损失。根据盐城市财政局、盐城市公管办、盐城市信用办《关于在政府采购活动中应用第三方信用报告落实“信易购”应用场景的通知》（盐财购【2021】19号）文件精神，招标人对AA评级政府采购供应商（需在签订采购合同前提供信用管理部门备案的第三方信用报告，且信用报告通过“信用盐城网”可查实）收取一半履约保证金，对AAA评级政府采购供应商（需在签订采购合同前提供信用管理部门备案的第三方信用报告，且信用报告通过“信用盐城网”可查实</w:t>
      </w:r>
      <w:r>
        <w:rPr>
          <w:rFonts w:ascii="SimSun" w:hAnsi="SimSun" w:eastAsia="SimSun" w:cs="SimSun"/>
          <w:color w:val="000000"/>
          <w:sz w:val="24"/>
        </w:rPr>
        <w:t xml:space="preserve">）免收履约保证金。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2履约保证金的退还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2.1方式：无息退还至乙方缴纳履约保证金的账户。如为保函，乙方需提供保函至项目终验结束，终验结束后保函自动失效。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2.2时间：终验合格后。</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2.3条件：由乙方提出申请，30个工作日内退还履约保证金。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2.4不予退还情形：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除不可抗力情况外，乙方出现下列情形之一的，将视情节决定履约保证金是否不予退还。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（1）乙方无正当理由拒绝签订合同的，或者在签订合同时向甲方提出附加条件或者更改合同实质性内容要求的；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（2）乙方不履行与甲方订立的合同的；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（3）乙方所供服务不符合招标文件规定要求的；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（4）乙方采取欺骗、弄虚作假方式投标的或与其它投标人串通投标的；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（5）乙方故意捏造事实或伪造证明材料，进行虚假恶意投诉或反映的。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2.5逾期退还的违约责任：甲方逾期无故未退还履约保证金的，按中国人民银行同期存款基准利率支付超期资金占用费，但因乙方自身原因导致无法及时退还的除外。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双方确定，按下列标准和方式对乙方提交的服务成果进行验收：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1.验收标准：大丰区城市生命线安全工程实施方案通过专家技术团队的评审，实施方案及投资概算通过相关部门的审批，城市安全监测与运行管理，满足省标准及市县一体化建设工作。</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2.成果内容：</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成果应包括但不限于大丰区城市生命线安全工程实施方案及投资概算文本和相关附件。成果文件应当以书面和电子文件(文本采用DOC和PDF格式，附图采用DWG和PDF格式)两种方式表达。成果的表达应当清晰、准确、规范，说明书应准确、完整的阐述设计意图和内容，同类图纸规格应统一，图纸内容必须全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3、验收的时间和地点：</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盐城市大丰区住房和城乡建设局</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双方确定，在本合同有效期内， 甲方指定 </w:t>
      </w:r>
      <w:r>
        <w:rPr>
          <w:rFonts w:ascii="SimSun" w:hAnsi="SimSun" w:eastAsia="SimSun" w:cs="SimSun"/>
          <w:color w:val="000000"/>
          <w:sz w:val="24"/>
          <w:u w:val="single"/>
        </w:rPr>
        <w:t xml:space="preserve">      </w:t>
      </w:r>
      <w:r>
        <w:rPr>
          <w:rFonts w:ascii="SimSun" w:hAnsi="SimSun" w:eastAsia="SimSun" w:cs="SimSun"/>
          <w:color w:val="000000"/>
          <w:sz w:val="24"/>
        </w:rPr>
        <w:t xml:space="preserve">为甲方项目联系人，乙方指定：</w:t>
      </w:r>
      <w:r>
        <w:rPr>
          <w:rFonts w:ascii="SimSun" w:hAnsi="SimSun" w:eastAsia="SimSun" w:cs="SimSun"/>
          <w:color w:val="000000"/>
          <w:sz w:val="24"/>
          <w:u w:val="single"/>
        </w:rPr>
        <w:t xml:space="preserve">       </w:t>
      </w:r>
      <w:r>
        <w:rPr>
          <w:rFonts w:ascii="SimSun" w:hAnsi="SimSun" w:eastAsia="SimSun" w:cs="SimSun"/>
          <w:color w:val="000000"/>
          <w:sz w:val="24"/>
        </w:rPr>
        <w:t xml:space="preserve">为乙方项目负责人，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为乙方项目联系人。项目联系人承担以下责任：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1、及时联系双方，沟通有关情况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2、一方变更项目联系人的，应当及时以书面形式通知另一方。未及时通知 并影响本合同履行或造成损失的，应承担相应的责任。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争议的解决：</w:t>
      </w:r>
      <w:r>
        <w:rPr>
          <w:rFonts w:ascii="SimSun" w:hAnsi="SimSun" w:eastAsia="SimSun" w:cs="SimSun"/>
          <w:color w:val="000000"/>
          <w:sz w:val="24"/>
        </w:rPr>
        <w:t xml:space="preserve">本合同在履行过程中发生争议，由当事人双方协商解决，协商不成，由盐城仲裁委员会仲裁。</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合同生效及其它约定事项</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本次招标过程中的招标书、招标资料及经招标单位批准的项目需求等有关文件，均为合同的组成部分。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2.合同经双方法定代表人或授权代表人签字并加盖单位公章后生效.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3.招标文件和乙方的投标文件中被招标方认可的部分为本合同的不可分割的组成部分，与本合同具有同样效力。</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4.本合同未注明事项，标书中有规定的，按标书中的规定处理，没有规定的，按照国家的有关规定处理。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5.本合同一式肆份，合同双方各贰份。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法定代表人/委托代理人(签名)：</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所在地：</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法定代表人/委托代理人(签名)：</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所在地：</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保 密 协 议 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甲方：盐城市大丰区住房和城乡建设局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乙方接受甲方委托，将在盐城市大丰区城市生命线安全工程建设实施方案编制和风险评估报告编制实施过程中，乙方将不可避免地接触到甲方的涉密设备、涉密信息以及保密资料，为落实保密措施，做好保密工作，切实维护国家安全和利益以及甲方的利益，双方就有关保密事宜达成如下意见：</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一、甲方职责</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1.对于乙方提出的与服务密切相关且必须提供保密资料等相关事宜进行保密审查认证，并对提供给乙方的相关保密资料提出比较明确的保密要求，做好交接登记工作。</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2.发现乙方在为甲方提供服务过程中存在安全隐患和泄密漏洞的，应当及时提出，并督促落实改进措施，确保安全。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二、乙方职责</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1.乙方在接受甲方委托之日起，应当事先做好相关准备工作：</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（1）对相关工作人员进行保密教育，明确保密责任、义务，并与之签订《保密协议》，该《保密协议》对乙方工作人员的保密义务应不低于本协议书对乙方的保密要求。</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（2）乙方在项目实施过程中增加的相关工作人员，乙方应及时按同等要求落实相关措施。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工作人员在为甲方服务过程中，应尽量避免接触甲方的涉密事项，做到不该看的不看，不该问的不问；因提供技术服务需要必须接触涉密事宜时，应主动接受甲方的现场指导和监督，并确保有关涉密设备、涉密信息的安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为甲方服务时，甲方根据乙方提出的要求，必须提供保密资料时，双方应当办理交接手续，做好登记、使用台帐；乙方在将相关保密资料带回使用时，应提前向甲方报告，并应确保携带、使用、存放全过程的安全，保密资料严禁另行复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完成甲方某项服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5.乙方对于甲方提供的保密资料以及相关工作人员在为甲方服务时掌握的其他涉密信息，均不得向第三方或其他无关人员透露，应按照服务需要严格控制使用、知悉范围。</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6.乙方在使用电子设备(包括笔记本电脑、移动存储介质等)为甲方提供服务时，应严格按照国家有关保密规定要求，落实技防、人防、物防综合防范措施，确保安全。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三、其他事宜</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1.由于双方违反约定，造成泄密事件发生或者产生严重泄密隐患的，由违约一方承担全部责任。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2.本协议未尽事宜，双方另行商定。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3.双方在相关问题上发生争议无法解决时，任一方均可向甲方所在地有管辖权的人民法院提起诉讼。</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甲方：盐城市大丰区住房和城乡建设局         乙方：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经办人：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7"/>
        </w:numPr>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项目需求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一、项目需求概况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顺利实施大丰区城市生命线安全工程，需进行前期项目咨询研究，主要包括大丰区城市生命线安全工程风险评估及监测布点方案、实施方案及相应立项材料（包括但不限于项目建议书、可行性研究报告、初步设计方案和投资概算等）编制以及提供相应的技术支撑和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丰区城市生命线安全工程按照“综合监管+智慧监测”的总体思路，建设以燃气爆炸、城市内涝、桥梁倒塌、供水爆管、第三方施工破坏、地下管线交互风险、路面塌陷等7个风险场景为重点应用场景的城市生命线安全监管平台，城市安全监测与运行管理，满足省标准及市县一体化建设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工程主要是指维持城市生存功能系统和对国计民生有重大影响的工程，涉及到交通、燃气、供水、供油、供电、排水、第三方破坏等多个方面。江苏省委、省政府高度重视城市生命线安全工程建设工作，多次会议强调要全面高质量推进生命线工程建设，在第二批试点城市中，常州、连云港、淮安、盐城、扬州、镇江、泰州等7个设区市迅速启动城市生命线安全工程建设工作，抓紧建立工作推进机制，明确牵头部门和职责分工，年内完成实施方案制定，开展风险评估、地下管线数据汇聚，争取项目立项。其他城市同时在全面推进生命线相关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二、采购标的需执行的国家、行业及地方的相关标准、规范：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《室外给水设计标准》 GB 50013-2018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《生活饮用水卫生标准》 GB 5749-2023</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《地表水环境质量标准》 GB 3838-2002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《城市居民生活用水量标准》 GB/T 50331-2002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《城市给水工程项目规范》 GB 55026-2022</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《城镇给水排水管道工程施工及验收规范》 GB 50268-2008</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《给水排水工程管道结构设计规范》 GB 50332-2002</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《城镇道路养护技术规范》》CJJ 36-2016</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《城市地下病害体综合探测与风险评估技术标准》 JGJ/T 437-2018</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《岩土工程勘察规范》DGJ32/TJ 208-2016</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《城市桥梁养护技术标准》 CJJ 99-2017</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《城市桥梁工程施工与质量验收规范》 CJJ 2-2008</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《城市桥梁抗震设计规范》 CJJ 166-2011</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《城市桥梁设计规范》CJJ 11-2011</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《城镇排水管道维护安全技术规程》 CJJ6-2009</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《城镇内涝防治技术规范》 GB51222-2017</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《室外排水设计标准》 GB50014-2021</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《城镇排水管渠与泵站运行、维护及安全技术规程》 CJJ68-2016</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《江苏省城市生命线安全建设一期工程技术指导书(试行)》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《江苏省城市生命线安全建设一期工程数据标准(试行)》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《江苏省城镇供水管道安全风险评估指南（试行）》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《江苏省城市内涝安全风险评估指南（试行）》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《江苏省城市桥梁安全风险评估指南（试行）》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《江苏省城市道路塌陷风险评估指南（试行）》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项目实施时，若有相关新的规范、规程等颁布，则应按照新颁规范、规程实施。</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三、项目质量、技术规格等要求：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1、质量要求：</w:t>
      </w:r>
      <w:r>
        <w:rPr>
          <w:rFonts w:ascii="SimSun" w:hAnsi="SimSun" w:eastAsia="SimSun" w:cs="SimSun"/>
          <w:color w:val="000000"/>
          <w:sz w:val="24"/>
        </w:rPr>
        <w:t xml:space="preserve">大丰区城市生命线安全工程实施方案通过专家技术团队的评审，实施方案及投资概算通过相关部门的审批，城市安全监测与运行管理，满足省标准及市县一体化建设工作。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2、技术要求：</w:t>
      </w:r>
      <w:r>
        <w:rPr>
          <w:rFonts w:ascii="SimSun" w:hAnsi="SimSun" w:eastAsia="SimSun" w:cs="SimSun"/>
          <w:color w:val="000000"/>
          <w:sz w:val="24"/>
        </w:rPr>
        <w:t xml:space="preserve">严格按照以上规范标准执行。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四、项目服务周期要求及实施地点：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1、服务周期要求：</w:t>
      </w:r>
      <w:r>
        <w:rPr>
          <w:rFonts w:ascii="SimSun" w:hAnsi="SimSun" w:eastAsia="SimSun" w:cs="SimSun"/>
          <w:color w:val="000000"/>
          <w:sz w:val="24"/>
        </w:rPr>
        <w:t xml:space="preserve">成交后30日历天内提交满足采购人要求的成果文件，在本项目详细设计和实施过程中，提供满足采购人需求的相关配合服务。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2、实施地点：</w:t>
      </w:r>
      <w:r>
        <w:rPr>
          <w:rFonts w:ascii="SimSun" w:hAnsi="SimSun" w:eastAsia="SimSun" w:cs="SimSun"/>
          <w:color w:val="000000"/>
          <w:sz w:val="24"/>
        </w:rPr>
        <w:t xml:space="preserve">盐城市大丰区。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五、服务标准内容及要求：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1、开展风险调查和识别</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入调查各场景的基础数据、运行管理和维护执行情况、应急预案及演练情况、应急抢险救援能力、历史事故及事件信息等，以及重要设施、气象条件、地质条件等情况，必要时开展现场补充调研，从而辨识各场景各类设施存在的安全风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2、开展风险分析评估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城市生命线各场景的评估指标体系，根据前期资料收集结果，对评估区域内的各场景划分评估单元(如管段、道路、桥梁或区域)，并分析各评估单元基本情况。通过量化模型计算各评估单元风险等级，从而得出评估结论。总结风险管控现状、分布特点和主要问题，提出针对性管控措施建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3、输出风险评估成果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风险评估报告。需按照概述、评估方法、基本情况、评估过程、评估结论、管控措施和附图附表等内容分别编制各场景风险评估报告。风险评估报告需确保依据详实、格式规范、方法科学、内容充实，并符合国家、省相关标准规范及上级部门的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（2）为符合江苏省城市生命线安全工程建设的风险评估数据成果汇聚要求，对评估成果的字段、坐标和格式等内容进行梳理整合，以能充分对接智慧监管系统，便于后续评估数据成果的管理维护和动态更新。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六、验收标准：</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验收标准：大丰区城市生命线安全工程实施方案通过专家技术团队的评审，实施方案及投资概算通过相关部门的审批，城市安全监测与运行管理，满足省标准及市县一体化建设工作。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七、其他技术、服务等要求：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1、中标供应商应根据专家评审意见及委托方意见，进行风险评估报告的深化完善工作，项目负责人应参与编制过程中的讨论会议、座谈会，并在成果汇报时到场。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2、人员要求：根据本项目的特点和专业要求，项目管理组织机构配置齐全，项目组成员应包含供水、排水、道路、桥梁专业的相关技术人员。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3、风险评估实施过程中，中标供应商提供满足采购人需求的相关配合服务。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4、采购标的对应的中小企业划分标准所属行业一览表</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8"/>
        <w:gridCol w:w="4429"/>
        <w:gridCol w:w="38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盐城市大丰区城市生命线安全工程建设实施方案编制和风险评估报告编制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其他未列明行业</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7"/>
        <w:ind w:left="0" w:right="0" w:firstLine="0"/>
        <w:jc w:val="center"/>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（1）本项目对小型和微型企业提供的服务给予20%的扣除价格，用扣除后的价格参与评审。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本项目评分总分值为100分。</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8"/>
        <w:gridCol w:w="1557"/>
        <w:gridCol w:w="6779"/>
      </w:tblGrid>
      <w:tr>
        <w:trPr>
          <w:trHeight w:val="56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评审因素细化和量化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部分</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小型、微型、监狱企业、享受政府采购支持政策的残疾人福利性单位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的（以供应商响应文件中提供的相关材料为准），且在《磋商报价表》中的注明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供应商承诺：本项目由供应商本企业提供服务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的，该供应商评审价格</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《磋商报价表》中的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总价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得分四舍五入保留小数点后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、项目负责人（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分）：项目负责人具有正高级职称的得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分，同时具备注册咨询工程师的得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SimSun" w:hAnsi="SimSun" w:eastAsia="SimSun" w:cs="SimSun"/>
                <w:color w:val="000000"/>
                <w:sz w:val="20"/>
              </w:rPr>
              <w:t xml:space="preserve">①每有</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名具有道路桥梁（或交通运输）专业中级（含）以上技术职称，且同时具有注册土木（道路工程）工程师证书的得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分，最高得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名具有给排水（或市政工程）专业中级（含）以上技术职称，且同时具有注册公用设备工程师（给水排水）证书的得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名具有城市规划（或城乡规划）专业中级（含）以上技术职称，且同时具有注册城乡规划师证书的得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名具有建设工程专业中级（含）以上技术职称，且同时具有注册咨询工程师证书的得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、以上人员不得重复计分；</w:t>
            </w:r>
            <w:r/>
          </w:p>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、专业以注册证书、职称证书或毕业证书为准；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、响应文件中提供相关证书原件扫描件，同时需提供开标时间前半年内任意一个月（不含开标当月）供应商为其缴纳的社保证明。提供证明材料不完整或未提供的不得分。</w:t>
            </w:r>
            <w:r/>
          </w:p>
        </w:tc>
      </w:tr>
      <w:tr>
        <w:trPr>
          <w:trHeight w:val="7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2019</w:t>
            </w:r>
            <w:r>
              <w:rPr>
                <w:rFonts w:ascii="SimSun" w:hAnsi="SimSun" w:eastAsia="SimSun" w:cs="SimSun"/>
                <w:color w:val="000000"/>
                <w:sz w:val="21"/>
              </w:rPr>
              <w:t xml:space="preserve">年以来承担过城市生命线安全建设工程相关的风险评估、指南或城市生命线安全建设工程实施方案编制或城市生命线安全建设工程前期咨询等相关业绩的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每提供一份得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最高得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注：请提供相关合同或中标通知书作为证明材料，时间以合同或中标通知书时间为准。【如不能体现服务内容的，还需提供业主单位（甲方）出具的相应证明材料原件彩色扫描件】，否则不予认可。</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供应商具有有效的质量管理体系认证证书、环境管理体系认证证书、职业健康安全管理体系认证证书、高新技术企业认证的，每具有一项得</w:t>
            </w:r>
            <w:r>
              <w:rPr>
                <w:rFonts w:ascii="Times New Roman" w:hAnsi="Times New Roman" w:eastAsia="Times New Roman" w:cs="Times New Roman"/>
                <w:color w:val="000000"/>
                <w:sz w:val="21"/>
              </w:rPr>
              <w:t xml:space="preserve">0.25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注：响应文件中提供证明材料原件扫描件。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项目背景、行业政策掌握情况</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对国家城市生命线安全工程建设政策背景、江苏省应对策略和技术经验、盐城市城市生命线工作方案了解全面的得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分；了解较全面、描述较具体的得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分，基本了解、描述不具体的得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对大丰区城市生命线工作基础有深入的掌握、对生命线建设思路考虑全面的得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分；较能掌握或描述较全面的得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分；基本掌握或描述不详细的得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对城市生命线建设相关应用场景综合监管系统平台等基本信息了解全面、全面掌握生命线建设基础底数基本情况的得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分；对基本信息、建设基础底数基本情况了解掌握较全面的得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分；对基本信息、建设基础底数基本情况了解欠缺的得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对城市生命线工作内容思考</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充分了解监管痛点、难点、盲点，描述详尽，提供的参考依据充分、合理得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分，基本了解监管痛点、难点、盲点且提供的参考依据基本合理的得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分，本项缺失或描述不完全符合项目要求的得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对城市生命线监测需求、实施阶段难点的分析准确、透彻得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分；分析较准确、透彻的得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分；分析基本准确但不够透彻的得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建设思路描述切合监管业务需求、监测需求且详细透彻的得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分；描述能从需求出发、监测需求较详细的得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分；描述基本能从需求出发的得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对关键环节的对策及建议、工作推进计划安排</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对关键环节的把控分析详细、相应对策及建议合理、工作推进计划可行得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分；把控分析较详细、对策及建议较为合理、工作推进计划较可行得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分；把控分析基本符合、对策及建议基本合理、工作推进计划基本可行性得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对于共性问题的技术创新分析，对于特殊场景的技术需求分析，并提出合理观念和指导意见。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对于共性问题的技术创新分析，对于特殊场景的技术需求分析，并提出合理观念和指导意见。分析详细且合理、指导意见可靠的得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分；分析较为合理、指导意见有可行性得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分；分析基本合理、指导意见基本可行得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前期咨询各阶段工作进度计划和进度的保证措施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进度计划安排合理和进度保证措施完善的得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分；进度计划安排满足项目要求、有一定的进度保证措施的得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分；进度计划安排基本满足项目要求、没有进度保证措施的得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设计后期服务安排及承诺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、有承诺书，得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、后期服务安排的工作计划完善、合理，具有针对性，得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分；未提供不得分。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投标人诚信承诺书（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投标人诚信承诺书（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9" w:type="dxa"/>
            <w:vAlign w:val="center"/>
            <w:textDirection w:val="lrTb"/>
            <w:noWrap w:val="false"/>
          </w:tcPr>
          <w:p>
            <w:pPr>
              <w:ind w:left="0" w:right="0" w:firstLine="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投标文件中提供《盐城市大丰区政府招标采购供应商承诺书》的得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分，未提供的不得分。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47"/>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（正或副本）</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0"/>
        <w:gridCol w:w="3526"/>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投标主要文件目录</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二、上一年度的财务状况报表（投标人成立不满一年无需提供）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九、分项报价清单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十、技术要求响应及偏离表（如有）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十二、人员配置情况</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十三、项目服务方案、业绩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十四、、小微企业声明函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十六、招标文件中规定要求提供的证明材料和投标人认为需要提供的其他材料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十七、政府采购事前信用承诺书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以上材料均须加盖投标人公章，否则投标文件无效。</w:t>
      </w:r>
      <w:r/>
    </w:p>
    <w:p>
      <w:pPr>
        <w:ind w:left="0" w:right="0" w:firstLine="56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一、资格性和符合性检查响应对照表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5162"/>
        <w:gridCol w:w="1814"/>
        <w:gridCol w:w="1747"/>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招标文件中的其他实质性要求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pStyle w:val="850"/>
        <w:ind w:left="0" w:right="0" w:firstLine="0"/>
        <w:jc w:val="center"/>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2"/>
        </w:rPr>
        <w:t xml:space="preserve"> </w:t>
      </w:r>
      <w:r/>
    </w:p>
    <w:p>
      <w:pPr>
        <w:pStyle w:val="849"/>
        <w:ind w:left="0" w:right="0" w:firstLine="0"/>
        <w:jc w:val="center"/>
        <w:spacing w:before="260" w:after="2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参加政府采购活动前3年内在经营活动中</w:t>
      </w:r>
      <w:r/>
    </w:p>
    <w:p>
      <w:pPr>
        <w:pStyle w:val="849"/>
        <w:ind w:left="0" w:right="0" w:firstLine="0"/>
        <w:jc w:val="center"/>
        <w:spacing w:before="260" w:after="2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投标人名称（公章）：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 年 月 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 职务：</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（投标人）的法定代表人。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身份证复印件粘贴处：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38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right"/>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 人 授 权 书</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8"/>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（姓名）为我单位的代理人，以本单位的名义参加</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（项目名称）的投标活动。代理人在开标、评标、合同谈判过程中所签署的一切文件和处理与之有关的一切事务，我均予以承认。代理人无转委托权。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特此委托。</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代理人姓名：              性别：          身份证号码：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          手机：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身份证复印件粘贴处：</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49"/>
        <w:ind w:left="0" w:right="-21"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49"/>
        <w:ind w:left="0" w:right="0" w:firstLine="0"/>
        <w:jc w:val="center"/>
        <w:spacing w:before="260" w:after="2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8"/>
        <w:ind w:left="0" w:right="0" w:firstLine="0"/>
        <w:jc w:val="center"/>
        <w:spacing w:before="260" w:after="2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三、投标函格式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（采购人名称 ）</w:t>
      </w: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(项目名称)招标文件，正式授权下述签字人________(姓名)代表我方______（投标人名称），全权处理本次项目投标的有关事宜。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1.按招标文件规定的各项要求，向买方提供所需货物与服务。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5.如果在开标后规定的投标有效期内撤销投标或中标后拒绝签订合同，我们的投标保证金可不予退还。</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425"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日期：_____年____月____日</w:t>
      </w:r>
      <w:r/>
    </w:p>
    <w:p>
      <w:pPr>
        <w:pStyle w:val="848"/>
        <w:ind w:left="0" w:right="0" w:firstLine="0"/>
        <w:jc w:val="center"/>
        <w:spacing w:before="260" w:after="2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9"/>
        <w:gridCol w:w="7026"/>
      </w:tblGrid>
      <w:tr>
        <w:trPr>
          <w:trHeight w:val="11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6"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盐城市大丰区城市生命线安全工程建设实施方案编制和风险评估报告编制</w:t>
            </w:r>
            <w:r/>
          </w:p>
        </w:tc>
      </w:tr>
      <w:tr>
        <w:trPr>
          <w:trHeight w:val="9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项目投标报价：（大写）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，小写：</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tc>
      </w:tr>
      <w:tr>
        <w:trPr>
          <w:trHeight w:val="9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是否提供《企业类型声明函》：</w:t>
            </w:r>
            <w:r>
              <w:rPr>
                <w:rFonts w:ascii="SimSun" w:hAnsi="SimSun" w:eastAsia="SimSun" w:cs="SimSun"/>
                <w:b/>
                <w:color w:val="000000"/>
                <w:sz w:val="24"/>
                <w:u w:val="single"/>
              </w:rPr>
              <w:t xml:space="preserve">  是/否   </w:t>
            </w:r>
            <w:r>
              <w:rPr>
                <w:rFonts w:ascii="SimSun" w:hAnsi="SimSun" w:eastAsia="SimSun" w:cs="SimSun"/>
                <w:b/>
                <w:color w:val="000000"/>
                <w:sz w:val="24"/>
              </w:rPr>
              <w:t xml:space="preserve">           见</w:t>
            </w:r>
            <w:r>
              <w:rPr>
                <w:rFonts w:ascii="SimSun" w:hAnsi="SimSun" w:eastAsia="SimSun" w:cs="SimSun"/>
                <w:b/>
                <w:color w:val="000000"/>
                <w:sz w:val="24"/>
                <w:u w:val="single"/>
              </w:rPr>
              <w:t xml:space="preserve">（          ）</w:t>
            </w:r>
            <w:r>
              <w:rPr>
                <w:rFonts w:ascii="SimSun" w:hAnsi="SimSun" w:eastAsia="SimSun" w:cs="SimSun"/>
                <w:b/>
                <w:color w:val="000000"/>
                <w:sz w:val="24"/>
              </w:rPr>
              <w:t xml:space="preserve">页</w:t>
            </w:r>
            <w:r/>
          </w:p>
        </w:tc>
      </w:tr>
      <w:tr>
        <w:trPr>
          <w:trHeight w:val="92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numPr>
          <w:ilvl w:val="0"/>
          <w:numId w:val="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开标一览表不得填报选择性报价，否则将作为无效投标；</w:t>
      </w:r>
      <w:r/>
    </w:p>
    <w:p>
      <w:pPr>
        <w:numPr>
          <w:ilvl w:val="0"/>
          <w:numId w:val="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开标一览表中报价与分项报价清单中不符时，以开标一览表为准；</w:t>
      </w:r>
      <w:r/>
    </w:p>
    <w:p>
      <w:pPr>
        <w:ind w:left="0" w:right="0" w:firstLine="1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36"/>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投标人（盖章）：</w:t>
      </w:r>
      <w:r/>
    </w:p>
    <w:p>
      <w:pPr>
        <w:ind w:left="0" w:right="0" w:firstLine="432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法定代表人或授权代表（签字或盖章）：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五、分项报价清单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投标人全称：（加盖投标人公章）</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351"/>
        <w:gridCol w:w="850"/>
        <w:gridCol w:w="649"/>
        <w:gridCol w:w="795"/>
        <w:gridCol w:w="1190"/>
        <w:gridCol w:w="131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采用固定单价，投标人的报价应包括完成本次招标范围内全部服务工作内容所发生的一切费用。即主要包括(但不限于):人工费、设备工具费、调查费、勘察费、整改设计费、成果编制费（含印刷费）、培训费、差旅费、交通费、验收及专家评审费、后续服务费、风险费、税费及政策性文件规定和合同所包含的所有风险、责任等各项应有费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投标报价不得高于最高限价，否则投标文件无效。</w:t>
      </w: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六、技术参数响应及偏离表</w:t>
      </w:r>
      <w:r>
        <w:rPr>
          <w:rFonts w:ascii="SimSun" w:hAnsi="SimSun" w:eastAsia="SimSun" w:cs="SimSun"/>
          <w:color w:val="000000"/>
          <w:sz w:val="32"/>
        </w:rPr>
        <w:t xml:space="preserve">（如有）</w:t>
      </w:r>
      <w:r/>
    </w:p>
    <w:p>
      <w:pPr>
        <w:ind w:left="0" w:right="0" w:firstLine="0"/>
        <w:jc w:val="both"/>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737"/>
        <w:gridCol w:w="1417"/>
        <w:gridCol w:w="1418"/>
        <w:gridCol w:w="1418"/>
        <w:gridCol w:w="1418"/>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原因</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3、如无超出或偏离项目，此表无需填写。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七、商务条款响应及偏离表</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SimSun" w:hAnsi="SimSun" w:eastAsia="SimSun" w:cs="SimSun"/>
          <w:color w:val="000000"/>
          <w:sz w:val="24"/>
          <w:u w:val="single"/>
        </w:rPr>
        <w:t xml:space="preserve">                 </w:t>
      </w:r>
      <w:r>
        <w:rPr>
          <w:rFonts w:ascii="SimSun" w:hAnsi="SimSun" w:eastAsia="SimSun" w:cs="SimSun"/>
          <w:color w:val="000000"/>
          <w:sz w:val="24"/>
        </w:rPr>
        <w:t xml:space="preserve">（加盖投标人公章）</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2101"/>
        <w:gridCol w:w="2248"/>
        <w:gridCol w:w="1118"/>
        <w:gridCol w:w="12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、投标人应据实、详细填写上述表格，因表述含糊导致的评标风险将由投标人承担。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、若无偏离，在“有无偏离”栏中填写“无”；若有偏离在“有无偏离”栏中填写“有”并在“偏离内容及原因”栏中作出说明。</w:t>
      </w:r>
      <w:r/>
    </w:p>
    <w:p>
      <w:pPr>
        <w:ind w:left="0" w:right="0" w:firstLine="241"/>
        <w:jc w:val="both"/>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法定代表人或授权代表签字：</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八、人员配置情况</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4"/>
        <w:gridCol w:w="572"/>
        <w:gridCol w:w="503"/>
        <w:gridCol w:w="529"/>
        <w:gridCol w:w="537"/>
        <w:gridCol w:w="898"/>
        <w:gridCol w:w="886"/>
        <w:gridCol w:w="726"/>
        <w:gridCol w:w="1591"/>
        <w:gridCol w:w="756"/>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职业资格、职称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主要资历、经验</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担任过的项目、相关业务培训情况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、投标人应根据拟投入本项目人员情况分别填报上述表格。</w:t>
      </w:r>
      <w:r/>
    </w:p>
    <w:p>
      <w:pPr>
        <w:numPr>
          <w:ilvl w:val="0"/>
          <w:numId w:val="9"/>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请投标人提供所投入本项目人员的身份证、学历证书、职业资格证书或职称证书等相关证明材料。</w:t>
      </w:r>
      <w:r/>
    </w:p>
    <w:p>
      <w:pPr>
        <w:numPr>
          <w:ilvl w:val="0"/>
          <w:numId w:val="9"/>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以上所有人员应全部为投标人单位人员，投标人应提供本单位为其缴纳的从2024年2月至投标截止日当月其中的任意一个月的社保证明材料为准。</w:t>
      </w:r>
      <w:r/>
    </w:p>
    <w:p>
      <w:pPr>
        <w:numPr>
          <w:ilvl w:val="0"/>
          <w:numId w:val="9"/>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如有需要说明的事项，请在备注中列明。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九、项目服务方案、业绩</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2"/>
        </w:rPr>
        <w:t xml:space="preserve">（按评标方法的内容进行编制）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十、小微企业声明函（服务）</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本公司（联合体）郑重声明，根据《政府采购促进中小企业发展管理办法》(财库[2020]46号)的规定，本公司（联合体）参加盐城市政府采购中心组织的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企业名称（加盖单位公章）：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w:t>
      </w:r>
      <w:r>
        <w:rPr>
          <w:rFonts w:ascii="SimHei" w:hAnsi="SimHei" w:eastAsia="SimHei" w:cs="SimHei"/>
          <w:b/>
          <w:color w:val="000000"/>
          <w:sz w:val="32"/>
        </w:rPr>
        <w:t xml:space="preserve">残疾人福利性单位声明函（分包号：**）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供应商全称（加盖单位公章）：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w:t>
      </w:r>
      <w:r>
        <w:rPr>
          <w:rFonts w:ascii="SimHei" w:hAnsi="SimHei" w:eastAsia="SimHei" w:cs="SimHei"/>
          <w:color w:val="000000"/>
          <w:sz w:val="32"/>
        </w:rPr>
        <w:t xml:space="preserve">招标文件中规定要求提供的证明材料和投标人认为需要提供的其他材料</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十三、盐城市大丰区政府招标采购供应商承诺书</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服务关系，不参与围标串标、弄虚作假、骗取中标、干扰评标、违约毁约等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erReference w:type="first" r:id="rId10"/>
      <w:footnotePr/>
      <w:endnotePr/>
      <w:type w:val="nextPage"/>
      <w:pgSz w:w="11906" w:h="16838" w:orient="portrait"/>
      <w:pgMar w:top="1418" w:right="1081" w:bottom="1418" w:left="945"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Wingdings">
    <w:panose1 w:val="05000000000000000000"/>
  </w:font>
  <w:font w:name="KaiTi">
    <w:panose1 w:val="02010609060101010101"/>
  </w:font>
  <w:font w:name="Symbol">
    <w:panose1 w:val="05050102010706020507"/>
  </w:font>
  <w:font w:name="新宋体">
    <w:panose1 w:val="02010609030101010101"/>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NSimSun">
    <w:panose1 w:val="0201060903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852"/>
      <w:isLgl w:val="false"/>
      <w:suff w:val="nothing"/>
      <w:lvlText w:val=""/>
      <w:lvlJc w:val="left"/>
      <w:pPr/>
      <w:rPr>
        <w:rFonts w:hint="eastAsia" w:cs="Times New Roman"/>
      </w:rPr>
    </w:lvl>
    <w:lvl w:ilvl="6">
      <w:start w:val="1"/>
      <w:numFmt w:val="none"/>
      <w:pStyle w:val="853"/>
      <w:isLgl w:val="false"/>
      <w:suff w:val="nothing"/>
      <w:lvlText w:val=""/>
      <w:lvlJc w:val="left"/>
      <w:pPr/>
      <w:rPr>
        <w:rFonts w:hint="eastAsia" w:cs="Times New Roman"/>
      </w:rPr>
    </w:lvl>
    <w:lvl w:ilvl="7">
      <w:start w:val="1"/>
      <w:numFmt w:val="none"/>
      <w:pStyle w:val="854"/>
      <w:isLgl w:val="false"/>
      <w:suff w:val="nothing"/>
      <w:lvlText w:val=""/>
      <w:lvlJc w:val="left"/>
      <w:pPr/>
      <w:rPr>
        <w:rFonts w:hint="eastAsia" w:cs="Times New Roman"/>
      </w:rPr>
    </w:lvl>
    <w:lvl w:ilvl="8">
      <w:start w:val="1"/>
      <w:numFmt w:val="none"/>
      <w:pStyle w:val="855"/>
      <w:isLgl w:val="false"/>
      <w:suff w:val="nothing"/>
      <w:lvlText w:val=""/>
      <w:lvlJc w:val="left"/>
      <w:pPr/>
      <w:rPr>
        <w:rFonts w:hint="eastAsia" w:cs="Times New Roman"/>
      </w:rPr>
    </w:lvl>
  </w:abstractNum>
  <w:abstractNum w:abstractNumId="4">
    <w:multiLevelType w:val="hybridMultilevel"/>
    <w:lvl w:ilvl="0">
      <w:start w:val="1"/>
      <w:numFmt w:val="decimal"/>
      <w:isLgl w:val="false"/>
      <w:suff w:val="tab"/>
      <w:lvlText w:val="第%1章"/>
      <w:lvlJc w:val="left"/>
      <w:pPr>
        <w:ind w:left="228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228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47">
    <w:name w:val="Heading 1"/>
    <w:basedOn w:val="846"/>
    <w:next w:val="846"/>
    <w:link w:val="1051"/>
    <w:uiPriority w:val="99"/>
    <w:qFormat/>
    <w:pPr>
      <w:jc w:val="center"/>
      <w:keepNext/>
      <w:outlineLvl w:val="0"/>
    </w:pPr>
    <w:rPr>
      <w:rFonts w:ascii="楷体_GB2312" w:eastAsia="楷体_GB2312"/>
      <w:sz w:val="28"/>
      <w:szCs w:val="28"/>
    </w:rPr>
  </w:style>
  <w:style w:type="paragraph" w:styleId="848">
    <w:name w:val="Heading 2"/>
    <w:basedOn w:val="846"/>
    <w:next w:val="846"/>
    <w:link w:val="1052"/>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849">
    <w:name w:val="Heading 3"/>
    <w:basedOn w:val="846"/>
    <w:next w:val="846"/>
    <w:link w:val="1053"/>
    <w:uiPriority w:val="99"/>
    <w:qFormat/>
    <w:pPr>
      <w:keepLines/>
      <w:keepNext/>
      <w:spacing w:before="260" w:after="260" w:line="416" w:lineRule="auto"/>
      <w:outlineLvl w:val="2"/>
    </w:pPr>
    <w:rPr>
      <w:b/>
      <w:bCs/>
      <w:sz w:val="32"/>
      <w:szCs w:val="32"/>
    </w:rPr>
  </w:style>
  <w:style w:type="paragraph" w:styleId="850">
    <w:name w:val="Heading 4"/>
    <w:basedOn w:val="846"/>
    <w:next w:val="846"/>
    <w:link w:val="1054"/>
    <w:uiPriority w:val="99"/>
    <w:qFormat/>
    <w:pPr>
      <w:keepLines/>
      <w:keepNext/>
      <w:spacing w:before="280" w:after="290" w:line="376" w:lineRule="auto"/>
      <w:outlineLvl w:val="3"/>
    </w:pPr>
    <w:rPr>
      <w:rFonts w:ascii="Arial" w:hAnsi="Arial" w:eastAsia="黑体" w:cs="Arial"/>
      <w:b/>
      <w:bCs/>
      <w:sz w:val="28"/>
      <w:szCs w:val="28"/>
    </w:rPr>
  </w:style>
  <w:style w:type="paragraph" w:styleId="851">
    <w:name w:val="Heading 5"/>
    <w:basedOn w:val="846"/>
    <w:next w:val="858"/>
    <w:link w:val="1055"/>
    <w:uiPriority w:val="99"/>
    <w:qFormat/>
    <w:pPr>
      <w:keepNext/>
      <w:outlineLvl w:val="4"/>
    </w:pPr>
    <w:rPr>
      <w:rFonts w:ascii="宋体"/>
      <w:color w:val="000000"/>
      <w:sz w:val="28"/>
      <w:szCs w:val="28"/>
    </w:rPr>
  </w:style>
  <w:style w:type="paragraph" w:styleId="852">
    <w:name w:val="Heading 6"/>
    <w:basedOn w:val="846"/>
    <w:next w:val="846"/>
    <w:link w:val="1056"/>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53">
    <w:name w:val="Heading 7"/>
    <w:basedOn w:val="846"/>
    <w:next w:val="846"/>
    <w:link w:val="1057"/>
    <w:uiPriority w:val="99"/>
    <w:qFormat/>
    <w:pPr>
      <w:numPr>
        <w:ilvl w:val="6"/>
        <w:numId w:val="1"/>
      </w:numPr>
      <w:keepLines/>
      <w:keepNext/>
      <w:spacing w:before="240" w:after="64" w:line="320" w:lineRule="auto"/>
      <w:outlineLvl w:val="6"/>
    </w:pPr>
    <w:rPr>
      <w:b/>
      <w:bCs/>
      <w:sz w:val="24"/>
      <w:szCs w:val="24"/>
    </w:rPr>
  </w:style>
  <w:style w:type="paragraph" w:styleId="854">
    <w:name w:val="Heading 8"/>
    <w:basedOn w:val="846"/>
    <w:next w:val="846"/>
    <w:link w:val="1058"/>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855">
    <w:name w:val="Heading 9"/>
    <w:basedOn w:val="846"/>
    <w:next w:val="846"/>
    <w:link w:val="1059"/>
    <w:uiPriority w:val="99"/>
    <w:qFormat/>
    <w:pPr>
      <w:numPr>
        <w:ilvl w:val="8"/>
        <w:numId w:val="1"/>
      </w:numPr>
      <w:keepLines/>
      <w:keepNext/>
      <w:spacing w:before="240" w:after="64" w:line="320" w:lineRule="auto"/>
      <w:outlineLvl w:val="8"/>
    </w:pPr>
    <w:rPr>
      <w:rFonts w:ascii="Arial" w:hAnsi="Arial" w:eastAsia="黑体"/>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link w:val="1076"/>
    <w:uiPriority w:val="99"/>
    <w:qFormat/>
    <w:pPr>
      <w:ind w:firstLine="420"/>
    </w:pPr>
    <w:rPr>
      <w:szCs w:val="20"/>
    </w:rPr>
  </w:style>
  <w:style w:type="paragraph" w:styleId="859">
    <w:name w:val="List 3"/>
    <w:basedOn w:val="846"/>
    <w:uiPriority w:val="99"/>
    <w:qFormat/>
    <w:pPr>
      <w:ind w:left="100" w:hanging="200"/>
    </w:pPr>
  </w:style>
  <w:style w:type="paragraph" w:styleId="860">
    <w:name w:val="toc 7"/>
    <w:basedOn w:val="846"/>
    <w:next w:val="846"/>
    <w:uiPriority w:val="39"/>
    <w:unhideWhenUsed/>
    <w:qFormat/>
    <w:pPr>
      <w:ind w:left="1701" w:right="0" w:firstLine="0"/>
      <w:spacing w:after="57"/>
    </w:pPr>
  </w:style>
  <w:style w:type="paragraph" w:styleId="861">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Document Map"/>
    <w:basedOn w:val="846"/>
    <w:link w:val="1064"/>
    <w:uiPriority w:val="99"/>
    <w:semiHidden/>
    <w:qFormat/>
    <w:pPr>
      <w:shd w:val="clear" w:color="auto" w:fill="000080"/>
    </w:pPr>
  </w:style>
  <w:style w:type="paragraph" w:styleId="863">
    <w:name w:val="annotation text"/>
    <w:basedOn w:val="846"/>
    <w:link w:val="1060"/>
    <w:uiPriority w:val="99"/>
    <w:semiHidden/>
    <w:qFormat/>
    <w:pPr>
      <w:jc w:val="left"/>
    </w:pPr>
  </w:style>
  <w:style w:type="paragraph" w:styleId="864">
    <w:name w:val="Body Text 3"/>
    <w:basedOn w:val="846"/>
    <w:link w:val="1065"/>
    <w:uiPriority w:val="99"/>
    <w:qFormat/>
    <w:rPr>
      <w:rFonts w:ascii="仿宋_GB2312" w:hAnsi="Arial" w:eastAsia="仿宋_GB2312"/>
      <w:sz w:val="32"/>
      <w:szCs w:val="32"/>
    </w:rPr>
  </w:style>
  <w:style w:type="paragraph" w:styleId="865">
    <w:name w:val="Body Text"/>
    <w:basedOn w:val="846"/>
    <w:link w:val="1062"/>
    <w:uiPriority w:val="99"/>
    <w:qFormat/>
    <w:rPr>
      <w:rFonts w:ascii="楷体_GB2312" w:hAnsi="Arial" w:eastAsia="楷体_GB2312"/>
      <w:sz w:val="28"/>
      <w:szCs w:val="28"/>
    </w:rPr>
  </w:style>
  <w:style w:type="paragraph" w:styleId="866">
    <w:name w:val="Body Text Indent"/>
    <w:basedOn w:val="846"/>
    <w:link w:val="1066"/>
    <w:uiPriority w:val="99"/>
    <w:qFormat/>
    <w:pPr>
      <w:ind w:firstLine="645"/>
    </w:pPr>
    <w:rPr>
      <w:rFonts w:ascii="楷体_GB2312" w:eastAsia="楷体_GB2312"/>
      <w:sz w:val="32"/>
      <w:szCs w:val="32"/>
    </w:rPr>
  </w:style>
  <w:style w:type="paragraph" w:styleId="867">
    <w:name w:val="List 2"/>
    <w:basedOn w:val="846"/>
    <w:uiPriority w:val="99"/>
    <w:qFormat/>
    <w:pPr>
      <w:ind w:left="100" w:hanging="200"/>
    </w:pPr>
  </w:style>
  <w:style w:type="paragraph" w:styleId="868">
    <w:name w:val="toc 5"/>
    <w:basedOn w:val="846"/>
    <w:next w:val="846"/>
    <w:uiPriority w:val="39"/>
    <w:unhideWhenUsed/>
    <w:qFormat/>
    <w:pPr>
      <w:ind w:left="1134" w:right="0" w:firstLine="0"/>
      <w:spacing w:after="57"/>
    </w:pPr>
  </w:style>
  <w:style w:type="paragraph" w:styleId="869">
    <w:name w:val="toc 3"/>
    <w:basedOn w:val="846"/>
    <w:next w:val="846"/>
    <w:uiPriority w:val="39"/>
    <w:unhideWhenUsed/>
    <w:qFormat/>
    <w:pPr>
      <w:ind w:left="567" w:right="0" w:firstLine="0"/>
      <w:spacing w:after="57"/>
    </w:pPr>
  </w:style>
  <w:style w:type="paragraph" w:styleId="870">
    <w:name w:val="Plain Text"/>
    <w:basedOn w:val="846"/>
    <w:next w:val="865"/>
    <w:link w:val="1067"/>
    <w:uiPriority w:val="0"/>
    <w:qFormat/>
    <w:rPr>
      <w:rFonts w:ascii="宋体" w:hAnsi="Courier New" w:cs="Courier New"/>
    </w:rPr>
  </w:style>
  <w:style w:type="paragraph" w:styleId="871">
    <w:name w:val="toc 8"/>
    <w:basedOn w:val="846"/>
    <w:next w:val="846"/>
    <w:uiPriority w:val="39"/>
    <w:unhideWhenUsed/>
    <w:qFormat/>
    <w:pPr>
      <w:ind w:left="1984" w:right="0" w:firstLine="0"/>
      <w:spacing w:after="57"/>
    </w:pPr>
  </w:style>
  <w:style w:type="paragraph" w:styleId="872">
    <w:name w:val="Date"/>
    <w:basedOn w:val="846"/>
    <w:next w:val="846"/>
    <w:link w:val="1068"/>
    <w:uiPriority w:val="99"/>
    <w:qFormat/>
    <w:rPr>
      <w:sz w:val="24"/>
      <w:szCs w:val="24"/>
    </w:rPr>
  </w:style>
  <w:style w:type="paragraph" w:styleId="873">
    <w:name w:val="Body Text Indent 2"/>
    <w:basedOn w:val="846"/>
    <w:link w:val="1069"/>
    <w:uiPriority w:val="99"/>
    <w:qFormat/>
    <w:pPr>
      <w:ind w:left="630" w:firstLine="645"/>
    </w:pPr>
    <w:rPr>
      <w:rFonts w:ascii="Arial" w:hAnsi="Arial" w:eastAsia="仿宋_GB2312" w:cs="Arial"/>
      <w:sz w:val="32"/>
      <w:szCs w:val="32"/>
    </w:rPr>
  </w:style>
  <w:style w:type="paragraph" w:styleId="874">
    <w:name w:val="endnote text"/>
    <w:basedOn w:val="846"/>
    <w:link w:val="1047"/>
    <w:uiPriority w:val="99"/>
    <w:semiHidden/>
    <w:unhideWhenUsed/>
    <w:qFormat/>
    <w:pPr>
      <w:spacing w:after="0" w:line="240" w:lineRule="auto"/>
    </w:pPr>
    <w:rPr>
      <w:sz w:val="20"/>
    </w:rPr>
  </w:style>
  <w:style w:type="paragraph" w:styleId="875">
    <w:name w:val="Balloon Text"/>
    <w:basedOn w:val="846"/>
    <w:link w:val="1070"/>
    <w:uiPriority w:val="99"/>
    <w:semiHidden/>
    <w:qFormat/>
    <w:rPr>
      <w:sz w:val="18"/>
      <w:szCs w:val="18"/>
    </w:rPr>
  </w:style>
  <w:style w:type="paragraph" w:styleId="876">
    <w:name w:val="Footer"/>
    <w:basedOn w:val="846"/>
    <w:link w:val="1071"/>
    <w:uiPriority w:val="99"/>
    <w:qFormat/>
    <w:pPr>
      <w:jc w:val="left"/>
      <w:tabs>
        <w:tab w:val="center" w:pos="4153" w:leader="none"/>
        <w:tab w:val="right" w:pos="8306" w:leader="none"/>
      </w:tabs>
    </w:pPr>
    <w:rPr>
      <w:sz w:val="18"/>
      <w:szCs w:val="18"/>
    </w:rPr>
  </w:style>
  <w:style w:type="paragraph" w:styleId="877">
    <w:name w:val="Header"/>
    <w:basedOn w:val="846"/>
    <w:link w:val="1073"/>
    <w:uiPriority w:val="99"/>
    <w:qFormat/>
    <w:pPr>
      <w:jc w:val="center"/>
      <w:tabs>
        <w:tab w:val="center" w:pos="4153" w:leader="none"/>
        <w:tab w:val="right" w:pos="8306" w:leader="none"/>
      </w:tabs>
      <w:pBdr>
        <w:bottom w:val="single" w:color="auto" w:sz="6" w:space="1"/>
      </w:pBdr>
    </w:pPr>
    <w:rPr>
      <w:sz w:val="18"/>
      <w:szCs w:val="18"/>
    </w:rPr>
  </w:style>
  <w:style w:type="paragraph" w:styleId="878">
    <w:name w:val="toc 1"/>
    <w:basedOn w:val="846"/>
    <w:next w:val="846"/>
    <w:uiPriority w:val="39"/>
    <w:unhideWhenUsed/>
    <w:qFormat/>
    <w:pPr>
      <w:ind w:left="0" w:right="0" w:firstLine="0"/>
      <w:spacing w:after="57"/>
    </w:pPr>
  </w:style>
  <w:style w:type="paragraph" w:styleId="879">
    <w:name w:val="toc 4"/>
    <w:basedOn w:val="846"/>
    <w:next w:val="846"/>
    <w:uiPriority w:val="39"/>
    <w:unhideWhenUsed/>
    <w:qFormat/>
    <w:pPr>
      <w:ind w:left="850" w:right="0" w:firstLine="0"/>
      <w:spacing w:after="57"/>
    </w:pPr>
  </w:style>
  <w:style w:type="paragraph" w:styleId="880">
    <w:name w:val="Subtitle"/>
    <w:basedOn w:val="846"/>
    <w:next w:val="846"/>
    <w:link w:val="913"/>
    <w:uiPriority w:val="11"/>
    <w:qFormat/>
    <w:pPr>
      <w:spacing w:before="200" w:after="200"/>
    </w:pPr>
    <w:rPr>
      <w:sz w:val="24"/>
      <w:szCs w:val="24"/>
    </w:rPr>
  </w:style>
  <w:style w:type="paragraph" w:styleId="881">
    <w:name w:val="List"/>
    <w:basedOn w:val="846"/>
    <w:uiPriority w:val="99"/>
    <w:qFormat/>
    <w:pPr>
      <w:ind w:left="200" w:hanging="200"/>
    </w:pPr>
  </w:style>
  <w:style w:type="paragraph" w:styleId="882">
    <w:name w:val="footnote text"/>
    <w:basedOn w:val="846"/>
    <w:link w:val="1046"/>
    <w:uiPriority w:val="99"/>
    <w:semiHidden/>
    <w:unhideWhenUsed/>
    <w:qFormat/>
    <w:pPr>
      <w:spacing w:after="40" w:line="240" w:lineRule="auto"/>
    </w:pPr>
    <w:rPr>
      <w:sz w:val="18"/>
    </w:rPr>
  </w:style>
  <w:style w:type="paragraph" w:styleId="883">
    <w:name w:val="toc 6"/>
    <w:basedOn w:val="846"/>
    <w:next w:val="846"/>
    <w:uiPriority w:val="39"/>
    <w:unhideWhenUsed/>
    <w:qFormat/>
    <w:pPr>
      <w:ind w:left="1417" w:right="0" w:firstLine="0"/>
      <w:spacing w:after="57"/>
    </w:pPr>
  </w:style>
  <w:style w:type="paragraph" w:styleId="884">
    <w:name w:val="Body Text Indent 3"/>
    <w:basedOn w:val="846"/>
    <w:link w:val="1074"/>
    <w:uiPriority w:val="99"/>
    <w:qFormat/>
    <w:pPr>
      <w:ind w:left="645" w:firstLine="645"/>
    </w:pPr>
    <w:rPr>
      <w:rFonts w:ascii="Arial" w:hAnsi="Arial" w:eastAsia="仿宋_GB2312" w:cs="Arial"/>
      <w:color w:val="ffff00"/>
      <w:sz w:val="32"/>
      <w:szCs w:val="32"/>
    </w:rPr>
  </w:style>
  <w:style w:type="paragraph" w:styleId="885">
    <w:name w:val="table of figures"/>
    <w:basedOn w:val="846"/>
    <w:next w:val="846"/>
    <w:uiPriority w:val="99"/>
    <w:unhideWhenUsed/>
    <w:qFormat/>
    <w:pPr>
      <w:spacing w:after="0" w:afterAutospacing="0"/>
    </w:pPr>
  </w:style>
  <w:style w:type="paragraph" w:styleId="886">
    <w:name w:val="toc 2"/>
    <w:basedOn w:val="846"/>
    <w:next w:val="846"/>
    <w:uiPriority w:val="39"/>
    <w:unhideWhenUsed/>
    <w:qFormat/>
    <w:pPr>
      <w:ind w:left="283" w:right="0" w:firstLine="0"/>
      <w:spacing w:after="57"/>
    </w:pPr>
  </w:style>
  <w:style w:type="paragraph" w:styleId="887">
    <w:name w:val="toc 9"/>
    <w:basedOn w:val="846"/>
    <w:next w:val="846"/>
    <w:uiPriority w:val="39"/>
    <w:unhideWhenUsed/>
    <w:qFormat/>
    <w:pPr>
      <w:ind w:left="2268" w:right="0" w:firstLine="0"/>
      <w:spacing w:after="57"/>
    </w:pPr>
  </w:style>
  <w:style w:type="paragraph" w:styleId="888">
    <w:name w:val="Body Text 2"/>
    <w:basedOn w:val="846"/>
    <w:link w:val="1075"/>
    <w:uiPriority w:val="99"/>
    <w:qFormat/>
    <w:pPr>
      <w:jc w:val="center"/>
      <w:widowControl/>
    </w:pPr>
    <w:rPr>
      <w:rFonts w:ascii="楷体_GB2312" w:eastAsia="楷体_GB2312"/>
      <w:sz w:val="28"/>
      <w:szCs w:val="28"/>
    </w:rPr>
  </w:style>
  <w:style w:type="paragraph" w:styleId="889">
    <w:name w:val="Normal (Web)"/>
    <w:basedOn w:val="846"/>
    <w:uiPriority w:val="99"/>
    <w:qFormat/>
    <w:pPr>
      <w:jc w:val="left"/>
      <w:spacing w:before="100" w:beforeAutospacing="1" w:after="100" w:afterAutospacing="1"/>
      <w:widowControl/>
    </w:pPr>
    <w:rPr>
      <w:rFonts w:ascii="宋体" w:hAnsi="宋体" w:cs="宋体"/>
      <w:sz w:val="24"/>
      <w:szCs w:val="24"/>
    </w:rPr>
  </w:style>
  <w:style w:type="paragraph" w:styleId="890">
    <w:name w:val="Title"/>
    <w:basedOn w:val="846"/>
    <w:next w:val="846"/>
    <w:link w:val="912"/>
    <w:uiPriority w:val="10"/>
    <w:qFormat/>
    <w:pPr>
      <w:contextualSpacing/>
      <w:spacing w:before="300" w:after="200"/>
    </w:pPr>
    <w:rPr>
      <w:sz w:val="48"/>
      <w:szCs w:val="48"/>
    </w:rPr>
  </w:style>
  <w:style w:type="paragraph" w:styleId="891">
    <w:name w:val="annotation subject"/>
    <w:basedOn w:val="863"/>
    <w:next w:val="863"/>
    <w:link w:val="1061"/>
    <w:uiPriority w:val="99"/>
    <w:semiHidden/>
    <w:qFormat/>
    <w:rPr>
      <w:b/>
      <w:bCs/>
    </w:rPr>
  </w:style>
  <w:style w:type="paragraph" w:styleId="892">
    <w:name w:val="Body Text First Indent"/>
    <w:basedOn w:val="846"/>
    <w:next w:val="846"/>
    <w:link w:val="1063"/>
    <w:uiPriority w:val="99"/>
    <w:qFormat/>
    <w:pPr>
      <w:ind w:firstLine="200"/>
      <w:spacing w:line="360" w:lineRule="auto"/>
    </w:pPr>
    <w:rPr>
      <w:rFonts w:ascii="仿宋_GB2312" w:eastAsia="仿宋_GB2312"/>
      <w:sz w:val="30"/>
      <w:szCs w:val="30"/>
    </w:rPr>
  </w:style>
  <w:style w:type="paragraph" w:styleId="893">
    <w:name w:val="Body Text First Indent 2"/>
    <w:basedOn w:val="866"/>
    <w:next w:val="846"/>
    <w:link w:val="1072"/>
    <w:uiPriority w:val="99"/>
    <w:qFormat/>
    <w:pPr>
      <w:ind w:firstLine="420"/>
      <w:spacing w:line="360" w:lineRule="auto"/>
    </w:pPr>
    <w:rPr>
      <w:rFonts w:ascii="宋体" w:hAnsi="宋体" w:eastAsia="宋体"/>
      <w:sz w:val="21"/>
      <w:szCs w:val="20"/>
    </w:rPr>
  </w:style>
  <w:style w:type="table" w:styleId="894">
    <w:name w:val="Table Grid"/>
    <w:basedOn w:val="85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basedOn w:val="856"/>
    <w:uiPriority w:val="99"/>
    <w:qFormat/>
    <w:rPr>
      <w:rFonts w:cs="Times New Roman"/>
      <w:b/>
    </w:rPr>
  </w:style>
  <w:style w:type="character" w:styleId="896">
    <w:name w:val="endnote reference"/>
    <w:basedOn w:val="856"/>
    <w:uiPriority w:val="99"/>
    <w:semiHidden/>
    <w:unhideWhenUsed/>
    <w:qFormat/>
    <w:rPr>
      <w:vertAlign w:val="superscript"/>
    </w:rPr>
  </w:style>
  <w:style w:type="character" w:styleId="897">
    <w:name w:val="page number"/>
    <w:basedOn w:val="856"/>
    <w:uiPriority w:val="99"/>
    <w:qFormat/>
    <w:rPr>
      <w:rFonts w:cs="Times New Roman"/>
    </w:rPr>
  </w:style>
  <w:style w:type="character" w:styleId="898">
    <w:name w:val="FollowedHyperlink"/>
    <w:basedOn w:val="856"/>
    <w:uiPriority w:val="99"/>
    <w:qFormat/>
    <w:rPr>
      <w:rFonts w:cs="Times New Roman"/>
      <w:color w:val="800080"/>
      <w:u w:val="single"/>
    </w:rPr>
  </w:style>
  <w:style w:type="character" w:styleId="899">
    <w:name w:val="Hyperlink"/>
    <w:basedOn w:val="856"/>
    <w:uiPriority w:val="99"/>
    <w:qFormat/>
    <w:rPr>
      <w:rFonts w:cs="Times New Roman"/>
      <w:color w:val="0000ff"/>
      <w:u w:val="single"/>
    </w:rPr>
  </w:style>
  <w:style w:type="character" w:styleId="900">
    <w:name w:val="annotation reference"/>
    <w:basedOn w:val="856"/>
    <w:uiPriority w:val="99"/>
    <w:semiHidden/>
    <w:qFormat/>
    <w:rPr>
      <w:rFonts w:cs="Times New Roman"/>
      <w:sz w:val="21"/>
    </w:rPr>
  </w:style>
  <w:style w:type="character" w:styleId="901">
    <w:name w:val="footnote reference"/>
    <w:basedOn w:val="856"/>
    <w:uiPriority w:val="99"/>
    <w:unhideWhenUsed/>
    <w:qFormat/>
    <w:rPr>
      <w:vertAlign w:val="superscript"/>
    </w:rPr>
  </w:style>
  <w:style w:type="character" w:styleId="902" w:customStyle="1">
    <w:name w:val="Heading 1 Char"/>
    <w:basedOn w:val="856"/>
    <w:uiPriority w:val="9"/>
    <w:qFormat/>
    <w:rPr>
      <w:rFonts w:ascii="Arial" w:hAnsi="Arial" w:eastAsia="Arial" w:cs="Arial"/>
      <w:sz w:val="40"/>
      <w:szCs w:val="40"/>
    </w:rPr>
  </w:style>
  <w:style w:type="character" w:styleId="903" w:customStyle="1">
    <w:name w:val="Heading 2 Char"/>
    <w:basedOn w:val="856"/>
    <w:uiPriority w:val="9"/>
    <w:qFormat/>
    <w:rPr>
      <w:rFonts w:ascii="Arial" w:hAnsi="Arial" w:eastAsia="Arial" w:cs="Arial"/>
      <w:sz w:val="34"/>
    </w:rPr>
  </w:style>
  <w:style w:type="character" w:styleId="904" w:customStyle="1">
    <w:name w:val="Heading 3 Char"/>
    <w:basedOn w:val="856"/>
    <w:uiPriority w:val="9"/>
    <w:qFormat/>
    <w:rPr>
      <w:rFonts w:ascii="Arial" w:hAnsi="Arial" w:eastAsia="Arial" w:cs="Arial"/>
      <w:sz w:val="30"/>
      <w:szCs w:val="30"/>
    </w:rPr>
  </w:style>
  <w:style w:type="character" w:styleId="905" w:customStyle="1">
    <w:name w:val="Heading 4 Char"/>
    <w:basedOn w:val="856"/>
    <w:uiPriority w:val="9"/>
    <w:qFormat/>
    <w:rPr>
      <w:rFonts w:ascii="Arial" w:hAnsi="Arial" w:eastAsia="Arial" w:cs="Arial"/>
      <w:b/>
      <w:bCs/>
      <w:sz w:val="26"/>
      <w:szCs w:val="26"/>
    </w:rPr>
  </w:style>
  <w:style w:type="character" w:styleId="906" w:customStyle="1">
    <w:name w:val="Heading 5 Char"/>
    <w:basedOn w:val="856"/>
    <w:uiPriority w:val="9"/>
    <w:qFormat/>
    <w:rPr>
      <w:rFonts w:ascii="Arial" w:hAnsi="Arial" w:eastAsia="Arial" w:cs="Arial"/>
      <w:b/>
      <w:bCs/>
      <w:sz w:val="24"/>
      <w:szCs w:val="24"/>
    </w:rPr>
  </w:style>
  <w:style w:type="character" w:styleId="907" w:customStyle="1">
    <w:name w:val="Heading 6 Char"/>
    <w:basedOn w:val="856"/>
    <w:uiPriority w:val="9"/>
    <w:qFormat/>
    <w:rPr>
      <w:rFonts w:ascii="Arial" w:hAnsi="Arial" w:eastAsia="Arial" w:cs="Arial"/>
      <w:b/>
      <w:bCs/>
      <w:sz w:val="22"/>
      <w:szCs w:val="22"/>
    </w:rPr>
  </w:style>
  <w:style w:type="character" w:styleId="908" w:customStyle="1">
    <w:name w:val="Heading 7 Char"/>
    <w:basedOn w:val="856"/>
    <w:uiPriority w:val="9"/>
    <w:qFormat/>
    <w:rPr>
      <w:rFonts w:ascii="Arial" w:hAnsi="Arial" w:eastAsia="Arial" w:cs="Arial"/>
      <w:b/>
      <w:bCs/>
      <w:i/>
      <w:iCs/>
      <w:sz w:val="22"/>
      <w:szCs w:val="22"/>
    </w:rPr>
  </w:style>
  <w:style w:type="character" w:styleId="909" w:customStyle="1">
    <w:name w:val="Heading 8 Char"/>
    <w:basedOn w:val="856"/>
    <w:uiPriority w:val="9"/>
    <w:qFormat/>
    <w:rPr>
      <w:rFonts w:ascii="Arial" w:hAnsi="Arial" w:eastAsia="Arial" w:cs="Arial"/>
      <w:i/>
      <w:iCs/>
      <w:sz w:val="22"/>
      <w:szCs w:val="22"/>
    </w:rPr>
  </w:style>
  <w:style w:type="character" w:styleId="910" w:customStyle="1">
    <w:name w:val="Heading 9 Char"/>
    <w:basedOn w:val="856"/>
    <w:uiPriority w:val="9"/>
    <w:qFormat/>
    <w:rPr>
      <w:rFonts w:ascii="Arial" w:hAnsi="Arial" w:eastAsia="Arial" w:cs="Arial"/>
      <w:i/>
      <w:iCs/>
      <w:sz w:val="21"/>
      <w:szCs w:val="21"/>
    </w:rPr>
  </w:style>
  <w:style w:type="paragraph" w:styleId="911">
    <w:name w:val="No Spacing"/>
    <w:uiPriority w:val="1"/>
    <w:qFormat/>
    <w:pPr>
      <w:spacing w:before="0" w:after="0" w:line="240" w:lineRule="auto"/>
    </w:pPr>
    <w:rPr>
      <w:rFonts w:hint="default" w:ascii="Times New Roman" w:hAnsi="Times New Roman" w:eastAsia="宋体" w:cs="Times New Roman"/>
    </w:rPr>
  </w:style>
  <w:style w:type="character" w:styleId="912" w:customStyle="1">
    <w:name w:val="Title Char"/>
    <w:basedOn w:val="856"/>
    <w:link w:val="890"/>
    <w:uiPriority w:val="10"/>
    <w:qFormat/>
    <w:rPr>
      <w:sz w:val="48"/>
      <w:szCs w:val="48"/>
    </w:rPr>
  </w:style>
  <w:style w:type="character" w:styleId="913" w:customStyle="1">
    <w:name w:val="Subtitle Char"/>
    <w:basedOn w:val="856"/>
    <w:link w:val="880"/>
    <w:uiPriority w:val="11"/>
    <w:qFormat/>
    <w:rPr>
      <w:sz w:val="24"/>
      <w:szCs w:val="24"/>
    </w:rPr>
  </w:style>
  <w:style w:type="paragraph" w:styleId="914">
    <w:name w:val="Quote"/>
    <w:basedOn w:val="846"/>
    <w:next w:val="846"/>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46"/>
    <w:next w:val="846"/>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basedOn w:val="856"/>
    <w:uiPriority w:val="99"/>
    <w:qFormat/>
  </w:style>
  <w:style w:type="character" w:styleId="919" w:customStyle="1">
    <w:name w:val="Footer Char"/>
    <w:basedOn w:val="856"/>
    <w:uiPriority w:val="99"/>
    <w:qFormat/>
  </w:style>
  <w:style w:type="character" w:styleId="920" w:customStyle="1">
    <w:name w:val="Caption Char"/>
    <w:uiPriority w:val="99"/>
    <w:qFormat/>
  </w:style>
  <w:style w:type="table" w:styleId="921"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basedOn w:val="8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basedOn w:val="8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basedOn w:val="8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basedOn w:val="8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basedOn w:val="8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basedOn w:val="8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basedOn w:val="8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basedOn w:val="8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basedOn w:val="8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basedOn w:val="8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basedOn w:val="8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basedOn w:val="8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basedOn w:val="8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basedOn w:val="8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basedOn w:val="8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basedOn w:val="8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basedOn w:val="8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basedOn w:val="8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basedOn w:val="8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basedOn w:val="8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basedOn w:val="8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basedOn w:val="8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basedOn w:val="8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basedOn w:val="8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basedOn w:val="8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basedOn w:val="8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basedOn w:val="8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basedOn w:val="8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basedOn w:val="8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basedOn w:val="8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basedOn w:val="8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basedOn w:val="8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82"/>
    <w:uiPriority w:val="99"/>
    <w:qFormat/>
    <w:rPr>
      <w:sz w:val="18"/>
    </w:rPr>
  </w:style>
  <w:style w:type="character" w:styleId="1047" w:customStyle="1">
    <w:name w:val="Endnote Text Char"/>
    <w:link w:val="874"/>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列出段落1"/>
    <w:basedOn w:val="846"/>
    <w:uiPriority w:val="99"/>
    <w:qFormat/>
    <w:pPr>
      <w:contextualSpacing/>
      <w:ind w:left="720"/>
      <w:jc w:val="left"/>
      <w:widowControl/>
    </w:pPr>
    <w:rPr>
      <w:rFonts w:ascii="Calibri" w:hAnsi="Calibri"/>
      <w:sz w:val="24"/>
      <w:szCs w:val="24"/>
      <w:lang w:eastAsia="en-US"/>
    </w:rPr>
  </w:style>
  <w:style w:type="paragraph" w:styleId="1050" w:customStyle="1">
    <w:name w:val="正文1"/>
    <w:basedOn w:val="846"/>
    <w:next w:val="846"/>
    <w:uiPriority w:val="0"/>
    <w:qFormat/>
    <w:pPr>
      <w:ind w:firstLine="361"/>
      <w:spacing w:line="360" w:lineRule="auto"/>
    </w:pPr>
    <w:rPr>
      <w:rFonts w:ascii="宋体" w:hAnsi="宋体"/>
      <w:szCs w:val="24"/>
    </w:rPr>
  </w:style>
  <w:style w:type="character" w:styleId="1051" w:customStyle="1">
    <w:name w:val="标题 1 字符"/>
    <w:basedOn w:val="856"/>
    <w:link w:val="847"/>
    <w:uiPriority w:val="99"/>
    <w:qFormat/>
    <w:rPr>
      <w:rFonts w:ascii="楷体_GB2312" w:hAnsi="Times New Roman" w:eastAsia="楷体_GB2312" w:cs="Times New Roman"/>
      <w:sz w:val="28"/>
      <w:szCs w:val="28"/>
    </w:rPr>
  </w:style>
  <w:style w:type="character" w:styleId="1052" w:customStyle="1">
    <w:name w:val="标题 2 字符"/>
    <w:basedOn w:val="856"/>
    <w:link w:val="848"/>
    <w:uiPriority w:val="99"/>
    <w:qFormat/>
    <w:rPr>
      <w:rFonts w:ascii="Arial" w:hAnsi="Arial" w:eastAsia="幼圆" w:cs="Arial"/>
      <w:b/>
      <w:bCs/>
      <w:sz w:val="44"/>
      <w:szCs w:val="44"/>
    </w:rPr>
  </w:style>
  <w:style w:type="character" w:styleId="1053" w:customStyle="1">
    <w:name w:val="标题 3 字符"/>
    <w:basedOn w:val="856"/>
    <w:link w:val="849"/>
    <w:uiPriority w:val="99"/>
    <w:qFormat/>
    <w:rPr>
      <w:rFonts w:ascii="Times New Roman" w:hAnsi="Times New Roman" w:eastAsia="宋体" w:cs="Times New Roman"/>
      <w:b/>
      <w:bCs/>
      <w:sz w:val="32"/>
      <w:szCs w:val="32"/>
    </w:rPr>
  </w:style>
  <w:style w:type="character" w:styleId="1054" w:customStyle="1">
    <w:name w:val="标题 4 字符"/>
    <w:basedOn w:val="856"/>
    <w:link w:val="850"/>
    <w:uiPriority w:val="99"/>
    <w:qFormat/>
    <w:rPr>
      <w:rFonts w:ascii="Arial" w:hAnsi="Arial" w:eastAsia="黑体" w:cs="Arial"/>
      <w:b/>
      <w:bCs/>
      <w:sz w:val="28"/>
      <w:szCs w:val="28"/>
    </w:rPr>
  </w:style>
  <w:style w:type="character" w:styleId="1055" w:customStyle="1">
    <w:name w:val="标题 5 字符"/>
    <w:basedOn w:val="856"/>
    <w:link w:val="851"/>
    <w:uiPriority w:val="99"/>
    <w:qFormat/>
    <w:rPr>
      <w:rFonts w:ascii="宋体" w:hAnsi="Times New Roman" w:eastAsia="宋体" w:cs="Times New Roman"/>
      <w:color w:val="000000"/>
      <w:sz w:val="28"/>
      <w:szCs w:val="28"/>
    </w:rPr>
  </w:style>
  <w:style w:type="character" w:styleId="1056" w:customStyle="1">
    <w:name w:val="标题 6 字符"/>
    <w:basedOn w:val="856"/>
    <w:link w:val="852"/>
    <w:uiPriority w:val="99"/>
    <w:qFormat/>
    <w:rPr>
      <w:rFonts w:ascii="Arial" w:hAnsi="Arial" w:eastAsia="黑体" w:cs="Times New Roman"/>
      <w:b/>
      <w:bCs/>
      <w:sz w:val="24"/>
      <w:szCs w:val="24"/>
    </w:rPr>
  </w:style>
  <w:style w:type="character" w:styleId="1057" w:customStyle="1">
    <w:name w:val="标题 7 字符"/>
    <w:basedOn w:val="856"/>
    <w:link w:val="853"/>
    <w:uiPriority w:val="99"/>
    <w:qFormat/>
    <w:rPr>
      <w:rFonts w:ascii="Times New Roman" w:hAnsi="Times New Roman" w:eastAsia="宋体" w:cs="Times New Roman"/>
      <w:b/>
      <w:bCs/>
      <w:sz w:val="24"/>
      <w:szCs w:val="24"/>
    </w:rPr>
  </w:style>
  <w:style w:type="character" w:styleId="1058" w:customStyle="1">
    <w:name w:val="标题 8 字符"/>
    <w:basedOn w:val="856"/>
    <w:link w:val="854"/>
    <w:uiPriority w:val="99"/>
    <w:qFormat/>
    <w:rPr>
      <w:rFonts w:ascii="Arial" w:hAnsi="Arial" w:eastAsia="黑体" w:cs="Times New Roman"/>
      <w:sz w:val="24"/>
      <w:szCs w:val="24"/>
    </w:rPr>
  </w:style>
  <w:style w:type="character" w:styleId="1059" w:customStyle="1">
    <w:name w:val="标题 9 字符"/>
    <w:basedOn w:val="856"/>
    <w:link w:val="855"/>
    <w:uiPriority w:val="99"/>
    <w:qFormat/>
    <w:rPr>
      <w:rFonts w:ascii="Arial" w:hAnsi="Arial" w:eastAsia="黑体" w:cs="Times New Roman"/>
      <w:sz w:val="21"/>
      <w:szCs w:val="21"/>
    </w:rPr>
  </w:style>
  <w:style w:type="character" w:styleId="1060" w:customStyle="1">
    <w:name w:val="批注文字 字符"/>
    <w:basedOn w:val="856"/>
    <w:link w:val="863"/>
    <w:uiPriority w:val="99"/>
    <w:semiHidden/>
    <w:qFormat/>
    <w:rPr>
      <w:rFonts w:ascii="Times New Roman" w:hAnsi="Times New Roman" w:eastAsia="宋体" w:cs="Times New Roman"/>
      <w:sz w:val="21"/>
      <w:szCs w:val="21"/>
    </w:rPr>
  </w:style>
  <w:style w:type="character" w:styleId="1061" w:customStyle="1">
    <w:name w:val="批注主题 字符"/>
    <w:basedOn w:val="1060"/>
    <w:link w:val="891"/>
    <w:uiPriority w:val="99"/>
    <w:semiHidden/>
    <w:qFormat/>
    <w:rPr>
      <w:rFonts w:ascii="Times New Roman" w:hAnsi="Times New Roman" w:eastAsia="宋体" w:cs="Times New Roman"/>
      <w:b/>
      <w:bCs/>
      <w:sz w:val="21"/>
      <w:szCs w:val="21"/>
    </w:rPr>
  </w:style>
  <w:style w:type="character" w:styleId="1062" w:customStyle="1">
    <w:name w:val="正文文本 字符"/>
    <w:basedOn w:val="856"/>
    <w:link w:val="865"/>
    <w:uiPriority w:val="99"/>
    <w:qFormat/>
    <w:rPr>
      <w:rFonts w:ascii="楷体_GB2312" w:hAnsi="Arial" w:eastAsia="楷体_GB2312" w:cs="Times New Roman"/>
      <w:sz w:val="28"/>
      <w:szCs w:val="28"/>
    </w:rPr>
  </w:style>
  <w:style w:type="character" w:styleId="1063" w:customStyle="1">
    <w:name w:val="正文文本首行缩进 字符"/>
    <w:basedOn w:val="1062"/>
    <w:link w:val="892"/>
    <w:uiPriority w:val="99"/>
    <w:qFormat/>
    <w:rPr>
      <w:rFonts w:ascii="仿宋_GB2312" w:hAnsi="Times New Roman" w:eastAsia="仿宋_GB2312" w:cs="Times New Roman"/>
      <w:sz w:val="30"/>
      <w:szCs w:val="30"/>
    </w:rPr>
  </w:style>
  <w:style w:type="character" w:styleId="1064" w:customStyle="1">
    <w:name w:val="文档结构图 字符"/>
    <w:basedOn w:val="856"/>
    <w:link w:val="862"/>
    <w:uiPriority w:val="99"/>
    <w:semiHidden/>
    <w:qFormat/>
    <w:rPr>
      <w:rFonts w:ascii="Times New Roman" w:hAnsi="Times New Roman" w:eastAsia="宋体" w:cs="Times New Roman"/>
      <w:sz w:val="21"/>
      <w:szCs w:val="21"/>
      <w:shd w:val="clear" w:color="auto" w:fill="000080"/>
    </w:rPr>
  </w:style>
  <w:style w:type="character" w:styleId="1065" w:customStyle="1">
    <w:name w:val="正文文本 3 字符"/>
    <w:basedOn w:val="856"/>
    <w:link w:val="864"/>
    <w:uiPriority w:val="99"/>
    <w:qFormat/>
    <w:rPr>
      <w:rFonts w:ascii="仿宋_GB2312" w:hAnsi="Arial" w:eastAsia="仿宋_GB2312" w:cs="Times New Roman"/>
      <w:sz w:val="32"/>
      <w:szCs w:val="32"/>
    </w:rPr>
  </w:style>
  <w:style w:type="character" w:styleId="1066" w:customStyle="1">
    <w:name w:val="正文文本缩进 字符"/>
    <w:basedOn w:val="856"/>
    <w:link w:val="866"/>
    <w:uiPriority w:val="99"/>
    <w:qFormat/>
    <w:rPr>
      <w:rFonts w:ascii="楷体_GB2312" w:hAnsi="Times New Roman" w:eastAsia="楷体_GB2312" w:cs="Times New Roman"/>
      <w:sz w:val="32"/>
      <w:szCs w:val="32"/>
    </w:rPr>
  </w:style>
  <w:style w:type="character" w:styleId="1067" w:customStyle="1">
    <w:name w:val="纯文本 字符"/>
    <w:basedOn w:val="856"/>
    <w:link w:val="870"/>
    <w:uiPriority w:val="99"/>
    <w:qFormat/>
    <w:rPr>
      <w:rFonts w:ascii="宋体" w:hAnsi="Courier New" w:eastAsia="宋体" w:cs="Courier New"/>
      <w:sz w:val="21"/>
      <w:szCs w:val="21"/>
    </w:rPr>
  </w:style>
  <w:style w:type="character" w:styleId="1068" w:customStyle="1">
    <w:name w:val="日期 字符"/>
    <w:basedOn w:val="856"/>
    <w:link w:val="872"/>
    <w:uiPriority w:val="99"/>
    <w:qFormat/>
    <w:rPr>
      <w:rFonts w:ascii="Times New Roman" w:hAnsi="Times New Roman" w:eastAsia="宋体" w:cs="Times New Roman"/>
      <w:sz w:val="24"/>
      <w:szCs w:val="24"/>
    </w:rPr>
  </w:style>
  <w:style w:type="character" w:styleId="1069" w:customStyle="1">
    <w:name w:val="正文文本缩进 2 字符"/>
    <w:basedOn w:val="856"/>
    <w:link w:val="873"/>
    <w:uiPriority w:val="99"/>
    <w:qFormat/>
    <w:rPr>
      <w:rFonts w:ascii="Arial" w:hAnsi="Arial" w:eastAsia="仿宋_GB2312" w:cs="Arial"/>
      <w:sz w:val="32"/>
      <w:szCs w:val="32"/>
    </w:rPr>
  </w:style>
  <w:style w:type="character" w:styleId="1070" w:customStyle="1">
    <w:name w:val="批注框文本 字符"/>
    <w:basedOn w:val="856"/>
    <w:link w:val="875"/>
    <w:uiPriority w:val="99"/>
    <w:semiHidden/>
    <w:qFormat/>
    <w:rPr>
      <w:rFonts w:ascii="Times New Roman" w:hAnsi="Times New Roman" w:eastAsia="宋体" w:cs="Times New Roman"/>
      <w:sz w:val="18"/>
      <w:szCs w:val="18"/>
    </w:rPr>
  </w:style>
  <w:style w:type="character" w:styleId="1071" w:customStyle="1">
    <w:name w:val="页脚 字符"/>
    <w:basedOn w:val="856"/>
    <w:link w:val="876"/>
    <w:uiPriority w:val="99"/>
    <w:qFormat/>
    <w:rPr>
      <w:rFonts w:ascii="Times New Roman" w:hAnsi="Times New Roman" w:eastAsia="宋体" w:cs="Times New Roman"/>
      <w:sz w:val="18"/>
      <w:szCs w:val="18"/>
    </w:rPr>
  </w:style>
  <w:style w:type="character" w:styleId="1072" w:customStyle="1">
    <w:name w:val="正文文本首行缩进 2 字符"/>
    <w:basedOn w:val="1066"/>
    <w:link w:val="893"/>
    <w:uiPriority w:val="99"/>
    <w:qFormat/>
    <w:rPr>
      <w:rFonts w:ascii="宋体" w:hAnsi="宋体" w:eastAsia="宋体" w:cs="Times New Roman"/>
      <w:sz w:val="20"/>
      <w:szCs w:val="20"/>
    </w:rPr>
  </w:style>
  <w:style w:type="character" w:styleId="1073" w:customStyle="1">
    <w:name w:val="页眉 字符"/>
    <w:basedOn w:val="856"/>
    <w:link w:val="877"/>
    <w:uiPriority w:val="99"/>
    <w:qFormat/>
    <w:rPr>
      <w:rFonts w:ascii="Times New Roman" w:hAnsi="Times New Roman" w:eastAsia="宋体" w:cs="Times New Roman"/>
      <w:sz w:val="18"/>
      <w:szCs w:val="18"/>
    </w:rPr>
  </w:style>
  <w:style w:type="character" w:styleId="1074" w:customStyle="1">
    <w:name w:val="正文文本缩进 3 字符"/>
    <w:basedOn w:val="856"/>
    <w:link w:val="884"/>
    <w:uiPriority w:val="99"/>
    <w:qFormat/>
    <w:rPr>
      <w:rFonts w:ascii="Arial" w:hAnsi="Arial" w:eastAsia="仿宋_GB2312" w:cs="Arial"/>
      <w:color w:val="ffff00"/>
      <w:sz w:val="32"/>
      <w:szCs w:val="32"/>
    </w:rPr>
  </w:style>
  <w:style w:type="character" w:styleId="1075" w:customStyle="1">
    <w:name w:val="正文文本 2 字符"/>
    <w:basedOn w:val="856"/>
    <w:link w:val="888"/>
    <w:uiPriority w:val="99"/>
    <w:qFormat/>
    <w:rPr>
      <w:rFonts w:ascii="楷体_GB2312" w:hAnsi="Times New Roman" w:eastAsia="楷体_GB2312" w:cs="Times New Roman"/>
      <w:sz w:val="28"/>
      <w:szCs w:val="28"/>
    </w:rPr>
  </w:style>
  <w:style w:type="character" w:styleId="1076" w:customStyle="1">
    <w:name w:val="正文缩进 字符"/>
    <w:link w:val="858"/>
    <w:uiPriority w:val="99"/>
    <w:qFormat/>
    <w:rPr>
      <w:rFonts w:ascii="Times New Roman" w:hAnsi="Times New Roman" w:eastAsia="宋体"/>
      <w:sz w:val="21"/>
    </w:rPr>
  </w:style>
  <w:style w:type="paragraph" w:styleId="1077" w:customStyle="1">
    <w:name w:val="普通 (Web)"/>
    <w:basedOn w:val="846"/>
    <w:uiPriority w:val="99"/>
    <w:qFormat/>
    <w:pPr>
      <w:jc w:val="left"/>
      <w:spacing w:before="100" w:beforeAutospacing="1" w:after="100" w:afterAutospacing="1"/>
      <w:widowControl/>
    </w:pPr>
    <w:rPr>
      <w:rFonts w:ascii="宋体" w:hAnsi="宋体"/>
      <w:sz w:val="24"/>
      <w:szCs w:val="24"/>
    </w:rPr>
  </w:style>
  <w:style w:type="paragraph" w:styleId="1078" w:customStyle="1">
    <w:name w:val="标题3"/>
    <w:basedOn w:val="846"/>
    <w:next w:val="846"/>
    <w:uiPriority w:val="99"/>
    <w:qFormat/>
    <w:pPr>
      <w:ind w:firstLine="624"/>
      <w:spacing w:line="590" w:lineRule="atLeast"/>
    </w:pPr>
    <w:rPr>
      <w:rFonts w:ascii="方正黑体_GBK" w:eastAsia="方正黑体_GBK"/>
      <w:sz w:val="32"/>
      <w:szCs w:val="32"/>
    </w:rPr>
  </w:style>
  <w:style w:type="paragraph" w:styleId="1079" w:customStyle="1">
    <w:name w:val="标题1"/>
    <w:basedOn w:val="846"/>
    <w:next w:val="84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81" w:customStyle="1">
    <w:name w:val="4"/>
    <w:basedOn w:val="846"/>
    <w:next w:val="884"/>
    <w:uiPriority w:val="99"/>
    <w:qFormat/>
    <w:pPr>
      <w:ind w:firstLine="420"/>
      <w:spacing w:line="360" w:lineRule="auto"/>
    </w:pPr>
    <w:rPr>
      <w:color w:val="ff0000"/>
      <w:sz w:val="24"/>
      <w:szCs w:val="24"/>
    </w:rPr>
  </w:style>
  <w:style w:type="paragraph" w:styleId="1082" w:customStyle="1">
    <w:name w:val="样式1"/>
    <w:basedOn w:val="846"/>
    <w:uiPriority w:val="99"/>
    <w:qFormat/>
    <w:pPr>
      <w:ind w:left="709" w:hanging="709"/>
      <w:tabs>
        <w:tab w:val="left" w:pos="709" w:leader="none"/>
      </w:tabs>
    </w:pPr>
    <w:rPr>
      <w:rFonts w:ascii="宋体" w:hAnsi="宋体"/>
    </w:rPr>
  </w:style>
  <w:style w:type="paragraph" w:styleId="1083" w:customStyle="1">
    <w:name w:val="普通正文"/>
    <w:basedOn w:val="846"/>
    <w:uiPriority w:val="99"/>
    <w:qFormat/>
    <w:pPr>
      <w:ind w:firstLine="480"/>
      <w:jc w:val="left"/>
      <w:spacing w:before="120" w:after="120" w:line="360" w:lineRule="auto"/>
    </w:pPr>
    <w:rPr>
      <w:rFonts w:ascii="Arial" w:hAnsi="Arial"/>
      <w:sz w:val="24"/>
      <w:szCs w:val="24"/>
    </w:rPr>
  </w:style>
  <w:style w:type="paragraph" w:styleId="1084" w:customStyle="1">
    <w:name w:val="Body Text(ch)"/>
    <w:basedOn w:val="846"/>
    <w:next w:val="865"/>
    <w:uiPriority w:val="99"/>
    <w:qFormat/>
    <w:pPr>
      <w:spacing w:after="120"/>
    </w:pPr>
    <w:rPr>
      <w:rFonts w:ascii="宋体" w:hAnsi="Arial"/>
      <w:bCs/>
      <w:iCs/>
      <w:szCs w:val="24"/>
    </w:rPr>
  </w:style>
  <w:style w:type="paragraph" w:styleId="1085" w:customStyle="1">
    <w:name w:val="图标"/>
    <w:basedOn w:val="846"/>
    <w:next w:val="84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6" w:customStyle="1">
    <w:name w:val="xl25"/>
    <w:basedOn w:val="84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7" w:customStyle="1">
    <w:name w:val="font5"/>
    <w:basedOn w:val="846"/>
    <w:uiPriority w:val="99"/>
    <w:qFormat/>
    <w:pPr>
      <w:jc w:val="left"/>
      <w:spacing w:before="100" w:beforeAutospacing="1" w:after="100" w:afterAutospacing="1"/>
      <w:widowControl/>
    </w:pPr>
    <w:rPr>
      <w:rFonts w:ascii="宋体" w:hAnsi="宋体"/>
      <w:sz w:val="28"/>
      <w:szCs w:val="28"/>
    </w:rPr>
  </w:style>
  <w:style w:type="paragraph" w:styleId="1088" w:customStyle="1">
    <w:name w:val="font6"/>
    <w:basedOn w:val="846"/>
    <w:uiPriority w:val="99"/>
    <w:qFormat/>
    <w:pPr>
      <w:jc w:val="left"/>
      <w:spacing w:before="100" w:beforeAutospacing="1" w:after="100" w:afterAutospacing="1"/>
      <w:widowControl/>
    </w:pPr>
    <w:rPr>
      <w:rFonts w:ascii="宋体" w:hAnsi="宋体"/>
      <w:sz w:val="28"/>
      <w:szCs w:val="28"/>
      <w:u w:val="single"/>
    </w:rPr>
  </w:style>
  <w:style w:type="paragraph" w:styleId="1089" w:customStyle="1">
    <w:name w:val="font7"/>
    <w:basedOn w:val="846"/>
    <w:uiPriority w:val="99"/>
    <w:qFormat/>
    <w:pPr>
      <w:jc w:val="left"/>
      <w:spacing w:before="100" w:beforeAutospacing="1" w:after="100" w:afterAutospacing="1"/>
      <w:widowControl/>
    </w:pPr>
    <w:rPr>
      <w:rFonts w:ascii="宋体" w:hAnsi="宋体"/>
      <w:sz w:val="18"/>
      <w:szCs w:val="18"/>
    </w:rPr>
  </w:style>
  <w:style w:type="paragraph" w:styleId="1090" w:customStyle="1">
    <w:name w:val="xl24"/>
    <w:basedOn w:val="84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26"/>
    <w:basedOn w:val="84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27"/>
    <w:basedOn w:val="84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28"/>
    <w:basedOn w:val="84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94" w:customStyle="1">
    <w:name w:val="xl29"/>
    <w:basedOn w:val="84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5" w:customStyle="1">
    <w:name w:val="xl30"/>
    <w:basedOn w:val="846"/>
    <w:uiPriority w:val="99"/>
    <w:qFormat/>
    <w:pPr>
      <w:jc w:val="center"/>
      <w:spacing w:before="100" w:beforeAutospacing="1" w:after="100" w:afterAutospacing="1"/>
      <w:widowControl/>
    </w:pPr>
    <w:rPr>
      <w:rFonts w:ascii="宋体" w:hAnsi="宋体"/>
      <w:b/>
      <w:bCs/>
      <w:sz w:val="36"/>
      <w:szCs w:val="36"/>
    </w:rPr>
  </w:style>
  <w:style w:type="paragraph" w:styleId="1096" w:customStyle="1">
    <w:name w:val="Char"/>
    <w:basedOn w:val="862"/>
    <w:uiPriority w:val="0"/>
    <w:qFormat/>
    <w:rPr>
      <w:rFonts w:ascii="Tahoma" w:hAnsi="Tahoma"/>
      <w:sz w:val="24"/>
      <w:szCs w:val="24"/>
    </w:rPr>
  </w:style>
  <w:style w:type="character" w:styleId="1097" w:customStyle="1">
    <w:name w:val="批注文字 Char"/>
    <w:basedOn w:val="856"/>
    <w:uiPriority w:val="99"/>
    <w:semiHidden/>
    <w:qFormat/>
    <w:rPr>
      <w:rFonts w:ascii="Times New Roman" w:hAnsi="Times New Roman" w:eastAsia="宋体" w:cs="Times New Roman"/>
      <w:sz w:val="21"/>
      <w:szCs w:val="21"/>
    </w:rPr>
  </w:style>
  <w:style w:type="character" w:styleId="1098" w:customStyle="1">
    <w:name w:val="批注主题 Char"/>
    <w:basedOn w:val="1097"/>
    <w:uiPriority w:val="99"/>
    <w:semiHidden/>
    <w:qFormat/>
    <w:rPr>
      <w:rFonts w:ascii="Times New Roman" w:hAnsi="Times New Roman" w:eastAsia="宋体" w:cs="Times New Roman"/>
      <w:b/>
      <w:bCs/>
      <w:sz w:val="21"/>
      <w:szCs w:val="21"/>
    </w:rPr>
  </w:style>
  <w:style w:type="character" w:styleId="1099" w:customStyle="1">
    <w:name w:val="批注框文本 Char"/>
    <w:basedOn w:val="856"/>
    <w:uiPriority w:val="99"/>
    <w:semiHidden/>
    <w:qFormat/>
    <w:rPr>
      <w:rFonts w:ascii="Times New Roman" w:hAnsi="Times New Roman" w:eastAsia="宋体" w:cs="Times New Roman"/>
      <w:sz w:val="18"/>
      <w:szCs w:val="18"/>
    </w:rPr>
  </w:style>
  <w:style w:type="paragraph" w:styleId="1100" w:customStyle="1">
    <w:name w:val="table_1stline"/>
    <w:basedOn w:val="846"/>
    <w:uiPriority w:val="99"/>
    <w:qFormat/>
    <w:pPr>
      <w:jc w:val="left"/>
      <w:spacing w:before="120"/>
      <w:widowControl/>
    </w:pPr>
    <w:rPr>
      <w:bCs/>
      <w:sz w:val="20"/>
      <w:szCs w:val="20"/>
      <w:lang w:val="de-DE" w:eastAsia="de-DE"/>
    </w:rPr>
  </w:style>
  <w:style w:type="paragraph" w:styleId="1101" w:customStyle="1">
    <w:name w:val="table_lines"/>
    <w:basedOn w:val="846"/>
    <w:uiPriority w:val="99"/>
    <w:qFormat/>
    <w:pPr>
      <w:jc w:val="left"/>
      <w:widowControl/>
    </w:pPr>
    <w:rPr>
      <w:sz w:val="20"/>
      <w:szCs w:val="20"/>
      <w:lang w:val="de-DE" w:eastAsia="de-DE"/>
    </w:rPr>
  </w:style>
  <w:style w:type="character" w:styleId="1102" w:customStyle="1">
    <w:name w:val="font5 Char"/>
    <w:uiPriority w:val="99"/>
    <w:qFormat/>
    <w:rPr>
      <w:rFonts w:ascii="宋体" w:hAnsi="宋体" w:eastAsia="宋体"/>
      <w:sz w:val="28"/>
      <w:lang w:val="en-US" w:eastAsia="zh-CN"/>
    </w:rPr>
  </w:style>
  <w:style w:type="paragraph" w:styleId="1103" w:customStyle="1">
    <w:name w:val="Char Char Char Char"/>
    <w:basedOn w:val="862"/>
    <w:uiPriority w:val="99"/>
    <w:qFormat/>
    <w:pPr>
      <w:spacing w:line="360" w:lineRule="auto"/>
    </w:pPr>
    <w:rPr>
      <w:rFonts w:ascii="Tahoma" w:hAnsi="Tahoma"/>
      <w:sz w:val="24"/>
      <w:szCs w:val="24"/>
    </w:rPr>
  </w:style>
  <w:style w:type="paragraph" w:styleId="1104" w:customStyle="1">
    <w:name w:val="Char Char Char Char Char Char Char Char"/>
    <w:basedOn w:val="846"/>
    <w:uiPriority w:val="99"/>
    <w:qFormat/>
    <w:pPr>
      <w:jc w:val="left"/>
      <w:spacing w:after="160" w:line="240" w:lineRule="exact"/>
      <w:widowControl/>
    </w:pPr>
    <w:rPr>
      <w:rFonts w:ascii="Verdana" w:hAnsi="Verdana"/>
      <w:sz w:val="20"/>
      <w:szCs w:val="20"/>
      <w:lang w:eastAsia="en-US"/>
    </w:rPr>
  </w:style>
  <w:style w:type="paragraph" w:styleId="1105" w:customStyle="1">
    <w:name w:val="Char Char Char Char Char Char Char Char Char Char"/>
    <w:basedOn w:val="846"/>
    <w:uiPriority w:val="99"/>
    <w:qFormat/>
    <w:pPr>
      <w:spacing w:line="360" w:lineRule="auto"/>
    </w:pPr>
    <w:rPr>
      <w:sz w:val="24"/>
      <w:szCs w:val="20"/>
    </w:rPr>
  </w:style>
  <w:style w:type="character" w:styleId="1106" w:customStyle="1">
    <w:name w:val="列出段落 Char"/>
    <w:link w:val="1107"/>
    <w:uiPriority w:val="99"/>
    <w:qFormat/>
    <w:rPr>
      <w:rFonts w:ascii="Calibri" w:hAnsi="Calibri"/>
      <w:sz w:val="24"/>
      <w:lang w:eastAsia="en-US"/>
    </w:rPr>
  </w:style>
  <w:style w:type="paragraph" w:styleId="1107" w:customStyle="1">
    <w:name w:val="列出段落11"/>
    <w:basedOn w:val="846"/>
    <w:link w:val="1106"/>
    <w:uiPriority w:val="99"/>
    <w:qFormat/>
    <w:pPr>
      <w:contextualSpacing/>
      <w:ind w:left="720"/>
      <w:jc w:val="left"/>
      <w:widowControl/>
    </w:pPr>
    <w:rPr>
      <w:rFonts w:ascii="Calibri" w:hAnsi="Calibri"/>
      <w:sz w:val="24"/>
      <w:szCs w:val="20"/>
      <w:lang w:eastAsia="en-US"/>
    </w:rPr>
  </w:style>
  <w:style w:type="character" w:styleId="1108" w:customStyle="1">
    <w:name w:val="二级目录 Char"/>
    <w:link w:val="1109"/>
    <w:uiPriority w:val="99"/>
    <w:qFormat/>
    <w:rPr>
      <w:b/>
      <w:sz w:val="30"/>
      <w:szCs w:val="28"/>
      <w:lang w:val="en-US" w:eastAsia="zh-CN" w:bidi="ar-SA"/>
    </w:rPr>
  </w:style>
  <w:style w:type="paragraph" w:styleId="1109" w:customStyle="1">
    <w:name w:val="二级目录"/>
    <w:next w:val="846"/>
    <w:link w:val="1108"/>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10" w:customStyle="1">
    <w:name w:val="news12241"/>
    <w:basedOn w:val="856"/>
    <w:uiPriority w:val="0"/>
    <w:qFormat/>
    <w:rPr>
      <w:color w:val="000000"/>
      <w:sz w:val="18"/>
      <w:szCs w:val="18"/>
      <w:u w:val="none"/>
    </w:rPr>
  </w:style>
  <w:style w:type="character" w:styleId="1111" w:customStyle="1">
    <w:name w:val="apple-converted-space"/>
    <w:basedOn w:val="856"/>
    <w:uiPriority w:val="0"/>
    <w:qFormat/>
  </w:style>
  <w:style w:type="table" w:styleId="1112" w:customStyle="1">
    <w:name w:val="网格型1"/>
    <w:basedOn w:val="85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3" w:customStyle="1">
    <w:name w:val="网格型2"/>
    <w:basedOn w:val="85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4">
    <w:name w:val="List Paragraph"/>
    <w:basedOn w:val="846"/>
    <w:uiPriority w:val="34"/>
    <w:qFormat/>
    <w:pPr>
      <w:ind w:firstLine="420"/>
    </w:pPr>
  </w:style>
  <w:style w:type="character" w:styleId="1115" w:customStyle="1">
    <w:name w:val="font01"/>
    <w:basedOn w:val="856"/>
    <w:uiPriority w:val="0"/>
    <w:qFormat/>
    <w:rPr>
      <w:rFonts w:hint="default" w:ascii="仿宋_GB2312" w:eastAsia="仿宋_GB2312" w:cs="仿宋_GB2312"/>
      <w:color w:val="000000"/>
      <w:sz w:val="22"/>
      <w:szCs w:val="22"/>
      <w:u w:val="none"/>
    </w:rPr>
  </w:style>
  <w:style w:type="table" w:styleId="1116" w:customStyle="1">
    <w:name w:val="Table Normal"/>
    <w:uiPriority w:val="2"/>
    <w:semiHidden/>
    <w:unhideWhenUsed/>
    <w:qFormat/>
    <w:tblPr>
      <w:tblCellMar>
        <w:left w:w="0" w:type="dxa"/>
        <w:top w:w="0" w:type="dxa"/>
        <w:right w:w="0" w:type="dxa"/>
        <w:bottom w:w="0" w:type="dxa"/>
      </w:tblCellMar>
    </w:tblPr>
  </w:style>
  <w:style w:type="paragraph" w:styleId="1117" w:customStyle="1">
    <w:name w:val="Default"/>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118" w:customStyle="1">
    <w:name w:val="NormalCharacter"/>
    <w:uiPriority w:val="0"/>
    <w:semiHidden/>
    <w:qFormat/>
  </w:style>
  <w:style w:type="paragraph" w:styleId="1119" w:customStyle="1">
    <w:name w:val="纯文本1"/>
    <w:basedOn w:val="846"/>
    <w:uiPriority w:val="0"/>
    <w:qFormat/>
    <w:rPr>
      <w:rFonts w:ascii="宋体" w:hAnsi="Courier New"/>
    </w:rPr>
  </w:style>
  <w:style w:type="paragraph" w:styleId="1120" w:customStyle="1">
    <w:name w:val="普通(网站)1"/>
    <w:basedOn w:val="846"/>
    <w:uiPriority w:val="0"/>
    <w:qFormat/>
    <w:pPr>
      <w:jc w:val="left"/>
      <w:spacing w:before="100" w:beforeAutospacing="1" w:after="100" w:afterAutospacing="1"/>
      <w:widowControl/>
    </w:pPr>
    <w:rPr>
      <w:rFonts w:ascii="宋体" w:hAnsi="宋体" w:cs="宋体"/>
      <w:sz w:val="24"/>
      <w:szCs w:val="24"/>
    </w:rPr>
  </w:style>
  <w:style w:type="paragraph" w:styleId="1121" w:customStyle="1">
    <w:name w:val="标题 21"/>
    <w:basedOn w:val="846"/>
    <w:next w:val="8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2" w:customStyle="1">
    <w:name w:val="正文11"/>
    <w:next w:val="846"/>
    <w:uiPriority w:val="0"/>
    <w:qFormat/>
    <w:pPr>
      <w:jc w:val="both"/>
    </w:pPr>
    <w:rPr>
      <w:rFonts w:hint="default" w:ascii="Times New Roman" w:hAnsi="Times New Roman" w:eastAsia="宋体" w:cs="Times New Roman"/>
      <w:lang w:val="en-US" w:eastAsia="zh-CN" w:bidi="ar-SA"/>
    </w:rPr>
  </w:style>
  <w:style w:type="paragraph" w:styleId="1123" w:customStyle="1">
    <w:name w:val="标题 111"/>
    <w:basedOn w:val="1122"/>
    <w:next w:val="1122"/>
    <w:uiPriority w:val="0"/>
    <w:qFormat/>
    <w:pPr>
      <w:jc w:val="center"/>
      <w:keepLines/>
      <w:keepNext/>
      <w:spacing w:line="578" w:lineRule="auto"/>
      <w:outlineLvl w:val="0"/>
    </w:pPr>
    <w:rPr>
      <w:rFonts w:eastAsia="新宋体"/>
      <w:b/>
      <w:bCs/>
      <w:sz w:val="30"/>
      <w:szCs w:val="44"/>
    </w:rPr>
  </w:style>
  <w:style w:type="paragraph" w:styleId="1124" w:customStyle="1">
    <w:name w:val="正文文本缩进1"/>
    <w:basedOn w:val="1122"/>
    <w:next w:val="846"/>
    <w:uiPriority w:val="0"/>
    <w:qFormat/>
    <w:pPr>
      <w:ind w:left="420"/>
      <w:spacing w:after="120"/>
    </w:pPr>
  </w:style>
  <w:style w:type="paragraph" w:styleId="1125" w:customStyle="1">
    <w:name w:val="文本块1"/>
    <w:basedOn w:val="1122"/>
    <w:uiPriority w:val="0"/>
    <w:qFormat/>
    <w:pPr>
      <w:ind w:left="256" w:right="6" w:firstLine="624"/>
    </w:pPr>
    <w:rPr>
      <w:rFonts w:eastAsia="仿宋_GB2312"/>
      <w:sz w:val="28"/>
    </w:rPr>
  </w:style>
  <w:style w:type="paragraph" w:styleId="1126" w:customStyle="1">
    <w:name w:val="Table Paragraph"/>
    <w:basedOn w:val="846"/>
    <w:uiPriority w:val="1"/>
    <w:qFormat/>
    <w:pPr>
      <w:jc w:val="left"/>
    </w:pPr>
    <w:rPr>
      <w:rFonts w:ascii="Calibri" w:hAnsi="Calibri" w:cs="Calibri"/>
      <w:lang w:eastAsia="en-US"/>
    </w:rPr>
  </w:style>
  <w:style w:type="numbering" w:styleId="9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21F1247-165D-49B3-A5E9-7953AA2DC6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大丰季洪涛</cp:lastModifiedBy>
  <cp:revision>5</cp:revision>
  <dcterms:created xsi:type="dcterms:W3CDTF">2023-10-26T03:06:00Z</dcterms:created>
  <dcterms:modified xsi:type="dcterms:W3CDTF">2024-07-19T03:01:56Z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9D1238D54E8343EABFA027BE93E78EA8</vt:lpwstr>
  </property>
</Properties>
</file>